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0DA0" w14:textId="77777777" w:rsidR="00952AB6" w:rsidRDefault="00952AB6" w:rsidP="00952AB6">
      <w:pPr>
        <w:jc w:val="center"/>
        <w:rPr>
          <w:rStyle w:val="awspanawtext2"/>
          <w:b/>
          <w:bCs/>
          <w:color w:val="000000"/>
        </w:rPr>
      </w:pPr>
      <w:r>
        <w:rPr>
          <w:rStyle w:val="awspanawtext2"/>
          <w:b/>
          <w:bCs/>
          <w:color w:val="000000"/>
        </w:rPr>
        <w:t>Dôvodová správa</w:t>
      </w:r>
    </w:p>
    <w:p w14:paraId="15336DDF" w14:textId="77777777" w:rsidR="00952AB6" w:rsidRDefault="00952AB6" w:rsidP="00952AB6">
      <w:pPr>
        <w:jc w:val="center"/>
        <w:rPr>
          <w:color w:val="000000"/>
          <w:sz w:val="27"/>
          <w:szCs w:val="27"/>
        </w:rPr>
      </w:pPr>
    </w:p>
    <w:p w14:paraId="710AC712" w14:textId="77777777" w:rsidR="00952AB6" w:rsidRDefault="00952AB6" w:rsidP="00952AB6">
      <w:pPr>
        <w:rPr>
          <w:rStyle w:val="awspanawtext2"/>
          <w:b/>
          <w:bCs/>
          <w:color w:val="000000"/>
        </w:rPr>
      </w:pPr>
      <w:r>
        <w:rPr>
          <w:rStyle w:val="awspanawtext2"/>
          <w:b/>
          <w:bCs/>
          <w:color w:val="000000"/>
        </w:rPr>
        <w:t>Všeobecná časť</w:t>
      </w:r>
    </w:p>
    <w:p w14:paraId="4583ED2F" w14:textId="77777777" w:rsidR="00952AB6" w:rsidRDefault="00952AB6" w:rsidP="00952AB6">
      <w:pPr>
        <w:rPr>
          <w:color w:val="000000"/>
          <w:sz w:val="27"/>
          <w:szCs w:val="27"/>
        </w:rPr>
      </w:pPr>
    </w:p>
    <w:p w14:paraId="712EF06C" w14:textId="1DCE6BF8" w:rsidR="00952AB6" w:rsidRPr="00D34E9C" w:rsidRDefault="00F843C4" w:rsidP="00D34E9C">
      <w:pPr>
        <w:ind w:firstLine="708"/>
        <w:jc w:val="both"/>
        <w:rPr>
          <w:rStyle w:val="awspanawtext3"/>
          <w:color w:val="000000"/>
          <w:spacing w:val="217"/>
        </w:rPr>
      </w:pPr>
      <w:r>
        <w:rPr>
          <w:color w:val="000000"/>
        </w:rPr>
        <w:t>Vláda</w:t>
      </w:r>
      <w:r w:rsidR="00A874FF" w:rsidRPr="00A874FF">
        <w:rPr>
          <w:color w:val="000000"/>
        </w:rPr>
        <w:t xml:space="preserve"> Slovenskej republiky</w:t>
      </w:r>
      <w:r w:rsidR="00D34E9C">
        <w:rPr>
          <w:rStyle w:val="awspanawtext3"/>
          <w:color w:val="000000"/>
        </w:rPr>
        <w:t xml:space="preserve"> predkladá</w:t>
      </w:r>
      <w:r w:rsidR="00FE5D6B">
        <w:rPr>
          <w:rStyle w:val="awspanawtext3"/>
          <w:color w:val="000000"/>
        </w:rPr>
        <w:t xml:space="preserve"> vládny</w:t>
      </w:r>
      <w:r w:rsidR="00D34E9C">
        <w:rPr>
          <w:rStyle w:val="awspanawtext3"/>
          <w:color w:val="000000"/>
        </w:rPr>
        <w:t xml:space="preserve"> návrh zákona, ktorým sa mení a dopĺňa zákon č. 222/2004 </w:t>
      </w:r>
      <w:r w:rsidR="00952AB6">
        <w:rPr>
          <w:rStyle w:val="awspanawtext3"/>
          <w:color w:val="000000"/>
        </w:rPr>
        <w:t>Z.</w:t>
      </w:r>
      <w:r w:rsidR="00952AB6">
        <w:rPr>
          <w:rStyle w:val="awspanawtext3"/>
          <w:color w:val="000000"/>
          <w:spacing w:val="7"/>
        </w:rPr>
        <w:t xml:space="preserve"> </w:t>
      </w:r>
      <w:r w:rsidR="00952AB6">
        <w:rPr>
          <w:rStyle w:val="awspanawtext3"/>
          <w:color w:val="000000"/>
        </w:rPr>
        <w:t>z.</w:t>
      </w:r>
      <w:r w:rsidR="00952AB6">
        <w:rPr>
          <w:rStyle w:val="awspanawtext3"/>
          <w:color w:val="000000"/>
          <w:spacing w:val="7"/>
        </w:rPr>
        <w:t xml:space="preserve"> </w:t>
      </w:r>
      <w:r w:rsidR="00952AB6">
        <w:rPr>
          <w:rStyle w:val="awspanawtext3"/>
          <w:color w:val="000000"/>
        </w:rPr>
        <w:t>o dani</w:t>
      </w:r>
      <w:r w:rsidR="00952AB6">
        <w:rPr>
          <w:rStyle w:val="awspanawtext3"/>
          <w:color w:val="000000"/>
          <w:spacing w:val="7"/>
        </w:rPr>
        <w:t xml:space="preserve"> </w:t>
      </w:r>
      <w:r w:rsidR="00952AB6">
        <w:rPr>
          <w:rStyle w:val="awspanawtext3"/>
          <w:color w:val="000000"/>
        </w:rPr>
        <w:t>z pridanej</w:t>
      </w:r>
      <w:r w:rsidR="00952AB6">
        <w:rPr>
          <w:rStyle w:val="awspanawtext3"/>
          <w:color w:val="000000"/>
          <w:spacing w:val="7"/>
        </w:rPr>
        <w:t xml:space="preserve"> </w:t>
      </w:r>
      <w:r w:rsidR="00952AB6">
        <w:rPr>
          <w:rStyle w:val="awspanawtext3"/>
          <w:color w:val="000000"/>
        </w:rPr>
        <w:t>hodnoty</w:t>
      </w:r>
      <w:r w:rsidR="00952AB6">
        <w:rPr>
          <w:rStyle w:val="awspanawtext3"/>
          <w:color w:val="000000"/>
          <w:spacing w:val="7"/>
        </w:rPr>
        <w:t xml:space="preserve"> </w:t>
      </w:r>
      <w:r w:rsidR="00952AB6">
        <w:rPr>
          <w:rStyle w:val="awspanawtext3"/>
          <w:color w:val="000000"/>
        </w:rPr>
        <w:t>v</w:t>
      </w:r>
      <w:r w:rsidR="00952AB6">
        <w:rPr>
          <w:rStyle w:val="awspanawtext3"/>
          <w:color w:val="000000"/>
          <w:spacing w:val="7"/>
        </w:rPr>
        <w:t xml:space="preserve"> </w:t>
      </w:r>
      <w:r w:rsidR="00952AB6">
        <w:rPr>
          <w:rStyle w:val="awspanawtext3"/>
          <w:color w:val="000000"/>
        </w:rPr>
        <w:t>znení</w:t>
      </w:r>
      <w:r w:rsidR="00952AB6">
        <w:rPr>
          <w:rStyle w:val="awspanawtext3"/>
          <w:color w:val="000000"/>
          <w:spacing w:val="7"/>
        </w:rPr>
        <w:t xml:space="preserve"> </w:t>
      </w:r>
      <w:r w:rsidR="00952AB6">
        <w:rPr>
          <w:rStyle w:val="awspanawtext3"/>
          <w:color w:val="000000"/>
        </w:rPr>
        <w:t>neskorších</w:t>
      </w:r>
      <w:r w:rsidR="00952AB6">
        <w:rPr>
          <w:rStyle w:val="awspanawtext3"/>
          <w:color w:val="000000"/>
          <w:spacing w:val="7"/>
        </w:rPr>
        <w:t xml:space="preserve"> </w:t>
      </w:r>
      <w:r w:rsidR="00952AB6">
        <w:rPr>
          <w:rStyle w:val="awspanawtext3"/>
          <w:color w:val="000000"/>
        </w:rPr>
        <w:t>predpisov</w:t>
      </w:r>
      <w:r w:rsidR="008F291A">
        <w:rPr>
          <w:rStyle w:val="awspanawtext3"/>
          <w:color w:val="000000"/>
        </w:rPr>
        <w:t xml:space="preserve"> </w:t>
      </w:r>
      <w:r w:rsidR="008F291A" w:rsidRPr="00394CE9">
        <w:t>a ktorým sa menia a dopĺňajú niektoré zákony</w:t>
      </w:r>
      <w:r w:rsidR="00952AB6">
        <w:rPr>
          <w:rStyle w:val="awspanawtext3"/>
          <w:color w:val="000000"/>
        </w:rPr>
        <w:t>.</w:t>
      </w:r>
    </w:p>
    <w:p w14:paraId="30CA62F6" w14:textId="77777777" w:rsidR="00952AB6" w:rsidRPr="005D26E3" w:rsidRDefault="00952AB6" w:rsidP="00B30A3A">
      <w:pPr>
        <w:jc w:val="both"/>
        <w:rPr>
          <w:rFonts w:eastAsia="Calibri"/>
          <w:lang w:eastAsia="en-US"/>
        </w:rPr>
      </w:pPr>
    </w:p>
    <w:p w14:paraId="5F43376E" w14:textId="77777777" w:rsidR="00333BDF" w:rsidRDefault="00CA07ED" w:rsidP="0091408A">
      <w:pPr>
        <w:pStyle w:val="Bezriadkovania"/>
        <w:ind w:firstLine="708"/>
        <w:jc w:val="both"/>
        <w:rPr>
          <w:rFonts w:ascii="Times New Roman" w:hAnsi="Times New Roman"/>
          <w:sz w:val="24"/>
          <w:szCs w:val="24"/>
        </w:rPr>
      </w:pPr>
      <w:r>
        <w:rPr>
          <w:rFonts w:ascii="Times New Roman" w:hAnsi="Times New Roman"/>
          <w:sz w:val="24"/>
          <w:szCs w:val="24"/>
        </w:rPr>
        <w:t>Vláda S</w:t>
      </w:r>
      <w:r w:rsidR="005B2BB5">
        <w:rPr>
          <w:rFonts w:ascii="Times New Roman" w:hAnsi="Times New Roman"/>
          <w:sz w:val="24"/>
          <w:szCs w:val="24"/>
        </w:rPr>
        <w:t>lovenskej republiky</w:t>
      </w:r>
      <w:r>
        <w:rPr>
          <w:rFonts w:ascii="Times New Roman" w:hAnsi="Times New Roman"/>
          <w:sz w:val="24"/>
          <w:szCs w:val="24"/>
        </w:rPr>
        <w:t xml:space="preserve"> sa vo svojom programovom vyhlásení na roky 2023 – 2027 zaviazala zefektívniť boj proti daňovým únikom</w:t>
      </w:r>
      <w:r w:rsidR="0091408A">
        <w:rPr>
          <w:rFonts w:ascii="Times New Roman" w:hAnsi="Times New Roman"/>
          <w:sz w:val="24"/>
          <w:szCs w:val="24"/>
        </w:rPr>
        <w:t xml:space="preserve"> </w:t>
      </w:r>
      <w:r w:rsidR="008C4908">
        <w:rPr>
          <w:rFonts w:ascii="Times New Roman" w:hAnsi="Times New Roman"/>
          <w:sz w:val="24"/>
          <w:szCs w:val="24"/>
        </w:rPr>
        <w:t>a</w:t>
      </w:r>
      <w:r w:rsidR="0091408A">
        <w:rPr>
          <w:rFonts w:ascii="Times New Roman" w:hAnsi="Times New Roman"/>
          <w:sz w:val="24"/>
          <w:szCs w:val="24"/>
        </w:rPr>
        <w:t> čo najefektívnejš</w:t>
      </w:r>
      <w:r w:rsidR="008C4908">
        <w:rPr>
          <w:rFonts w:ascii="Times New Roman" w:hAnsi="Times New Roman"/>
          <w:sz w:val="24"/>
          <w:szCs w:val="24"/>
        </w:rPr>
        <w:t>ie</w:t>
      </w:r>
      <w:r w:rsidR="0091408A">
        <w:rPr>
          <w:rFonts w:ascii="Times New Roman" w:hAnsi="Times New Roman"/>
          <w:sz w:val="24"/>
          <w:szCs w:val="24"/>
        </w:rPr>
        <w:t xml:space="preserve"> využi</w:t>
      </w:r>
      <w:r w:rsidR="008C4908">
        <w:rPr>
          <w:rFonts w:ascii="Times New Roman" w:hAnsi="Times New Roman"/>
          <w:sz w:val="24"/>
          <w:szCs w:val="24"/>
        </w:rPr>
        <w:t xml:space="preserve">ť </w:t>
      </w:r>
      <w:r w:rsidR="0091408A">
        <w:rPr>
          <w:rFonts w:ascii="Times New Roman" w:hAnsi="Times New Roman"/>
          <w:sz w:val="24"/>
          <w:szCs w:val="24"/>
        </w:rPr>
        <w:t>existujúc</w:t>
      </w:r>
      <w:r w:rsidR="008C4908">
        <w:rPr>
          <w:rFonts w:ascii="Times New Roman" w:hAnsi="Times New Roman"/>
          <w:sz w:val="24"/>
          <w:szCs w:val="24"/>
        </w:rPr>
        <w:t>e</w:t>
      </w:r>
      <w:r w:rsidR="005B2BB5">
        <w:rPr>
          <w:rFonts w:ascii="Times New Roman" w:hAnsi="Times New Roman"/>
          <w:sz w:val="24"/>
          <w:szCs w:val="24"/>
        </w:rPr>
        <w:t xml:space="preserve"> opatrenia,</w:t>
      </w:r>
      <w:r w:rsidR="0091408A">
        <w:rPr>
          <w:rFonts w:ascii="Times New Roman" w:hAnsi="Times New Roman"/>
          <w:sz w:val="24"/>
          <w:szCs w:val="24"/>
        </w:rPr>
        <w:t xml:space="preserve"> ako aj </w:t>
      </w:r>
      <w:r w:rsidR="008C4908">
        <w:rPr>
          <w:rFonts w:ascii="Times New Roman" w:hAnsi="Times New Roman"/>
          <w:sz w:val="24"/>
          <w:szCs w:val="24"/>
        </w:rPr>
        <w:t xml:space="preserve">prijať </w:t>
      </w:r>
      <w:r w:rsidR="0091408A">
        <w:rPr>
          <w:rFonts w:ascii="Times New Roman" w:hAnsi="Times New Roman"/>
          <w:sz w:val="24"/>
          <w:szCs w:val="24"/>
        </w:rPr>
        <w:t>nov</w:t>
      </w:r>
      <w:r w:rsidR="008C4908">
        <w:rPr>
          <w:rFonts w:ascii="Times New Roman" w:hAnsi="Times New Roman"/>
          <w:sz w:val="24"/>
          <w:szCs w:val="24"/>
        </w:rPr>
        <w:t>é</w:t>
      </w:r>
      <w:r w:rsidR="0091408A">
        <w:rPr>
          <w:rFonts w:ascii="Times New Roman" w:hAnsi="Times New Roman"/>
          <w:sz w:val="24"/>
          <w:szCs w:val="24"/>
        </w:rPr>
        <w:t xml:space="preserve"> s cieľom dosiahnuť minimalizáciu počtu a objemu daňových únikov a zníženie daňovej medzery. V</w:t>
      </w:r>
      <w:r>
        <w:rPr>
          <w:rFonts w:ascii="Times New Roman" w:hAnsi="Times New Roman"/>
          <w:sz w:val="24"/>
          <w:szCs w:val="24"/>
        </w:rPr>
        <w:t> tomto kontexte</w:t>
      </w:r>
      <w:r w:rsidR="005B2BB5">
        <w:rPr>
          <w:rFonts w:ascii="Times New Roman" w:hAnsi="Times New Roman"/>
          <w:sz w:val="24"/>
          <w:szCs w:val="24"/>
        </w:rPr>
        <w:t>,</w:t>
      </w:r>
      <w:r>
        <w:rPr>
          <w:rFonts w:ascii="Times New Roman" w:hAnsi="Times New Roman"/>
          <w:sz w:val="24"/>
          <w:szCs w:val="24"/>
        </w:rPr>
        <w:t xml:space="preserve"> v rámci strednodobých priorít</w:t>
      </w:r>
      <w:r w:rsidR="005B2BB5">
        <w:rPr>
          <w:rFonts w:ascii="Times New Roman" w:hAnsi="Times New Roman"/>
          <w:sz w:val="24"/>
          <w:szCs w:val="24"/>
        </w:rPr>
        <w:t>,</w:t>
      </w:r>
      <w:r w:rsidR="0091408A">
        <w:rPr>
          <w:rFonts w:ascii="Times New Roman" w:hAnsi="Times New Roman"/>
          <w:sz w:val="24"/>
          <w:szCs w:val="24"/>
        </w:rPr>
        <w:t xml:space="preserve"> je </w:t>
      </w:r>
      <w:r w:rsidR="005B2BB5">
        <w:rPr>
          <w:rFonts w:ascii="Times New Roman" w:hAnsi="Times New Roman"/>
          <w:sz w:val="24"/>
          <w:szCs w:val="24"/>
        </w:rPr>
        <w:t xml:space="preserve">jej </w:t>
      </w:r>
      <w:r w:rsidR="0091408A">
        <w:rPr>
          <w:rFonts w:ascii="Times New Roman" w:hAnsi="Times New Roman"/>
          <w:sz w:val="24"/>
          <w:szCs w:val="24"/>
        </w:rPr>
        <w:t xml:space="preserve">snahou </w:t>
      </w:r>
      <w:r w:rsidRPr="00196135">
        <w:rPr>
          <w:rFonts w:ascii="Times New Roman" w:hAnsi="Times New Roman"/>
          <w:sz w:val="24"/>
          <w:szCs w:val="24"/>
        </w:rPr>
        <w:t xml:space="preserve">zaviesť povinnú elektronickú </w:t>
      </w:r>
      <w:r>
        <w:rPr>
          <w:rFonts w:ascii="Times New Roman" w:hAnsi="Times New Roman"/>
          <w:sz w:val="24"/>
          <w:szCs w:val="24"/>
        </w:rPr>
        <w:t xml:space="preserve">fakturáciu a </w:t>
      </w:r>
      <w:r w:rsidR="005B2BB5">
        <w:rPr>
          <w:rFonts w:ascii="Times New Roman" w:hAnsi="Times New Roman"/>
          <w:sz w:val="24"/>
          <w:szCs w:val="24"/>
        </w:rPr>
        <w:t>digitálne</w:t>
      </w:r>
      <w:r>
        <w:rPr>
          <w:rFonts w:ascii="Times New Roman" w:hAnsi="Times New Roman"/>
          <w:sz w:val="24"/>
          <w:szCs w:val="24"/>
        </w:rPr>
        <w:t xml:space="preserve"> oznamovanie </w:t>
      </w:r>
      <w:r w:rsidRPr="00196135">
        <w:rPr>
          <w:rFonts w:ascii="Times New Roman" w:hAnsi="Times New Roman"/>
          <w:sz w:val="24"/>
          <w:szCs w:val="24"/>
        </w:rPr>
        <w:t xml:space="preserve">údajov </w:t>
      </w:r>
      <w:r w:rsidR="005B2BB5">
        <w:rPr>
          <w:rFonts w:ascii="Times New Roman" w:hAnsi="Times New Roman"/>
          <w:sz w:val="24"/>
          <w:szCs w:val="24"/>
        </w:rPr>
        <w:t xml:space="preserve">o dodaniach tovarov a služieb </w:t>
      </w:r>
      <w:r w:rsidR="008F291A">
        <w:rPr>
          <w:rFonts w:ascii="Times New Roman" w:hAnsi="Times New Roman"/>
          <w:sz w:val="24"/>
          <w:szCs w:val="24"/>
        </w:rPr>
        <w:t>f</w:t>
      </w:r>
      <w:r w:rsidRPr="00196135">
        <w:rPr>
          <w:rFonts w:ascii="Times New Roman" w:hAnsi="Times New Roman"/>
          <w:sz w:val="24"/>
          <w:szCs w:val="24"/>
        </w:rPr>
        <w:t>inančnej správe</w:t>
      </w:r>
      <w:r>
        <w:rPr>
          <w:rFonts w:ascii="Times New Roman" w:hAnsi="Times New Roman"/>
          <w:sz w:val="24"/>
          <w:szCs w:val="24"/>
        </w:rPr>
        <w:t>.</w:t>
      </w:r>
      <w:r w:rsidR="0091408A">
        <w:rPr>
          <w:rFonts w:ascii="Times New Roman" w:hAnsi="Times New Roman"/>
          <w:sz w:val="24"/>
          <w:szCs w:val="24"/>
        </w:rPr>
        <w:t xml:space="preserve"> </w:t>
      </w:r>
      <w:r w:rsidR="00765DFE">
        <w:rPr>
          <w:rFonts w:ascii="Times New Roman" w:hAnsi="Times New Roman"/>
          <w:sz w:val="24"/>
          <w:szCs w:val="24"/>
        </w:rPr>
        <w:t>Uvedené</w:t>
      </w:r>
      <w:r w:rsidR="008C4908">
        <w:rPr>
          <w:rFonts w:ascii="Times New Roman" w:hAnsi="Times New Roman"/>
          <w:sz w:val="24"/>
          <w:szCs w:val="24"/>
        </w:rPr>
        <w:t xml:space="preserve"> vychádza </w:t>
      </w:r>
      <w:r w:rsidR="00222801">
        <w:rPr>
          <w:rFonts w:ascii="Times New Roman" w:hAnsi="Times New Roman"/>
          <w:sz w:val="24"/>
          <w:szCs w:val="24"/>
        </w:rPr>
        <w:t>aj</w:t>
      </w:r>
      <w:r w:rsidR="008C4908">
        <w:rPr>
          <w:rFonts w:ascii="Times New Roman" w:hAnsi="Times New Roman"/>
          <w:sz w:val="24"/>
          <w:szCs w:val="24"/>
        </w:rPr>
        <w:t xml:space="preserve"> zo smernice </w:t>
      </w:r>
      <w:r w:rsidR="00222801" w:rsidRPr="005D26E3">
        <w:rPr>
          <w:rFonts w:ascii="Times New Roman" w:hAnsi="Times New Roman"/>
          <w:sz w:val="24"/>
          <w:szCs w:val="24"/>
        </w:rPr>
        <w:t>Rady (EÚ) 2025/516 z 11. marca 2025, ktorou sa mení smernica 2006/112/ES, pokiaľ ide o pravidlá DPH pre digitálny vek</w:t>
      </w:r>
      <w:r w:rsidR="00222801">
        <w:rPr>
          <w:rFonts w:ascii="Times New Roman" w:hAnsi="Times New Roman"/>
          <w:sz w:val="24"/>
          <w:szCs w:val="24"/>
        </w:rPr>
        <w:t xml:space="preserve"> </w:t>
      </w:r>
      <w:r w:rsidR="000C36FF">
        <w:rPr>
          <w:rFonts w:ascii="Times New Roman" w:eastAsia="Times New Roman" w:hAnsi="Times New Roman"/>
          <w:color w:val="000000"/>
          <w:sz w:val="24"/>
        </w:rPr>
        <w:t>(Ú. v. EÚ L, 2025/516, 25.3.2025)</w:t>
      </w:r>
      <w:r w:rsidR="000C36FF">
        <w:rPr>
          <w:rFonts w:ascii="Times New Roman" w:hAnsi="Times New Roman"/>
          <w:sz w:val="24"/>
          <w:szCs w:val="24"/>
        </w:rPr>
        <w:t xml:space="preserve"> </w:t>
      </w:r>
      <w:r w:rsidR="008F291A">
        <w:rPr>
          <w:rFonts w:ascii="Times New Roman" w:hAnsi="Times New Roman"/>
          <w:sz w:val="24"/>
          <w:szCs w:val="24"/>
        </w:rPr>
        <w:t>[</w:t>
      </w:r>
      <w:r w:rsidR="00222801">
        <w:rPr>
          <w:rFonts w:ascii="Times New Roman" w:hAnsi="Times New Roman"/>
          <w:sz w:val="24"/>
          <w:szCs w:val="24"/>
        </w:rPr>
        <w:t>ďalej len „smernica 2025/516“</w:t>
      </w:r>
      <w:r w:rsidR="008F291A">
        <w:rPr>
          <w:rFonts w:ascii="Times New Roman" w:hAnsi="Times New Roman"/>
          <w:sz w:val="24"/>
          <w:szCs w:val="24"/>
        </w:rPr>
        <w:t>]</w:t>
      </w:r>
      <w:r w:rsidR="00222801">
        <w:rPr>
          <w:rFonts w:ascii="Times New Roman" w:hAnsi="Times New Roman"/>
          <w:sz w:val="24"/>
          <w:szCs w:val="24"/>
        </w:rPr>
        <w:t xml:space="preserve">. </w:t>
      </w:r>
      <w:r w:rsidR="00B30A3A" w:rsidRPr="005D26E3">
        <w:rPr>
          <w:rFonts w:ascii="Times New Roman" w:hAnsi="Times New Roman"/>
          <w:sz w:val="24"/>
          <w:szCs w:val="24"/>
        </w:rPr>
        <w:t xml:space="preserve">Primárnym cieľom novelizácie zákona č. 222/2004 Z. z. o dani z pridanej hodnoty v znení neskorších predpisov (ďalej len „zákon o DPH“) je transpozícia </w:t>
      </w:r>
      <w:r w:rsidR="005D26E3" w:rsidRPr="005D26E3">
        <w:rPr>
          <w:rFonts w:ascii="Times New Roman" w:hAnsi="Times New Roman"/>
          <w:sz w:val="24"/>
          <w:szCs w:val="24"/>
        </w:rPr>
        <w:t>článku 1 a</w:t>
      </w:r>
      <w:r w:rsidR="008F291A">
        <w:rPr>
          <w:rFonts w:ascii="Times New Roman" w:hAnsi="Times New Roman"/>
          <w:sz w:val="24"/>
          <w:szCs w:val="24"/>
        </w:rPr>
        <w:t xml:space="preserve"> článku </w:t>
      </w:r>
      <w:r w:rsidR="005D26E3" w:rsidRPr="005D26E3">
        <w:rPr>
          <w:rFonts w:ascii="Times New Roman" w:hAnsi="Times New Roman"/>
          <w:sz w:val="24"/>
          <w:szCs w:val="24"/>
        </w:rPr>
        <w:t xml:space="preserve">5 </w:t>
      </w:r>
      <w:r w:rsidR="00B30A3A" w:rsidRPr="005D26E3">
        <w:rPr>
          <w:rFonts w:ascii="Times New Roman" w:hAnsi="Times New Roman"/>
          <w:sz w:val="24"/>
          <w:szCs w:val="24"/>
        </w:rPr>
        <w:t>smernice 2025/</w:t>
      </w:r>
      <w:r w:rsidR="00222801">
        <w:rPr>
          <w:rFonts w:ascii="Times New Roman" w:hAnsi="Times New Roman"/>
          <w:sz w:val="24"/>
          <w:szCs w:val="24"/>
        </w:rPr>
        <w:t>516</w:t>
      </w:r>
      <w:r w:rsidR="005D26E3" w:rsidRPr="005D26E3">
        <w:rPr>
          <w:rFonts w:ascii="Times New Roman" w:hAnsi="Times New Roman"/>
          <w:sz w:val="24"/>
          <w:szCs w:val="24"/>
        </w:rPr>
        <w:t xml:space="preserve"> a</w:t>
      </w:r>
      <w:r w:rsidR="001946F6">
        <w:rPr>
          <w:rFonts w:ascii="Times New Roman" w:hAnsi="Times New Roman"/>
          <w:sz w:val="24"/>
          <w:szCs w:val="24"/>
        </w:rPr>
        <w:t> zavedenie povinnej elektronickej fakturácie</w:t>
      </w:r>
      <w:r w:rsidR="005D26E3" w:rsidRPr="002C603C">
        <w:rPr>
          <w:rFonts w:ascii="Times New Roman" w:hAnsi="Times New Roman"/>
          <w:sz w:val="24"/>
          <w:szCs w:val="24"/>
        </w:rPr>
        <w:t xml:space="preserve"> pre zdaniteľné osoby, ktoré sú platiteľmi dane z pridanej hodnoty</w:t>
      </w:r>
      <w:r w:rsidR="005D26E3">
        <w:rPr>
          <w:rFonts w:ascii="Times New Roman" w:hAnsi="Times New Roman"/>
          <w:sz w:val="24"/>
          <w:szCs w:val="24"/>
        </w:rPr>
        <w:t xml:space="preserve"> (ďalej len „platiteľ“),</w:t>
      </w:r>
      <w:r w:rsidR="005D26E3" w:rsidRPr="002C603C">
        <w:rPr>
          <w:rFonts w:ascii="Times New Roman" w:hAnsi="Times New Roman"/>
          <w:sz w:val="24"/>
          <w:szCs w:val="24"/>
        </w:rPr>
        <w:t xml:space="preserve"> ako aj povinné </w:t>
      </w:r>
      <w:r w:rsidR="00F7351D">
        <w:rPr>
          <w:rFonts w:ascii="Times New Roman" w:hAnsi="Times New Roman"/>
          <w:sz w:val="24"/>
          <w:szCs w:val="24"/>
        </w:rPr>
        <w:t xml:space="preserve">digitálne </w:t>
      </w:r>
      <w:r w:rsidR="005D26E3" w:rsidRPr="002C603C">
        <w:rPr>
          <w:rFonts w:ascii="Times New Roman" w:hAnsi="Times New Roman"/>
          <w:sz w:val="24"/>
          <w:szCs w:val="24"/>
        </w:rPr>
        <w:t>oznamovani</w:t>
      </w:r>
      <w:r w:rsidR="005D26E3">
        <w:rPr>
          <w:rFonts w:ascii="Times New Roman" w:hAnsi="Times New Roman"/>
          <w:sz w:val="24"/>
          <w:szCs w:val="24"/>
        </w:rPr>
        <w:t>e</w:t>
      </w:r>
      <w:r w:rsidR="005D26E3" w:rsidRPr="002C603C">
        <w:rPr>
          <w:rFonts w:ascii="Times New Roman" w:hAnsi="Times New Roman"/>
          <w:sz w:val="24"/>
          <w:szCs w:val="24"/>
        </w:rPr>
        <w:t xml:space="preserve"> údajov </w:t>
      </w:r>
      <w:r w:rsidR="005B2BB5">
        <w:rPr>
          <w:rFonts w:ascii="Times New Roman" w:hAnsi="Times New Roman"/>
          <w:sz w:val="24"/>
          <w:szCs w:val="24"/>
        </w:rPr>
        <w:t xml:space="preserve">o dodaniach tovarov a služieb </w:t>
      </w:r>
      <w:r w:rsidR="008A57F1">
        <w:rPr>
          <w:rFonts w:ascii="Times New Roman" w:hAnsi="Times New Roman"/>
          <w:sz w:val="24"/>
          <w:szCs w:val="24"/>
        </w:rPr>
        <w:t>f</w:t>
      </w:r>
      <w:r w:rsidR="005D26E3" w:rsidRPr="002C603C">
        <w:rPr>
          <w:rFonts w:ascii="Times New Roman" w:hAnsi="Times New Roman"/>
          <w:sz w:val="24"/>
          <w:szCs w:val="24"/>
        </w:rPr>
        <w:t>inančnej správe v reálnom čase.</w:t>
      </w:r>
      <w:r w:rsidR="005D26E3">
        <w:rPr>
          <w:rFonts w:ascii="Times New Roman" w:hAnsi="Times New Roman"/>
          <w:sz w:val="24"/>
          <w:szCs w:val="24"/>
        </w:rPr>
        <w:t xml:space="preserve"> </w:t>
      </w:r>
      <w:r w:rsidR="00470145">
        <w:rPr>
          <w:rFonts w:ascii="Times New Roman" w:hAnsi="Times New Roman"/>
          <w:sz w:val="24"/>
          <w:szCs w:val="24"/>
        </w:rPr>
        <w:t>Články 2 až 4 smernice 2025/516, ktoré sa netýkajú elektronickej fakturácie a digitálneho oznamovania údajov, budú predmetom ďalšej novely zákona o DPH.</w:t>
      </w:r>
    </w:p>
    <w:p w14:paraId="30B25C6A" w14:textId="77777777" w:rsidR="00635539" w:rsidRPr="000758C2" w:rsidRDefault="00635539" w:rsidP="0091408A">
      <w:pPr>
        <w:pStyle w:val="Bezriadkovania"/>
        <w:ind w:firstLine="708"/>
        <w:jc w:val="both"/>
        <w:rPr>
          <w:rFonts w:ascii="Times New Roman" w:hAnsi="Times New Roman"/>
          <w:sz w:val="24"/>
          <w:szCs w:val="24"/>
        </w:rPr>
      </w:pPr>
    </w:p>
    <w:p w14:paraId="45902619" w14:textId="77777777" w:rsidR="00C65FDC" w:rsidRDefault="00174625" w:rsidP="00FA34D0">
      <w:pPr>
        <w:pStyle w:val="Bezriadkovania"/>
        <w:ind w:firstLine="708"/>
        <w:jc w:val="both"/>
        <w:rPr>
          <w:rFonts w:ascii="Times New Roman" w:hAnsi="Times New Roman"/>
          <w:sz w:val="24"/>
          <w:szCs w:val="24"/>
        </w:rPr>
      </w:pPr>
      <w:r w:rsidRPr="000758C2">
        <w:rPr>
          <w:rFonts w:ascii="Times New Roman" w:hAnsi="Times New Roman"/>
          <w:sz w:val="24"/>
          <w:szCs w:val="24"/>
        </w:rPr>
        <w:t>Hlavným dôvodom prijatia smernice</w:t>
      </w:r>
      <w:r w:rsidR="000758C2">
        <w:rPr>
          <w:rFonts w:ascii="Times New Roman" w:hAnsi="Times New Roman"/>
          <w:sz w:val="24"/>
          <w:szCs w:val="24"/>
        </w:rPr>
        <w:t xml:space="preserve"> </w:t>
      </w:r>
      <w:r w:rsidRPr="000758C2">
        <w:rPr>
          <w:rFonts w:ascii="Times New Roman" w:hAnsi="Times New Roman"/>
          <w:sz w:val="24"/>
          <w:szCs w:val="24"/>
        </w:rPr>
        <w:t>2025/516 bolo zavedenie harmonizovaných pravidiel týkajúcich sa digitálneho oznamovania údajov vyplývajúcich z nárastu digitálneho hospodárstva, ktorý výrazne ovplyvnil fungovanie systému dane z pridanej hodnoty v</w:t>
      </w:r>
      <w:r w:rsidR="00CD2D84" w:rsidRPr="000758C2">
        <w:rPr>
          <w:rFonts w:ascii="Times New Roman" w:hAnsi="Times New Roman"/>
          <w:sz w:val="24"/>
          <w:szCs w:val="24"/>
        </w:rPr>
        <w:t xml:space="preserve"> rámci </w:t>
      </w:r>
      <w:r w:rsidR="00ED2AA3">
        <w:rPr>
          <w:rFonts w:ascii="Times New Roman" w:hAnsi="Times New Roman"/>
          <w:sz w:val="24"/>
          <w:szCs w:val="24"/>
        </w:rPr>
        <w:t>Európskej únie</w:t>
      </w:r>
      <w:r w:rsidR="00CD2D84" w:rsidRPr="000758C2">
        <w:rPr>
          <w:rFonts w:ascii="Times New Roman" w:hAnsi="Times New Roman"/>
          <w:sz w:val="24"/>
          <w:szCs w:val="24"/>
        </w:rPr>
        <w:t xml:space="preserve">, keďže súčasná právna úprava neumožňuje plnohodnotné využívanie údajov vychádzajúcich z nových digitálnych obchodných modelov. Smernica Rady 2006/112/ES </w:t>
      </w:r>
      <w:r w:rsidR="00603720" w:rsidRPr="000758C2">
        <w:rPr>
          <w:rFonts w:ascii="Times New Roman" w:hAnsi="Times New Roman"/>
          <w:sz w:val="24"/>
          <w:szCs w:val="24"/>
        </w:rPr>
        <w:t xml:space="preserve">z 28. novembra 2006 </w:t>
      </w:r>
      <w:r w:rsidR="00CD2D84" w:rsidRPr="000758C2">
        <w:rPr>
          <w:rFonts w:ascii="Times New Roman" w:hAnsi="Times New Roman"/>
          <w:sz w:val="24"/>
          <w:szCs w:val="24"/>
        </w:rPr>
        <w:t>o spoločnom systéme dane z pridanej hodnoty</w:t>
      </w:r>
      <w:r w:rsidR="005113C6">
        <w:rPr>
          <w:rFonts w:ascii="Times New Roman" w:hAnsi="Times New Roman"/>
          <w:sz w:val="24"/>
          <w:szCs w:val="24"/>
        </w:rPr>
        <w:t xml:space="preserve"> </w:t>
      </w:r>
      <w:r w:rsidR="005113C6" w:rsidRPr="005113C6">
        <w:rPr>
          <w:rFonts w:ascii="Times New Roman" w:hAnsi="Times New Roman"/>
          <w:sz w:val="24"/>
          <w:szCs w:val="24"/>
        </w:rPr>
        <w:t>(Ú. v. EÚ L</w:t>
      </w:r>
      <w:r w:rsidR="005113C6">
        <w:rPr>
          <w:rFonts w:ascii="Times New Roman" w:hAnsi="Times New Roman"/>
          <w:sz w:val="24"/>
          <w:szCs w:val="24"/>
        </w:rPr>
        <w:t>,</w:t>
      </w:r>
      <w:r w:rsidR="005113C6" w:rsidRPr="005113C6">
        <w:rPr>
          <w:rFonts w:ascii="Times New Roman" w:hAnsi="Times New Roman"/>
          <w:sz w:val="24"/>
          <w:szCs w:val="24"/>
        </w:rPr>
        <w:t xml:space="preserve"> 347</w:t>
      </w:r>
      <w:r w:rsidR="005113C6">
        <w:rPr>
          <w:rFonts w:ascii="Times New Roman" w:hAnsi="Times New Roman"/>
          <w:sz w:val="24"/>
          <w:szCs w:val="24"/>
        </w:rPr>
        <w:t>,</w:t>
      </w:r>
      <w:r w:rsidR="005113C6" w:rsidRPr="005113C6">
        <w:rPr>
          <w:rFonts w:ascii="Times New Roman" w:hAnsi="Times New Roman"/>
          <w:sz w:val="24"/>
          <w:szCs w:val="24"/>
        </w:rPr>
        <w:t xml:space="preserve"> 11.12.2006)</w:t>
      </w:r>
      <w:r w:rsidR="00CD2D84" w:rsidRPr="000758C2">
        <w:rPr>
          <w:rFonts w:ascii="Times New Roman" w:hAnsi="Times New Roman"/>
          <w:sz w:val="24"/>
          <w:szCs w:val="24"/>
        </w:rPr>
        <w:t xml:space="preserve"> </w:t>
      </w:r>
      <w:r w:rsidR="005113C6">
        <w:rPr>
          <w:rFonts w:ascii="Times New Roman" w:hAnsi="Times New Roman"/>
          <w:sz w:val="24"/>
          <w:szCs w:val="24"/>
        </w:rPr>
        <w:t xml:space="preserve">v platnom znení </w:t>
      </w:r>
      <w:r w:rsidR="00C65FDC">
        <w:rPr>
          <w:rFonts w:ascii="Times New Roman" w:hAnsi="Times New Roman"/>
          <w:sz w:val="24"/>
          <w:szCs w:val="24"/>
        </w:rPr>
        <w:t>bola zmenená</w:t>
      </w:r>
      <w:r w:rsidR="00CD2D84" w:rsidRPr="000758C2">
        <w:rPr>
          <w:rFonts w:ascii="Times New Roman" w:hAnsi="Times New Roman"/>
          <w:sz w:val="24"/>
          <w:szCs w:val="24"/>
        </w:rPr>
        <w:t xml:space="preserve"> tak, aby sa v nej zohľadnil tento vývoj.</w:t>
      </w:r>
      <w:r w:rsidR="0010611B">
        <w:rPr>
          <w:rFonts w:ascii="Times New Roman" w:hAnsi="Times New Roman"/>
          <w:sz w:val="24"/>
          <w:szCs w:val="24"/>
        </w:rPr>
        <w:t xml:space="preserve"> S cieľom zvýšiť </w:t>
      </w:r>
      <w:r w:rsidR="00ED2AA3">
        <w:rPr>
          <w:rFonts w:ascii="Times New Roman" w:hAnsi="Times New Roman"/>
          <w:sz w:val="24"/>
          <w:szCs w:val="24"/>
        </w:rPr>
        <w:t>výber daní</w:t>
      </w:r>
      <w:r w:rsidR="0010611B">
        <w:rPr>
          <w:rFonts w:ascii="Times New Roman" w:hAnsi="Times New Roman"/>
          <w:sz w:val="24"/>
          <w:szCs w:val="24"/>
        </w:rPr>
        <w:t xml:space="preserve"> z cezhraničných transakcií</w:t>
      </w:r>
      <w:r w:rsidR="00ED2AA3">
        <w:rPr>
          <w:rFonts w:ascii="Times New Roman" w:hAnsi="Times New Roman"/>
          <w:sz w:val="24"/>
          <w:szCs w:val="24"/>
        </w:rPr>
        <w:t>,</w:t>
      </w:r>
      <w:r w:rsidR="0010611B">
        <w:rPr>
          <w:rFonts w:ascii="Times New Roman" w:hAnsi="Times New Roman"/>
          <w:sz w:val="24"/>
          <w:szCs w:val="24"/>
        </w:rPr>
        <w:t xml:space="preserve"> ako aj z dôvodu diverzifikácie prostredia, kedy členské štáty majú za</w:t>
      </w:r>
      <w:r w:rsidR="00ED2AA3">
        <w:rPr>
          <w:rFonts w:ascii="Times New Roman" w:hAnsi="Times New Roman"/>
          <w:sz w:val="24"/>
          <w:szCs w:val="24"/>
        </w:rPr>
        <w:t xml:space="preserve">vedené rozdielne systémy oznamovania, </w:t>
      </w:r>
      <w:r w:rsidR="00C65FDC">
        <w:rPr>
          <w:rFonts w:ascii="Times New Roman" w:hAnsi="Times New Roman"/>
          <w:sz w:val="24"/>
          <w:szCs w:val="24"/>
        </w:rPr>
        <w:t>bolo potrebné stanoviť</w:t>
      </w:r>
      <w:r w:rsidR="00ED2AA3">
        <w:rPr>
          <w:rFonts w:ascii="Times New Roman" w:hAnsi="Times New Roman"/>
          <w:sz w:val="24"/>
          <w:szCs w:val="24"/>
        </w:rPr>
        <w:t xml:space="preserve"> </w:t>
      </w:r>
      <w:r w:rsidR="00C65FDC">
        <w:rPr>
          <w:rFonts w:ascii="Times New Roman" w:hAnsi="Times New Roman"/>
          <w:sz w:val="24"/>
          <w:szCs w:val="24"/>
        </w:rPr>
        <w:t xml:space="preserve">jednotné úniové </w:t>
      </w:r>
      <w:r w:rsidR="00ED2AA3">
        <w:rPr>
          <w:rFonts w:ascii="Times New Roman" w:hAnsi="Times New Roman"/>
          <w:sz w:val="24"/>
          <w:szCs w:val="24"/>
        </w:rPr>
        <w:t>požiadavky na digitálne oznamovanie</w:t>
      </w:r>
      <w:r w:rsidR="00FA34D0">
        <w:rPr>
          <w:rFonts w:ascii="Times New Roman" w:hAnsi="Times New Roman"/>
          <w:sz w:val="24"/>
          <w:szCs w:val="24"/>
        </w:rPr>
        <w:t xml:space="preserve"> spočívajúce v tom, že </w:t>
      </w:r>
      <w:r w:rsidR="00FA34D0" w:rsidRPr="00FA34D0">
        <w:rPr>
          <w:rFonts w:ascii="Times New Roman" w:hAnsi="Times New Roman"/>
          <w:sz w:val="24"/>
          <w:szCs w:val="24"/>
        </w:rPr>
        <w:t>transakcie, ktoré sa majú daňovým správam oznamovať</w:t>
      </w:r>
      <w:r w:rsidR="00DB0E86">
        <w:rPr>
          <w:rFonts w:ascii="Times New Roman" w:hAnsi="Times New Roman"/>
          <w:sz w:val="24"/>
          <w:szCs w:val="24"/>
        </w:rPr>
        <w:t>,</w:t>
      </w:r>
      <w:r w:rsidR="00FA34D0">
        <w:rPr>
          <w:rFonts w:ascii="Times New Roman" w:hAnsi="Times New Roman"/>
          <w:sz w:val="24"/>
          <w:szCs w:val="24"/>
        </w:rPr>
        <w:t xml:space="preserve"> sa budú dokumentovať </w:t>
      </w:r>
      <w:r w:rsidR="00FA34D0" w:rsidRPr="00FA34D0">
        <w:rPr>
          <w:rFonts w:ascii="Times New Roman" w:hAnsi="Times New Roman"/>
          <w:sz w:val="24"/>
          <w:szCs w:val="24"/>
        </w:rPr>
        <w:t>elektronicky.</w:t>
      </w:r>
      <w:r w:rsidR="00FA34D0">
        <w:rPr>
          <w:rFonts w:ascii="Times New Roman" w:hAnsi="Times New Roman"/>
          <w:sz w:val="24"/>
          <w:szCs w:val="24"/>
        </w:rPr>
        <w:t xml:space="preserve"> </w:t>
      </w:r>
      <w:r w:rsidR="00C65FDC" w:rsidRPr="00FA34D0">
        <w:rPr>
          <w:rFonts w:ascii="Times New Roman" w:hAnsi="Times New Roman"/>
          <w:sz w:val="24"/>
          <w:szCs w:val="24"/>
        </w:rPr>
        <w:t>Používanie elektronickej f</w:t>
      </w:r>
      <w:r w:rsidR="00FA34D0">
        <w:rPr>
          <w:rFonts w:ascii="Times New Roman" w:hAnsi="Times New Roman"/>
          <w:sz w:val="24"/>
          <w:szCs w:val="24"/>
        </w:rPr>
        <w:t xml:space="preserve">akturácie sa stane </w:t>
      </w:r>
      <w:r w:rsidR="00C65FDC" w:rsidRPr="00FA34D0">
        <w:rPr>
          <w:rFonts w:ascii="Times New Roman" w:hAnsi="Times New Roman"/>
          <w:sz w:val="24"/>
          <w:szCs w:val="24"/>
        </w:rPr>
        <w:t>predvoleným systémom vyhotovovania faktúr. </w:t>
      </w:r>
    </w:p>
    <w:p w14:paraId="461273E2" w14:textId="77777777" w:rsidR="00635539" w:rsidRDefault="00635539" w:rsidP="0091408A">
      <w:pPr>
        <w:pStyle w:val="Bezriadkovania"/>
        <w:ind w:firstLine="708"/>
        <w:jc w:val="both"/>
        <w:rPr>
          <w:rFonts w:ascii="Times New Roman" w:hAnsi="Times New Roman"/>
          <w:sz w:val="24"/>
          <w:szCs w:val="24"/>
        </w:rPr>
      </w:pPr>
    </w:p>
    <w:p w14:paraId="4CF48708" w14:textId="77777777" w:rsidR="0010611B" w:rsidRDefault="0010611B" w:rsidP="0010611B">
      <w:pPr>
        <w:rPr>
          <w:vanish/>
        </w:rPr>
      </w:pPr>
    </w:p>
    <w:p w14:paraId="5BED2741" w14:textId="77777777" w:rsidR="00635539" w:rsidRDefault="00635539" w:rsidP="0010611B">
      <w:pPr>
        <w:rPr>
          <w:vanish/>
        </w:rPr>
      </w:pPr>
    </w:p>
    <w:p w14:paraId="3407D14A" w14:textId="77777777" w:rsidR="00635539" w:rsidRDefault="00635539" w:rsidP="0010611B">
      <w:pPr>
        <w:rPr>
          <w:vanish/>
        </w:rPr>
      </w:pPr>
    </w:p>
    <w:p w14:paraId="2AF4D435" w14:textId="77777777" w:rsidR="00635539" w:rsidRDefault="00635539" w:rsidP="0010611B">
      <w:pPr>
        <w:rPr>
          <w:vanish/>
        </w:rPr>
      </w:pPr>
    </w:p>
    <w:p w14:paraId="0D7DC44F" w14:textId="77777777" w:rsidR="00635539" w:rsidRDefault="00635539" w:rsidP="0010611B">
      <w:pPr>
        <w:rPr>
          <w:vanish/>
        </w:rPr>
      </w:pPr>
    </w:p>
    <w:p w14:paraId="2CE0B004" w14:textId="77777777" w:rsidR="00635539" w:rsidRDefault="00635539" w:rsidP="0010611B">
      <w:pPr>
        <w:rPr>
          <w:vanish/>
        </w:rPr>
      </w:pPr>
    </w:p>
    <w:p w14:paraId="42CD4E76" w14:textId="77777777" w:rsidR="00635539" w:rsidRDefault="00635539" w:rsidP="0010611B">
      <w:pPr>
        <w:rPr>
          <w:vanish/>
        </w:rPr>
      </w:pPr>
    </w:p>
    <w:p w14:paraId="5947E9DF" w14:textId="77777777" w:rsidR="00635539" w:rsidRPr="0010611B" w:rsidRDefault="00635539" w:rsidP="0010611B">
      <w:pPr>
        <w:rPr>
          <w:vanish/>
        </w:rPr>
      </w:pPr>
    </w:p>
    <w:p w14:paraId="36E3E428" w14:textId="77777777" w:rsidR="005D26E3" w:rsidRDefault="006C1456" w:rsidP="002512C3">
      <w:pPr>
        <w:pStyle w:val="Bezriadkovania"/>
        <w:ind w:firstLine="708"/>
        <w:jc w:val="both"/>
        <w:rPr>
          <w:rFonts w:ascii="Times New Roman" w:hAnsi="Times New Roman"/>
          <w:sz w:val="24"/>
          <w:szCs w:val="24"/>
        </w:rPr>
      </w:pPr>
      <w:r>
        <w:rPr>
          <w:rFonts w:ascii="Times New Roman" w:hAnsi="Times New Roman"/>
          <w:sz w:val="24"/>
          <w:szCs w:val="24"/>
        </w:rPr>
        <w:t>Prechodným ustanovením</w:t>
      </w:r>
      <w:r w:rsidR="00333BDF" w:rsidRPr="00107074">
        <w:rPr>
          <w:rFonts w:ascii="Times New Roman" w:hAnsi="Times New Roman"/>
          <w:sz w:val="24"/>
          <w:szCs w:val="24"/>
        </w:rPr>
        <w:t xml:space="preserve"> zákona o DPH </w:t>
      </w:r>
      <w:r w:rsidR="00333BDF">
        <w:rPr>
          <w:rFonts w:ascii="Times New Roman" w:hAnsi="Times New Roman"/>
          <w:sz w:val="24"/>
          <w:szCs w:val="24"/>
        </w:rPr>
        <w:t>bude</w:t>
      </w:r>
      <w:r w:rsidR="00333BDF" w:rsidRPr="00107074">
        <w:rPr>
          <w:rFonts w:ascii="Times New Roman" w:hAnsi="Times New Roman"/>
          <w:sz w:val="24"/>
          <w:szCs w:val="24"/>
        </w:rPr>
        <w:t xml:space="preserve"> s účinnosťou od 1. </w:t>
      </w:r>
      <w:r w:rsidR="00333BDF">
        <w:rPr>
          <w:rFonts w:ascii="Times New Roman" w:hAnsi="Times New Roman"/>
          <w:sz w:val="24"/>
          <w:szCs w:val="24"/>
        </w:rPr>
        <w:t>januára</w:t>
      </w:r>
      <w:r w:rsidR="00333BDF" w:rsidRPr="00107074">
        <w:rPr>
          <w:rFonts w:ascii="Times New Roman" w:hAnsi="Times New Roman"/>
          <w:sz w:val="24"/>
          <w:szCs w:val="24"/>
        </w:rPr>
        <w:t xml:space="preserve"> 202</w:t>
      </w:r>
      <w:r w:rsidR="00333BDF">
        <w:rPr>
          <w:rFonts w:ascii="Times New Roman" w:hAnsi="Times New Roman"/>
          <w:sz w:val="24"/>
          <w:szCs w:val="24"/>
        </w:rPr>
        <w:t>7</w:t>
      </w:r>
      <w:r>
        <w:rPr>
          <w:rFonts w:ascii="Times New Roman" w:hAnsi="Times New Roman"/>
          <w:sz w:val="24"/>
          <w:szCs w:val="24"/>
        </w:rPr>
        <w:t xml:space="preserve"> do 30. júna 2030</w:t>
      </w:r>
      <w:r w:rsidR="00DB0E86">
        <w:rPr>
          <w:rFonts w:ascii="Times New Roman" w:hAnsi="Times New Roman"/>
          <w:sz w:val="24"/>
          <w:szCs w:val="24"/>
        </w:rPr>
        <w:t xml:space="preserve"> </w:t>
      </w:r>
      <w:r w:rsidR="00333BDF">
        <w:rPr>
          <w:rFonts w:ascii="Times New Roman" w:hAnsi="Times New Roman"/>
          <w:sz w:val="24"/>
          <w:szCs w:val="24"/>
        </w:rPr>
        <w:t xml:space="preserve">zavedená povinnosť pre </w:t>
      </w:r>
      <w:r w:rsidR="005E3C86">
        <w:rPr>
          <w:rFonts w:ascii="Times New Roman" w:hAnsi="Times New Roman"/>
          <w:sz w:val="24"/>
          <w:szCs w:val="24"/>
        </w:rPr>
        <w:t>platiteľ</w:t>
      </w:r>
      <w:r w:rsidR="00F7351D">
        <w:rPr>
          <w:rFonts w:ascii="Times New Roman" w:hAnsi="Times New Roman"/>
          <w:sz w:val="24"/>
          <w:szCs w:val="24"/>
        </w:rPr>
        <w:t xml:space="preserve">ov </w:t>
      </w:r>
      <w:r w:rsidR="005E3C86">
        <w:rPr>
          <w:rFonts w:ascii="Times New Roman" w:hAnsi="Times New Roman"/>
          <w:sz w:val="24"/>
          <w:szCs w:val="24"/>
        </w:rPr>
        <w:t xml:space="preserve">dane </w:t>
      </w:r>
      <w:r w:rsidR="00333BDF">
        <w:rPr>
          <w:rFonts w:ascii="Times New Roman" w:hAnsi="Times New Roman"/>
          <w:sz w:val="24"/>
          <w:szCs w:val="24"/>
        </w:rPr>
        <w:t>vyhotoviť a prijímať faktúry v ustanovenom elektronickom formáte</w:t>
      </w:r>
      <w:r w:rsidR="00F7351D">
        <w:rPr>
          <w:rFonts w:ascii="Times New Roman" w:hAnsi="Times New Roman"/>
          <w:sz w:val="24"/>
          <w:szCs w:val="24"/>
        </w:rPr>
        <w:t>,</w:t>
      </w:r>
      <w:r w:rsidR="00333BDF">
        <w:rPr>
          <w:rFonts w:ascii="Times New Roman" w:hAnsi="Times New Roman"/>
          <w:sz w:val="24"/>
          <w:szCs w:val="24"/>
        </w:rPr>
        <w:t xml:space="preserve"> ako aj p</w:t>
      </w:r>
      <w:r w:rsidR="00333BDF" w:rsidRPr="002D69A4">
        <w:rPr>
          <w:rFonts w:ascii="Times New Roman" w:hAnsi="Times New Roman"/>
          <w:sz w:val="24"/>
          <w:szCs w:val="24"/>
        </w:rPr>
        <w:t>ovinn</w:t>
      </w:r>
      <w:r w:rsidR="00333BDF">
        <w:rPr>
          <w:rFonts w:ascii="Times New Roman" w:hAnsi="Times New Roman"/>
          <w:sz w:val="24"/>
          <w:szCs w:val="24"/>
        </w:rPr>
        <w:t xml:space="preserve">osť </w:t>
      </w:r>
      <w:r w:rsidR="00F7351D">
        <w:rPr>
          <w:rFonts w:ascii="Times New Roman" w:hAnsi="Times New Roman"/>
          <w:sz w:val="24"/>
          <w:szCs w:val="24"/>
        </w:rPr>
        <w:t xml:space="preserve">elektronicky </w:t>
      </w:r>
      <w:r w:rsidR="00333BDF">
        <w:rPr>
          <w:rFonts w:ascii="Times New Roman" w:hAnsi="Times New Roman"/>
          <w:sz w:val="24"/>
          <w:szCs w:val="24"/>
        </w:rPr>
        <w:t>oznamovať údaje z</w:t>
      </w:r>
      <w:r w:rsidR="00F7351D">
        <w:rPr>
          <w:rFonts w:ascii="Times New Roman" w:hAnsi="Times New Roman"/>
          <w:sz w:val="24"/>
          <w:szCs w:val="24"/>
        </w:rPr>
        <w:t> tuzemských dodaní tovarov a služieb.</w:t>
      </w:r>
      <w:r w:rsidR="00333BDF">
        <w:rPr>
          <w:rFonts w:ascii="Times New Roman" w:hAnsi="Times New Roman"/>
          <w:sz w:val="24"/>
          <w:szCs w:val="24"/>
        </w:rPr>
        <w:t xml:space="preserve"> </w:t>
      </w:r>
      <w:r w:rsidR="00F7351D">
        <w:rPr>
          <w:rFonts w:ascii="Times New Roman" w:hAnsi="Times New Roman"/>
          <w:sz w:val="24"/>
          <w:szCs w:val="24"/>
        </w:rPr>
        <w:t>Tieto ú</w:t>
      </w:r>
      <w:r w:rsidR="00333BDF">
        <w:rPr>
          <w:rFonts w:ascii="Times New Roman" w:hAnsi="Times New Roman"/>
          <w:sz w:val="24"/>
          <w:szCs w:val="24"/>
        </w:rPr>
        <w:t>daje</w:t>
      </w:r>
      <w:r w:rsidR="00F7351D">
        <w:rPr>
          <w:rFonts w:ascii="Times New Roman" w:hAnsi="Times New Roman"/>
          <w:sz w:val="24"/>
          <w:szCs w:val="24"/>
        </w:rPr>
        <w:t xml:space="preserve"> </w:t>
      </w:r>
      <w:r w:rsidR="00333BDF">
        <w:rPr>
          <w:rFonts w:ascii="Times New Roman" w:hAnsi="Times New Roman"/>
          <w:sz w:val="24"/>
          <w:szCs w:val="24"/>
        </w:rPr>
        <w:t xml:space="preserve">budú </w:t>
      </w:r>
      <w:r>
        <w:rPr>
          <w:rFonts w:ascii="Times New Roman" w:hAnsi="Times New Roman"/>
          <w:sz w:val="24"/>
          <w:szCs w:val="24"/>
        </w:rPr>
        <w:t xml:space="preserve">platitelia dane </w:t>
      </w:r>
      <w:r w:rsidR="00333BDF">
        <w:rPr>
          <w:rFonts w:ascii="Times New Roman" w:hAnsi="Times New Roman"/>
          <w:sz w:val="24"/>
          <w:szCs w:val="24"/>
        </w:rPr>
        <w:t>oznamovať elektronicky</w:t>
      </w:r>
      <w:r w:rsidR="00333BDF" w:rsidRPr="002D69A4">
        <w:rPr>
          <w:rFonts w:ascii="Times New Roman" w:hAnsi="Times New Roman"/>
          <w:sz w:val="24"/>
          <w:szCs w:val="24"/>
        </w:rPr>
        <w:t xml:space="preserve"> </w:t>
      </w:r>
      <w:r w:rsidR="00333BDF">
        <w:rPr>
          <w:rFonts w:ascii="Times New Roman" w:hAnsi="Times New Roman"/>
          <w:sz w:val="24"/>
          <w:szCs w:val="24"/>
        </w:rPr>
        <w:t>takým spôsobom, ktorý bude</w:t>
      </w:r>
      <w:r w:rsidR="00333BDF" w:rsidRPr="002D69A4">
        <w:rPr>
          <w:rFonts w:ascii="Times New Roman" w:hAnsi="Times New Roman"/>
          <w:sz w:val="24"/>
          <w:szCs w:val="24"/>
        </w:rPr>
        <w:t xml:space="preserve"> </w:t>
      </w:r>
      <w:r w:rsidR="00333BDF">
        <w:rPr>
          <w:rFonts w:ascii="Times New Roman" w:hAnsi="Times New Roman"/>
          <w:sz w:val="24"/>
          <w:szCs w:val="24"/>
        </w:rPr>
        <w:t>súladný s</w:t>
      </w:r>
      <w:r>
        <w:rPr>
          <w:rFonts w:ascii="Times New Roman" w:hAnsi="Times New Roman"/>
          <w:sz w:val="24"/>
          <w:szCs w:val="24"/>
        </w:rPr>
        <w:t xml:space="preserve"> elektronickým </w:t>
      </w:r>
      <w:r w:rsidR="00333BDF">
        <w:rPr>
          <w:rFonts w:ascii="Times New Roman" w:hAnsi="Times New Roman"/>
          <w:sz w:val="24"/>
          <w:szCs w:val="24"/>
        </w:rPr>
        <w:t>spôsobom</w:t>
      </w:r>
      <w:r>
        <w:rPr>
          <w:rFonts w:ascii="Times New Roman" w:hAnsi="Times New Roman"/>
          <w:sz w:val="24"/>
          <w:szCs w:val="24"/>
        </w:rPr>
        <w:t xml:space="preserve"> oznamovania údajov o cezhraničných transakciách,</w:t>
      </w:r>
      <w:r w:rsidR="00333BDF">
        <w:rPr>
          <w:rFonts w:ascii="Times New Roman" w:hAnsi="Times New Roman"/>
          <w:sz w:val="24"/>
          <w:szCs w:val="24"/>
        </w:rPr>
        <w:t xml:space="preserve"> </w:t>
      </w:r>
      <w:r w:rsidR="004C5DA0">
        <w:rPr>
          <w:rFonts w:ascii="Times New Roman" w:hAnsi="Times New Roman"/>
          <w:sz w:val="24"/>
          <w:szCs w:val="24"/>
        </w:rPr>
        <w:t xml:space="preserve">ustanoveným </w:t>
      </w:r>
      <w:r w:rsidR="00333BDF">
        <w:rPr>
          <w:rFonts w:ascii="Times New Roman" w:hAnsi="Times New Roman"/>
          <w:sz w:val="24"/>
          <w:szCs w:val="24"/>
        </w:rPr>
        <w:t>článkom 5</w:t>
      </w:r>
      <w:r w:rsidR="00333BDF" w:rsidRPr="002D69A4">
        <w:rPr>
          <w:rFonts w:ascii="Times New Roman" w:hAnsi="Times New Roman"/>
          <w:sz w:val="24"/>
          <w:szCs w:val="24"/>
        </w:rPr>
        <w:t xml:space="preserve"> </w:t>
      </w:r>
      <w:r w:rsidR="00333BDF">
        <w:rPr>
          <w:rFonts w:ascii="Times New Roman" w:hAnsi="Times New Roman"/>
          <w:sz w:val="24"/>
          <w:szCs w:val="24"/>
        </w:rPr>
        <w:t>smernice 2025/516</w:t>
      </w:r>
      <w:r>
        <w:rPr>
          <w:rFonts w:ascii="Times New Roman" w:hAnsi="Times New Roman"/>
          <w:sz w:val="24"/>
          <w:szCs w:val="24"/>
        </w:rPr>
        <w:t xml:space="preserve">, s </w:t>
      </w:r>
      <w:r w:rsidR="00333BDF">
        <w:rPr>
          <w:rFonts w:ascii="Times New Roman" w:hAnsi="Times New Roman"/>
          <w:sz w:val="24"/>
          <w:szCs w:val="24"/>
        </w:rPr>
        <w:t>účinnosťou od 1. júla 2030.</w:t>
      </w:r>
      <w:r w:rsidR="0010163F">
        <w:rPr>
          <w:rFonts w:ascii="Times New Roman" w:hAnsi="Times New Roman"/>
          <w:sz w:val="24"/>
          <w:szCs w:val="24"/>
        </w:rPr>
        <w:t xml:space="preserve"> Podobne, využitím možnosti</w:t>
      </w:r>
      <w:r w:rsidR="0010163F" w:rsidRPr="0010163F">
        <w:rPr>
          <w:rFonts w:ascii="Times New Roman" w:hAnsi="Times New Roman"/>
          <w:sz w:val="24"/>
          <w:szCs w:val="24"/>
        </w:rPr>
        <w:t xml:space="preserve"> transponovať do vnútroštátneho práva články 271a a 271b</w:t>
      </w:r>
      <w:r w:rsidR="0010163F">
        <w:rPr>
          <w:rFonts w:ascii="Times New Roman" w:hAnsi="Times New Roman"/>
          <w:sz w:val="24"/>
          <w:szCs w:val="24"/>
        </w:rPr>
        <w:t xml:space="preserve"> smernice 2025/516</w:t>
      </w:r>
      <w:r w:rsidR="0010163F" w:rsidRPr="0010163F">
        <w:rPr>
          <w:rFonts w:ascii="Times New Roman" w:hAnsi="Times New Roman"/>
          <w:sz w:val="24"/>
          <w:szCs w:val="24"/>
        </w:rPr>
        <w:t xml:space="preserve">, </w:t>
      </w:r>
      <w:r w:rsidR="0010163F">
        <w:rPr>
          <w:rFonts w:ascii="Times New Roman" w:hAnsi="Times New Roman"/>
          <w:sz w:val="24"/>
          <w:szCs w:val="24"/>
        </w:rPr>
        <w:t xml:space="preserve">sa </w:t>
      </w:r>
      <w:r w:rsidR="0010163F" w:rsidRPr="0010163F">
        <w:rPr>
          <w:rFonts w:ascii="Times New Roman" w:hAnsi="Times New Roman"/>
          <w:sz w:val="24"/>
          <w:szCs w:val="24"/>
        </w:rPr>
        <w:t xml:space="preserve">s účinnosťou od 1.7.2030 zavádza povinnosť pre platiteľov dane </w:t>
      </w:r>
      <w:r w:rsidR="0010163F">
        <w:rPr>
          <w:rFonts w:ascii="Times New Roman" w:hAnsi="Times New Roman"/>
          <w:sz w:val="24"/>
          <w:szCs w:val="24"/>
        </w:rPr>
        <w:t xml:space="preserve">elektronicky </w:t>
      </w:r>
      <w:r w:rsidR="0010163F" w:rsidRPr="0010163F">
        <w:rPr>
          <w:rFonts w:ascii="Times New Roman" w:hAnsi="Times New Roman"/>
          <w:sz w:val="24"/>
          <w:szCs w:val="24"/>
        </w:rPr>
        <w:t>oznamovať údaje pri tuzemskom dodaní tovarov a služieb (tzv. tuzemské B2B dodania tovarov a služieb).</w:t>
      </w:r>
      <w:r w:rsidR="0010163F">
        <w:rPr>
          <w:rFonts w:ascii="Times New Roman" w:hAnsi="Times New Roman"/>
          <w:sz w:val="24"/>
          <w:szCs w:val="24"/>
        </w:rPr>
        <w:t xml:space="preserve"> V</w:t>
      </w:r>
      <w:r w:rsidR="0010163F" w:rsidRPr="0010163F">
        <w:rPr>
          <w:rFonts w:ascii="Times New Roman" w:hAnsi="Times New Roman"/>
          <w:sz w:val="24"/>
          <w:szCs w:val="24"/>
        </w:rPr>
        <w:t xml:space="preserve"> nadväznosti na zavedenie povinnej elektronickej fakturácie a na </w:t>
      </w:r>
      <w:r w:rsidR="0010163F">
        <w:rPr>
          <w:rFonts w:ascii="Times New Roman" w:hAnsi="Times New Roman"/>
          <w:sz w:val="24"/>
          <w:szCs w:val="24"/>
        </w:rPr>
        <w:t xml:space="preserve">digitálne </w:t>
      </w:r>
      <w:r w:rsidR="0010163F" w:rsidRPr="0010163F">
        <w:rPr>
          <w:rFonts w:ascii="Times New Roman" w:hAnsi="Times New Roman"/>
          <w:sz w:val="24"/>
          <w:szCs w:val="24"/>
        </w:rPr>
        <w:t xml:space="preserve">oznamovanie údajov pri tuzemských zdaniteľných obchodoch sa </w:t>
      </w:r>
      <w:r w:rsidR="0010163F">
        <w:rPr>
          <w:rFonts w:ascii="Times New Roman" w:hAnsi="Times New Roman"/>
          <w:sz w:val="24"/>
          <w:szCs w:val="24"/>
        </w:rPr>
        <w:t>s</w:t>
      </w:r>
      <w:r w:rsidR="0010163F" w:rsidRPr="0010163F">
        <w:rPr>
          <w:rFonts w:ascii="Times New Roman" w:hAnsi="Times New Roman"/>
          <w:sz w:val="24"/>
          <w:szCs w:val="24"/>
        </w:rPr>
        <w:t> účinnosťou od 1.7.2030</w:t>
      </w:r>
      <w:r w:rsidR="0010163F">
        <w:rPr>
          <w:rFonts w:ascii="Times New Roman" w:hAnsi="Times New Roman"/>
          <w:sz w:val="24"/>
          <w:szCs w:val="24"/>
        </w:rPr>
        <w:t xml:space="preserve"> úplne </w:t>
      </w:r>
      <w:r w:rsidR="0010163F" w:rsidRPr="0010163F">
        <w:rPr>
          <w:rFonts w:ascii="Times New Roman" w:hAnsi="Times New Roman"/>
          <w:sz w:val="24"/>
          <w:szCs w:val="24"/>
        </w:rPr>
        <w:t>ruší povinnosť podávať kontrolný výkaz pre platiteľov dane.</w:t>
      </w:r>
    </w:p>
    <w:p w14:paraId="5FB4ABB2" w14:textId="77777777" w:rsidR="0020097D" w:rsidRDefault="0020097D" w:rsidP="002512C3">
      <w:pPr>
        <w:pStyle w:val="Bezriadkovania"/>
        <w:ind w:firstLine="708"/>
        <w:jc w:val="both"/>
        <w:rPr>
          <w:rFonts w:ascii="Times New Roman" w:hAnsi="Times New Roman"/>
          <w:sz w:val="24"/>
          <w:szCs w:val="24"/>
        </w:rPr>
      </w:pPr>
    </w:p>
    <w:p w14:paraId="312BAB59" w14:textId="77777777" w:rsidR="001946F6" w:rsidRDefault="00782CD4" w:rsidP="00782CD4">
      <w:pPr>
        <w:pStyle w:val="Bezriadkovania"/>
        <w:ind w:firstLine="708"/>
        <w:jc w:val="both"/>
        <w:rPr>
          <w:rFonts w:ascii="Times New Roman" w:eastAsia="Times New Roman" w:hAnsi="Times New Roman"/>
          <w:sz w:val="24"/>
          <w:szCs w:val="24"/>
          <w:lang w:eastAsia="sk-SK"/>
        </w:rPr>
      </w:pPr>
      <w:r w:rsidRPr="00782CD4">
        <w:rPr>
          <w:rFonts w:ascii="Times New Roman" w:eastAsia="Times New Roman" w:hAnsi="Times New Roman"/>
          <w:sz w:val="24"/>
          <w:szCs w:val="24"/>
          <w:lang w:eastAsia="sk-SK"/>
        </w:rPr>
        <w:lastRenderedPageBreak/>
        <w:t xml:space="preserve">Z dôvodu povinnosti transpozície </w:t>
      </w:r>
      <w:r w:rsidR="00D3090C">
        <w:rPr>
          <w:rFonts w:ascii="Times New Roman" w:eastAsia="Times New Roman" w:hAnsi="Times New Roman"/>
          <w:sz w:val="24"/>
          <w:szCs w:val="24"/>
          <w:lang w:eastAsia="sk-SK"/>
        </w:rPr>
        <w:t xml:space="preserve">článku 5 </w:t>
      </w:r>
      <w:r w:rsidRPr="00782CD4">
        <w:rPr>
          <w:rFonts w:ascii="Times New Roman" w:eastAsia="Times New Roman" w:hAnsi="Times New Roman"/>
          <w:sz w:val="24"/>
          <w:szCs w:val="24"/>
          <w:lang w:eastAsia="sk-SK"/>
        </w:rPr>
        <w:t xml:space="preserve">smernice </w:t>
      </w:r>
      <w:r>
        <w:rPr>
          <w:rFonts w:ascii="Times New Roman" w:eastAsia="Times New Roman" w:hAnsi="Times New Roman"/>
          <w:sz w:val="24"/>
          <w:szCs w:val="24"/>
          <w:lang w:eastAsia="sk-SK"/>
        </w:rPr>
        <w:t>2025/516 d</w:t>
      </w:r>
      <w:r w:rsidRPr="00782CD4">
        <w:rPr>
          <w:rFonts w:ascii="Times New Roman" w:eastAsia="Times New Roman" w:hAnsi="Times New Roman"/>
          <w:sz w:val="24"/>
          <w:szCs w:val="24"/>
          <w:lang w:eastAsia="sk-SK"/>
        </w:rPr>
        <w:t>o zákona o</w:t>
      </w:r>
      <w:r>
        <w:rPr>
          <w:rFonts w:ascii="Times New Roman" w:eastAsia="Times New Roman" w:hAnsi="Times New Roman"/>
          <w:sz w:val="24"/>
          <w:szCs w:val="24"/>
          <w:lang w:eastAsia="sk-SK"/>
        </w:rPr>
        <w:t> </w:t>
      </w:r>
      <w:r w:rsidRPr="00782CD4">
        <w:rPr>
          <w:rFonts w:ascii="Times New Roman" w:eastAsia="Times New Roman" w:hAnsi="Times New Roman"/>
          <w:sz w:val="24"/>
          <w:szCs w:val="24"/>
          <w:lang w:eastAsia="sk-SK"/>
        </w:rPr>
        <w:t>DPH</w:t>
      </w:r>
      <w:r>
        <w:rPr>
          <w:rFonts w:ascii="Times New Roman" w:eastAsia="Times New Roman" w:hAnsi="Times New Roman"/>
          <w:sz w:val="24"/>
          <w:szCs w:val="24"/>
          <w:lang w:eastAsia="sk-SK"/>
        </w:rPr>
        <w:t xml:space="preserve"> sa s účinnosťou od 1.7.2030 zavádza </w:t>
      </w:r>
      <w:r w:rsidR="00D3090C">
        <w:rPr>
          <w:rFonts w:ascii="Times New Roman" w:eastAsia="Times New Roman" w:hAnsi="Times New Roman"/>
          <w:sz w:val="24"/>
          <w:szCs w:val="24"/>
          <w:lang w:eastAsia="sk-SK"/>
        </w:rPr>
        <w:t xml:space="preserve">pre zdaniteľné osoby povinnosť </w:t>
      </w:r>
      <w:r w:rsidR="000921F0">
        <w:rPr>
          <w:rFonts w:ascii="Times New Roman" w:eastAsia="Times New Roman" w:hAnsi="Times New Roman"/>
          <w:sz w:val="24"/>
          <w:szCs w:val="24"/>
          <w:lang w:eastAsia="sk-SK"/>
        </w:rPr>
        <w:t>vyhotov</w:t>
      </w:r>
      <w:r w:rsidR="00C94A06">
        <w:rPr>
          <w:rFonts w:ascii="Times New Roman" w:eastAsia="Times New Roman" w:hAnsi="Times New Roman"/>
          <w:sz w:val="24"/>
          <w:szCs w:val="24"/>
          <w:lang w:eastAsia="sk-SK"/>
        </w:rPr>
        <w:t>i</w:t>
      </w:r>
      <w:r w:rsidR="000921F0">
        <w:rPr>
          <w:rFonts w:ascii="Times New Roman" w:eastAsia="Times New Roman" w:hAnsi="Times New Roman"/>
          <w:sz w:val="24"/>
          <w:szCs w:val="24"/>
          <w:lang w:eastAsia="sk-SK"/>
        </w:rPr>
        <w:t>ť a prijímať faktúry v štruktúrovanom elektronickom formáte</w:t>
      </w:r>
      <w:r w:rsidR="008C378A" w:rsidRPr="008C378A">
        <w:rPr>
          <w:rFonts w:ascii="Times New Roman" w:eastAsia="Times New Roman" w:hAnsi="Times New Roman"/>
          <w:sz w:val="24"/>
          <w:szCs w:val="24"/>
          <w:lang w:eastAsia="sk-SK"/>
        </w:rPr>
        <w:t xml:space="preserve"> </w:t>
      </w:r>
      <w:r w:rsidR="004B25E5">
        <w:rPr>
          <w:rFonts w:ascii="Times New Roman" w:eastAsia="Times New Roman" w:hAnsi="Times New Roman"/>
          <w:sz w:val="24"/>
          <w:szCs w:val="24"/>
          <w:lang w:eastAsia="sk-SK"/>
        </w:rPr>
        <w:t>pri cezhraničných dodaniach tovarov alebo služieb</w:t>
      </w:r>
      <w:r w:rsidR="00C94A06">
        <w:rPr>
          <w:rFonts w:ascii="Times New Roman" w:eastAsia="Times New Roman" w:hAnsi="Times New Roman"/>
          <w:sz w:val="24"/>
          <w:szCs w:val="24"/>
          <w:lang w:eastAsia="sk-SK"/>
        </w:rPr>
        <w:t>,</w:t>
      </w:r>
      <w:r w:rsidR="00C94A06" w:rsidRPr="00C94A06">
        <w:rPr>
          <w:rFonts w:ascii="Times New Roman" w:eastAsia="Times New Roman" w:hAnsi="Times New Roman"/>
          <w:sz w:val="24"/>
          <w:szCs w:val="24"/>
          <w:lang w:eastAsia="sk-SK"/>
        </w:rPr>
        <w:t xml:space="preserve"> </w:t>
      </w:r>
      <w:r w:rsidR="00C94A06">
        <w:rPr>
          <w:rFonts w:ascii="Times New Roman" w:eastAsia="Times New Roman" w:hAnsi="Times New Roman"/>
          <w:sz w:val="24"/>
          <w:szCs w:val="24"/>
          <w:lang w:eastAsia="sk-SK"/>
        </w:rPr>
        <w:t xml:space="preserve">ako aj povinnosť </w:t>
      </w:r>
      <w:r w:rsidR="008C378A">
        <w:rPr>
          <w:rFonts w:ascii="Times New Roman" w:eastAsia="Times New Roman" w:hAnsi="Times New Roman"/>
          <w:sz w:val="24"/>
          <w:szCs w:val="24"/>
          <w:lang w:eastAsia="sk-SK"/>
        </w:rPr>
        <w:t xml:space="preserve">digitálne </w:t>
      </w:r>
      <w:r w:rsidR="00C94A06">
        <w:rPr>
          <w:rFonts w:ascii="Times New Roman" w:eastAsia="Times New Roman" w:hAnsi="Times New Roman"/>
          <w:sz w:val="24"/>
          <w:szCs w:val="24"/>
          <w:lang w:eastAsia="sk-SK"/>
        </w:rPr>
        <w:t>oznamovať údaje o týchto dodaniach</w:t>
      </w:r>
      <w:r w:rsidR="004B25E5">
        <w:rPr>
          <w:rFonts w:ascii="Times New Roman" w:eastAsia="Times New Roman" w:hAnsi="Times New Roman"/>
          <w:sz w:val="24"/>
          <w:szCs w:val="24"/>
          <w:lang w:eastAsia="sk-SK"/>
        </w:rPr>
        <w:t xml:space="preserve">. </w:t>
      </w:r>
      <w:r w:rsidR="008C378A">
        <w:rPr>
          <w:rFonts w:ascii="Times New Roman" w:eastAsia="Times New Roman" w:hAnsi="Times New Roman"/>
          <w:sz w:val="24"/>
          <w:szCs w:val="24"/>
          <w:lang w:eastAsia="sk-SK"/>
        </w:rPr>
        <w:t xml:space="preserve">V nadväznosti na zavedenie povinnosti </w:t>
      </w:r>
      <w:r w:rsidR="006D4B32">
        <w:rPr>
          <w:rFonts w:ascii="Times New Roman" w:eastAsia="Times New Roman" w:hAnsi="Times New Roman"/>
          <w:sz w:val="24"/>
          <w:szCs w:val="24"/>
          <w:lang w:eastAsia="sk-SK"/>
        </w:rPr>
        <w:t xml:space="preserve">digitálne </w:t>
      </w:r>
      <w:r w:rsidR="008C378A">
        <w:rPr>
          <w:rFonts w:ascii="Times New Roman" w:eastAsia="Times New Roman" w:hAnsi="Times New Roman"/>
          <w:sz w:val="24"/>
          <w:szCs w:val="24"/>
          <w:lang w:eastAsia="sk-SK"/>
        </w:rPr>
        <w:t>oznamovať údaje o cezhraničných dodaniach tovarov alebo služieb sa s účinnosťou od 1.7.2030 ruší povinnosť podávať súhrnný výkaz.</w:t>
      </w:r>
    </w:p>
    <w:p w14:paraId="73594D72" w14:textId="77777777" w:rsidR="00782CD4" w:rsidRPr="00782CD4" w:rsidRDefault="00782CD4" w:rsidP="00782CD4">
      <w:pPr>
        <w:pStyle w:val="Bezriadkovania"/>
        <w:ind w:firstLine="708"/>
        <w:jc w:val="both"/>
        <w:rPr>
          <w:rFonts w:ascii="Times New Roman" w:eastAsia="Times New Roman" w:hAnsi="Times New Roman"/>
          <w:sz w:val="24"/>
          <w:szCs w:val="24"/>
          <w:lang w:eastAsia="sk-SK"/>
        </w:rPr>
      </w:pPr>
    </w:p>
    <w:p w14:paraId="43FCFFA1" w14:textId="77777777" w:rsidR="008C4908" w:rsidRPr="00B945D8" w:rsidRDefault="001F2A7A" w:rsidP="008C4908">
      <w:pPr>
        <w:ind w:firstLine="708"/>
        <w:jc w:val="both"/>
        <w:rPr>
          <w:color w:val="000000"/>
          <w:shd w:val="clear" w:color="auto" w:fill="FFFFFF"/>
        </w:rPr>
      </w:pPr>
      <w:r>
        <w:t>V</w:t>
      </w:r>
      <w:r w:rsidR="00CA07ED">
        <w:t> </w:t>
      </w:r>
      <w:r w:rsidR="00CA07ED" w:rsidRPr="000A1144">
        <w:t>súlade s</w:t>
      </w:r>
      <w:r w:rsidR="00CA07ED">
        <w:t>o spomínaným cieľom vlády SR zefektívniť boj proti daňovým únikom</w:t>
      </w:r>
      <w:r>
        <w:t>,</w:t>
      </w:r>
      <w:r w:rsidR="00CA07ED">
        <w:t xml:space="preserve"> s účinnosťou od 1. januára 2026</w:t>
      </w:r>
      <w:r w:rsidR="004C722C">
        <w:t>,</w:t>
      </w:r>
      <w:r w:rsidR="00CA07ED">
        <w:t xml:space="preserve"> nastanú zmeny v oblasti </w:t>
      </w:r>
      <w:r w:rsidR="00CA07ED" w:rsidRPr="000A1144">
        <w:t>registrácie pre daň</w:t>
      </w:r>
      <w:r w:rsidR="00CA07ED">
        <w:t xml:space="preserve"> s cieľom eliminovať </w:t>
      </w:r>
      <w:r w:rsidR="00DB0E86">
        <w:t>konania vedúce k vyhýbaniu sa</w:t>
      </w:r>
      <w:r w:rsidR="00CA07ED">
        <w:t xml:space="preserve"> registračnej povinnosti</w:t>
      </w:r>
      <w:r w:rsidR="00F7351D">
        <w:t xml:space="preserve">. </w:t>
      </w:r>
      <w:r w:rsidR="008C4908" w:rsidRPr="00B3322C">
        <w:rPr>
          <w:color w:val="000000"/>
          <w:shd w:val="clear" w:color="auto" w:fill="FFFFFF"/>
        </w:rPr>
        <w:t>Podstatou je ustanoviť právomoc správcu dane rozhodnúť o registrácii dvoch alebo viacerých, formálne nezávislých, zdaniteľných osôb, u ktorých sú dôvody</w:t>
      </w:r>
      <w:r w:rsidR="008C4908">
        <w:rPr>
          <w:color w:val="000000"/>
          <w:shd w:val="clear" w:color="auto" w:fill="FFFFFF"/>
        </w:rPr>
        <w:t xml:space="preserve"> </w:t>
      </w:r>
      <w:r w:rsidR="008C4908" w:rsidRPr="00B3322C">
        <w:rPr>
          <w:color w:val="000000"/>
          <w:shd w:val="clear" w:color="auto" w:fill="FFFFFF"/>
        </w:rPr>
        <w:t xml:space="preserve">(obchádzanie platenia dane a zachovanie si výhody </w:t>
      </w:r>
      <w:r w:rsidR="00DB0E86">
        <w:rPr>
          <w:color w:val="000000"/>
          <w:shd w:val="clear" w:color="auto" w:fill="FFFFFF"/>
        </w:rPr>
        <w:t>neúčtovania dane z pridanej hodnoty</w:t>
      </w:r>
      <w:r w:rsidR="008C4908" w:rsidRPr="00B3322C">
        <w:rPr>
          <w:color w:val="000000"/>
          <w:shd w:val="clear" w:color="auto" w:fill="FFFFFF"/>
        </w:rPr>
        <w:t xml:space="preserve"> v rámci podnikania vykonávaného týmito zdaniteľnými osobami</w:t>
      </w:r>
      <w:r w:rsidR="008C4908">
        <w:rPr>
          <w:color w:val="000000"/>
          <w:shd w:val="clear" w:color="auto" w:fill="FFFFFF"/>
        </w:rPr>
        <w:t>)</w:t>
      </w:r>
      <w:r w:rsidR="008C4908" w:rsidRPr="00B3322C">
        <w:rPr>
          <w:color w:val="000000"/>
          <w:shd w:val="clear" w:color="auto" w:fill="FFFFFF"/>
        </w:rPr>
        <w:t xml:space="preserve"> na registráciu skupiny z úradnej moci, ako jedn</w:t>
      </w:r>
      <w:r w:rsidR="008C4908">
        <w:rPr>
          <w:color w:val="000000"/>
          <w:shd w:val="clear" w:color="auto" w:fill="FFFFFF"/>
        </w:rPr>
        <w:t>ého</w:t>
      </w:r>
      <w:r w:rsidR="008C4908" w:rsidRPr="00B3322C">
        <w:rPr>
          <w:color w:val="000000"/>
          <w:shd w:val="clear" w:color="auto" w:fill="FFFFFF"/>
        </w:rPr>
        <w:t xml:space="preserve"> </w:t>
      </w:r>
      <w:r w:rsidR="008C4908">
        <w:rPr>
          <w:color w:val="000000"/>
          <w:shd w:val="clear" w:color="auto" w:fill="FFFFFF"/>
        </w:rPr>
        <w:t>platiteľa</w:t>
      </w:r>
      <w:r w:rsidR="008C4908" w:rsidRPr="00B3322C">
        <w:rPr>
          <w:color w:val="000000"/>
          <w:shd w:val="clear" w:color="auto" w:fill="FFFFFF"/>
        </w:rPr>
        <w:t xml:space="preserve"> na účely dane</w:t>
      </w:r>
      <w:r w:rsidR="008A57F1">
        <w:rPr>
          <w:color w:val="000000"/>
          <w:shd w:val="clear" w:color="auto" w:fill="FFFFFF"/>
        </w:rPr>
        <w:t xml:space="preserve"> z pridanej hodnoty</w:t>
      </w:r>
      <w:r w:rsidR="008C4908" w:rsidRPr="00B3322C">
        <w:rPr>
          <w:color w:val="000000"/>
          <w:shd w:val="clear" w:color="auto" w:fill="FFFFFF"/>
        </w:rPr>
        <w:t>.  </w:t>
      </w:r>
    </w:p>
    <w:p w14:paraId="5BE7AF02" w14:textId="77777777" w:rsidR="005D26E3" w:rsidRPr="001946F6" w:rsidRDefault="005D26E3" w:rsidP="001946F6">
      <w:pPr>
        <w:pStyle w:val="Bezriadkovania"/>
        <w:ind w:firstLine="708"/>
        <w:jc w:val="both"/>
        <w:rPr>
          <w:rFonts w:ascii="Times New Roman" w:hAnsi="Times New Roman"/>
          <w:sz w:val="24"/>
          <w:szCs w:val="24"/>
          <w:highlight w:val="yellow"/>
        </w:rPr>
      </w:pPr>
    </w:p>
    <w:p w14:paraId="6231D2AA" w14:textId="77777777" w:rsidR="00F17EBD" w:rsidRDefault="00F17EBD" w:rsidP="00904D9A">
      <w:pPr>
        <w:ind w:firstLine="708"/>
        <w:jc w:val="both"/>
      </w:pPr>
      <w:r w:rsidRPr="00F17EBD">
        <w:t xml:space="preserve">Z pohľadu </w:t>
      </w:r>
      <w:r w:rsidR="008A57F1">
        <w:t>f</w:t>
      </w:r>
      <w:r w:rsidRPr="00F17EBD">
        <w:t xml:space="preserve">inančnej správy má osobitný spôsob úhrady dane značný potenciál riešiť veľkú skupinu podvodov so zmiznutým obchodníkom. </w:t>
      </w:r>
      <w:r w:rsidR="00904D9A">
        <w:t xml:space="preserve">Navrhuje sa </w:t>
      </w:r>
      <w:r w:rsidRPr="00F17EBD">
        <w:t xml:space="preserve">rozšírenie uplatňovania osobitného spôsobu úhrady dane takým spôsobom, že pri určitých transakciách vybraných platiteľov dane, pri ktorých je odôvodnené podozrenie, že daň u dodávateľa nebude uhradená, bude mať daňový úrad možnosť uložiť povinnosť odberateľovi uhradiť daň z faktúry priamo na </w:t>
      </w:r>
      <w:r>
        <w:t>účet</w:t>
      </w:r>
      <w:r w:rsidRPr="00F17EBD">
        <w:t xml:space="preserve"> správcu dane vedený pre dodávateľa.</w:t>
      </w:r>
    </w:p>
    <w:p w14:paraId="2C6BB606" w14:textId="77777777" w:rsidR="00F17EBD" w:rsidRDefault="00F17EBD" w:rsidP="00F17EBD">
      <w:pPr>
        <w:ind w:firstLine="708"/>
        <w:jc w:val="both"/>
      </w:pPr>
    </w:p>
    <w:p w14:paraId="3B32DE18" w14:textId="77777777" w:rsidR="00122FE8" w:rsidRDefault="00122FE8" w:rsidP="001F62C7">
      <w:pPr>
        <w:ind w:firstLine="708"/>
        <w:jc w:val="both"/>
      </w:pPr>
      <w:r>
        <w:t xml:space="preserve">V súvislosti so zavedením povinnej elektronickej fakturácie dochádza </w:t>
      </w:r>
      <w:r w:rsidR="00D21376">
        <w:t xml:space="preserve">k </w:t>
      </w:r>
      <w:r>
        <w:t xml:space="preserve">legislatívno-technickým zmenám </w:t>
      </w:r>
      <w:r w:rsidR="00D21376">
        <w:t xml:space="preserve">aj </w:t>
      </w:r>
      <w:r>
        <w:t>v z</w:t>
      </w:r>
      <w:r w:rsidRPr="00AF2BCC">
        <w:t>ákon</w:t>
      </w:r>
      <w:r>
        <w:t>e</w:t>
      </w:r>
      <w:r w:rsidRPr="00AF2BCC">
        <w:t xml:space="preserve"> č. 431/2002 Z. z. o účtovníctve v znení</w:t>
      </w:r>
      <w:r>
        <w:t xml:space="preserve"> neskorších predpisov. Podobne, s cieľom </w:t>
      </w:r>
      <w:r w:rsidRPr="00122FE8">
        <w:t>väčš</w:t>
      </w:r>
      <w:r>
        <w:t>ej</w:t>
      </w:r>
      <w:r w:rsidRPr="00122FE8">
        <w:t xml:space="preserve"> efektivit</w:t>
      </w:r>
      <w:r>
        <w:t>y</w:t>
      </w:r>
      <w:r w:rsidRPr="00122FE8">
        <w:t xml:space="preserve"> správy daní</w:t>
      </w:r>
      <w:r>
        <w:t xml:space="preserve">, sa navrhuje doplnenie a úprava príslušných ustanovení zákona </w:t>
      </w:r>
      <w:r w:rsidRPr="24F351A9">
        <w:t>č. 563/2009 Z. z. o správe daní (daňový poriadok) a o zmene a doplnení niektorých zákonov</w:t>
      </w:r>
      <w:r>
        <w:t>.</w:t>
      </w:r>
    </w:p>
    <w:p w14:paraId="297F175C" w14:textId="77777777" w:rsidR="00122FE8" w:rsidRDefault="00122FE8" w:rsidP="001F62C7">
      <w:pPr>
        <w:ind w:firstLine="708"/>
        <w:jc w:val="both"/>
      </w:pPr>
    </w:p>
    <w:p w14:paraId="0BAFF9B2" w14:textId="77777777" w:rsidR="008A57F1" w:rsidRDefault="00D21376" w:rsidP="001F62C7">
      <w:pPr>
        <w:ind w:firstLine="708"/>
        <w:jc w:val="both"/>
      </w:pPr>
      <w:r>
        <w:t>Vo</w:t>
      </w:r>
      <w:r w:rsidR="008A57F1">
        <w:t xml:space="preserve"> vzťahu k zákonu č. 215/2019 Z. z. o zaručenej elektronickej fakturácii a centrálnom ekonomickom systéme a o doplnení niektorých zákonov </w:t>
      </w:r>
      <w:r w:rsidR="00E005E2">
        <w:t>(ďalej len „</w:t>
      </w:r>
      <w:r w:rsidR="00E005E2" w:rsidRPr="00F05F13">
        <w:t>zákon č. 215/2019 Z. z.</w:t>
      </w:r>
      <w:r w:rsidR="00E005E2">
        <w:t>“)</w:t>
      </w:r>
      <w:r w:rsidR="00E005E2" w:rsidDel="00350CCD">
        <w:t xml:space="preserve"> </w:t>
      </w:r>
      <w:r>
        <w:t>dochádza k</w:t>
      </w:r>
      <w:r w:rsidR="008A57F1">
        <w:t xml:space="preserve"> precizovani</w:t>
      </w:r>
      <w:r>
        <w:t>u</w:t>
      </w:r>
      <w:r w:rsidR="008A57F1">
        <w:t xml:space="preserve"> transpozície </w:t>
      </w:r>
      <w:r w:rsidR="002100FD">
        <w:t>s</w:t>
      </w:r>
      <w:r w:rsidR="008A57F1">
        <w:t xml:space="preserve">mernice Európskeho parlamentu a Rady 2014/55/EÚ zo 16. apríla 2014 o elektronickej fakturácii vo verejnom obstarávaní </w:t>
      </w:r>
      <w:r>
        <w:t xml:space="preserve">v </w:t>
      </w:r>
      <w:r w:rsidR="008A57F1">
        <w:t>slovensk</w:t>
      </w:r>
      <w:r>
        <w:t>om</w:t>
      </w:r>
      <w:r w:rsidR="008A57F1">
        <w:t xml:space="preserve"> právn</w:t>
      </w:r>
      <w:r>
        <w:t>om</w:t>
      </w:r>
      <w:r w:rsidR="008A57F1">
        <w:t xml:space="preserve"> poriadku</w:t>
      </w:r>
      <w:r w:rsidR="000C36FF">
        <w:t xml:space="preserve"> </w:t>
      </w:r>
      <w:r w:rsidR="000C36FF" w:rsidRPr="000C36FF">
        <w:t>(Ú. v. EÚ L, 133, 6.5.2014)</w:t>
      </w:r>
      <w:r w:rsidR="008A57F1">
        <w:t>.</w:t>
      </w:r>
      <w:r w:rsidR="001F62C7">
        <w:t xml:space="preserve"> </w:t>
      </w:r>
      <w:r w:rsidR="008A57F1">
        <w:t xml:space="preserve">Navrhovaná úprava precizuje povinnosť verejného obstarávateľa a obstarávateľa zabezpečiť prijímanie </w:t>
      </w:r>
      <w:r w:rsidR="00D3090C">
        <w:t xml:space="preserve">elektronickej </w:t>
      </w:r>
      <w:r w:rsidR="008A57F1">
        <w:t xml:space="preserve">faktúry. </w:t>
      </w:r>
      <w:r w:rsidR="0054181B" w:rsidRPr="0054181B">
        <w:t>V tejto súvislosti dochádza aj k úprave v zákone č. 343/2015 Z. z. o verejnom obstarávaní a o zmene a doplnení niektorých zákonov v znení neskorších predpisov.</w:t>
      </w:r>
    </w:p>
    <w:p w14:paraId="790AC9E6" w14:textId="77777777" w:rsidR="008A57F1" w:rsidRDefault="008A57F1" w:rsidP="00554AA4">
      <w:pPr>
        <w:ind w:firstLine="708"/>
      </w:pPr>
    </w:p>
    <w:p w14:paraId="2DF06B26" w14:textId="77777777" w:rsidR="00E005E2" w:rsidRDefault="00E005E2" w:rsidP="00F17EBD">
      <w:pPr>
        <w:ind w:firstLine="708"/>
        <w:jc w:val="both"/>
      </w:pPr>
      <w:r>
        <w:t xml:space="preserve">Nová legislatívna úprava fakturačných povinností vyplývajúca zo zákona o DPH ohľadom vyhotovenia, zasielania a prijatia elektronických faktúr koexistuje s pravidlami </w:t>
      </w:r>
      <w:r w:rsidR="001C66A7">
        <w:t>elektronickej fakturácie vo verejnom obstarávaní podľa zákona č. 215/2019 Z. z.</w:t>
      </w:r>
      <w:r w:rsidR="00106597">
        <w:t xml:space="preserve"> s tým, že ich vecná pôsobnosť </w:t>
      </w:r>
      <w:r w:rsidR="00BB6D8F">
        <w:t>sa môže odlišovať</w:t>
      </w:r>
      <w:r w:rsidR="00106597">
        <w:t>.</w:t>
      </w:r>
      <w:r w:rsidR="001C66A7">
        <w:t xml:space="preserve"> </w:t>
      </w:r>
    </w:p>
    <w:p w14:paraId="7B4B6E89" w14:textId="77777777" w:rsidR="00E005E2" w:rsidRDefault="00E005E2" w:rsidP="00F17EBD">
      <w:pPr>
        <w:ind w:firstLine="708"/>
        <w:jc w:val="both"/>
      </w:pPr>
    </w:p>
    <w:p w14:paraId="17DC86E4" w14:textId="4BE743B3" w:rsidR="00B657AC" w:rsidRDefault="00B30A3A" w:rsidP="00F17EBD">
      <w:pPr>
        <w:ind w:firstLine="708"/>
        <w:jc w:val="both"/>
      </w:pPr>
      <w:r w:rsidRPr="00B30A3A">
        <w:t xml:space="preserve">Návrh zákona má pozitívny aj negatívny vplyv na rozpočet verejnej správy, pozitívny a negatívny vplyv na podnikateľské prostredie, pozitívny vplyv na informatizáciu spoločnosti, a nebude mať </w:t>
      </w:r>
      <w:r w:rsidR="005D5A22">
        <w:t xml:space="preserve">vplyv na limit verejných výdavkov, </w:t>
      </w:r>
      <w:r w:rsidRPr="00B30A3A">
        <w:t>sociálne vplyvy, vplyvy na životné prostredie, vplyvy na služby verejnej správy pre občana</w:t>
      </w:r>
      <w:r w:rsidR="005D5A22">
        <w:t>,</w:t>
      </w:r>
      <w:r w:rsidRPr="00B30A3A">
        <w:t xml:space="preserve"> ani vplyvy na manželstvo, rodičovstvo a rodinu.</w:t>
      </w:r>
    </w:p>
    <w:p w14:paraId="022F9BE5" w14:textId="77777777" w:rsidR="00B657AC" w:rsidRDefault="00B657AC" w:rsidP="00F17EBD">
      <w:pPr>
        <w:ind w:firstLine="708"/>
        <w:jc w:val="both"/>
      </w:pPr>
    </w:p>
    <w:p w14:paraId="777C431B" w14:textId="0AC00D18" w:rsidR="00B30A3A" w:rsidRPr="00B30A3A" w:rsidRDefault="005C6E8B" w:rsidP="00F17EBD">
      <w:pPr>
        <w:ind w:firstLine="708"/>
        <w:jc w:val="both"/>
      </w:pPr>
      <w:r w:rsidRPr="005D5A22">
        <w:t>Keďže n</w:t>
      </w:r>
      <w:r>
        <w:t>ávrh zá</w:t>
      </w:r>
      <w:r w:rsidRPr="005D5A22">
        <w:t xml:space="preserve">kona upravuje technické aspekty elektronickej fakturácie, </w:t>
      </w:r>
      <w:r>
        <w:t>od</w:t>
      </w:r>
      <w:r w:rsidRPr="005D5A22">
        <w:t xml:space="preserve"> 27.8.2025 </w:t>
      </w:r>
      <w:r>
        <w:t>je predmetom vnútrokomunitárneho pripomienkového konania</w:t>
      </w:r>
      <w:r w:rsidR="00962AB1">
        <w:t xml:space="preserve"> č. 2025/0467/SK</w:t>
      </w:r>
      <w:r w:rsidR="00A30CEA">
        <w:t xml:space="preserve"> </w:t>
      </w:r>
      <w:r w:rsidRPr="00CD64DF">
        <w:t xml:space="preserve">podľa </w:t>
      </w:r>
      <w:r w:rsidRPr="00CD64DF">
        <w:lastRenderedPageBreak/>
        <w:t>smernice</w:t>
      </w:r>
      <w:r w:rsidR="004333DA" w:rsidRPr="00CD64DF">
        <w:t xml:space="preserve"> Európskeho parlamentu a Rady (EÚ) 2015/1535 z 9. septembra 2015, ktorou sa stanovuje postup pri poskytovaní informácií v oblasti technických predpisov a pravidiel vzťahujúcich sa na služby informačnej spoločnosti (kodifikované znenie) (Ú. v. EÚ L 241, 17.9.2015).</w:t>
      </w:r>
      <w:r w:rsidR="00B30A3A" w:rsidRPr="00B30A3A">
        <w:t xml:space="preserve"> </w:t>
      </w:r>
    </w:p>
    <w:p w14:paraId="75275560" w14:textId="77777777" w:rsidR="00B30A3A" w:rsidRPr="00B30A3A" w:rsidRDefault="00B30A3A" w:rsidP="00B30A3A">
      <w:pPr>
        <w:jc w:val="both"/>
        <w:rPr>
          <w:i/>
        </w:rPr>
      </w:pPr>
    </w:p>
    <w:p w14:paraId="01032A4E" w14:textId="7140848F" w:rsidR="00DB0E86" w:rsidRDefault="00B30A3A" w:rsidP="003C217B">
      <w:pPr>
        <w:ind w:firstLine="708"/>
        <w:jc w:val="both"/>
        <w:rPr>
          <w:color w:val="0070C0"/>
        </w:rPr>
      </w:pPr>
      <w:r w:rsidRPr="00B30A3A">
        <w:rPr>
          <w:rStyle w:val="awspanawtext3"/>
        </w:rPr>
        <w:t>Predkladaný</w:t>
      </w:r>
      <w:r w:rsidRPr="00B30A3A">
        <w:rPr>
          <w:rStyle w:val="awspanawtext3"/>
          <w:spacing w:val="51"/>
        </w:rPr>
        <w:t xml:space="preserve"> </w:t>
      </w:r>
      <w:r w:rsidRPr="00B30A3A">
        <w:rPr>
          <w:rStyle w:val="awspanawtext3"/>
        </w:rPr>
        <w:t>návrh</w:t>
      </w:r>
      <w:r w:rsidRPr="00B30A3A">
        <w:rPr>
          <w:rStyle w:val="awspanawtext3"/>
          <w:spacing w:val="51"/>
        </w:rPr>
        <w:t xml:space="preserve"> </w:t>
      </w:r>
      <w:r w:rsidRPr="00B30A3A">
        <w:rPr>
          <w:rStyle w:val="awspanawtext3"/>
        </w:rPr>
        <w:t>zákona</w:t>
      </w:r>
      <w:r w:rsidRPr="00B30A3A">
        <w:rPr>
          <w:rStyle w:val="awspanawtext3"/>
          <w:spacing w:val="51"/>
        </w:rPr>
        <w:t xml:space="preserve"> </w:t>
      </w:r>
      <w:r w:rsidRPr="00B30A3A">
        <w:rPr>
          <w:rStyle w:val="awspanawtext3"/>
        </w:rPr>
        <w:t>je</w:t>
      </w:r>
      <w:r w:rsidRPr="00B30A3A">
        <w:rPr>
          <w:rStyle w:val="awspanawtext3"/>
          <w:spacing w:val="51"/>
        </w:rPr>
        <w:t xml:space="preserve"> </w:t>
      </w:r>
      <w:r w:rsidRPr="00B30A3A">
        <w:rPr>
          <w:rStyle w:val="awspanawtext3"/>
        </w:rPr>
        <w:t>v</w:t>
      </w:r>
      <w:r w:rsidRPr="00B30A3A">
        <w:rPr>
          <w:rStyle w:val="awspanawtext3"/>
          <w:spacing w:val="51"/>
        </w:rPr>
        <w:t xml:space="preserve"> </w:t>
      </w:r>
      <w:r w:rsidRPr="00B30A3A">
        <w:rPr>
          <w:rStyle w:val="awspanawtext3"/>
        </w:rPr>
        <w:t>súlade</w:t>
      </w:r>
      <w:r w:rsidRPr="00B30A3A">
        <w:rPr>
          <w:rStyle w:val="awspanawtext3"/>
          <w:spacing w:val="51"/>
        </w:rPr>
        <w:t xml:space="preserve"> </w:t>
      </w:r>
      <w:r w:rsidRPr="00B30A3A">
        <w:rPr>
          <w:rStyle w:val="awspanawtext3"/>
        </w:rPr>
        <w:t>s</w:t>
      </w:r>
      <w:r w:rsidRPr="00B30A3A">
        <w:rPr>
          <w:rStyle w:val="awspanawtext3"/>
          <w:spacing w:val="51"/>
        </w:rPr>
        <w:t xml:space="preserve"> </w:t>
      </w:r>
      <w:r w:rsidRPr="00B30A3A">
        <w:rPr>
          <w:rStyle w:val="awspanawtext3"/>
        </w:rPr>
        <w:t>Ústavou</w:t>
      </w:r>
      <w:r w:rsidRPr="00B30A3A">
        <w:rPr>
          <w:rStyle w:val="awspanawtext3"/>
          <w:spacing w:val="51"/>
        </w:rPr>
        <w:t xml:space="preserve"> </w:t>
      </w:r>
      <w:r w:rsidRPr="00B30A3A">
        <w:rPr>
          <w:rStyle w:val="awspanawtext3"/>
        </w:rPr>
        <w:t>Slovenskej</w:t>
      </w:r>
      <w:r w:rsidRPr="00B30A3A">
        <w:rPr>
          <w:rStyle w:val="awspanawtext3"/>
          <w:spacing w:val="51"/>
        </w:rPr>
        <w:t xml:space="preserve"> </w:t>
      </w:r>
      <w:r w:rsidRPr="00B30A3A">
        <w:rPr>
          <w:rStyle w:val="awspanawtext3"/>
        </w:rPr>
        <w:t>republiky,</w:t>
      </w:r>
      <w:r w:rsidRPr="00B30A3A">
        <w:rPr>
          <w:rStyle w:val="awspanawtext3"/>
          <w:spacing w:val="51"/>
        </w:rPr>
        <w:t xml:space="preserve"> </w:t>
      </w:r>
      <w:r w:rsidRPr="00B30A3A">
        <w:rPr>
          <w:rStyle w:val="awspanawtext3"/>
        </w:rPr>
        <w:t>ústavnými zákonmi</w:t>
      </w:r>
      <w:r w:rsidRPr="00B30A3A">
        <w:rPr>
          <w:rStyle w:val="awspanawtext3"/>
          <w:spacing w:val="67"/>
        </w:rPr>
        <w:t xml:space="preserve"> </w:t>
      </w:r>
      <w:r w:rsidRPr="00B30A3A">
        <w:rPr>
          <w:rStyle w:val="awspanawtext3"/>
        </w:rPr>
        <w:t>a</w:t>
      </w:r>
      <w:r w:rsidRPr="00B30A3A">
        <w:rPr>
          <w:rStyle w:val="awspanawtext3"/>
          <w:spacing w:val="67"/>
        </w:rPr>
        <w:t xml:space="preserve"> </w:t>
      </w:r>
      <w:r w:rsidRPr="00B30A3A">
        <w:rPr>
          <w:rStyle w:val="awspanawtext3"/>
        </w:rPr>
        <w:t>inými</w:t>
      </w:r>
      <w:r w:rsidRPr="00B30A3A">
        <w:rPr>
          <w:rStyle w:val="awspanawtext3"/>
          <w:spacing w:val="67"/>
        </w:rPr>
        <w:t xml:space="preserve"> </w:t>
      </w:r>
      <w:r w:rsidRPr="00B30A3A">
        <w:rPr>
          <w:rStyle w:val="awspanawtext3"/>
        </w:rPr>
        <w:t>právnymi</w:t>
      </w:r>
      <w:r w:rsidRPr="00B30A3A">
        <w:rPr>
          <w:rStyle w:val="awspanawtext3"/>
          <w:spacing w:val="67"/>
        </w:rPr>
        <w:t xml:space="preserve"> </w:t>
      </w:r>
      <w:r w:rsidRPr="00B30A3A">
        <w:rPr>
          <w:rStyle w:val="awspanawtext3"/>
        </w:rPr>
        <w:t>predpismi,</w:t>
      </w:r>
      <w:r w:rsidRPr="00B30A3A">
        <w:rPr>
          <w:rStyle w:val="awspanawtext3"/>
          <w:spacing w:val="67"/>
        </w:rPr>
        <w:t xml:space="preserve"> </w:t>
      </w:r>
      <w:r w:rsidRPr="00B30A3A">
        <w:rPr>
          <w:rStyle w:val="awspanawtext3"/>
        </w:rPr>
        <w:t>s</w:t>
      </w:r>
      <w:r w:rsidRPr="00B30A3A">
        <w:rPr>
          <w:rStyle w:val="awspanawtext3"/>
          <w:spacing w:val="67"/>
        </w:rPr>
        <w:t xml:space="preserve"> </w:t>
      </w:r>
      <w:r w:rsidRPr="00B30A3A">
        <w:rPr>
          <w:rStyle w:val="awspanawtext3"/>
        </w:rPr>
        <w:t>nálezmi</w:t>
      </w:r>
      <w:r w:rsidRPr="00B30A3A">
        <w:rPr>
          <w:rStyle w:val="awspanawtext3"/>
          <w:spacing w:val="67"/>
        </w:rPr>
        <w:t xml:space="preserve"> </w:t>
      </w:r>
      <w:r w:rsidRPr="00B30A3A">
        <w:rPr>
          <w:rStyle w:val="awspanawtext3"/>
        </w:rPr>
        <w:t>Ústavného</w:t>
      </w:r>
      <w:r w:rsidRPr="00B30A3A">
        <w:rPr>
          <w:rStyle w:val="awspanawtext3"/>
          <w:spacing w:val="67"/>
        </w:rPr>
        <w:t xml:space="preserve"> </w:t>
      </w:r>
      <w:r w:rsidRPr="00B30A3A">
        <w:rPr>
          <w:rStyle w:val="awspanawtext3"/>
        </w:rPr>
        <w:t>súdu</w:t>
      </w:r>
      <w:r w:rsidRPr="00B30A3A">
        <w:rPr>
          <w:rStyle w:val="awspanawtext3"/>
          <w:spacing w:val="67"/>
        </w:rPr>
        <w:t xml:space="preserve"> </w:t>
      </w:r>
      <w:r w:rsidRPr="00B30A3A">
        <w:rPr>
          <w:rStyle w:val="awspanawtext3"/>
        </w:rPr>
        <w:t>Slovenskej</w:t>
      </w:r>
      <w:r w:rsidRPr="00B30A3A">
        <w:rPr>
          <w:rStyle w:val="awspanawtext3"/>
          <w:spacing w:val="67"/>
        </w:rPr>
        <w:t xml:space="preserve"> </w:t>
      </w:r>
      <w:r w:rsidRPr="00B30A3A">
        <w:rPr>
          <w:rStyle w:val="awspanawtext3"/>
        </w:rPr>
        <w:t>republiky, medzinárodnými</w:t>
      </w:r>
      <w:r w:rsidRPr="00B30A3A">
        <w:rPr>
          <w:rStyle w:val="awspanawtext3"/>
          <w:spacing w:val="67"/>
        </w:rPr>
        <w:t xml:space="preserve"> </w:t>
      </w:r>
      <w:r w:rsidRPr="00B30A3A">
        <w:rPr>
          <w:rStyle w:val="awspanawtext3"/>
        </w:rPr>
        <w:t>zmluvami</w:t>
      </w:r>
      <w:r w:rsidRPr="00B30A3A">
        <w:rPr>
          <w:rStyle w:val="awspanawtext3"/>
          <w:spacing w:val="67"/>
        </w:rPr>
        <w:t xml:space="preserve"> </w:t>
      </w:r>
      <w:r w:rsidRPr="00B30A3A">
        <w:rPr>
          <w:rStyle w:val="awspanawtext3"/>
        </w:rPr>
        <w:t>a</w:t>
      </w:r>
      <w:r w:rsidR="00A30CEA">
        <w:rPr>
          <w:rStyle w:val="awspanawtext3"/>
        </w:rPr>
        <w:t> inými medzinárodnými</w:t>
      </w:r>
      <w:r w:rsidRPr="00B30A3A">
        <w:rPr>
          <w:rStyle w:val="awspanawtext3"/>
          <w:spacing w:val="67"/>
        </w:rPr>
        <w:t xml:space="preserve"> </w:t>
      </w:r>
      <w:r w:rsidRPr="00B30A3A">
        <w:rPr>
          <w:rStyle w:val="awspanawtext3"/>
        </w:rPr>
        <w:t>dokumentmi,</w:t>
      </w:r>
      <w:r w:rsidRPr="00B30A3A">
        <w:rPr>
          <w:rStyle w:val="awspanawtext3"/>
          <w:spacing w:val="67"/>
        </w:rPr>
        <w:t xml:space="preserve"> </w:t>
      </w:r>
      <w:r w:rsidRPr="00B30A3A">
        <w:rPr>
          <w:rStyle w:val="awspanawtext3"/>
        </w:rPr>
        <w:t>ktorými</w:t>
      </w:r>
      <w:r w:rsidRPr="00B30A3A">
        <w:rPr>
          <w:rStyle w:val="awspanawtext3"/>
          <w:spacing w:val="67"/>
        </w:rPr>
        <w:t xml:space="preserve"> </w:t>
      </w:r>
      <w:r w:rsidRPr="00B30A3A">
        <w:rPr>
          <w:rStyle w:val="awspanawtext3"/>
        </w:rPr>
        <w:t>je</w:t>
      </w:r>
      <w:r w:rsidRPr="00B30A3A">
        <w:rPr>
          <w:rStyle w:val="awspanawtext3"/>
          <w:spacing w:val="67"/>
        </w:rPr>
        <w:t xml:space="preserve"> </w:t>
      </w:r>
      <w:r w:rsidRPr="00B30A3A">
        <w:rPr>
          <w:rStyle w:val="awspanawtext3"/>
        </w:rPr>
        <w:t>Slovenská</w:t>
      </w:r>
      <w:r w:rsidRPr="00B30A3A">
        <w:rPr>
          <w:rStyle w:val="awspanawtext3"/>
          <w:spacing w:val="67"/>
        </w:rPr>
        <w:t xml:space="preserve"> </w:t>
      </w:r>
      <w:r w:rsidRPr="00B30A3A">
        <w:rPr>
          <w:rStyle w:val="awspanawtext3"/>
        </w:rPr>
        <w:t>republika</w:t>
      </w:r>
      <w:r w:rsidRPr="00B30A3A">
        <w:rPr>
          <w:rStyle w:val="awspanawtext3"/>
          <w:spacing w:val="67"/>
        </w:rPr>
        <w:t xml:space="preserve"> </w:t>
      </w:r>
      <w:r w:rsidRPr="00B30A3A">
        <w:rPr>
          <w:rStyle w:val="awspanawtext3"/>
        </w:rPr>
        <w:t>viazaná,</w:t>
      </w:r>
      <w:r w:rsidRPr="00B30A3A">
        <w:rPr>
          <w:rStyle w:val="awspanawtext3"/>
          <w:spacing w:val="67"/>
        </w:rPr>
        <w:t xml:space="preserve"> </w:t>
      </w:r>
      <w:r w:rsidRPr="00B30A3A">
        <w:rPr>
          <w:rStyle w:val="awspanawtext3"/>
        </w:rPr>
        <w:t>ako aj v súlade s právom Európskej únie.</w:t>
      </w:r>
    </w:p>
    <w:p w14:paraId="0456A456" w14:textId="77777777" w:rsidR="00E057F7" w:rsidRDefault="00E057F7" w:rsidP="003C217B">
      <w:pPr>
        <w:ind w:firstLine="708"/>
        <w:jc w:val="both"/>
        <w:rPr>
          <w:color w:val="0070C0"/>
        </w:rPr>
      </w:pPr>
    </w:p>
    <w:p w14:paraId="01F87327" w14:textId="77777777" w:rsidR="00E057F7" w:rsidRDefault="00E057F7" w:rsidP="003C217B">
      <w:pPr>
        <w:ind w:firstLine="708"/>
        <w:jc w:val="both"/>
        <w:rPr>
          <w:color w:val="0070C0"/>
        </w:rPr>
      </w:pPr>
    </w:p>
    <w:p w14:paraId="746F78CA" w14:textId="77777777" w:rsidR="00E057F7" w:rsidRDefault="00E057F7" w:rsidP="003C217B">
      <w:pPr>
        <w:ind w:firstLine="708"/>
        <w:jc w:val="both"/>
        <w:rPr>
          <w:color w:val="0070C0"/>
        </w:rPr>
      </w:pPr>
    </w:p>
    <w:p w14:paraId="241A01F8" w14:textId="77777777" w:rsidR="00E057F7" w:rsidRDefault="00E057F7" w:rsidP="003C217B">
      <w:pPr>
        <w:ind w:firstLine="708"/>
        <w:jc w:val="both"/>
        <w:rPr>
          <w:color w:val="0070C0"/>
        </w:rPr>
      </w:pPr>
    </w:p>
    <w:p w14:paraId="30CD9B54" w14:textId="77777777" w:rsidR="00E057F7" w:rsidRDefault="00E057F7" w:rsidP="003C217B">
      <w:pPr>
        <w:ind w:firstLine="708"/>
        <w:jc w:val="both"/>
        <w:rPr>
          <w:color w:val="0070C0"/>
        </w:rPr>
      </w:pPr>
    </w:p>
    <w:p w14:paraId="799CB155" w14:textId="77777777" w:rsidR="00E057F7" w:rsidRDefault="00E057F7" w:rsidP="003C217B">
      <w:pPr>
        <w:ind w:firstLine="708"/>
        <w:jc w:val="both"/>
        <w:rPr>
          <w:color w:val="0070C0"/>
        </w:rPr>
      </w:pPr>
    </w:p>
    <w:p w14:paraId="00A7084F" w14:textId="77777777" w:rsidR="00E057F7" w:rsidRDefault="00E057F7" w:rsidP="003C217B">
      <w:pPr>
        <w:ind w:firstLine="708"/>
        <w:jc w:val="both"/>
        <w:rPr>
          <w:color w:val="0070C0"/>
        </w:rPr>
      </w:pPr>
    </w:p>
    <w:p w14:paraId="63789AAA" w14:textId="77777777" w:rsidR="00E057F7" w:rsidRDefault="00E057F7" w:rsidP="003C217B">
      <w:pPr>
        <w:ind w:firstLine="708"/>
        <w:jc w:val="both"/>
        <w:rPr>
          <w:color w:val="0070C0"/>
        </w:rPr>
      </w:pPr>
    </w:p>
    <w:p w14:paraId="36834994" w14:textId="77777777" w:rsidR="00E057F7" w:rsidRDefault="00E057F7" w:rsidP="003C217B">
      <w:pPr>
        <w:ind w:firstLine="708"/>
        <w:jc w:val="both"/>
        <w:rPr>
          <w:color w:val="0070C0"/>
        </w:rPr>
      </w:pPr>
    </w:p>
    <w:p w14:paraId="58124850" w14:textId="77777777" w:rsidR="00E057F7" w:rsidRDefault="00E057F7" w:rsidP="003C217B">
      <w:pPr>
        <w:ind w:firstLine="708"/>
        <w:jc w:val="both"/>
        <w:rPr>
          <w:color w:val="0070C0"/>
        </w:rPr>
      </w:pPr>
    </w:p>
    <w:p w14:paraId="7F95BFEF" w14:textId="77777777" w:rsidR="00E057F7" w:rsidRDefault="00E057F7" w:rsidP="003C217B">
      <w:pPr>
        <w:ind w:firstLine="708"/>
        <w:jc w:val="both"/>
        <w:rPr>
          <w:color w:val="0070C0"/>
        </w:rPr>
      </w:pPr>
    </w:p>
    <w:p w14:paraId="73FE9DF6" w14:textId="77777777" w:rsidR="00E057F7" w:rsidRDefault="00E057F7" w:rsidP="003C217B">
      <w:pPr>
        <w:ind w:firstLine="708"/>
        <w:jc w:val="both"/>
        <w:rPr>
          <w:color w:val="0070C0"/>
        </w:rPr>
      </w:pPr>
    </w:p>
    <w:p w14:paraId="13C9163D" w14:textId="77777777" w:rsidR="00E057F7" w:rsidRDefault="00E057F7" w:rsidP="003C217B">
      <w:pPr>
        <w:ind w:firstLine="708"/>
        <w:jc w:val="both"/>
        <w:rPr>
          <w:color w:val="0070C0"/>
        </w:rPr>
      </w:pPr>
    </w:p>
    <w:p w14:paraId="19C52CE1" w14:textId="77777777" w:rsidR="00E057F7" w:rsidRDefault="00E057F7" w:rsidP="003C217B">
      <w:pPr>
        <w:ind w:firstLine="708"/>
        <w:jc w:val="both"/>
        <w:rPr>
          <w:color w:val="0070C0"/>
        </w:rPr>
      </w:pPr>
    </w:p>
    <w:p w14:paraId="0141CD98" w14:textId="77777777" w:rsidR="00E057F7" w:rsidRDefault="00E057F7" w:rsidP="003C217B">
      <w:pPr>
        <w:ind w:firstLine="708"/>
        <w:jc w:val="both"/>
        <w:rPr>
          <w:color w:val="0070C0"/>
        </w:rPr>
      </w:pPr>
    </w:p>
    <w:p w14:paraId="3FF5DC28" w14:textId="77777777" w:rsidR="00E057F7" w:rsidRDefault="00E057F7" w:rsidP="003C217B">
      <w:pPr>
        <w:ind w:firstLine="708"/>
        <w:jc w:val="both"/>
        <w:rPr>
          <w:color w:val="0070C0"/>
        </w:rPr>
      </w:pPr>
    </w:p>
    <w:p w14:paraId="1A8518B0" w14:textId="77777777" w:rsidR="00E057F7" w:rsidRDefault="00E057F7" w:rsidP="003C217B">
      <w:pPr>
        <w:ind w:firstLine="708"/>
        <w:jc w:val="both"/>
        <w:rPr>
          <w:color w:val="0070C0"/>
        </w:rPr>
      </w:pPr>
    </w:p>
    <w:p w14:paraId="4640C62D" w14:textId="77777777" w:rsidR="00E057F7" w:rsidRDefault="00E057F7" w:rsidP="003C217B">
      <w:pPr>
        <w:ind w:firstLine="708"/>
        <w:jc w:val="both"/>
        <w:rPr>
          <w:color w:val="0070C0"/>
        </w:rPr>
      </w:pPr>
    </w:p>
    <w:p w14:paraId="0C8CCAFA" w14:textId="77777777" w:rsidR="00E057F7" w:rsidRDefault="00E057F7" w:rsidP="003C217B">
      <w:pPr>
        <w:ind w:firstLine="708"/>
        <w:jc w:val="both"/>
        <w:rPr>
          <w:color w:val="0070C0"/>
        </w:rPr>
      </w:pPr>
    </w:p>
    <w:p w14:paraId="72F1B1FB" w14:textId="77777777" w:rsidR="00E057F7" w:rsidRDefault="00E057F7" w:rsidP="003C217B">
      <w:pPr>
        <w:ind w:firstLine="708"/>
        <w:jc w:val="both"/>
        <w:rPr>
          <w:color w:val="0070C0"/>
        </w:rPr>
      </w:pPr>
    </w:p>
    <w:p w14:paraId="3E322A3B" w14:textId="77777777" w:rsidR="00E057F7" w:rsidRDefault="00E057F7" w:rsidP="003C217B">
      <w:pPr>
        <w:ind w:firstLine="708"/>
        <w:jc w:val="both"/>
        <w:rPr>
          <w:color w:val="0070C0"/>
        </w:rPr>
      </w:pPr>
    </w:p>
    <w:p w14:paraId="5C56509D" w14:textId="77777777" w:rsidR="00E057F7" w:rsidRDefault="00E057F7" w:rsidP="003C217B">
      <w:pPr>
        <w:ind w:firstLine="708"/>
        <w:jc w:val="both"/>
        <w:rPr>
          <w:color w:val="0070C0"/>
        </w:rPr>
      </w:pPr>
    </w:p>
    <w:p w14:paraId="46887266" w14:textId="77777777" w:rsidR="00E057F7" w:rsidRDefault="00E057F7" w:rsidP="003C217B">
      <w:pPr>
        <w:ind w:firstLine="708"/>
        <w:jc w:val="both"/>
        <w:rPr>
          <w:color w:val="0070C0"/>
        </w:rPr>
      </w:pPr>
    </w:p>
    <w:p w14:paraId="4F59E0DC" w14:textId="77777777" w:rsidR="00E057F7" w:rsidRDefault="00E057F7" w:rsidP="003C217B">
      <w:pPr>
        <w:ind w:firstLine="708"/>
        <w:jc w:val="both"/>
        <w:rPr>
          <w:color w:val="0070C0"/>
        </w:rPr>
      </w:pPr>
    </w:p>
    <w:p w14:paraId="102D52DC" w14:textId="77777777" w:rsidR="00E057F7" w:rsidRDefault="00E057F7" w:rsidP="003C217B">
      <w:pPr>
        <w:ind w:firstLine="708"/>
        <w:jc w:val="both"/>
        <w:rPr>
          <w:color w:val="0070C0"/>
        </w:rPr>
      </w:pPr>
    </w:p>
    <w:p w14:paraId="19E6D3B6" w14:textId="77777777" w:rsidR="00E057F7" w:rsidRDefault="00E057F7" w:rsidP="003C217B">
      <w:pPr>
        <w:ind w:firstLine="708"/>
        <w:jc w:val="both"/>
        <w:rPr>
          <w:color w:val="0070C0"/>
        </w:rPr>
      </w:pPr>
    </w:p>
    <w:p w14:paraId="1684A32B" w14:textId="77777777" w:rsidR="00E057F7" w:rsidRDefault="00E057F7" w:rsidP="003C217B">
      <w:pPr>
        <w:ind w:firstLine="708"/>
        <w:jc w:val="both"/>
        <w:rPr>
          <w:color w:val="0070C0"/>
        </w:rPr>
      </w:pPr>
    </w:p>
    <w:p w14:paraId="7FA7C0A1" w14:textId="77777777" w:rsidR="00E057F7" w:rsidRDefault="00E057F7" w:rsidP="003C217B">
      <w:pPr>
        <w:ind w:firstLine="708"/>
        <w:jc w:val="both"/>
        <w:rPr>
          <w:color w:val="0070C0"/>
        </w:rPr>
      </w:pPr>
    </w:p>
    <w:p w14:paraId="4F102A14" w14:textId="77777777" w:rsidR="00E057F7" w:rsidRDefault="00E057F7" w:rsidP="003C217B">
      <w:pPr>
        <w:ind w:firstLine="708"/>
        <w:jc w:val="both"/>
        <w:rPr>
          <w:color w:val="0070C0"/>
        </w:rPr>
      </w:pPr>
    </w:p>
    <w:p w14:paraId="260026D9" w14:textId="77777777" w:rsidR="00E057F7" w:rsidRDefault="00E057F7" w:rsidP="003C217B">
      <w:pPr>
        <w:ind w:firstLine="708"/>
        <w:jc w:val="both"/>
        <w:rPr>
          <w:color w:val="0070C0"/>
        </w:rPr>
      </w:pPr>
    </w:p>
    <w:p w14:paraId="01320623" w14:textId="77777777" w:rsidR="00E057F7" w:rsidRDefault="00E057F7" w:rsidP="003C217B">
      <w:pPr>
        <w:ind w:firstLine="708"/>
        <w:jc w:val="both"/>
        <w:rPr>
          <w:color w:val="0070C0"/>
        </w:rPr>
      </w:pPr>
    </w:p>
    <w:p w14:paraId="72C6CEA5" w14:textId="77777777" w:rsidR="00E057F7" w:rsidRDefault="00E057F7" w:rsidP="003C217B">
      <w:pPr>
        <w:ind w:firstLine="708"/>
        <w:jc w:val="both"/>
        <w:rPr>
          <w:color w:val="0070C0"/>
        </w:rPr>
      </w:pPr>
    </w:p>
    <w:p w14:paraId="6B3E5D44" w14:textId="77777777" w:rsidR="00E057F7" w:rsidRDefault="00E057F7" w:rsidP="003C217B">
      <w:pPr>
        <w:ind w:firstLine="708"/>
        <w:jc w:val="both"/>
        <w:rPr>
          <w:color w:val="0070C0"/>
        </w:rPr>
      </w:pPr>
    </w:p>
    <w:p w14:paraId="02B2C9C2" w14:textId="77777777" w:rsidR="00E057F7" w:rsidRDefault="00E057F7" w:rsidP="003C217B">
      <w:pPr>
        <w:ind w:firstLine="708"/>
        <w:jc w:val="both"/>
        <w:rPr>
          <w:color w:val="0070C0"/>
        </w:rPr>
      </w:pPr>
    </w:p>
    <w:p w14:paraId="3F49F0DC" w14:textId="77777777" w:rsidR="00E057F7" w:rsidRDefault="00E057F7" w:rsidP="003C217B">
      <w:pPr>
        <w:ind w:firstLine="708"/>
        <w:jc w:val="both"/>
        <w:rPr>
          <w:color w:val="0070C0"/>
        </w:rPr>
      </w:pPr>
    </w:p>
    <w:p w14:paraId="1F1DE6FF" w14:textId="77777777" w:rsidR="00E057F7" w:rsidRDefault="00E057F7" w:rsidP="003C217B">
      <w:pPr>
        <w:ind w:firstLine="708"/>
        <w:jc w:val="both"/>
        <w:rPr>
          <w:color w:val="0070C0"/>
        </w:rPr>
      </w:pPr>
    </w:p>
    <w:p w14:paraId="29C9DD39" w14:textId="77777777" w:rsidR="00E057F7" w:rsidRDefault="00E057F7" w:rsidP="003C217B">
      <w:pPr>
        <w:ind w:firstLine="708"/>
        <w:jc w:val="both"/>
        <w:rPr>
          <w:color w:val="0070C0"/>
        </w:rPr>
      </w:pPr>
    </w:p>
    <w:p w14:paraId="552DD628" w14:textId="77777777" w:rsidR="00E057F7" w:rsidRDefault="00E057F7" w:rsidP="003C217B">
      <w:pPr>
        <w:ind w:firstLine="708"/>
        <w:jc w:val="both"/>
        <w:rPr>
          <w:color w:val="0070C0"/>
        </w:rPr>
      </w:pPr>
    </w:p>
    <w:p w14:paraId="212C3319" w14:textId="77777777" w:rsidR="00E057F7" w:rsidRDefault="00E057F7" w:rsidP="003C217B">
      <w:pPr>
        <w:ind w:firstLine="708"/>
        <w:jc w:val="both"/>
        <w:rPr>
          <w:color w:val="0070C0"/>
        </w:rPr>
      </w:pPr>
    </w:p>
    <w:p w14:paraId="1C3D2ACB" w14:textId="77777777" w:rsidR="00E057F7" w:rsidRDefault="00E057F7" w:rsidP="003C217B">
      <w:pPr>
        <w:ind w:firstLine="708"/>
        <w:jc w:val="both"/>
        <w:rPr>
          <w:color w:val="0070C0"/>
        </w:rPr>
      </w:pPr>
    </w:p>
    <w:p w14:paraId="0F1EA2CF" w14:textId="77777777" w:rsidR="00E057F7" w:rsidRDefault="00E057F7" w:rsidP="003C217B">
      <w:pPr>
        <w:ind w:firstLine="708"/>
        <w:jc w:val="both"/>
        <w:rPr>
          <w:color w:val="0070C0"/>
        </w:rPr>
      </w:pPr>
    </w:p>
    <w:p w14:paraId="5005DF48" w14:textId="77777777" w:rsidR="00E057F7" w:rsidRDefault="00E057F7" w:rsidP="003C217B">
      <w:pPr>
        <w:ind w:firstLine="708"/>
        <w:jc w:val="both"/>
        <w:rPr>
          <w:color w:val="0070C0"/>
        </w:rPr>
      </w:pPr>
    </w:p>
    <w:p w14:paraId="746096FD" w14:textId="77777777" w:rsidR="00746D3C" w:rsidRPr="00612E08" w:rsidRDefault="00746D3C" w:rsidP="00746D3C">
      <w:pPr>
        <w:jc w:val="center"/>
        <w:rPr>
          <w:b/>
          <w:sz w:val="28"/>
          <w:szCs w:val="28"/>
        </w:rPr>
      </w:pPr>
      <w:r w:rsidRPr="00612E08">
        <w:rPr>
          <w:b/>
          <w:sz w:val="28"/>
          <w:szCs w:val="28"/>
        </w:rPr>
        <w:lastRenderedPageBreak/>
        <w:t>Doložka vybraných vplyvov</w:t>
      </w:r>
    </w:p>
    <w:p w14:paraId="388D5BFA" w14:textId="77777777" w:rsidR="00746D3C" w:rsidRPr="00612E08" w:rsidRDefault="00746D3C" w:rsidP="00746D3C">
      <w:pPr>
        <w:jc w:val="center"/>
        <w:rPr>
          <w:b/>
          <w:sz w:val="28"/>
          <w:szCs w:val="28"/>
        </w:rPr>
      </w:pPr>
    </w:p>
    <w:p w14:paraId="220E473C" w14:textId="77777777" w:rsidR="00746D3C" w:rsidRPr="00612E08" w:rsidRDefault="00746D3C" w:rsidP="00746D3C">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746D3C" w:rsidRPr="00612E08" w14:paraId="6E299535" w14:textId="77777777" w:rsidTr="007B3372">
        <w:tc>
          <w:tcPr>
            <w:tcW w:w="9180" w:type="dxa"/>
            <w:gridSpan w:val="11"/>
            <w:tcBorders>
              <w:bottom w:val="single" w:sz="4" w:space="0" w:color="FFFFFF"/>
            </w:tcBorders>
            <w:shd w:val="clear" w:color="auto" w:fill="E2E2E2"/>
          </w:tcPr>
          <w:p w14:paraId="18CF923B" w14:textId="77777777" w:rsidR="00746D3C" w:rsidRPr="00612E08" w:rsidRDefault="00746D3C" w:rsidP="00746D3C">
            <w:pPr>
              <w:numPr>
                <w:ilvl w:val="0"/>
                <w:numId w:val="12"/>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746D3C" w:rsidRPr="00612E08" w14:paraId="675B2487" w14:textId="77777777" w:rsidTr="007B3372">
        <w:tc>
          <w:tcPr>
            <w:tcW w:w="9180" w:type="dxa"/>
            <w:gridSpan w:val="11"/>
            <w:tcBorders>
              <w:bottom w:val="single" w:sz="4" w:space="0" w:color="FFFFFF"/>
            </w:tcBorders>
            <w:shd w:val="clear" w:color="auto" w:fill="E2E2E2"/>
          </w:tcPr>
          <w:p w14:paraId="4C4DFFCC" w14:textId="77777777" w:rsidR="00746D3C" w:rsidRPr="00612E08" w:rsidRDefault="00746D3C" w:rsidP="007B337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746D3C" w:rsidRPr="00612E08" w14:paraId="2BE0D12E" w14:textId="77777777" w:rsidTr="007B3372">
        <w:tc>
          <w:tcPr>
            <w:tcW w:w="9180" w:type="dxa"/>
            <w:gridSpan w:val="11"/>
            <w:tcBorders>
              <w:top w:val="single" w:sz="4" w:space="0" w:color="FFFFFF"/>
              <w:bottom w:val="single" w:sz="4" w:space="0" w:color="auto"/>
            </w:tcBorders>
          </w:tcPr>
          <w:p w14:paraId="2E952CB4" w14:textId="7247139F" w:rsidR="00746D3C" w:rsidRPr="00790DE0" w:rsidRDefault="00ED5D8A" w:rsidP="007B3372">
            <w:pPr>
              <w:jc w:val="both"/>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Vládny n</w:t>
            </w:r>
            <w:r w:rsidR="00746D3C" w:rsidRPr="00790DE0">
              <w:rPr>
                <w:rFonts w:ascii="Times New Roman" w:eastAsia="Times New Roman" w:hAnsi="Times New Roman" w:cs="Times New Roman"/>
                <w:b/>
                <w:bCs/>
                <w:sz w:val="20"/>
                <w:szCs w:val="20"/>
                <w:lang w:eastAsia="sk-SK"/>
              </w:rPr>
              <w:t>ávrh zákona, ktorým sa mení a dopĺňa zákon č. 222/2004 Z. z. o dani z pridanej hodnoty v znení neskorších predpisov a ktorým sa menia a dopĺňajú niektoré zákony.</w:t>
            </w:r>
          </w:p>
        </w:tc>
      </w:tr>
      <w:tr w:rsidR="00746D3C" w:rsidRPr="00612E08" w14:paraId="3981925B" w14:textId="77777777" w:rsidTr="007B3372">
        <w:tc>
          <w:tcPr>
            <w:tcW w:w="9180" w:type="dxa"/>
            <w:gridSpan w:val="11"/>
            <w:tcBorders>
              <w:top w:val="single" w:sz="4" w:space="0" w:color="auto"/>
              <w:left w:val="single" w:sz="4" w:space="0" w:color="auto"/>
              <w:bottom w:val="single" w:sz="4" w:space="0" w:color="FFFFFF"/>
            </w:tcBorders>
            <w:shd w:val="clear" w:color="auto" w:fill="E2E2E2"/>
          </w:tcPr>
          <w:p w14:paraId="6AC598BE" w14:textId="77777777" w:rsidR="00746D3C" w:rsidRPr="00612E08" w:rsidRDefault="00746D3C" w:rsidP="007B337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746D3C" w:rsidRPr="00612E08" w14:paraId="1F76FA55" w14:textId="77777777" w:rsidTr="007B3372">
        <w:tc>
          <w:tcPr>
            <w:tcW w:w="9180" w:type="dxa"/>
            <w:gridSpan w:val="11"/>
            <w:tcBorders>
              <w:top w:val="single" w:sz="4" w:space="0" w:color="FFFFFF"/>
              <w:left w:val="single" w:sz="4" w:space="0" w:color="auto"/>
              <w:bottom w:val="single" w:sz="4" w:space="0" w:color="auto"/>
            </w:tcBorders>
            <w:shd w:val="clear" w:color="auto" w:fill="FFFFFF"/>
          </w:tcPr>
          <w:p w14:paraId="3AD8851A" w14:textId="18F0BBD8" w:rsidR="00746D3C" w:rsidRPr="00612E08" w:rsidRDefault="00ED5D8A" w:rsidP="007B337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r w:rsidR="00746D3C" w:rsidRPr="00790DE0">
              <w:rPr>
                <w:rFonts w:ascii="Times New Roman" w:eastAsia="Times New Roman" w:hAnsi="Times New Roman" w:cs="Times New Roman"/>
                <w:sz w:val="20"/>
                <w:szCs w:val="20"/>
                <w:lang w:eastAsia="sk-SK"/>
              </w:rPr>
              <w:t xml:space="preserve"> Slovenskej republiky.</w:t>
            </w:r>
          </w:p>
        </w:tc>
      </w:tr>
      <w:tr w:rsidR="00746D3C" w:rsidRPr="00612E08" w14:paraId="279F7A2E" w14:textId="77777777" w:rsidTr="007B3372">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26E5816" w14:textId="77777777" w:rsidR="00746D3C" w:rsidRPr="00612E08" w:rsidRDefault="00746D3C" w:rsidP="007B337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E36093A" w14:textId="77777777" w:rsidR="00746D3C" w:rsidRPr="00612E08" w:rsidRDefault="00746D3C" w:rsidP="007B33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A0CC99E"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746D3C" w:rsidRPr="00612E08" w14:paraId="4BB79792" w14:textId="77777777" w:rsidTr="007B3372">
        <w:tc>
          <w:tcPr>
            <w:tcW w:w="4212" w:type="dxa"/>
            <w:gridSpan w:val="2"/>
            <w:vMerge/>
            <w:tcBorders>
              <w:top w:val="nil"/>
              <w:left w:val="single" w:sz="4" w:space="0" w:color="auto"/>
              <w:bottom w:val="single" w:sz="4" w:space="0" w:color="FFFFFF"/>
            </w:tcBorders>
            <w:shd w:val="clear" w:color="auto" w:fill="E2E2E2"/>
          </w:tcPr>
          <w:p w14:paraId="2C1F1100" w14:textId="77777777" w:rsidR="00746D3C" w:rsidRPr="00612E08" w:rsidRDefault="00746D3C" w:rsidP="007B3372">
            <w:pPr>
              <w:rPr>
                <w:rFonts w:ascii="Times New Roman" w:eastAsia="Times New Roman" w:hAnsi="Times New Roman" w:cs="Times New Roman"/>
                <w:sz w:val="20"/>
                <w:szCs w:val="20"/>
                <w:lang w:eastAsia="sk-SK"/>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EDC021E" w14:textId="77777777" w:rsidR="00746D3C" w:rsidRPr="00612E08" w:rsidRDefault="00746D3C" w:rsidP="007B337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94A1FED" w14:textId="77777777" w:rsidR="00746D3C" w:rsidRPr="00612E08" w:rsidRDefault="00746D3C" w:rsidP="007B3372">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746D3C" w:rsidRPr="00612E08" w14:paraId="2C761983" w14:textId="77777777" w:rsidTr="007B3372">
        <w:tc>
          <w:tcPr>
            <w:tcW w:w="4212" w:type="dxa"/>
            <w:gridSpan w:val="2"/>
            <w:vMerge/>
            <w:tcBorders>
              <w:top w:val="nil"/>
              <w:left w:val="single" w:sz="4" w:space="0" w:color="auto"/>
              <w:bottom w:val="single" w:sz="4" w:space="0" w:color="auto"/>
            </w:tcBorders>
            <w:shd w:val="clear" w:color="auto" w:fill="E2E2E2"/>
          </w:tcPr>
          <w:p w14:paraId="5D3E9906" w14:textId="77777777" w:rsidR="00746D3C" w:rsidRPr="00612E08" w:rsidRDefault="00746D3C" w:rsidP="007B3372">
            <w:pPr>
              <w:rPr>
                <w:rFonts w:ascii="Times New Roman" w:eastAsia="Times New Roman" w:hAnsi="Times New Roman" w:cs="Times New Roman"/>
                <w:sz w:val="20"/>
                <w:szCs w:val="20"/>
                <w:lang w:eastAsia="sk-SK"/>
              </w:rPr>
            </w:pPr>
          </w:p>
        </w:tc>
        <w:sdt>
          <w:sdtPr>
            <w:rPr>
              <w:sz w:val="20"/>
              <w:szCs w:val="20"/>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58164FA" w14:textId="77777777" w:rsidR="00746D3C" w:rsidRPr="00612E08" w:rsidRDefault="00746D3C" w:rsidP="007B337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00BB6F2"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746D3C" w:rsidRPr="00612E08" w14:paraId="54AC979A" w14:textId="77777777" w:rsidTr="007B3372">
        <w:tc>
          <w:tcPr>
            <w:tcW w:w="9180" w:type="dxa"/>
            <w:gridSpan w:val="11"/>
            <w:tcBorders>
              <w:top w:val="single" w:sz="4" w:space="0" w:color="auto"/>
              <w:left w:val="single" w:sz="4" w:space="0" w:color="auto"/>
              <w:bottom w:val="single" w:sz="4" w:space="0" w:color="FFFFFF"/>
            </w:tcBorders>
            <w:shd w:val="clear" w:color="auto" w:fill="FFFFFF"/>
          </w:tcPr>
          <w:p w14:paraId="49BD87E3" w14:textId="77777777" w:rsidR="00746D3C" w:rsidRDefault="00746D3C" w:rsidP="007B337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14:paraId="0712EC61" w14:textId="77777777" w:rsidR="00746D3C" w:rsidRDefault="00746D3C" w:rsidP="007B3372">
            <w:pPr>
              <w:pStyle w:val="Bezriadkovania"/>
              <w:jc w:val="both"/>
              <w:rPr>
                <w:rFonts w:ascii="Times New Roman" w:hAnsi="Times New Roman" w:cs="Times New Roman"/>
                <w:sz w:val="20"/>
                <w:szCs w:val="20"/>
              </w:rPr>
            </w:pPr>
            <w:r>
              <w:rPr>
                <w:rFonts w:ascii="Times New Roman" w:hAnsi="Times New Roman" w:cs="Times New Roman"/>
                <w:sz w:val="20"/>
                <w:szCs w:val="20"/>
              </w:rPr>
              <w:t>S</w:t>
            </w:r>
            <w:r w:rsidRPr="00713D7E">
              <w:rPr>
                <w:rFonts w:ascii="Times New Roman" w:hAnsi="Times New Roman" w:cs="Times New Roman"/>
                <w:sz w:val="20"/>
                <w:szCs w:val="20"/>
              </w:rPr>
              <w:t>mernica Komisie 2006/111/ES zo 16. novembra 2006 o transparentnosti finančných vzťahov členských štátov a verejných podnikov a o finančnej transparentnosti v niektorých podnikoch (kodifikované znenie) (</w:t>
            </w:r>
            <w:r w:rsidRPr="00EE088E">
              <w:rPr>
                <w:rFonts w:ascii="Times New Roman" w:hAnsi="Times New Roman" w:cs="Times New Roman"/>
                <w:i/>
                <w:iCs/>
                <w:sz w:val="20"/>
                <w:szCs w:val="20"/>
              </w:rPr>
              <w:t>Ú. v. EÚ L 318, 17.11.2006</w:t>
            </w:r>
            <w:r w:rsidRPr="00713D7E">
              <w:rPr>
                <w:rFonts w:ascii="Times New Roman" w:hAnsi="Times New Roman" w:cs="Times New Roman"/>
                <w:sz w:val="20"/>
                <w:szCs w:val="20"/>
              </w:rPr>
              <w:t xml:space="preserve">) </w:t>
            </w:r>
            <w:r w:rsidRPr="00EE088E">
              <w:rPr>
                <w:rFonts w:ascii="Times New Roman" w:hAnsi="Times New Roman" w:cs="Times New Roman"/>
                <w:i/>
                <w:iCs/>
                <w:sz w:val="20"/>
                <w:szCs w:val="20"/>
              </w:rPr>
              <w:t>v platnom znení</w:t>
            </w:r>
            <w:r w:rsidRPr="00EE088E">
              <w:rPr>
                <w:rFonts w:ascii="Times New Roman" w:hAnsi="Times New Roman" w:cs="Times New Roman"/>
                <w:sz w:val="20"/>
                <w:szCs w:val="20"/>
              </w:rPr>
              <w:t>.</w:t>
            </w:r>
          </w:p>
          <w:p w14:paraId="7C0301B4" w14:textId="77777777" w:rsidR="00746D3C" w:rsidRDefault="00746D3C" w:rsidP="007B3372">
            <w:pPr>
              <w:pStyle w:val="Bezriadkovania"/>
              <w:jc w:val="both"/>
              <w:rPr>
                <w:rStyle w:val="Zvraznenie"/>
                <w:rFonts w:ascii="Times New Roman" w:hAnsi="Times New Roman" w:cs="Times New Roman"/>
                <w:sz w:val="20"/>
                <w:szCs w:val="20"/>
              </w:rPr>
            </w:pPr>
            <w:r w:rsidRPr="009E65C0">
              <w:rPr>
                <w:rFonts w:ascii="Times New Roman" w:hAnsi="Times New Roman" w:cs="Times New Roman"/>
                <w:sz w:val="20"/>
                <w:szCs w:val="20"/>
              </w:rPr>
              <w:t>Smernica Rady 2006/112/ES z  28. novembra 2006 o spoločnom systéme dane z pridanej hodnoty (</w:t>
            </w:r>
            <w:r w:rsidRPr="009E65C0">
              <w:rPr>
                <w:rStyle w:val="Zvraznenie"/>
                <w:rFonts w:ascii="Times New Roman" w:hAnsi="Times New Roman" w:cs="Times New Roman"/>
                <w:sz w:val="20"/>
                <w:szCs w:val="20"/>
              </w:rPr>
              <w:t>Ú. v. EÚ L 347, 11.12.2006) v platnom znení</w:t>
            </w:r>
            <w:r w:rsidRPr="00EE088E">
              <w:rPr>
                <w:rStyle w:val="Zvraznenie"/>
                <w:rFonts w:ascii="Times New Roman" w:hAnsi="Times New Roman" w:cs="Times New Roman"/>
                <w:sz w:val="20"/>
                <w:szCs w:val="20"/>
              </w:rPr>
              <w:t>.</w:t>
            </w:r>
          </w:p>
          <w:p w14:paraId="1A6546A3" w14:textId="77777777" w:rsidR="00746D3C" w:rsidRDefault="00746D3C" w:rsidP="007B3372">
            <w:pPr>
              <w:pStyle w:val="Bezriadkovania"/>
              <w:jc w:val="both"/>
              <w:rPr>
                <w:rStyle w:val="Zvraznenie"/>
                <w:rFonts w:ascii="Times New Roman" w:hAnsi="Times New Roman" w:cs="Times New Roman"/>
                <w:i w:val="0"/>
                <w:iCs w:val="0"/>
                <w:sz w:val="20"/>
                <w:szCs w:val="20"/>
              </w:rPr>
            </w:pPr>
            <w:r w:rsidRPr="00CF7F7E">
              <w:rPr>
                <w:rStyle w:val="Zvraznenie"/>
                <w:rFonts w:ascii="Times New Roman" w:hAnsi="Times New Roman" w:cs="Times New Roman"/>
                <w:sz w:val="20"/>
                <w:szCs w:val="20"/>
              </w:rPr>
              <w:t>Smernica Rady 2010/45/EÚ z 13. júla 2010, ktorou sa mení a dopĺňa smernica 2006/112/ES o spoločnom systéme dane z pridanej hodnoty (Ú. v. EÚ L 189, 22.7.2010)</w:t>
            </w:r>
            <w:r>
              <w:rPr>
                <w:rStyle w:val="Zvraznenie"/>
                <w:rFonts w:ascii="Times New Roman" w:hAnsi="Times New Roman" w:cs="Times New Roman"/>
                <w:sz w:val="20"/>
                <w:szCs w:val="20"/>
              </w:rPr>
              <w:t>.</w:t>
            </w:r>
          </w:p>
          <w:p w14:paraId="3A539296" w14:textId="77777777" w:rsidR="00746D3C" w:rsidRDefault="00746D3C" w:rsidP="007B3372">
            <w:pPr>
              <w:pStyle w:val="Bezriadkovania"/>
              <w:jc w:val="both"/>
              <w:rPr>
                <w:rStyle w:val="Zvraznenie"/>
                <w:rFonts w:ascii="Times New Roman" w:hAnsi="Times New Roman" w:cs="Times New Roman"/>
                <w:i w:val="0"/>
                <w:iCs w:val="0"/>
                <w:sz w:val="20"/>
                <w:szCs w:val="20"/>
              </w:rPr>
            </w:pPr>
            <w:r>
              <w:rPr>
                <w:rStyle w:val="Zvraznenie"/>
                <w:rFonts w:ascii="Times New Roman" w:hAnsi="Times New Roman" w:cs="Times New Roman"/>
                <w:sz w:val="20"/>
                <w:szCs w:val="20"/>
              </w:rPr>
              <w:t>S</w:t>
            </w:r>
            <w:r w:rsidRPr="00CF7F7E">
              <w:rPr>
                <w:rStyle w:val="Zvraznenie"/>
                <w:rFonts w:ascii="Times New Roman" w:hAnsi="Times New Roman" w:cs="Times New Roman"/>
                <w:sz w:val="20"/>
                <w:szCs w:val="20"/>
              </w:rPr>
              <w:t>mernica Európskeho parlamentu a Rady 2014/55/EÚ zo 16. apríla 2014 o elektronickej fakturácii vo verejnom obstarávaní. (Ú. v. EÚ L 133, 06.05.2014)</w:t>
            </w:r>
            <w:r>
              <w:rPr>
                <w:rStyle w:val="Zvraznenie"/>
                <w:rFonts w:ascii="Times New Roman" w:hAnsi="Times New Roman" w:cs="Times New Roman"/>
                <w:sz w:val="20"/>
                <w:szCs w:val="20"/>
              </w:rPr>
              <w:t>.</w:t>
            </w:r>
          </w:p>
          <w:p w14:paraId="332B6740" w14:textId="77777777" w:rsidR="00746D3C" w:rsidRDefault="00746D3C" w:rsidP="007B3372">
            <w:pPr>
              <w:pStyle w:val="Bezriadkovania"/>
              <w:jc w:val="both"/>
              <w:rPr>
                <w:rStyle w:val="Zvraznenie"/>
                <w:rFonts w:ascii="Times New Roman" w:hAnsi="Times New Roman" w:cs="Times New Roman"/>
                <w:i w:val="0"/>
                <w:iCs w:val="0"/>
                <w:sz w:val="20"/>
                <w:szCs w:val="20"/>
              </w:rPr>
            </w:pPr>
            <w:r w:rsidRPr="00B925F3">
              <w:rPr>
                <w:rStyle w:val="Zvraznenie"/>
                <w:rFonts w:ascii="Times New Roman" w:hAnsi="Times New Roman" w:cs="Times New Roman"/>
                <w:sz w:val="20"/>
                <w:szCs w:val="20"/>
              </w:rPr>
              <w:t>Smernica Rady (EÚ) 2025/516 z 11. marca 2025, ktorou sa mení smernica 2006/112/ES, pokiaľ ide o pravidlá DPH pre digitálny vek</w:t>
            </w:r>
            <w:r>
              <w:rPr>
                <w:rStyle w:val="Zvraznenie"/>
                <w:rFonts w:ascii="Times New Roman" w:hAnsi="Times New Roman" w:cs="Times New Roman"/>
                <w:sz w:val="20"/>
                <w:szCs w:val="20"/>
              </w:rPr>
              <w:t xml:space="preserve"> </w:t>
            </w:r>
            <w:r w:rsidRPr="00B925F3">
              <w:rPr>
                <w:rStyle w:val="Zvraznenie"/>
                <w:rFonts w:ascii="Times New Roman" w:hAnsi="Times New Roman" w:cs="Times New Roman"/>
                <w:sz w:val="20"/>
                <w:szCs w:val="20"/>
              </w:rPr>
              <w:t>(Ú. v. EÚ L, 2025/516, 25.3.2025)</w:t>
            </w:r>
            <w:r>
              <w:rPr>
                <w:rStyle w:val="Zvraznenie"/>
                <w:rFonts w:ascii="Times New Roman" w:hAnsi="Times New Roman" w:cs="Times New Roman"/>
                <w:sz w:val="20"/>
                <w:szCs w:val="20"/>
              </w:rPr>
              <w:t>.</w:t>
            </w:r>
          </w:p>
          <w:p w14:paraId="2324C52A" w14:textId="77777777" w:rsidR="00746D3C" w:rsidRPr="00612E08" w:rsidRDefault="00746D3C" w:rsidP="007B3372">
            <w:pPr>
              <w:pStyle w:val="Bezriadkovania"/>
              <w:jc w:val="both"/>
              <w:rPr>
                <w:rFonts w:ascii="Times New Roman" w:eastAsia="Times New Roman" w:hAnsi="Times New Roman" w:cs="Times New Roman"/>
                <w:sz w:val="20"/>
                <w:szCs w:val="20"/>
                <w:lang w:eastAsia="sk-SK"/>
              </w:rPr>
            </w:pPr>
            <w:r>
              <w:rPr>
                <w:rStyle w:val="Zvraznenie"/>
                <w:rFonts w:ascii="Times New Roman" w:hAnsi="Times New Roman" w:cs="Times New Roman"/>
                <w:sz w:val="20"/>
                <w:szCs w:val="20"/>
              </w:rPr>
              <w:t>S</w:t>
            </w:r>
            <w:r w:rsidRPr="00054669">
              <w:rPr>
                <w:rStyle w:val="Zvraznenie"/>
                <w:rFonts w:ascii="Times New Roman" w:hAnsi="Times New Roman" w:cs="Times New Roman"/>
                <w:sz w:val="20"/>
                <w:szCs w:val="20"/>
              </w:rPr>
              <w:t>mernica Komisie (EÚ) 2025/1442 z 18. júla 2025, ktorou sa mení smernica 2006/111/ES, pokiaľ ide o vykazovacie povinnosti (Ú. v. EÚ L, 2025/1442, 21.7.2025)</w:t>
            </w:r>
            <w:r>
              <w:rPr>
                <w:rStyle w:val="Zvraznenie"/>
                <w:rFonts w:ascii="Times New Roman" w:hAnsi="Times New Roman" w:cs="Times New Roman"/>
                <w:sz w:val="20"/>
                <w:szCs w:val="20"/>
              </w:rPr>
              <w:t>.</w:t>
            </w:r>
          </w:p>
        </w:tc>
      </w:tr>
      <w:tr w:rsidR="00746D3C" w:rsidRPr="00612E08" w14:paraId="7017CFB6" w14:textId="77777777" w:rsidTr="007B3372">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7C40C363" w14:textId="77777777" w:rsidR="00746D3C" w:rsidRPr="00612E08" w:rsidRDefault="00746D3C" w:rsidP="007B337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B94A200" w14:textId="77777777" w:rsidR="00746D3C" w:rsidRPr="00612E08" w:rsidRDefault="00746D3C" w:rsidP="007B3372">
            <w:pPr>
              <w:rPr>
                <w:rFonts w:ascii="Times New Roman" w:eastAsia="Times New Roman" w:hAnsi="Times New Roman" w:cs="Times New Roman"/>
                <w:i/>
                <w:sz w:val="20"/>
                <w:szCs w:val="20"/>
                <w:lang w:eastAsia="sk-SK"/>
              </w:rPr>
            </w:pPr>
            <w:r w:rsidRPr="00827DEF">
              <w:rPr>
                <w:rFonts w:ascii="Times New Roman" w:eastAsia="Times New Roman" w:hAnsi="Times New Roman" w:cs="Times New Roman"/>
                <w:i/>
                <w:sz w:val="20"/>
                <w:szCs w:val="20"/>
                <w:lang w:eastAsia="sk-SK"/>
              </w:rPr>
              <w:t>III. štvrťrok 2025</w:t>
            </w:r>
          </w:p>
        </w:tc>
      </w:tr>
      <w:tr w:rsidR="00746D3C" w:rsidRPr="00612E08" w14:paraId="244301F9" w14:textId="77777777" w:rsidTr="007B337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C8860AB" w14:textId="77777777" w:rsidR="00746D3C" w:rsidRPr="00612E08" w:rsidRDefault="00746D3C" w:rsidP="007B337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6F15B28" w14:textId="77777777" w:rsidR="00746D3C" w:rsidRPr="00612E08" w:rsidRDefault="00746D3C" w:rsidP="007B3372">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III. štvrťrok 2025</w:t>
            </w:r>
          </w:p>
        </w:tc>
      </w:tr>
      <w:tr w:rsidR="00746D3C" w:rsidRPr="00612E08" w14:paraId="66EB0438" w14:textId="77777777" w:rsidTr="007B3372">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9AF6B6C" w14:textId="77777777" w:rsidR="00746D3C" w:rsidRPr="00612E08" w:rsidRDefault="00746D3C" w:rsidP="007B3372">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9B8F065" w14:textId="77777777" w:rsidR="00746D3C" w:rsidRPr="00612E08" w:rsidRDefault="00746D3C" w:rsidP="007B3372">
            <w:pPr>
              <w:rPr>
                <w:rFonts w:ascii="Times New Roman" w:eastAsia="Times New Roman" w:hAnsi="Times New Roman" w:cs="Times New Roman"/>
                <w:i/>
                <w:sz w:val="20"/>
                <w:szCs w:val="20"/>
                <w:lang w:eastAsia="sk-SK"/>
              </w:rPr>
            </w:pPr>
          </w:p>
        </w:tc>
      </w:tr>
      <w:tr w:rsidR="00746D3C" w:rsidRPr="00612E08" w14:paraId="3946CD2B" w14:textId="77777777" w:rsidTr="007B337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10DB4A7" w14:textId="77777777" w:rsidR="00746D3C" w:rsidRPr="00612E08" w:rsidRDefault="00746D3C" w:rsidP="007B3372">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5D8627A" w14:textId="77777777" w:rsidR="00746D3C" w:rsidRPr="00612E08" w:rsidRDefault="00746D3C" w:rsidP="007B3372">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III. štvrťrok 2025</w:t>
            </w:r>
          </w:p>
        </w:tc>
      </w:tr>
      <w:tr w:rsidR="00746D3C" w:rsidRPr="00612E08" w14:paraId="7F4F733E" w14:textId="77777777" w:rsidTr="007B3372">
        <w:tc>
          <w:tcPr>
            <w:tcW w:w="9180" w:type="dxa"/>
            <w:gridSpan w:val="11"/>
            <w:tcBorders>
              <w:top w:val="single" w:sz="4" w:space="0" w:color="auto"/>
              <w:left w:val="nil"/>
              <w:bottom w:val="single" w:sz="4" w:space="0" w:color="auto"/>
              <w:right w:val="nil"/>
            </w:tcBorders>
            <w:shd w:val="clear" w:color="auto" w:fill="FFFFFF"/>
          </w:tcPr>
          <w:p w14:paraId="6C39C535" w14:textId="77777777" w:rsidR="00746D3C" w:rsidRPr="00612E08" w:rsidRDefault="00746D3C" w:rsidP="007B3372">
            <w:pPr>
              <w:rPr>
                <w:rFonts w:ascii="Times New Roman" w:eastAsia="Times New Roman" w:hAnsi="Times New Roman" w:cs="Times New Roman"/>
                <w:sz w:val="20"/>
                <w:szCs w:val="20"/>
                <w:lang w:eastAsia="sk-SK"/>
              </w:rPr>
            </w:pPr>
          </w:p>
        </w:tc>
      </w:tr>
      <w:tr w:rsidR="00746D3C" w:rsidRPr="00612E08" w14:paraId="2B076402" w14:textId="77777777" w:rsidTr="007B337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6050E6E" w14:textId="77777777" w:rsidR="00746D3C" w:rsidRPr="00612E08" w:rsidRDefault="00746D3C" w:rsidP="00746D3C">
            <w:pPr>
              <w:numPr>
                <w:ilvl w:val="0"/>
                <w:numId w:val="12"/>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746D3C" w:rsidRPr="00612E08" w14:paraId="6053277E" w14:textId="77777777" w:rsidTr="007B3372">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5947698" w14:textId="77777777" w:rsidR="00746D3C" w:rsidRPr="009978FF" w:rsidRDefault="00746D3C" w:rsidP="007B3372">
            <w:pPr>
              <w:jc w:val="both"/>
              <w:rPr>
                <w:rFonts w:ascii="Times New Roman" w:hAnsi="Times New Roman" w:cs="Times New Roman"/>
                <w:sz w:val="20"/>
                <w:szCs w:val="20"/>
              </w:rPr>
            </w:pPr>
            <w:r w:rsidRPr="009978FF">
              <w:rPr>
                <w:rFonts w:ascii="Times New Roman" w:hAnsi="Times New Roman" w:cs="Times New Roman"/>
                <w:sz w:val="20"/>
                <w:szCs w:val="20"/>
              </w:rPr>
              <w:t>Podľa súčasnej právnej úpravy zákon</w:t>
            </w:r>
            <w:r>
              <w:rPr>
                <w:rFonts w:ascii="Times New Roman" w:hAnsi="Times New Roman" w:cs="Times New Roman"/>
                <w:sz w:val="20"/>
                <w:szCs w:val="20"/>
              </w:rPr>
              <w:t xml:space="preserve"> č. 222/2004 Z. z. o dani z pridanej hodnoty v znení neskorších predpisov (ďalej len „zákon</w:t>
            </w:r>
            <w:r w:rsidRPr="009978FF">
              <w:rPr>
                <w:rFonts w:ascii="Times New Roman" w:hAnsi="Times New Roman" w:cs="Times New Roman"/>
                <w:sz w:val="20"/>
                <w:szCs w:val="20"/>
              </w:rPr>
              <w:t xml:space="preserve"> o</w:t>
            </w:r>
            <w:r>
              <w:rPr>
                <w:rFonts w:ascii="Times New Roman" w:hAnsi="Times New Roman" w:cs="Times New Roman"/>
                <w:sz w:val="20"/>
                <w:szCs w:val="20"/>
              </w:rPr>
              <w:t> </w:t>
            </w:r>
            <w:r w:rsidRPr="009978FF">
              <w:rPr>
                <w:rFonts w:ascii="Times New Roman" w:hAnsi="Times New Roman" w:cs="Times New Roman"/>
                <w:sz w:val="20"/>
                <w:szCs w:val="20"/>
              </w:rPr>
              <w:t>DPH</w:t>
            </w:r>
            <w:r>
              <w:rPr>
                <w:rFonts w:ascii="Times New Roman" w:hAnsi="Times New Roman" w:cs="Times New Roman"/>
                <w:sz w:val="20"/>
                <w:szCs w:val="20"/>
              </w:rPr>
              <w:t>“)</w:t>
            </w:r>
            <w:r w:rsidRPr="009978FF">
              <w:rPr>
                <w:rFonts w:ascii="Times New Roman" w:hAnsi="Times New Roman" w:cs="Times New Roman"/>
                <w:sz w:val="20"/>
                <w:szCs w:val="20"/>
              </w:rPr>
              <w:t xml:space="preserve"> umožňuje listinnú ako aj elektronickú formu vyhotovenia faktúry, ak sa zmluvné strany na takejto forme dohodnú. Uvedené spôsobuje, že faktúry</w:t>
            </w:r>
            <w:r>
              <w:rPr>
                <w:rFonts w:ascii="Times New Roman" w:hAnsi="Times New Roman" w:cs="Times New Roman"/>
                <w:sz w:val="20"/>
                <w:szCs w:val="20"/>
              </w:rPr>
              <w:t xml:space="preserve"> v listinnej podobe</w:t>
            </w:r>
            <w:r w:rsidRPr="009978FF">
              <w:rPr>
                <w:rFonts w:ascii="Times New Roman" w:hAnsi="Times New Roman" w:cs="Times New Roman"/>
                <w:sz w:val="20"/>
                <w:szCs w:val="20"/>
              </w:rPr>
              <w:t xml:space="preserve"> sú v rámci podnikateľského prostredia oneskorene doručované, čo má následne vplyv aj na rýchlosť platieb</w:t>
            </w:r>
            <w:r>
              <w:rPr>
                <w:rFonts w:ascii="Times New Roman" w:hAnsi="Times New Roman" w:cs="Times New Roman"/>
                <w:sz w:val="20"/>
                <w:szCs w:val="20"/>
              </w:rPr>
              <w:t xml:space="preserve"> a</w:t>
            </w:r>
            <w:r w:rsidRPr="009978FF">
              <w:rPr>
                <w:rFonts w:ascii="Times New Roman" w:hAnsi="Times New Roman" w:cs="Times New Roman"/>
                <w:sz w:val="20"/>
                <w:szCs w:val="20"/>
              </w:rPr>
              <w:t xml:space="preserve"> </w:t>
            </w:r>
            <w:r>
              <w:rPr>
                <w:rFonts w:ascii="Times New Roman" w:hAnsi="Times New Roman" w:cs="Times New Roman"/>
                <w:sz w:val="20"/>
                <w:szCs w:val="20"/>
              </w:rPr>
              <w:t>elektronická podoba faktúr nie je po formálnej stránke jednotne upravená.</w:t>
            </w:r>
          </w:p>
          <w:p w14:paraId="3B968534" w14:textId="77777777" w:rsidR="00746D3C" w:rsidRPr="009978FF" w:rsidRDefault="00746D3C" w:rsidP="007B3372">
            <w:pPr>
              <w:jc w:val="both"/>
              <w:rPr>
                <w:rFonts w:ascii="Times New Roman" w:hAnsi="Times New Roman" w:cs="Times New Roman"/>
                <w:sz w:val="20"/>
                <w:szCs w:val="20"/>
              </w:rPr>
            </w:pPr>
          </w:p>
          <w:p w14:paraId="1880E985" w14:textId="77777777" w:rsidR="00746D3C" w:rsidRPr="009978FF" w:rsidRDefault="00746D3C" w:rsidP="007B3372">
            <w:pPr>
              <w:pStyle w:val="p1"/>
              <w:jc w:val="both"/>
              <w:rPr>
                <w:rFonts w:ascii="Times New Roman" w:hAnsi="Times New Roman"/>
                <w:color w:val="auto"/>
                <w:sz w:val="20"/>
                <w:szCs w:val="20"/>
              </w:rPr>
            </w:pPr>
            <w:r w:rsidRPr="009978FF">
              <w:rPr>
                <w:rFonts w:ascii="Times New Roman" w:hAnsi="Times New Roman"/>
                <w:color w:val="auto"/>
                <w:sz w:val="20"/>
                <w:szCs w:val="20"/>
              </w:rPr>
              <w:t>V súčasnosti neexistuje povinnosť platiteľov</w:t>
            </w:r>
            <w:r>
              <w:rPr>
                <w:rFonts w:ascii="Times New Roman" w:hAnsi="Times New Roman"/>
                <w:color w:val="auto"/>
                <w:sz w:val="20"/>
                <w:szCs w:val="20"/>
              </w:rPr>
              <w:t xml:space="preserve"> dane</w:t>
            </w:r>
            <w:r w:rsidRPr="009978FF">
              <w:rPr>
                <w:rFonts w:ascii="Times New Roman" w:hAnsi="Times New Roman"/>
                <w:color w:val="auto"/>
                <w:sz w:val="20"/>
                <w:szCs w:val="20"/>
              </w:rPr>
              <w:t xml:space="preserve"> predkladať údaje </w:t>
            </w:r>
            <w:r>
              <w:rPr>
                <w:rFonts w:ascii="Times New Roman" w:hAnsi="Times New Roman"/>
                <w:color w:val="auto"/>
                <w:sz w:val="20"/>
                <w:szCs w:val="20"/>
              </w:rPr>
              <w:t>týkajúce sa</w:t>
            </w:r>
            <w:r w:rsidRPr="009978FF">
              <w:rPr>
                <w:rFonts w:ascii="Times New Roman" w:hAnsi="Times New Roman"/>
                <w:color w:val="auto"/>
                <w:sz w:val="20"/>
                <w:szCs w:val="20"/>
              </w:rPr>
              <w:t> vyhotovených a prijatých faktúr v reálnom čase</w:t>
            </w:r>
            <w:r>
              <w:rPr>
                <w:rFonts w:ascii="Times New Roman" w:hAnsi="Times New Roman"/>
                <w:color w:val="auto"/>
                <w:sz w:val="20"/>
                <w:szCs w:val="20"/>
              </w:rPr>
              <w:t>, ale</w:t>
            </w:r>
            <w:r w:rsidRPr="009978FF">
              <w:rPr>
                <w:rFonts w:ascii="Times New Roman" w:hAnsi="Times New Roman"/>
                <w:color w:val="auto"/>
                <w:sz w:val="20"/>
                <w:szCs w:val="20"/>
              </w:rPr>
              <w:t xml:space="preserve"> </w:t>
            </w:r>
            <w:r>
              <w:rPr>
                <w:rFonts w:ascii="Times New Roman" w:hAnsi="Times New Roman"/>
                <w:color w:val="auto"/>
                <w:sz w:val="20"/>
                <w:szCs w:val="20"/>
              </w:rPr>
              <w:t>p</w:t>
            </w:r>
            <w:r w:rsidRPr="009978FF">
              <w:rPr>
                <w:rFonts w:ascii="Times New Roman" w:hAnsi="Times New Roman"/>
                <w:color w:val="auto"/>
                <w:sz w:val="20"/>
                <w:szCs w:val="20"/>
              </w:rPr>
              <w:t>latitelia sú povinní predkladať údaje z vyhotovených a prijatých faktúr v kontrolnom výkaze, ktor</w:t>
            </w:r>
            <w:r>
              <w:rPr>
                <w:rFonts w:ascii="Times New Roman" w:hAnsi="Times New Roman"/>
                <w:color w:val="auto"/>
                <w:sz w:val="20"/>
                <w:szCs w:val="20"/>
              </w:rPr>
              <w:t>ý</w:t>
            </w:r>
            <w:r w:rsidRPr="009978FF">
              <w:rPr>
                <w:rFonts w:ascii="Times New Roman" w:hAnsi="Times New Roman"/>
                <w:color w:val="auto"/>
                <w:sz w:val="20"/>
                <w:szCs w:val="20"/>
              </w:rPr>
              <w:t xml:space="preserve"> sú povinní podať do 25. dňa po skončení príslušného zdaňovacieho obdobia. </w:t>
            </w:r>
            <w:r>
              <w:rPr>
                <w:rFonts w:ascii="Times New Roman" w:hAnsi="Times New Roman"/>
                <w:color w:val="auto"/>
                <w:sz w:val="20"/>
                <w:szCs w:val="20"/>
              </w:rPr>
              <w:t>T</w:t>
            </w:r>
            <w:r w:rsidRPr="009978FF">
              <w:rPr>
                <w:rFonts w:ascii="Times New Roman" w:hAnsi="Times New Roman"/>
                <w:color w:val="auto"/>
                <w:sz w:val="20"/>
                <w:szCs w:val="20"/>
              </w:rPr>
              <w:t xml:space="preserve">ento nástroj </w:t>
            </w:r>
            <w:r>
              <w:rPr>
                <w:rFonts w:ascii="Times New Roman" w:hAnsi="Times New Roman"/>
                <w:color w:val="auto"/>
                <w:sz w:val="20"/>
                <w:szCs w:val="20"/>
              </w:rPr>
              <w:t xml:space="preserve">však </w:t>
            </w:r>
            <w:r w:rsidRPr="009978FF">
              <w:rPr>
                <w:rFonts w:ascii="Times New Roman" w:hAnsi="Times New Roman"/>
                <w:color w:val="auto"/>
                <w:sz w:val="20"/>
                <w:szCs w:val="20"/>
              </w:rPr>
              <w:t>už v dostatočnej miere nereflektuje nové trendy vývoja daňových únikov. Za jeho slabé miesto je možné označiť časovo oneskorené získavanie relevantných údajov z vyhotovených faktúr platiteľmi, čo neumožňuje finančnej správe reagovať operatívne na identifikované podozrenia z nekalých praktík daňových subjektov.</w:t>
            </w:r>
          </w:p>
          <w:p w14:paraId="248B4DB0" w14:textId="77777777" w:rsidR="00746D3C" w:rsidRPr="009978FF" w:rsidRDefault="00746D3C" w:rsidP="007B3372">
            <w:pPr>
              <w:ind w:firstLine="708"/>
              <w:jc w:val="both"/>
              <w:rPr>
                <w:rFonts w:ascii="Times New Roman" w:hAnsi="Times New Roman" w:cs="Times New Roman"/>
                <w:sz w:val="20"/>
                <w:szCs w:val="20"/>
              </w:rPr>
            </w:pPr>
          </w:p>
          <w:p w14:paraId="0F301F86" w14:textId="77777777" w:rsidR="00746D3C" w:rsidRDefault="00746D3C" w:rsidP="007B3372">
            <w:pPr>
              <w:jc w:val="both"/>
              <w:rPr>
                <w:rFonts w:ascii="Times New Roman" w:hAnsi="Times New Roman" w:cs="Times New Roman"/>
                <w:sz w:val="20"/>
                <w:szCs w:val="20"/>
              </w:rPr>
            </w:pPr>
            <w:r w:rsidRPr="009978FF">
              <w:rPr>
                <w:rFonts w:ascii="Times New Roman" w:hAnsi="Times New Roman" w:cs="Times New Roman"/>
                <w:sz w:val="20"/>
                <w:szCs w:val="20"/>
              </w:rPr>
              <w:t>Súčasná právna úprava zákona o DPH v oblasti registračných ustanovení nie je postačujúca z hľadiska predchádzania protiprávnym konaniam. Taktiež v dostatočnej miere nezabraňuje opätovnému vstupu osôb, ktoré sa aktívne podieľali na podvodných transakciách, do systému DPH.</w:t>
            </w:r>
          </w:p>
          <w:p w14:paraId="44360F34" w14:textId="77777777" w:rsidR="00746D3C" w:rsidRDefault="00746D3C" w:rsidP="007B3372">
            <w:pPr>
              <w:jc w:val="both"/>
              <w:rPr>
                <w:rFonts w:ascii="Times New Roman" w:hAnsi="Times New Roman" w:cs="Times New Roman"/>
                <w:sz w:val="20"/>
                <w:szCs w:val="20"/>
              </w:rPr>
            </w:pPr>
          </w:p>
          <w:p w14:paraId="68F20838" w14:textId="77777777" w:rsidR="00746D3C" w:rsidRDefault="00746D3C" w:rsidP="007B3372">
            <w:pPr>
              <w:jc w:val="both"/>
              <w:rPr>
                <w:rFonts w:ascii="Times New Roman" w:hAnsi="Times New Roman" w:cs="Times New Roman"/>
                <w:sz w:val="20"/>
                <w:szCs w:val="20"/>
              </w:rPr>
            </w:pPr>
            <w:r>
              <w:rPr>
                <w:rFonts w:ascii="Times New Roman" w:hAnsi="Times New Roman" w:cs="Times New Roman"/>
                <w:sz w:val="20"/>
                <w:szCs w:val="20"/>
              </w:rPr>
              <w:t xml:space="preserve">V kontexte uvedeného sa </w:t>
            </w:r>
            <w:r w:rsidRPr="007A01F7">
              <w:rPr>
                <w:rFonts w:ascii="Times New Roman" w:hAnsi="Times New Roman" w:cs="Times New Roman"/>
                <w:sz w:val="20"/>
                <w:szCs w:val="20"/>
              </w:rPr>
              <w:t>Vláda S</w:t>
            </w:r>
            <w:r>
              <w:rPr>
                <w:rFonts w:ascii="Times New Roman" w:hAnsi="Times New Roman" w:cs="Times New Roman"/>
                <w:sz w:val="20"/>
                <w:szCs w:val="20"/>
              </w:rPr>
              <w:t>lovenskej republiky</w:t>
            </w:r>
            <w:r w:rsidRPr="007A01F7">
              <w:rPr>
                <w:rFonts w:ascii="Times New Roman" w:hAnsi="Times New Roman" w:cs="Times New Roman"/>
                <w:sz w:val="20"/>
                <w:szCs w:val="20"/>
              </w:rPr>
              <w:t xml:space="preserve"> vo svojom programovom vyhlásení na roky 2023 – 2027 zaviazala zefektívniť boj proti daňovým únikom a v rámci strednodobých priorít vyvinúť snahu zaviesť povinnú elektronickú fakturáciu a online oznamovanie údajov z nej finančnej správe.</w:t>
            </w:r>
          </w:p>
          <w:p w14:paraId="28322D61" w14:textId="77777777" w:rsidR="00746D3C" w:rsidRDefault="00746D3C" w:rsidP="007B3372">
            <w:pPr>
              <w:jc w:val="both"/>
              <w:rPr>
                <w:rFonts w:ascii="Times New Roman" w:eastAsia="Times New Roman" w:hAnsi="Times New Roman" w:cs="Times New Roman"/>
                <w:iCs/>
                <w:sz w:val="20"/>
                <w:szCs w:val="20"/>
                <w:lang w:eastAsia="sk-SK"/>
              </w:rPr>
            </w:pPr>
          </w:p>
          <w:p w14:paraId="28039E55" w14:textId="77777777" w:rsidR="00746D3C" w:rsidRDefault="00746D3C" w:rsidP="007B3372">
            <w:pPr>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lastRenderedPageBreak/>
              <w:t>S</w:t>
            </w:r>
            <w:r w:rsidRPr="006826B6">
              <w:rPr>
                <w:rFonts w:ascii="Times New Roman" w:eastAsia="Times New Roman" w:hAnsi="Times New Roman" w:cs="Times New Roman"/>
                <w:iCs/>
                <w:sz w:val="20"/>
                <w:szCs w:val="20"/>
                <w:lang w:eastAsia="sk-SK"/>
              </w:rPr>
              <w:t>mernic</w:t>
            </w:r>
            <w:r>
              <w:rPr>
                <w:rFonts w:ascii="Times New Roman" w:eastAsia="Times New Roman" w:hAnsi="Times New Roman" w:cs="Times New Roman"/>
                <w:iCs/>
                <w:sz w:val="20"/>
                <w:szCs w:val="20"/>
                <w:lang w:eastAsia="sk-SK"/>
              </w:rPr>
              <w:t>a</w:t>
            </w:r>
            <w:r w:rsidRPr="006826B6">
              <w:rPr>
                <w:rFonts w:ascii="Times New Roman" w:eastAsia="Times New Roman" w:hAnsi="Times New Roman" w:cs="Times New Roman"/>
                <w:iCs/>
                <w:sz w:val="20"/>
                <w:szCs w:val="20"/>
                <w:lang w:eastAsia="sk-SK"/>
              </w:rPr>
              <w:t xml:space="preserve"> Rady (EÚ) 2025/516 z 11. marca 2025, ktorou sa mení smernica 2006/112/ES o spoločnom systéme dane z pridanej hodnoty, pokiaľ ide o pravidlá DPH pre digitálny vek </w:t>
            </w:r>
            <w:r>
              <w:rPr>
                <w:rFonts w:ascii="Times New Roman" w:eastAsia="Times New Roman" w:hAnsi="Times New Roman" w:cs="Times New Roman"/>
                <w:iCs/>
                <w:sz w:val="20"/>
                <w:szCs w:val="20"/>
                <w:lang w:eastAsia="sk-SK"/>
              </w:rPr>
              <w:t>(</w:t>
            </w:r>
            <w:r w:rsidRPr="006826B6">
              <w:rPr>
                <w:rFonts w:ascii="Times New Roman" w:eastAsia="Times New Roman" w:hAnsi="Times New Roman" w:cs="Times New Roman"/>
                <w:iCs/>
                <w:sz w:val="20"/>
                <w:szCs w:val="20"/>
                <w:lang w:eastAsia="sk-SK"/>
              </w:rPr>
              <w:t>ďalej len „smernica 2025/516“</w:t>
            </w:r>
            <w:r>
              <w:rPr>
                <w:rFonts w:ascii="Times New Roman" w:eastAsia="Times New Roman" w:hAnsi="Times New Roman" w:cs="Times New Roman"/>
                <w:iCs/>
                <w:sz w:val="20"/>
                <w:szCs w:val="20"/>
                <w:lang w:eastAsia="sk-SK"/>
              </w:rPr>
              <w:t>), ktorá nadobudla účinnosť 14. apríla 2025, zavádza</w:t>
            </w:r>
            <w:r w:rsidRPr="00DB3523">
              <w:rPr>
                <w:rFonts w:ascii="Times New Roman" w:eastAsia="Times New Roman" w:hAnsi="Times New Roman" w:cs="Times New Roman"/>
                <w:iCs/>
                <w:sz w:val="20"/>
                <w:szCs w:val="20"/>
                <w:lang w:eastAsia="sk-SK"/>
              </w:rPr>
              <w:t xml:space="preserve"> harmonizovan</w:t>
            </w:r>
            <w:r>
              <w:rPr>
                <w:rFonts w:ascii="Times New Roman" w:eastAsia="Times New Roman" w:hAnsi="Times New Roman" w:cs="Times New Roman"/>
                <w:iCs/>
                <w:sz w:val="20"/>
                <w:szCs w:val="20"/>
                <w:lang w:eastAsia="sk-SK"/>
              </w:rPr>
              <w:t>é</w:t>
            </w:r>
            <w:r w:rsidRPr="00DB3523">
              <w:rPr>
                <w:rFonts w:ascii="Times New Roman" w:eastAsia="Times New Roman" w:hAnsi="Times New Roman" w:cs="Times New Roman"/>
                <w:iCs/>
                <w:sz w:val="20"/>
                <w:szCs w:val="20"/>
                <w:lang w:eastAsia="sk-SK"/>
              </w:rPr>
              <w:t xml:space="preserve"> pravid</w:t>
            </w:r>
            <w:r>
              <w:rPr>
                <w:rFonts w:ascii="Times New Roman" w:eastAsia="Times New Roman" w:hAnsi="Times New Roman" w:cs="Times New Roman"/>
                <w:iCs/>
                <w:sz w:val="20"/>
                <w:szCs w:val="20"/>
                <w:lang w:eastAsia="sk-SK"/>
              </w:rPr>
              <w:t>lá</w:t>
            </w:r>
            <w:r w:rsidRPr="00DB3523">
              <w:rPr>
                <w:rFonts w:ascii="Times New Roman" w:eastAsia="Times New Roman" w:hAnsi="Times New Roman" w:cs="Times New Roman"/>
                <w:iCs/>
                <w:sz w:val="20"/>
                <w:szCs w:val="20"/>
                <w:lang w:eastAsia="sk-SK"/>
              </w:rPr>
              <w:t xml:space="preserve"> týkajúc</w:t>
            </w:r>
            <w:r>
              <w:rPr>
                <w:rFonts w:ascii="Times New Roman" w:eastAsia="Times New Roman" w:hAnsi="Times New Roman" w:cs="Times New Roman"/>
                <w:iCs/>
                <w:sz w:val="20"/>
                <w:szCs w:val="20"/>
                <w:lang w:eastAsia="sk-SK"/>
              </w:rPr>
              <w:t>e</w:t>
            </w:r>
            <w:r w:rsidRPr="00DB3523">
              <w:rPr>
                <w:rFonts w:ascii="Times New Roman" w:eastAsia="Times New Roman" w:hAnsi="Times New Roman" w:cs="Times New Roman"/>
                <w:iCs/>
                <w:sz w:val="20"/>
                <w:szCs w:val="20"/>
                <w:lang w:eastAsia="sk-SK"/>
              </w:rPr>
              <w:t xml:space="preserve"> sa digitálneho oznamovania údajov vyplývajúcich z nárastu digitálneho hospodárstva, ktorý výrazne ovplyvnil fungovanie systému dane z pridanej hodnoty v rámci Európskej únie, keďže súčasná právna úprava neumožňuje plnohodnotné využívanie údajov vychádzajúcich z nových digitálnych obchodných modelov.</w:t>
            </w:r>
            <w:r>
              <w:rPr>
                <w:rFonts w:ascii="Times New Roman" w:eastAsia="Times New Roman" w:hAnsi="Times New Roman" w:cs="Times New Roman"/>
                <w:iCs/>
                <w:sz w:val="20"/>
                <w:szCs w:val="20"/>
                <w:lang w:eastAsia="sk-SK"/>
              </w:rPr>
              <w:t xml:space="preserve"> </w:t>
            </w:r>
            <w:r w:rsidRPr="00DB3523">
              <w:rPr>
                <w:rFonts w:ascii="Times New Roman" w:eastAsia="Times New Roman" w:hAnsi="Times New Roman" w:cs="Times New Roman"/>
                <w:iCs/>
                <w:sz w:val="20"/>
                <w:szCs w:val="20"/>
                <w:lang w:eastAsia="sk-SK"/>
              </w:rPr>
              <w:t xml:space="preserve">S cieľom zvýšiť výber daní z cezhraničných transakcií, ako aj z dôvodu </w:t>
            </w:r>
            <w:r>
              <w:rPr>
                <w:rFonts w:ascii="Times New Roman" w:eastAsia="Times New Roman" w:hAnsi="Times New Roman" w:cs="Times New Roman"/>
                <w:iCs/>
                <w:sz w:val="20"/>
                <w:szCs w:val="20"/>
                <w:lang w:eastAsia="sk-SK"/>
              </w:rPr>
              <w:t xml:space="preserve">pretrvávajúcej </w:t>
            </w:r>
            <w:r w:rsidRPr="00DB3523">
              <w:rPr>
                <w:rFonts w:ascii="Times New Roman" w:eastAsia="Times New Roman" w:hAnsi="Times New Roman" w:cs="Times New Roman"/>
                <w:iCs/>
                <w:sz w:val="20"/>
                <w:szCs w:val="20"/>
                <w:lang w:eastAsia="sk-SK"/>
              </w:rPr>
              <w:t xml:space="preserve">diverzifikácie prostredia, kedy členské štáty majú zavedené rozdielne systémy oznamovania, </w:t>
            </w:r>
            <w:r>
              <w:rPr>
                <w:rFonts w:ascii="Times New Roman" w:eastAsia="Times New Roman" w:hAnsi="Times New Roman" w:cs="Times New Roman"/>
                <w:iCs/>
                <w:sz w:val="20"/>
                <w:szCs w:val="20"/>
                <w:lang w:eastAsia="sk-SK"/>
              </w:rPr>
              <w:t>smernica 2025/516 stanovuje</w:t>
            </w:r>
            <w:r w:rsidRPr="00DB3523">
              <w:rPr>
                <w:rFonts w:ascii="Times New Roman" w:eastAsia="Times New Roman" w:hAnsi="Times New Roman" w:cs="Times New Roman"/>
                <w:iCs/>
                <w:sz w:val="20"/>
                <w:szCs w:val="20"/>
                <w:lang w:eastAsia="sk-SK"/>
              </w:rPr>
              <w:t xml:space="preserve"> jednotné úniové požiadavky na digitálne oznamovanie spočívajúce v tom, že transakcie, ktoré sa majú daňovým správam oznamovať</w:t>
            </w:r>
            <w:r>
              <w:rPr>
                <w:rFonts w:ascii="Times New Roman" w:eastAsia="Times New Roman" w:hAnsi="Times New Roman" w:cs="Times New Roman"/>
                <w:iCs/>
                <w:sz w:val="20"/>
                <w:szCs w:val="20"/>
                <w:lang w:eastAsia="sk-SK"/>
              </w:rPr>
              <w:t>,</w:t>
            </w:r>
            <w:r w:rsidRPr="00DB3523">
              <w:rPr>
                <w:rFonts w:ascii="Times New Roman" w:eastAsia="Times New Roman" w:hAnsi="Times New Roman" w:cs="Times New Roman"/>
                <w:iCs/>
                <w:sz w:val="20"/>
                <w:szCs w:val="20"/>
                <w:lang w:eastAsia="sk-SK"/>
              </w:rPr>
              <w:t xml:space="preserve"> sa budú dokumentovať  elektronicky. </w:t>
            </w:r>
            <w:r w:rsidRPr="00E157F0">
              <w:rPr>
                <w:rFonts w:ascii="Times New Roman" w:eastAsia="Times New Roman" w:hAnsi="Times New Roman" w:cs="Times New Roman"/>
                <w:iCs/>
                <w:sz w:val="20"/>
                <w:szCs w:val="20"/>
                <w:lang w:eastAsia="sk-SK"/>
              </w:rPr>
              <w:t>Na uľahčenie automatizácie procesu oznamovania pre zdaniteľné osoby aj daňové správy by sa transakcie, ktoré sa majú daňovým správam oznamovať, mali dokumentovať elektronicky.</w:t>
            </w:r>
            <w:r>
              <w:rPr>
                <w:rFonts w:ascii="Times New Roman" w:eastAsia="Times New Roman" w:hAnsi="Times New Roman" w:cs="Times New Roman"/>
                <w:iCs/>
                <w:sz w:val="20"/>
                <w:szCs w:val="20"/>
                <w:lang w:eastAsia="sk-SK"/>
              </w:rPr>
              <w:t xml:space="preserve"> </w:t>
            </w:r>
            <w:r w:rsidRPr="00DB3523">
              <w:rPr>
                <w:rFonts w:ascii="Times New Roman" w:eastAsia="Times New Roman" w:hAnsi="Times New Roman" w:cs="Times New Roman"/>
                <w:iCs/>
                <w:sz w:val="20"/>
                <w:szCs w:val="20"/>
                <w:lang w:eastAsia="sk-SK"/>
              </w:rPr>
              <w:t>Používanie elektronickej fakturácie sa stane predvoleným systémom vyhotovovania faktúr.</w:t>
            </w:r>
            <w:r>
              <w:rPr>
                <w:rFonts w:ascii="Times New Roman" w:eastAsia="Times New Roman" w:hAnsi="Times New Roman" w:cs="Times New Roman"/>
                <w:iCs/>
                <w:sz w:val="20"/>
                <w:szCs w:val="20"/>
                <w:lang w:eastAsia="sk-SK"/>
              </w:rPr>
              <w:t xml:space="preserve"> Rovnaké požiadavky týkajúce sa vyhotovovania faktúr a oznamovania fakturačných údajov by sa mali týkať aj tuzemských zdaniteľných obchodov.</w:t>
            </w:r>
          </w:p>
          <w:p w14:paraId="2DDDF048" w14:textId="77777777" w:rsidR="00746D3C" w:rsidRPr="00E36F9F" w:rsidRDefault="00746D3C" w:rsidP="007B3372">
            <w:pPr>
              <w:jc w:val="both"/>
              <w:rPr>
                <w:rFonts w:ascii="Times New Roman" w:eastAsia="Times New Roman" w:hAnsi="Times New Roman" w:cs="Times New Roman"/>
                <w:bCs/>
                <w:sz w:val="20"/>
                <w:szCs w:val="20"/>
                <w:lang w:eastAsia="sk-SK"/>
              </w:rPr>
            </w:pPr>
          </w:p>
          <w:p w14:paraId="3657C5FC" w14:textId="77777777" w:rsidR="00746D3C" w:rsidRPr="00612E08" w:rsidRDefault="00746D3C" w:rsidP="007B3372">
            <w:pPr>
              <w:jc w:val="both"/>
              <w:rPr>
                <w:rFonts w:ascii="Times New Roman" w:eastAsia="Times New Roman" w:hAnsi="Times New Roman" w:cs="Times New Roman"/>
                <w:b/>
                <w:sz w:val="20"/>
                <w:szCs w:val="20"/>
                <w:lang w:eastAsia="sk-SK"/>
              </w:rPr>
            </w:pPr>
            <w:r w:rsidRPr="004B3E4C">
              <w:rPr>
                <w:rFonts w:ascii="Times New Roman" w:eastAsia="Times New Roman" w:hAnsi="Times New Roman" w:cs="Times New Roman"/>
                <w:bCs/>
                <w:sz w:val="20"/>
                <w:szCs w:val="20"/>
                <w:lang w:eastAsia="sk-SK"/>
              </w:rPr>
              <w:t>Na základe týchto zmien je nevyhnutné zjednotiť úpravu elektronickej faktúry aj v osobitných predpisoch, aby boli jednotné pre dotknuté subjekty (s prípustnými výnimkami podľa osobitných predpisov). Preto zmenami a doplnením zákona č. 215/2019 Z. z. </w:t>
            </w:r>
            <w:r w:rsidRPr="00D1051A">
              <w:rPr>
                <w:rFonts w:ascii="Times New Roman" w:eastAsia="Times New Roman" w:hAnsi="Times New Roman" w:cs="Times New Roman"/>
                <w:iCs/>
                <w:sz w:val="20"/>
                <w:szCs w:val="20"/>
                <w:lang w:eastAsia="sk-SK"/>
              </w:rPr>
              <w:t>o zaručenej elektronickej fakturácií a centrálnom ekonomickom systéme a o zmene a doplnení niektorých zákonov (ďalej len „zákon č. 215/2019 Z. z.“)</w:t>
            </w:r>
            <w:r>
              <w:rPr>
                <w:rFonts w:ascii="Times New Roman" w:eastAsia="Times New Roman" w:hAnsi="Times New Roman" w:cs="Times New Roman"/>
                <w:iCs/>
                <w:sz w:val="20"/>
                <w:szCs w:val="20"/>
                <w:lang w:eastAsia="sk-SK"/>
              </w:rPr>
              <w:t xml:space="preserve"> </w:t>
            </w:r>
            <w:r w:rsidRPr="004B3E4C">
              <w:rPr>
                <w:rFonts w:ascii="Times New Roman" w:eastAsia="Times New Roman" w:hAnsi="Times New Roman" w:cs="Times New Roman"/>
                <w:bCs/>
                <w:sz w:val="20"/>
                <w:szCs w:val="20"/>
                <w:lang w:eastAsia="sk-SK"/>
              </w:rPr>
              <w:t>dôjde k zjednoteniu týchto pravidiel.</w:t>
            </w:r>
            <w:r w:rsidRPr="00D1051A">
              <w:rPr>
                <w:rFonts w:ascii="Times New Roman" w:eastAsia="Times New Roman" w:hAnsi="Times New Roman" w:cs="Times New Roman"/>
                <w:b/>
                <w:i/>
                <w:iCs/>
                <w:sz w:val="20"/>
                <w:szCs w:val="20"/>
                <w:lang w:eastAsia="sk-SK"/>
              </w:rPr>
              <w:t> </w:t>
            </w:r>
          </w:p>
        </w:tc>
      </w:tr>
      <w:tr w:rsidR="00746D3C" w:rsidRPr="00612E08" w14:paraId="49F201AA" w14:textId="77777777" w:rsidTr="007B3372">
        <w:tc>
          <w:tcPr>
            <w:tcW w:w="9180" w:type="dxa"/>
            <w:gridSpan w:val="11"/>
            <w:tcBorders>
              <w:top w:val="single" w:sz="4" w:space="0" w:color="auto"/>
              <w:left w:val="single" w:sz="4" w:space="0" w:color="auto"/>
              <w:bottom w:val="nil"/>
              <w:right w:val="single" w:sz="4" w:space="0" w:color="auto"/>
            </w:tcBorders>
            <w:shd w:val="clear" w:color="auto" w:fill="E2E2E2"/>
          </w:tcPr>
          <w:p w14:paraId="711EE988" w14:textId="77777777" w:rsidR="00746D3C" w:rsidRPr="00612E08" w:rsidRDefault="00746D3C" w:rsidP="00746D3C">
            <w:pPr>
              <w:numPr>
                <w:ilvl w:val="0"/>
                <w:numId w:val="1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Ciele a výsledný stav</w:t>
            </w:r>
          </w:p>
        </w:tc>
      </w:tr>
      <w:tr w:rsidR="00746D3C" w:rsidRPr="00612E08" w14:paraId="518320F0" w14:textId="77777777" w:rsidTr="007B3372">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6436A8F4" w14:textId="77777777" w:rsidR="00746D3C" w:rsidRPr="006613B6" w:rsidRDefault="00746D3C" w:rsidP="007B3372">
            <w:pPr>
              <w:jc w:val="both"/>
              <w:rPr>
                <w:rFonts w:ascii="Times New Roman" w:hAnsi="Times New Roman" w:cs="Times New Roman"/>
                <w:color w:val="000000" w:themeColor="text1"/>
                <w:sz w:val="20"/>
                <w:szCs w:val="20"/>
              </w:rPr>
            </w:pPr>
            <w:r w:rsidRPr="006613B6">
              <w:rPr>
                <w:rFonts w:ascii="Times New Roman" w:hAnsi="Times New Roman" w:cs="Times New Roman"/>
                <w:color w:val="000000" w:themeColor="text1"/>
                <w:sz w:val="20"/>
                <w:szCs w:val="20"/>
              </w:rPr>
              <w:t>Cieľom harmonizačných pravidiel prijatých smernicou 2025/516 je zvýšiť výber dane z pridanej hodnoty najmä pri cezhraničných transakciách a ukončiť súčasnú fragmentáciu vyplývajúcu z toho, že členské štáty majú zavedené rozdielne systémy oznamovania faktúr, resp. údajov z vyhotovených a prijatých faktúr. Nové pravidlá a súvisiace procesy majú byť založené na elektronickej fakturácii a digitálnom oznamovaní údajov jednotlivých zdaniteľných obchodoch, v reálnom čase, a to nielen pokiaľ ide o cezhraničné transakcie, ale aj o tuzemské transakcie. V záujme maximalizácie interoperability by elektronické faktúry mali v zásade dodržiavať európsku normu pre elektronickú fakturáciu a byť vyhotovené v štruktúre podľa súvisiaceho zoznamu syntaxí.</w:t>
            </w:r>
          </w:p>
          <w:p w14:paraId="1FFC7C73" w14:textId="77777777" w:rsidR="00746D3C" w:rsidRPr="006613B6" w:rsidRDefault="00746D3C" w:rsidP="007B3372">
            <w:pPr>
              <w:jc w:val="both"/>
              <w:rPr>
                <w:rFonts w:ascii="Times New Roman" w:hAnsi="Times New Roman" w:cs="Times New Roman"/>
                <w:sz w:val="20"/>
                <w:szCs w:val="20"/>
              </w:rPr>
            </w:pPr>
          </w:p>
          <w:p w14:paraId="343EF928" w14:textId="77777777" w:rsidR="00746D3C" w:rsidRPr="006613B6" w:rsidRDefault="00746D3C" w:rsidP="007B3372">
            <w:pPr>
              <w:jc w:val="both"/>
              <w:rPr>
                <w:rFonts w:ascii="Times New Roman" w:hAnsi="Times New Roman" w:cs="Times New Roman"/>
                <w:sz w:val="20"/>
                <w:szCs w:val="20"/>
              </w:rPr>
            </w:pPr>
            <w:r w:rsidRPr="006613B6">
              <w:rPr>
                <w:rFonts w:ascii="Times New Roman" w:hAnsi="Times New Roman" w:cs="Times New Roman"/>
                <w:sz w:val="20"/>
                <w:szCs w:val="20"/>
              </w:rPr>
              <w:t>V nadväznosti na uvedené a na skutočnosť, že Slovenská republika už, pokiaľ ide o zavedenie povinnej elektronickej fakturácie (B2B), nemusí od účinnosti smernice 2025/516 žiadať o výnimku z bežného systému DPH (derogácia), ktorú na základe predloženého návrhu Európskej komisie schvaľuje Rada jednomyseľne, je primárnym cieľom novelizácie zákona o DPH transpozícia článku 1 a článku 5 smernice 2025/516, teda zavedenie povinnej elektronickej fakturácie pre zdaniteľné osoby, ktoré sú platiteľmi dane z pridanej hodnoty, ako aj povinné oznamovanie súvisiacich údajov finančnej správe v reálnom čase.</w:t>
            </w:r>
          </w:p>
          <w:p w14:paraId="6EE941E7" w14:textId="77777777" w:rsidR="00746D3C" w:rsidRPr="006613B6" w:rsidRDefault="00746D3C" w:rsidP="007B3372">
            <w:pPr>
              <w:jc w:val="both"/>
              <w:rPr>
                <w:rFonts w:ascii="Times New Roman" w:hAnsi="Times New Roman" w:cs="Times New Roman"/>
                <w:sz w:val="20"/>
                <w:szCs w:val="20"/>
              </w:rPr>
            </w:pPr>
          </w:p>
          <w:p w14:paraId="05923AF9" w14:textId="77777777" w:rsidR="00746D3C" w:rsidRPr="006613B6" w:rsidRDefault="00746D3C" w:rsidP="007B3372">
            <w:pPr>
              <w:pStyle w:val="Bezriadkovania"/>
              <w:jc w:val="both"/>
              <w:rPr>
                <w:rFonts w:ascii="Times New Roman" w:hAnsi="Times New Roman" w:cs="Times New Roman"/>
                <w:sz w:val="20"/>
                <w:szCs w:val="20"/>
              </w:rPr>
            </w:pPr>
            <w:bookmarkStart w:id="0" w:name="_Hlk201822566"/>
            <w:r w:rsidRPr="006613B6">
              <w:rPr>
                <w:rFonts w:ascii="Times New Roman" w:hAnsi="Times New Roman" w:cs="Times New Roman"/>
                <w:sz w:val="20"/>
                <w:szCs w:val="20"/>
              </w:rPr>
              <w:t xml:space="preserve">Zmenami a doplnením zákona o DPH bude s účinnosťou od 1. januára 2027 zavedená povinnosť pre platiteľov dane usadených v tuzemsku vyhotoviť a prijímať elektronické faktúry v ustanovenom formáte pri tuzemských zdaniteľných obchodoch. Povinnosť prijať takéto elektronické faktúry sa bude vzťahovať aj na v tuzemsku usadené zdaniteľné osoby, ktoré nie sú platiteľom dane a  právnické osoby, ktoré nie sú zdaniteľnými osobami. </w:t>
            </w:r>
            <w:bookmarkEnd w:id="0"/>
            <w:r w:rsidRPr="006613B6">
              <w:rPr>
                <w:rFonts w:ascii="Times New Roman" w:hAnsi="Times New Roman" w:cs="Times New Roman"/>
                <w:sz w:val="20"/>
                <w:szCs w:val="20"/>
              </w:rPr>
              <w:t>Za elektronickú faktúru sa bude považovať len taká faktúra, ktorá obsahuje informácie vyžadované zákonom o DPH, a ktorá bude vyhotovená, zaslaná a prijatá v štruktúrovanom elektronickom formáte, ktorý umožní jej automatické a elektronické spracovanie. Za účelom jednotnosti elektronických faktúr týkajúcich sa platiteľov dane sa ustanoví povinnosť vyhotoviť faktúry v štruktúrovanom formáte, ktorý je v súlade s európskym štandardom pre elektronickú fakturáciu a zoznamom jeho syntaxí ustanovených smernicou Európskeho parlamentu a Rady 2014/55/EÚ zo 16. apríla 2014 o elektronickej fakturácii vo verejnom obstarávaní.</w:t>
            </w:r>
          </w:p>
          <w:p w14:paraId="55ED2644" w14:textId="77777777" w:rsidR="00746D3C" w:rsidRPr="006613B6" w:rsidRDefault="00746D3C" w:rsidP="007B3372">
            <w:pPr>
              <w:jc w:val="both"/>
              <w:rPr>
                <w:rFonts w:ascii="Times New Roman" w:hAnsi="Times New Roman" w:cs="Times New Roman"/>
                <w:sz w:val="20"/>
                <w:szCs w:val="20"/>
              </w:rPr>
            </w:pPr>
            <w:r w:rsidRPr="006613B6">
              <w:rPr>
                <w:rFonts w:ascii="Times New Roman" w:hAnsi="Times New Roman" w:cs="Times New Roman"/>
                <w:sz w:val="20"/>
                <w:szCs w:val="20"/>
              </w:rPr>
              <w:t xml:space="preserve">S účinnosťou od 1. januára 2027 sa zavedie aj oznamovanie údajov o zdaniteľných obchodoch, pri ktorých boli vyhotovené elektronické faktúry v štruktúrovanom formáte, doručovacou službou. Údaje sa budú oznamovať elektronicky takým spôsobom, ktorý bude súladný so spôsobom ustanoveným článkom 5 smernice 2025/516, ktorý upravuje predkladanie údajov týkajúcich sa cezhraničných transakcií v rámci Európskej únie. </w:t>
            </w:r>
          </w:p>
          <w:p w14:paraId="05E1E74F" w14:textId="77777777" w:rsidR="00746D3C" w:rsidRPr="006613B6" w:rsidRDefault="00746D3C" w:rsidP="007B3372">
            <w:pPr>
              <w:jc w:val="both"/>
              <w:rPr>
                <w:rFonts w:ascii="Times New Roman" w:hAnsi="Times New Roman" w:cs="Times New Roman"/>
                <w:sz w:val="20"/>
                <w:szCs w:val="20"/>
              </w:rPr>
            </w:pPr>
          </w:p>
          <w:p w14:paraId="467364B1" w14:textId="77777777" w:rsidR="00746D3C" w:rsidRPr="006613B6" w:rsidRDefault="00746D3C" w:rsidP="007B3372">
            <w:pPr>
              <w:jc w:val="both"/>
              <w:rPr>
                <w:rFonts w:ascii="Times New Roman" w:hAnsi="Times New Roman" w:cs="Times New Roman"/>
                <w:sz w:val="20"/>
                <w:szCs w:val="20"/>
              </w:rPr>
            </w:pPr>
            <w:r w:rsidRPr="006613B6">
              <w:rPr>
                <w:rFonts w:ascii="Times New Roman" w:hAnsi="Times New Roman" w:cs="Times New Roman"/>
                <w:sz w:val="20"/>
                <w:szCs w:val="20"/>
              </w:rPr>
              <w:t>Skoršie zavedenie systému elektronickej fakturácie a oznamovania údajov pre tuzemské transakcie pripraví platiteľov dane, zdaniteľné osoby, ktoré nie sú platiteľom dane a právnické osoby, ktoré nie sú zdaniteľnými osobami na povinnú elektronickú fakturáciu a povinné oznamovanie údajov o cezhraničných transakciách podľa spomínaného článku 5 smernice 2025/516, ktorý bude musieť byť do zákona o DPH transponovaný do 30. júna 2030 a účinný k 1. júlu 2030.</w:t>
            </w:r>
          </w:p>
          <w:p w14:paraId="53EAAD78" w14:textId="77777777" w:rsidR="00746D3C" w:rsidRPr="006613B6" w:rsidRDefault="00746D3C" w:rsidP="007B3372">
            <w:pPr>
              <w:jc w:val="both"/>
              <w:rPr>
                <w:rFonts w:ascii="Times New Roman" w:hAnsi="Times New Roman" w:cs="Times New Roman"/>
                <w:sz w:val="20"/>
                <w:szCs w:val="20"/>
              </w:rPr>
            </w:pPr>
          </w:p>
          <w:p w14:paraId="6D0DC642" w14:textId="77777777" w:rsidR="00746D3C" w:rsidRPr="006613B6" w:rsidRDefault="00746D3C" w:rsidP="007B3372">
            <w:pPr>
              <w:jc w:val="both"/>
              <w:rPr>
                <w:rFonts w:ascii="Times New Roman" w:hAnsi="Times New Roman" w:cs="Times New Roman"/>
                <w:sz w:val="20"/>
                <w:szCs w:val="20"/>
              </w:rPr>
            </w:pPr>
            <w:r w:rsidRPr="006613B6">
              <w:rPr>
                <w:rFonts w:ascii="Times New Roman" w:hAnsi="Times New Roman" w:cs="Times New Roman"/>
                <w:sz w:val="20"/>
                <w:szCs w:val="20"/>
              </w:rPr>
              <w:t xml:space="preserve">Cieľom uvedených zmien je digitalizovať celý proces od vyhotovenia elektronickej faktúry u dodávateľa, až po spracovanie elektronickej faktúry u odberateľa, ako aj následného zaslania údajov finančnej správe tak, aby celý tento proces bol automatizovaný s minimom manuálnych zásahov, pričom výsledkom bude výrazné skrátenie procesov súvisiacich s prijatím faktúr a ich následným spracovaním (napr. eliminácia vpisovania údajov </w:t>
            </w:r>
            <w:r w:rsidRPr="006613B6">
              <w:rPr>
                <w:rFonts w:ascii="Times New Roman" w:hAnsi="Times New Roman" w:cs="Times New Roman"/>
                <w:sz w:val="20"/>
                <w:szCs w:val="20"/>
              </w:rPr>
              <w:lastRenderedPageBreak/>
              <w:t>z papierových faktúr do systému). Sprístupnením údajov o zdaniteľných obchodoch v reálnom čase sa finančnej správe umožní včasné spracovanie vstupných dát potrebných pre identifikovanie plnenia daňových povinností, či nastavenie určitých kontrolných mechanizmov v rámci analýzy rizika na zamedzenie podvodných konaní.</w:t>
            </w:r>
          </w:p>
          <w:p w14:paraId="447BC0DF" w14:textId="77777777" w:rsidR="00746D3C" w:rsidRPr="006613B6" w:rsidRDefault="00746D3C" w:rsidP="007B3372">
            <w:pPr>
              <w:jc w:val="both"/>
              <w:rPr>
                <w:rFonts w:ascii="Times New Roman" w:hAnsi="Times New Roman" w:cs="Times New Roman"/>
                <w:sz w:val="20"/>
                <w:szCs w:val="20"/>
              </w:rPr>
            </w:pPr>
          </w:p>
          <w:p w14:paraId="5AA2FE41" w14:textId="77777777" w:rsidR="00746D3C" w:rsidRPr="006613B6" w:rsidRDefault="00746D3C" w:rsidP="007B3372">
            <w:pPr>
              <w:jc w:val="both"/>
              <w:rPr>
                <w:rFonts w:ascii="Times New Roman" w:hAnsi="Times New Roman" w:cs="Times New Roman"/>
                <w:sz w:val="20"/>
                <w:szCs w:val="20"/>
              </w:rPr>
            </w:pPr>
            <w:r w:rsidRPr="006613B6">
              <w:rPr>
                <w:rFonts w:ascii="Times New Roman" w:hAnsi="Times New Roman" w:cs="Times New Roman"/>
                <w:sz w:val="20"/>
                <w:szCs w:val="20"/>
              </w:rPr>
              <w:t>Prijaté opatrenia na strane štátu prispejú k efektívnemu boju proti daňovým podvodom, majú potenciál znížiť daňové medzery tak na dani z pridanej hodnoty, ako aj na dani z príjmov právnických osôb, a zlepšiť výber daní. Prijaté opatrenia zároveň prispejú k eliminácii pretrvávajúcich nerovností na vnútornom trhu.</w:t>
            </w:r>
          </w:p>
          <w:p w14:paraId="3A00FC40" w14:textId="77777777" w:rsidR="00746D3C" w:rsidRPr="006613B6" w:rsidRDefault="00746D3C" w:rsidP="007B3372">
            <w:pPr>
              <w:ind w:firstLine="709"/>
              <w:jc w:val="both"/>
              <w:rPr>
                <w:rFonts w:ascii="Times New Roman" w:hAnsi="Times New Roman" w:cs="Times New Roman"/>
                <w:sz w:val="20"/>
                <w:szCs w:val="20"/>
              </w:rPr>
            </w:pPr>
          </w:p>
          <w:p w14:paraId="52D9E7A9" w14:textId="77777777" w:rsidR="00746D3C" w:rsidRPr="006613B6" w:rsidRDefault="00746D3C" w:rsidP="007B3372">
            <w:pPr>
              <w:jc w:val="both"/>
              <w:rPr>
                <w:rFonts w:ascii="Times New Roman" w:hAnsi="Times New Roman" w:cs="Times New Roman"/>
                <w:sz w:val="20"/>
                <w:szCs w:val="20"/>
              </w:rPr>
            </w:pPr>
            <w:r w:rsidRPr="006613B6">
              <w:rPr>
                <w:rFonts w:ascii="Times New Roman" w:hAnsi="Times New Roman" w:cs="Times New Roman"/>
                <w:sz w:val="20"/>
                <w:szCs w:val="20"/>
              </w:rPr>
              <w:t>Na strane podnikateľských subjektov sa tiež zjednodušia obchodné operácie a dôjde k zlepšeniu efektívnosti a kvality podnikateľského prostredia. Zároveň sa zvýši rýchlosť prenosu dát, garancia a dôveryhodnosť komunikácie tým, že z dôvodu aktuálnej diverzifikácie prostredia (rôzne úrovne používaných štandardov, prostredie citlivé na vznikajúce chyby atď.) sa zavedie štandardizácia v oblasti elektronickej fakturácie.</w:t>
            </w:r>
          </w:p>
          <w:p w14:paraId="0C991205" w14:textId="77777777" w:rsidR="00746D3C" w:rsidRPr="006613B6" w:rsidRDefault="00746D3C" w:rsidP="007B3372">
            <w:pPr>
              <w:jc w:val="both"/>
              <w:rPr>
                <w:rFonts w:ascii="Times New Roman" w:hAnsi="Times New Roman" w:cs="Times New Roman"/>
                <w:sz w:val="20"/>
                <w:szCs w:val="20"/>
              </w:rPr>
            </w:pPr>
          </w:p>
          <w:p w14:paraId="6754F233" w14:textId="77777777" w:rsidR="00746D3C" w:rsidRPr="006613B6" w:rsidRDefault="00746D3C" w:rsidP="007B3372">
            <w:pPr>
              <w:jc w:val="both"/>
              <w:rPr>
                <w:rFonts w:ascii="Times New Roman" w:hAnsi="Times New Roman" w:cs="Times New Roman"/>
                <w:sz w:val="20"/>
                <w:szCs w:val="20"/>
              </w:rPr>
            </w:pPr>
            <w:r w:rsidRPr="006613B6">
              <w:rPr>
                <w:rFonts w:ascii="Times New Roman" w:hAnsi="Times New Roman" w:cs="Times New Roman"/>
                <w:sz w:val="20"/>
                <w:szCs w:val="20"/>
              </w:rPr>
              <w:t xml:space="preserve">Zmenou paradigmy výkonu správy daní finančnou správou dôjde k zmene postupov finančnej správy, keďže kontroly už nebudú vykonávané len </w:t>
            </w:r>
            <w:r w:rsidRPr="006613B6">
              <w:rPr>
                <w:rFonts w:ascii="Times New Roman" w:hAnsi="Times New Roman" w:cs="Times New Roman"/>
                <w:i/>
                <w:iCs/>
                <w:sz w:val="20"/>
                <w:szCs w:val="20"/>
              </w:rPr>
              <w:t>ex post</w:t>
            </w:r>
            <w:r w:rsidRPr="006613B6">
              <w:rPr>
                <w:rFonts w:ascii="Times New Roman" w:hAnsi="Times New Roman" w:cs="Times New Roman"/>
                <w:sz w:val="20"/>
                <w:szCs w:val="20"/>
              </w:rPr>
              <w:t xml:space="preserve">, ale zamerajú sa aj na vyhodnocovanie rizikových transakcií a daňových subjektov v reálnom čase. Uvedené má aj pozitívny vplyv na podnikateľské prostredie spočívajúci v tom, že sa zníži počet daňových kontrol </w:t>
            </w:r>
            <w:r w:rsidRPr="006613B6">
              <w:rPr>
                <w:rFonts w:ascii="Times New Roman" w:hAnsi="Times New Roman" w:cs="Times New Roman"/>
                <w:i/>
                <w:iCs/>
                <w:sz w:val="20"/>
                <w:szCs w:val="20"/>
              </w:rPr>
              <w:t>ex post</w:t>
            </w:r>
            <w:r w:rsidRPr="006613B6">
              <w:rPr>
                <w:rFonts w:ascii="Times New Roman" w:hAnsi="Times New Roman" w:cs="Times New Roman"/>
                <w:sz w:val="20"/>
                <w:szCs w:val="20"/>
              </w:rPr>
              <w:t>.</w:t>
            </w:r>
          </w:p>
          <w:p w14:paraId="40DC8B0F" w14:textId="77777777" w:rsidR="00746D3C" w:rsidRPr="006613B6" w:rsidRDefault="00746D3C" w:rsidP="007B3372">
            <w:pPr>
              <w:jc w:val="both"/>
              <w:rPr>
                <w:rFonts w:ascii="Times New Roman" w:hAnsi="Times New Roman" w:cs="Times New Roman"/>
                <w:sz w:val="20"/>
                <w:szCs w:val="20"/>
              </w:rPr>
            </w:pPr>
          </w:p>
          <w:p w14:paraId="67CF93F1" w14:textId="77777777" w:rsidR="00746D3C" w:rsidRPr="006613B6" w:rsidRDefault="00746D3C" w:rsidP="007B3372">
            <w:pPr>
              <w:jc w:val="both"/>
              <w:rPr>
                <w:rFonts w:ascii="Times New Roman" w:hAnsi="Times New Roman" w:cs="Times New Roman"/>
                <w:sz w:val="20"/>
                <w:szCs w:val="20"/>
              </w:rPr>
            </w:pPr>
            <w:r w:rsidRPr="006613B6">
              <w:rPr>
                <w:rFonts w:ascii="Times New Roman" w:hAnsi="Times New Roman" w:cs="Times New Roman"/>
                <w:sz w:val="20"/>
                <w:szCs w:val="20"/>
              </w:rPr>
              <w:t>MFSR zároveň vyvinie úsilie vstúpiť do diskusie s ústrednými orgánmi štátnej správy a inými orgány štátnej správy s cieľom identifikovať oblasti, v ktorých by bolo možné pretaviť elektronickú fakturáciu a digitalizáciu do iných opatrení na zlepšenie podnikateľského prostredia.</w:t>
            </w:r>
          </w:p>
          <w:p w14:paraId="216B680F" w14:textId="77777777" w:rsidR="00746D3C" w:rsidRPr="006613B6" w:rsidRDefault="00746D3C" w:rsidP="007B3372">
            <w:pPr>
              <w:jc w:val="both"/>
              <w:rPr>
                <w:rFonts w:ascii="Times New Roman" w:hAnsi="Times New Roman" w:cs="Times New Roman"/>
                <w:sz w:val="20"/>
                <w:szCs w:val="20"/>
              </w:rPr>
            </w:pPr>
          </w:p>
          <w:p w14:paraId="3083C351" w14:textId="77777777" w:rsidR="00746D3C" w:rsidRPr="006613B6" w:rsidRDefault="00746D3C" w:rsidP="007B3372">
            <w:pPr>
              <w:jc w:val="both"/>
              <w:rPr>
                <w:rFonts w:ascii="Times New Roman" w:hAnsi="Times New Roman" w:cs="Times New Roman"/>
                <w:sz w:val="20"/>
                <w:szCs w:val="20"/>
              </w:rPr>
            </w:pPr>
            <w:r w:rsidRPr="006613B6">
              <w:rPr>
                <w:rFonts w:ascii="Times New Roman" w:hAnsi="Times New Roman" w:cs="Times New Roman"/>
                <w:sz w:val="20"/>
                <w:szCs w:val="20"/>
              </w:rPr>
              <w:t xml:space="preserve">Uvedené zmeny majú dopad aj na </w:t>
            </w:r>
            <w:r w:rsidRPr="006613B6">
              <w:rPr>
                <w:rFonts w:ascii="Times New Roman" w:eastAsia="Times New Roman" w:hAnsi="Times New Roman" w:cs="Times New Roman"/>
                <w:iCs/>
                <w:sz w:val="20"/>
                <w:szCs w:val="20"/>
                <w:lang w:eastAsia="sk-SK"/>
              </w:rPr>
              <w:t>zákon č. 215/2019 Z. z., čím dôjde k zjednoteniu týchto pravidiel a nebude v právnom poriadku duplicitná právna úprava vo vzťahu k náležitostiam, vyhotovovaniu, vydávaniu a prijímaniu elektronickej faktúry. Nad fakturačné náležitosti zákona o DPH, zákon č. 215/2019 Z. z. spresňuje, že elektronická faktúra vo verejnom obstarávaní je (i) pre určitý okruh dotknutých osôb a (ii) musí obsahovať identifikačné údaje o súvisiacej zákazke.</w:t>
            </w:r>
          </w:p>
          <w:p w14:paraId="49E8D949" w14:textId="77777777" w:rsidR="00746D3C" w:rsidRPr="006613B6" w:rsidRDefault="00746D3C" w:rsidP="007B3372">
            <w:pPr>
              <w:ind w:firstLine="709"/>
              <w:jc w:val="both"/>
              <w:rPr>
                <w:rFonts w:ascii="Times New Roman" w:hAnsi="Times New Roman" w:cs="Times New Roman"/>
                <w:sz w:val="20"/>
                <w:szCs w:val="20"/>
              </w:rPr>
            </w:pPr>
          </w:p>
          <w:p w14:paraId="04E49DB7" w14:textId="77777777" w:rsidR="00746D3C" w:rsidRPr="006613B6" w:rsidRDefault="00746D3C" w:rsidP="007B3372">
            <w:pPr>
              <w:jc w:val="both"/>
              <w:rPr>
                <w:rFonts w:ascii="Times New Roman" w:eastAsia="Times New Roman" w:hAnsi="Times New Roman" w:cs="Times New Roman"/>
                <w:sz w:val="20"/>
                <w:szCs w:val="20"/>
                <w:lang w:eastAsia="sk-SK"/>
              </w:rPr>
            </w:pPr>
            <w:r w:rsidRPr="006613B6">
              <w:rPr>
                <w:rFonts w:ascii="Times New Roman" w:hAnsi="Times New Roman"/>
                <w:sz w:val="20"/>
                <w:szCs w:val="20"/>
              </w:rPr>
              <w:t>Okrem uvedeného, v súlade so spomínaným cieľom vlády Slovenskej republiky zefektívniť boj proti daňovým únikom, s účinnosťou od 1. januára 2026 nastanú zmeny v oblasti registrácie pre daň s cieľom eliminovať vyhýbanie sa registračnej povinnosti, ako aj v oblasti zrušenia registrácie, s cieľom zamedziť opätovnému vstupu osôb, ktoré sa preukázateľne aktívne a vedome podieľali na podvodných transakciách, do systému DPH.</w:t>
            </w:r>
          </w:p>
        </w:tc>
      </w:tr>
      <w:tr w:rsidR="00746D3C" w:rsidRPr="00612E08" w14:paraId="6B6953EF" w14:textId="77777777" w:rsidTr="007B3372">
        <w:tc>
          <w:tcPr>
            <w:tcW w:w="9180" w:type="dxa"/>
            <w:gridSpan w:val="11"/>
            <w:tcBorders>
              <w:top w:val="single" w:sz="4" w:space="0" w:color="auto"/>
              <w:left w:val="single" w:sz="4" w:space="0" w:color="auto"/>
              <w:bottom w:val="nil"/>
              <w:right w:val="single" w:sz="4" w:space="0" w:color="auto"/>
            </w:tcBorders>
            <w:shd w:val="clear" w:color="auto" w:fill="E2E2E2"/>
          </w:tcPr>
          <w:p w14:paraId="2E937E84" w14:textId="77777777" w:rsidR="00746D3C" w:rsidRPr="00612E08" w:rsidRDefault="00746D3C" w:rsidP="00746D3C">
            <w:pPr>
              <w:numPr>
                <w:ilvl w:val="0"/>
                <w:numId w:val="1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Dotknuté subjekty</w:t>
            </w:r>
          </w:p>
        </w:tc>
      </w:tr>
      <w:tr w:rsidR="00746D3C" w:rsidRPr="00612E08" w14:paraId="6EA7B4B3" w14:textId="77777777" w:rsidTr="007B3372">
        <w:tc>
          <w:tcPr>
            <w:tcW w:w="9180" w:type="dxa"/>
            <w:gridSpan w:val="11"/>
            <w:tcBorders>
              <w:top w:val="nil"/>
              <w:left w:val="single" w:sz="4" w:space="0" w:color="auto"/>
              <w:bottom w:val="single" w:sz="4" w:space="0" w:color="auto"/>
              <w:right w:val="single" w:sz="4" w:space="0" w:color="auto"/>
            </w:tcBorders>
            <w:shd w:val="clear" w:color="auto" w:fill="FFFFFF"/>
          </w:tcPr>
          <w:p w14:paraId="42C5EAB0"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3DC94D4F" w14:textId="77777777" w:rsidR="00746D3C" w:rsidRPr="00612E08" w:rsidRDefault="00746D3C" w:rsidP="007B3372">
            <w:pPr>
              <w:jc w:val="both"/>
              <w:rPr>
                <w:rFonts w:ascii="Times New Roman" w:eastAsia="Times New Roman" w:hAnsi="Times New Roman" w:cs="Times New Roman"/>
                <w:i/>
                <w:sz w:val="20"/>
                <w:szCs w:val="20"/>
                <w:lang w:eastAsia="sk-SK"/>
              </w:rPr>
            </w:pPr>
            <w:r w:rsidRPr="001A1B11">
              <w:rPr>
                <w:rFonts w:ascii="Times New Roman" w:eastAsia="Times New Roman" w:hAnsi="Times New Roman" w:cs="Times New Roman"/>
                <w:sz w:val="20"/>
                <w:szCs w:val="20"/>
                <w:lang w:eastAsia="sk-SK"/>
              </w:rPr>
              <w:t>Finančné riaditeľstvo S</w:t>
            </w:r>
            <w:r>
              <w:rPr>
                <w:rFonts w:ascii="Times New Roman" w:eastAsia="Times New Roman" w:hAnsi="Times New Roman" w:cs="Times New Roman"/>
                <w:sz w:val="20"/>
                <w:szCs w:val="20"/>
                <w:lang w:eastAsia="sk-SK"/>
              </w:rPr>
              <w:t>lovenskej republiky (ďalej len „FRSR“)</w:t>
            </w:r>
            <w:r w:rsidRPr="001A1B11">
              <w:rPr>
                <w:rFonts w:ascii="Times New Roman" w:eastAsia="Times New Roman" w:hAnsi="Times New Roman" w:cs="Times New Roman"/>
                <w:sz w:val="20"/>
                <w:szCs w:val="20"/>
                <w:lang w:eastAsia="sk-SK"/>
              </w:rPr>
              <w:t xml:space="preserve">, daňové úrady, </w:t>
            </w:r>
            <w:r>
              <w:rPr>
                <w:rFonts w:ascii="Times New Roman" w:eastAsia="Times New Roman" w:hAnsi="Times New Roman" w:cs="Times New Roman"/>
                <w:sz w:val="20"/>
                <w:szCs w:val="20"/>
                <w:lang w:eastAsia="sk-SK"/>
              </w:rPr>
              <w:t>zdaniteľné osoby, platitelia dane, právnické osoby, orgány verejnej moci.</w:t>
            </w:r>
          </w:p>
        </w:tc>
      </w:tr>
      <w:tr w:rsidR="00746D3C" w:rsidRPr="00612E08" w14:paraId="5E952E02" w14:textId="77777777" w:rsidTr="007B3372">
        <w:tc>
          <w:tcPr>
            <w:tcW w:w="9180" w:type="dxa"/>
            <w:gridSpan w:val="11"/>
            <w:tcBorders>
              <w:top w:val="single" w:sz="4" w:space="0" w:color="auto"/>
              <w:left w:val="single" w:sz="4" w:space="0" w:color="auto"/>
              <w:bottom w:val="nil"/>
              <w:right w:val="single" w:sz="4" w:space="0" w:color="auto"/>
            </w:tcBorders>
            <w:shd w:val="clear" w:color="auto" w:fill="E2E2E2"/>
          </w:tcPr>
          <w:p w14:paraId="32CC3189" w14:textId="77777777" w:rsidR="00746D3C" w:rsidRPr="00612E08" w:rsidRDefault="00746D3C" w:rsidP="00746D3C">
            <w:pPr>
              <w:numPr>
                <w:ilvl w:val="0"/>
                <w:numId w:val="12"/>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746D3C" w:rsidRPr="00612E08" w14:paraId="6A59651A" w14:textId="77777777" w:rsidTr="007B3372">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1C12E961" w14:textId="77777777" w:rsidR="00746D3C" w:rsidRPr="00E14909" w:rsidRDefault="00746D3C" w:rsidP="007B3372">
            <w:pPr>
              <w:jc w:val="both"/>
              <w:rPr>
                <w:rFonts w:ascii="Times New Roman" w:eastAsia="Times New Roman" w:hAnsi="Times New Roman" w:cs="Times New Roman"/>
                <w:sz w:val="20"/>
                <w:szCs w:val="20"/>
                <w:lang w:eastAsia="sk-SK"/>
              </w:rPr>
            </w:pPr>
            <w:r w:rsidRPr="00E14909">
              <w:rPr>
                <w:rFonts w:ascii="Times New Roman" w:hAnsi="Times New Roman" w:cs="Times New Roman"/>
                <w:color w:val="000000"/>
                <w:sz w:val="20"/>
                <w:szCs w:val="20"/>
              </w:rPr>
              <w:t>Neboli identifikované žiadne iné alternatívne riešenia k návrhu zákona</w:t>
            </w:r>
            <w:r>
              <w:rPr>
                <w:rFonts w:ascii="Times New Roman" w:hAnsi="Times New Roman" w:cs="Times New Roman"/>
                <w:color w:val="000000"/>
                <w:sz w:val="20"/>
                <w:szCs w:val="20"/>
              </w:rPr>
              <w:t xml:space="preserve"> vo vzťahu k zmenám, ktorých účinnosť sa navrhuje 1. januára 2026 (registrácia skupiny ex offo) a 1. januára 2027 (povinná elektronická fakturácia a online oznamovanie údajov pri tuzemských zdaniteľných obchodoch). </w:t>
            </w:r>
            <w:r w:rsidRPr="00E14909">
              <w:rPr>
                <w:rFonts w:ascii="Times New Roman" w:eastAsia="Times New Roman" w:hAnsi="Times New Roman" w:cs="Times New Roman"/>
                <w:sz w:val="20"/>
                <w:szCs w:val="20"/>
                <w:lang w:eastAsia="sk-SK"/>
              </w:rPr>
              <w:t xml:space="preserve">Nulovým variantom </w:t>
            </w:r>
            <w:r>
              <w:rPr>
                <w:rFonts w:ascii="Times New Roman" w:eastAsia="Times New Roman" w:hAnsi="Times New Roman" w:cs="Times New Roman"/>
                <w:sz w:val="20"/>
                <w:szCs w:val="20"/>
                <w:lang w:eastAsia="sk-SK"/>
              </w:rPr>
              <w:t xml:space="preserve">v týchto prípadoch </w:t>
            </w:r>
            <w:r w:rsidRPr="00E14909">
              <w:rPr>
                <w:rFonts w:ascii="Times New Roman" w:eastAsia="Times New Roman" w:hAnsi="Times New Roman" w:cs="Times New Roman"/>
                <w:sz w:val="20"/>
                <w:szCs w:val="20"/>
                <w:lang w:eastAsia="sk-SK"/>
              </w:rPr>
              <w:t xml:space="preserve">je ponechanie súčasného stavu, ktorý však zachováva negatívny dopad na štátny rozpočet, ale aj </w:t>
            </w:r>
            <w:r>
              <w:rPr>
                <w:rFonts w:ascii="Times New Roman" w:eastAsia="Times New Roman" w:hAnsi="Times New Roman" w:cs="Times New Roman"/>
                <w:sz w:val="20"/>
                <w:szCs w:val="20"/>
                <w:lang w:eastAsia="sk-SK"/>
              </w:rPr>
              <w:t>nejednotnosť formátov elektronických faktúr vyhotovovaných a zasielaných platiteľmi dane</w:t>
            </w:r>
            <w:r w:rsidRPr="00E14909">
              <w:rPr>
                <w:rFonts w:ascii="Times New Roman" w:eastAsia="Times New Roman" w:hAnsi="Times New Roman" w:cs="Times New Roman"/>
                <w:sz w:val="20"/>
                <w:szCs w:val="20"/>
                <w:lang w:eastAsia="sk-SK"/>
              </w:rPr>
              <w:t>.</w:t>
            </w:r>
          </w:p>
          <w:p w14:paraId="1C90023C" w14:textId="77777777" w:rsidR="00746D3C" w:rsidRPr="00E14909" w:rsidRDefault="00746D3C" w:rsidP="007B3372">
            <w:pPr>
              <w:jc w:val="both"/>
              <w:rPr>
                <w:rFonts w:ascii="Times New Roman" w:eastAsia="Times New Roman" w:hAnsi="Times New Roman" w:cs="Times New Roman"/>
                <w:sz w:val="20"/>
                <w:szCs w:val="20"/>
                <w:lang w:eastAsia="sk-SK"/>
              </w:rPr>
            </w:pPr>
          </w:p>
          <w:p w14:paraId="5BB28306" w14:textId="77777777" w:rsidR="00746D3C" w:rsidRPr="00E14909" w:rsidRDefault="00746D3C" w:rsidP="007B3372">
            <w:pPr>
              <w:jc w:val="both"/>
              <w:rPr>
                <w:rFonts w:ascii="Times New Roman" w:eastAsia="Times New Roman" w:hAnsi="Times New Roman" w:cs="Times New Roman"/>
                <w:iCs/>
                <w:sz w:val="20"/>
                <w:szCs w:val="20"/>
                <w:lang w:eastAsia="sk-SK"/>
              </w:rPr>
            </w:pPr>
            <w:r w:rsidRPr="00E14909">
              <w:rPr>
                <w:rFonts w:ascii="Times New Roman" w:hAnsi="Times New Roman" w:cs="Times New Roman"/>
                <w:sz w:val="20"/>
                <w:szCs w:val="20"/>
              </w:rPr>
              <w:t>Vo vzťahu k</w:t>
            </w:r>
            <w:r>
              <w:rPr>
                <w:rFonts w:ascii="Times New Roman" w:hAnsi="Times New Roman" w:cs="Times New Roman"/>
                <w:sz w:val="20"/>
                <w:szCs w:val="20"/>
              </w:rPr>
              <w:t> úpravám, ktorých účinnosť sa navrhuje od 1. júla 2030, ktoré sa týkajú povinnej elektronickej fakturácie a online oznamovania údajov pri cezhraničných transakciách,</w:t>
            </w:r>
            <w:r w:rsidRPr="00E14909">
              <w:rPr>
                <w:rFonts w:ascii="Times New Roman" w:hAnsi="Times New Roman" w:cs="Times New Roman"/>
                <w:sz w:val="20"/>
                <w:szCs w:val="20"/>
              </w:rPr>
              <w:t xml:space="preserve"> nie je možné realizovať nulový variant, keďže ide o transpozíciu </w:t>
            </w:r>
            <w:r w:rsidRPr="00E14909">
              <w:rPr>
                <w:rFonts w:ascii="Times New Roman" w:eastAsia="Calibri" w:hAnsi="Times New Roman" w:cs="Times New Roman"/>
                <w:sz w:val="20"/>
                <w:szCs w:val="20"/>
              </w:rPr>
              <w:t xml:space="preserve">smernice </w:t>
            </w:r>
            <w:r>
              <w:rPr>
                <w:rFonts w:ascii="Times New Roman" w:eastAsia="Calibri" w:hAnsi="Times New Roman" w:cs="Times New Roman"/>
                <w:sz w:val="20"/>
                <w:szCs w:val="20"/>
              </w:rPr>
              <w:t>2025/516</w:t>
            </w:r>
            <w:r w:rsidRPr="00E14909">
              <w:rPr>
                <w:rFonts w:ascii="Times New Roman" w:eastAsia="Calibri" w:hAnsi="Times New Roman" w:cs="Times New Roman"/>
                <w:sz w:val="20"/>
                <w:szCs w:val="20"/>
              </w:rPr>
              <w:t xml:space="preserve"> </w:t>
            </w:r>
            <w:r w:rsidRPr="00E14909">
              <w:rPr>
                <w:rFonts w:ascii="Times New Roman" w:hAnsi="Times New Roman" w:cs="Times New Roman"/>
                <w:sz w:val="20"/>
                <w:szCs w:val="20"/>
              </w:rPr>
              <w:t xml:space="preserve">v nutnom rozsahu a v prípade nesplnenia povinnosti transpozície </w:t>
            </w:r>
            <w:r>
              <w:rPr>
                <w:rFonts w:ascii="Times New Roman" w:hAnsi="Times New Roman" w:cs="Times New Roman"/>
                <w:sz w:val="20"/>
                <w:szCs w:val="20"/>
              </w:rPr>
              <w:t>hrozí</w:t>
            </w:r>
            <w:r w:rsidRPr="00E14909">
              <w:rPr>
                <w:rFonts w:ascii="Times New Roman" w:hAnsi="Times New Roman" w:cs="Times New Roman"/>
                <w:sz w:val="20"/>
                <w:szCs w:val="20"/>
              </w:rPr>
              <w:t xml:space="preserve"> Slovenskej republike konanie o porušení </w:t>
            </w:r>
            <w:r>
              <w:rPr>
                <w:rFonts w:ascii="Times New Roman" w:hAnsi="Times New Roman" w:cs="Times New Roman"/>
                <w:sz w:val="20"/>
                <w:szCs w:val="20"/>
              </w:rPr>
              <w:t xml:space="preserve">povinnosti </w:t>
            </w:r>
            <w:r w:rsidRPr="00E14909">
              <w:rPr>
                <w:rFonts w:ascii="Times New Roman" w:hAnsi="Times New Roman" w:cs="Times New Roman"/>
                <w:sz w:val="20"/>
                <w:szCs w:val="20"/>
              </w:rPr>
              <w:t>podľa Zmluvy o fungovaní Európskej únie.</w:t>
            </w:r>
          </w:p>
        </w:tc>
      </w:tr>
      <w:tr w:rsidR="00746D3C" w:rsidRPr="00612E08" w14:paraId="4CA9543E" w14:textId="77777777" w:rsidTr="007B337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288942E" w14:textId="77777777" w:rsidR="00746D3C" w:rsidRPr="00612E08" w:rsidRDefault="00746D3C" w:rsidP="00746D3C">
            <w:pPr>
              <w:numPr>
                <w:ilvl w:val="0"/>
                <w:numId w:val="12"/>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746D3C" w:rsidRPr="00612E08" w14:paraId="7887B134" w14:textId="77777777" w:rsidTr="007B3372">
        <w:tc>
          <w:tcPr>
            <w:tcW w:w="6203" w:type="dxa"/>
            <w:gridSpan w:val="7"/>
            <w:tcBorders>
              <w:top w:val="single" w:sz="4" w:space="0" w:color="FFFFFF"/>
              <w:left w:val="single" w:sz="4" w:space="0" w:color="auto"/>
              <w:bottom w:val="nil"/>
              <w:right w:val="nil"/>
            </w:tcBorders>
            <w:shd w:val="clear" w:color="auto" w:fill="FFFFFF"/>
          </w:tcPr>
          <w:p w14:paraId="1711BCD3" w14:textId="77777777" w:rsidR="00746D3C" w:rsidRPr="00612E08" w:rsidRDefault="00746D3C" w:rsidP="007B337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1E859D28" w14:textId="77777777" w:rsidR="00746D3C" w:rsidRPr="00612E08" w:rsidRDefault="002C7EDD" w:rsidP="007B3372">
            <w:pPr>
              <w:jc w:val="center"/>
              <w:rPr>
                <w:rFonts w:ascii="Times New Roman" w:eastAsia="Times New Roman" w:hAnsi="Times New Roman" w:cs="Times New Roman"/>
                <w:b/>
                <w:sz w:val="20"/>
                <w:szCs w:val="20"/>
                <w:lang w:eastAsia="sk-SK"/>
              </w:rPr>
            </w:pPr>
            <w:sdt>
              <w:sdtPr>
                <w:rPr>
                  <w:b/>
                  <w:sz w:val="20"/>
                  <w:szCs w:val="20"/>
                </w:rPr>
                <w:id w:val="1929613764"/>
                <w14:checkbox>
                  <w14:checked w14:val="0"/>
                  <w14:checkedState w14:val="2612" w14:font="MS Gothic"/>
                  <w14:uncheckedState w14:val="2610" w14:font="MS Gothic"/>
                </w14:checkbox>
              </w:sdtPr>
              <w:sdtEndPr/>
              <w:sdtContent>
                <w:r w:rsidR="00746D3C">
                  <w:rPr>
                    <w:rFonts w:ascii="MS Gothic" w:eastAsia="MS Gothic" w:hAnsi="MS Gothic" w:cs="Times New Roman" w:hint="eastAsia"/>
                    <w:b/>
                    <w:sz w:val="20"/>
                    <w:szCs w:val="20"/>
                    <w:lang w:eastAsia="sk-SK"/>
                  </w:rPr>
                  <w:t>☐</w:t>
                </w:r>
              </w:sdtContent>
            </w:sdt>
            <w:r w:rsidR="00746D3C"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6EACB58" w14:textId="77777777" w:rsidR="00746D3C" w:rsidRPr="00612E08" w:rsidRDefault="002C7EDD" w:rsidP="007B3372">
            <w:pPr>
              <w:jc w:val="center"/>
              <w:rPr>
                <w:rFonts w:ascii="Times New Roman" w:eastAsia="Times New Roman" w:hAnsi="Times New Roman" w:cs="Times New Roman"/>
                <w:b/>
                <w:sz w:val="20"/>
                <w:szCs w:val="20"/>
                <w:lang w:eastAsia="sk-SK"/>
              </w:rPr>
            </w:pPr>
            <w:sdt>
              <w:sdtPr>
                <w:rPr>
                  <w:b/>
                  <w:sz w:val="20"/>
                  <w:szCs w:val="20"/>
                </w:rPr>
                <w:id w:val="-1594626508"/>
                <w14:checkbox>
                  <w14:checked w14:val="1"/>
                  <w14:checkedState w14:val="2612" w14:font="MS Gothic"/>
                  <w14:uncheckedState w14:val="2610" w14:font="MS Gothic"/>
                </w14:checkbox>
              </w:sdtPr>
              <w:sdtEndPr/>
              <w:sdtContent>
                <w:r w:rsidR="00746D3C">
                  <w:rPr>
                    <w:rFonts w:ascii="MS Gothic" w:eastAsia="MS Gothic" w:hAnsi="MS Gothic" w:cs="Times New Roman" w:hint="eastAsia"/>
                    <w:b/>
                    <w:sz w:val="20"/>
                    <w:szCs w:val="20"/>
                    <w:lang w:eastAsia="sk-SK"/>
                  </w:rPr>
                  <w:t>☒</w:t>
                </w:r>
              </w:sdtContent>
            </w:sdt>
            <w:r w:rsidR="00746D3C" w:rsidRPr="00612E08">
              <w:rPr>
                <w:rFonts w:ascii="Times New Roman" w:eastAsia="Times New Roman" w:hAnsi="Times New Roman" w:cs="Times New Roman"/>
                <w:b/>
                <w:sz w:val="20"/>
                <w:szCs w:val="20"/>
                <w:lang w:eastAsia="sk-SK"/>
              </w:rPr>
              <w:t xml:space="preserve">  Nie</w:t>
            </w:r>
          </w:p>
        </w:tc>
      </w:tr>
      <w:tr w:rsidR="00746D3C" w:rsidRPr="00612E08" w14:paraId="6D6F0FA4" w14:textId="77777777" w:rsidTr="007B3372">
        <w:tc>
          <w:tcPr>
            <w:tcW w:w="9180" w:type="dxa"/>
            <w:gridSpan w:val="11"/>
            <w:tcBorders>
              <w:top w:val="nil"/>
              <w:left w:val="single" w:sz="4" w:space="0" w:color="auto"/>
              <w:bottom w:val="single" w:sz="4" w:space="0" w:color="auto"/>
              <w:right w:val="single" w:sz="4" w:space="0" w:color="auto"/>
            </w:tcBorders>
            <w:shd w:val="clear" w:color="auto" w:fill="FFFFFF"/>
          </w:tcPr>
          <w:p w14:paraId="08A6079D" w14:textId="77777777" w:rsidR="00746D3C" w:rsidRDefault="00746D3C" w:rsidP="007B337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647EBEEA" w14:textId="77777777" w:rsidR="00746D3C" w:rsidRPr="00612E08" w:rsidRDefault="00746D3C" w:rsidP="007B3372">
            <w:pPr>
              <w:rPr>
                <w:rFonts w:ascii="Times New Roman" w:eastAsia="Times New Roman" w:hAnsi="Times New Roman" w:cs="Times New Roman"/>
                <w:sz w:val="20"/>
                <w:szCs w:val="20"/>
                <w:lang w:eastAsia="sk-SK"/>
              </w:rPr>
            </w:pPr>
          </w:p>
        </w:tc>
      </w:tr>
      <w:tr w:rsidR="00746D3C" w:rsidRPr="00612E08" w14:paraId="23B2DD64" w14:textId="77777777" w:rsidTr="007B337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8B7F15A" w14:textId="77777777" w:rsidR="00746D3C" w:rsidRPr="00612E08" w:rsidRDefault="00746D3C" w:rsidP="00746D3C">
            <w:pPr>
              <w:numPr>
                <w:ilvl w:val="0"/>
                <w:numId w:val="12"/>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746D3C" w:rsidRPr="00612E08" w14:paraId="256FFA4F" w14:textId="77777777" w:rsidTr="007B3372">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746D3C" w:rsidRPr="00612E08" w14:paraId="0CEE6D69" w14:textId="77777777" w:rsidTr="007B3372">
              <w:trPr>
                <w:trHeight w:val="90"/>
              </w:trPr>
              <w:tc>
                <w:tcPr>
                  <w:tcW w:w="8643" w:type="dxa"/>
                </w:tcPr>
                <w:p w14:paraId="1FE41B0C" w14:textId="77777777" w:rsidR="00746D3C" w:rsidRPr="00612E08" w:rsidRDefault="00746D3C" w:rsidP="007B3372">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746D3C" w:rsidRPr="00612E08" w14:paraId="76B203F5" w14:textId="77777777" w:rsidTr="007B3372">
              <w:trPr>
                <w:trHeight w:val="296"/>
              </w:trPr>
              <w:tc>
                <w:tcPr>
                  <w:tcW w:w="8643" w:type="dxa"/>
                </w:tcPr>
                <w:p w14:paraId="31E804A6" w14:textId="77777777" w:rsidR="00746D3C" w:rsidRPr="00612E08" w:rsidRDefault="00746D3C" w:rsidP="007B3372">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2D07344A" w14:textId="77777777" w:rsidR="00746D3C" w:rsidRPr="00612E08" w:rsidRDefault="00746D3C" w:rsidP="007B3372">
                  <w:pPr>
                    <w:pStyle w:val="Default"/>
                    <w:rPr>
                      <w:i/>
                      <w:iCs/>
                      <w:color w:val="auto"/>
                      <w:sz w:val="20"/>
                      <w:szCs w:val="20"/>
                    </w:rPr>
                  </w:pPr>
                </w:p>
                <w:p w14:paraId="086DC883" w14:textId="77777777" w:rsidR="00746D3C" w:rsidRPr="00612E08" w:rsidRDefault="00746D3C" w:rsidP="007B3372">
                  <w:pPr>
                    <w:pStyle w:val="Default"/>
                    <w:rPr>
                      <w:color w:val="auto"/>
                      <w:sz w:val="20"/>
                      <w:szCs w:val="20"/>
                    </w:rPr>
                  </w:pPr>
                  <w:r w:rsidRPr="00612E08">
                    <w:rPr>
                      <w:i/>
                      <w:iCs/>
                      <w:color w:val="auto"/>
                      <w:sz w:val="20"/>
                      <w:szCs w:val="20"/>
                    </w:rPr>
                    <w:t xml:space="preserve">Ak áno, uveďte, ktorých vplyvov podľa bodu 9 sa goldplating týka: </w:t>
                  </w:r>
                </w:p>
              </w:tc>
            </w:tr>
            <w:tr w:rsidR="00746D3C" w:rsidRPr="00612E08" w14:paraId="3566DA50" w14:textId="77777777" w:rsidTr="007B3372">
              <w:trPr>
                <w:trHeight w:val="296"/>
              </w:trPr>
              <w:tc>
                <w:tcPr>
                  <w:tcW w:w="8643" w:type="dxa"/>
                </w:tcPr>
                <w:p w14:paraId="264EBAF4" w14:textId="77777777" w:rsidR="00746D3C" w:rsidRPr="00EE088E" w:rsidRDefault="00746D3C" w:rsidP="007B3372">
                  <w:pPr>
                    <w:pStyle w:val="Default"/>
                    <w:rPr>
                      <w:color w:val="auto"/>
                      <w:sz w:val="20"/>
                      <w:szCs w:val="20"/>
                    </w:rPr>
                  </w:pPr>
                  <w:r w:rsidRPr="00EE088E">
                    <w:rPr>
                      <w:color w:val="auto"/>
                      <w:sz w:val="20"/>
                      <w:szCs w:val="20"/>
                    </w:rPr>
                    <w:t>Vplyvov na podnikateľské prostredie</w:t>
                  </w:r>
                </w:p>
              </w:tc>
            </w:tr>
          </w:tbl>
          <w:p w14:paraId="45D20754" w14:textId="77777777" w:rsidR="00746D3C" w:rsidRPr="00612E08" w:rsidRDefault="00746D3C" w:rsidP="007B3372">
            <w:pPr>
              <w:jc w:val="both"/>
              <w:rPr>
                <w:rFonts w:ascii="Times New Roman" w:eastAsia="Times New Roman" w:hAnsi="Times New Roman" w:cs="Times New Roman"/>
                <w:i/>
                <w:sz w:val="20"/>
                <w:szCs w:val="20"/>
                <w:lang w:eastAsia="sk-SK"/>
              </w:rPr>
            </w:pPr>
          </w:p>
        </w:tc>
      </w:tr>
      <w:tr w:rsidR="00746D3C" w:rsidRPr="00612E08" w14:paraId="2F5E4BDB" w14:textId="77777777" w:rsidTr="007B3372">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53E2658A" w14:textId="77777777" w:rsidR="00746D3C" w:rsidRPr="00612E08" w:rsidRDefault="00746D3C" w:rsidP="007B3372">
            <w:pPr>
              <w:jc w:val="center"/>
              <w:rPr>
                <w:rFonts w:ascii="Times New Roman" w:eastAsia="Times New Roman" w:hAnsi="Times New Roman" w:cs="Times New Roman"/>
                <w:sz w:val="20"/>
                <w:szCs w:val="20"/>
                <w:lang w:eastAsia="sk-SK"/>
              </w:rPr>
            </w:pPr>
          </w:p>
        </w:tc>
      </w:tr>
      <w:tr w:rsidR="00746D3C" w:rsidRPr="00612E08" w14:paraId="02F659D4" w14:textId="77777777" w:rsidTr="007B337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F90D98A" w14:textId="77777777" w:rsidR="00746D3C" w:rsidRPr="00612E08" w:rsidRDefault="00746D3C" w:rsidP="00746D3C">
            <w:pPr>
              <w:numPr>
                <w:ilvl w:val="0"/>
                <w:numId w:val="12"/>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746D3C" w:rsidRPr="00612E08" w14:paraId="0B8D87C9" w14:textId="77777777" w:rsidTr="007B3372">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FE0D390" w14:textId="77777777" w:rsidR="00746D3C" w:rsidRPr="00612E08" w:rsidRDefault="00746D3C" w:rsidP="007B337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Uveďte termín, kedy by malo dôjsť k preskúmaniu účinnosti a účelnosti predkladaného materiálu.</w:t>
            </w:r>
          </w:p>
          <w:p w14:paraId="2F2101F9" w14:textId="77777777" w:rsidR="00746D3C" w:rsidRPr="00612E08" w:rsidRDefault="00746D3C" w:rsidP="007B337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14:paraId="205582F4" w14:textId="77777777" w:rsidR="00746D3C" w:rsidRPr="00612E08" w:rsidRDefault="00746D3C" w:rsidP="007B3372">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P</w:t>
            </w:r>
            <w:r w:rsidRPr="00A93F81">
              <w:rPr>
                <w:rFonts w:ascii="Times New Roman" w:eastAsia="Times New Roman" w:hAnsi="Times New Roman" w:cs="Times New Roman"/>
                <w:sz w:val="20"/>
                <w:szCs w:val="20"/>
                <w:lang w:eastAsia="sk-SK"/>
              </w:rPr>
              <w:t>reskúma</w:t>
            </w:r>
            <w:r>
              <w:rPr>
                <w:rFonts w:ascii="Times New Roman" w:eastAsia="Times New Roman" w:hAnsi="Times New Roman" w:cs="Times New Roman"/>
                <w:sz w:val="20"/>
                <w:szCs w:val="20"/>
                <w:lang w:eastAsia="sk-SK"/>
              </w:rPr>
              <w:t>nie</w:t>
            </w:r>
            <w:r w:rsidRPr="00A93F81">
              <w:rPr>
                <w:rFonts w:ascii="Times New Roman" w:eastAsia="Times New Roman" w:hAnsi="Times New Roman" w:cs="Times New Roman"/>
                <w:sz w:val="20"/>
                <w:szCs w:val="20"/>
                <w:lang w:eastAsia="sk-SK"/>
              </w:rPr>
              <w:t xml:space="preserve"> účelnos</w:t>
            </w:r>
            <w:r>
              <w:rPr>
                <w:rFonts w:ascii="Times New Roman" w:eastAsia="Times New Roman" w:hAnsi="Times New Roman" w:cs="Times New Roman"/>
                <w:sz w:val="20"/>
                <w:szCs w:val="20"/>
                <w:lang w:eastAsia="sk-SK"/>
              </w:rPr>
              <w:t>ti</w:t>
            </w:r>
            <w:r w:rsidRPr="00A93F81">
              <w:rPr>
                <w:rFonts w:ascii="Times New Roman" w:eastAsia="Times New Roman" w:hAnsi="Times New Roman" w:cs="Times New Roman"/>
                <w:sz w:val="20"/>
                <w:szCs w:val="20"/>
                <w:lang w:eastAsia="sk-SK"/>
              </w:rPr>
              <w:t xml:space="preserve"> návrhu zákona </w:t>
            </w:r>
            <w:r>
              <w:rPr>
                <w:rFonts w:ascii="Times New Roman" w:eastAsia="Times New Roman" w:hAnsi="Times New Roman" w:cs="Times New Roman"/>
                <w:sz w:val="20"/>
                <w:szCs w:val="20"/>
                <w:lang w:eastAsia="sk-SK"/>
              </w:rPr>
              <w:t>sa uskutoční v súlade s bodom 10. Jednotnej metodiky na posudzovanie vybraných vplyvov (Ex post hodnotenie).</w:t>
            </w:r>
          </w:p>
        </w:tc>
      </w:tr>
      <w:tr w:rsidR="00746D3C" w:rsidRPr="00612E08" w14:paraId="43F49B1A" w14:textId="77777777" w:rsidTr="007B3372">
        <w:tc>
          <w:tcPr>
            <w:tcW w:w="9180" w:type="dxa"/>
            <w:gridSpan w:val="11"/>
            <w:tcBorders>
              <w:top w:val="nil"/>
              <w:left w:val="nil"/>
              <w:bottom w:val="single" w:sz="4" w:space="0" w:color="auto"/>
              <w:right w:val="nil"/>
            </w:tcBorders>
            <w:shd w:val="clear" w:color="auto" w:fill="FFFFFF"/>
          </w:tcPr>
          <w:p w14:paraId="4F9EE5E3" w14:textId="77777777" w:rsidR="00746D3C" w:rsidRPr="00612E08" w:rsidRDefault="00746D3C" w:rsidP="007B3372">
            <w:pPr>
              <w:jc w:val="both"/>
              <w:rPr>
                <w:rFonts w:ascii="Times New Roman" w:eastAsia="Times New Roman" w:hAnsi="Times New Roman" w:cs="Times New Roman"/>
                <w:b/>
                <w:sz w:val="20"/>
                <w:szCs w:val="20"/>
                <w:lang w:eastAsia="sk-SK"/>
              </w:rPr>
            </w:pPr>
          </w:p>
          <w:p w14:paraId="1DE61454" w14:textId="77777777" w:rsidR="00746D3C" w:rsidRPr="00612E08" w:rsidRDefault="00746D3C" w:rsidP="007B3372">
            <w:pPr>
              <w:jc w:val="both"/>
              <w:rPr>
                <w:rFonts w:ascii="Times New Roman" w:eastAsia="Times New Roman" w:hAnsi="Times New Roman" w:cs="Times New Roman"/>
                <w:b/>
                <w:sz w:val="20"/>
                <w:szCs w:val="20"/>
                <w:lang w:eastAsia="sk-SK"/>
              </w:rPr>
            </w:pPr>
          </w:p>
          <w:p w14:paraId="1EA68C58" w14:textId="77777777" w:rsidR="00746D3C" w:rsidRPr="00612E08" w:rsidRDefault="00746D3C" w:rsidP="007B3372">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7662DDCA" w14:textId="77777777" w:rsidR="00746D3C" w:rsidRPr="00612E08" w:rsidRDefault="00746D3C" w:rsidP="007B3372">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49E375B5" w14:textId="77777777" w:rsidR="00746D3C" w:rsidRPr="00612E08" w:rsidRDefault="00746D3C" w:rsidP="007B3372">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36278D2D" w14:textId="77777777" w:rsidR="00746D3C" w:rsidRPr="00612E08" w:rsidRDefault="00746D3C" w:rsidP="007B3372">
            <w:pPr>
              <w:jc w:val="both"/>
              <w:rPr>
                <w:rFonts w:ascii="Times New Roman" w:eastAsia="Times New Roman" w:hAnsi="Times New Roman" w:cs="Times New Roman"/>
                <w:sz w:val="20"/>
                <w:szCs w:val="20"/>
                <w:lang w:eastAsia="sk-SK"/>
              </w:rPr>
            </w:pPr>
          </w:p>
          <w:p w14:paraId="265FCAD2" w14:textId="77777777" w:rsidR="00746D3C" w:rsidRPr="00612E08" w:rsidRDefault="00746D3C" w:rsidP="007B3372">
            <w:pPr>
              <w:jc w:val="both"/>
              <w:rPr>
                <w:rFonts w:ascii="Times New Roman" w:eastAsia="Times New Roman" w:hAnsi="Times New Roman" w:cs="Times New Roman"/>
                <w:b/>
                <w:sz w:val="20"/>
                <w:szCs w:val="20"/>
                <w:lang w:eastAsia="sk-SK"/>
              </w:rPr>
            </w:pPr>
          </w:p>
        </w:tc>
      </w:tr>
      <w:tr w:rsidR="00746D3C" w:rsidRPr="00612E08" w14:paraId="03B3304E" w14:textId="77777777" w:rsidTr="007B3372">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9EF12DC" w14:textId="77777777" w:rsidR="00746D3C" w:rsidRPr="00612E08" w:rsidRDefault="00746D3C" w:rsidP="00746D3C">
            <w:pPr>
              <w:numPr>
                <w:ilvl w:val="0"/>
                <w:numId w:val="12"/>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746D3C" w:rsidRPr="00612E08" w14:paraId="45233340" w14:textId="77777777" w:rsidTr="007B3372">
        <w:tc>
          <w:tcPr>
            <w:tcW w:w="3812" w:type="dxa"/>
            <w:tcBorders>
              <w:top w:val="single" w:sz="4" w:space="0" w:color="auto"/>
              <w:left w:val="single" w:sz="4" w:space="0" w:color="auto"/>
              <w:bottom w:val="nil"/>
              <w:right w:val="single" w:sz="4" w:space="0" w:color="auto"/>
            </w:tcBorders>
            <w:shd w:val="clear" w:color="auto" w:fill="E2E2E2"/>
          </w:tcPr>
          <w:p w14:paraId="0C50E486"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b/>
              <w:sz w:val="20"/>
              <w:szCs w:val="20"/>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165BA766" w14:textId="77777777" w:rsidR="00746D3C" w:rsidRPr="00612E08" w:rsidRDefault="00746D3C" w:rsidP="007B33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5531A8CE"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6D25BBE1"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5BA586CC"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83114DA" w14:textId="77777777" w:rsidR="00746D3C" w:rsidRPr="00612E08" w:rsidRDefault="00746D3C" w:rsidP="007B3372">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DF9D9BF" w14:textId="77777777" w:rsidR="00746D3C" w:rsidRPr="00612E08" w:rsidRDefault="00746D3C" w:rsidP="007B3372">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746D3C" w:rsidRPr="00612E08" w14:paraId="4EA9F169" w14:textId="77777777" w:rsidTr="007B3372">
        <w:tc>
          <w:tcPr>
            <w:tcW w:w="3812" w:type="dxa"/>
            <w:tcBorders>
              <w:top w:val="nil"/>
              <w:left w:val="single" w:sz="4" w:space="0" w:color="auto"/>
              <w:bottom w:val="nil"/>
              <w:right w:val="single" w:sz="4" w:space="0" w:color="auto"/>
            </w:tcBorders>
            <w:shd w:val="clear" w:color="auto" w:fill="E2E2E2"/>
          </w:tcPr>
          <w:p w14:paraId="7272074C"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1B8EE1C7"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537849D0"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48B48515" w14:textId="77777777" w:rsidR="00746D3C" w:rsidRPr="00612E08" w:rsidRDefault="00746D3C" w:rsidP="007B337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0624C45"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614E481" w14:textId="77777777" w:rsidR="00746D3C" w:rsidRPr="00612E08" w:rsidRDefault="00746D3C" w:rsidP="007B33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A8F2937"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sz w:val="20"/>
              <w:szCs w:val="20"/>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12D0296" w14:textId="77777777" w:rsidR="00746D3C" w:rsidRPr="00612E08" w:rsidRDefault="00746D3C" w:rsidP="007B3372">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6C92C00" w14:textId="77777777" w:rsidR="00746D3C" w:rsidRPr="00612E08" w:rsidRDefault="00746D3C" w:rsidP="007B337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746D3C" w:rsidRPr="00612E08" w14:paraId="1993DE1D" w14:textId="77777777" w:rsidTr="007B3372">
        <w:tc>
          <w:tcPr>
            <w:tcW w:w="3812" w:type="dxa"/>
            <w:tcBorders>
              <w:top w:val="nil"/>
              <w:left w:val="single" w:sz="4" w:space="0" w:color="auto"/>
              <w:bottom w:val="nil"/>
              <w:right w:val="single" w:sz="4" w:space="0" w:color="auto"/>
            </w:tcBorders>
            <w:shd w:val="clear" w:color="auto" w:fill="E2E2E2"/>
          </w:tcPr>
          <w:p w14:paraId="689F3B2F"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3FAE6572"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076AB6B"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039AFC05" w14:textId="77777777" w:rsidR="00746D3C" w:rsidRPr="00612E08" w:rsidRDefault="00746D3C" w:rsidP="007B33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6BC2FE9E"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32AED315" w14:textId="77777777" w:rsidR="00746D3C" w:rsidRPr="00612E08" w:rsidRDefault="00746D3C" w:rsidP="007B3372">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77E4A4D1" w14:textId="77777777" w:rsidR="00746D3C" w:rsidRPr="00612E08" w:rsidRDefault="00746D3C" w:rsidP="007B3372">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746D3C" w:rsidRPr="00612E08" w14:paraId="5445D3EB" w14:textId="77777777" w:rsidTr="007B3372">
        <w:tc>
          <w:tcPr>
            <w:tcW w:w="3812" w:type="dxa"/>
            <w:tcBorders>
              <w:top w:val="nil"/>
              <w:left w:val="single" w:sz="4" w:space="0" w:color="auto"/>
              <w:bottom w:val="single" w:sz="4" w:space="0" w:color="auto"/>
              <w:right w:val="single" w:sz="4" w:space="0" w:color="auto"/>
            </w:tcBorders>
            <w:shd w:val="clear" w:color="auto" w:fill="E2E2E2"/>
          </w:tcPr>
          <w:p w14:paraId="58BCBF7F" w14:textId="77777777" w:rsidR="00746D3C" w:rsidRPr="00612E08" w:rsidRDefault="00746D3C" w:rsidP="007B3372">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5C0B577B" w14:textId="77777777" w:rsidR="00746D3C" w:rsidRPr="00612E08" w:rsidRDefault="00746D3C" w:rsidP="007B3372">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A27FC8D" w14:textId="77777777" w:rsidR="00746D3C" w:rsidRPr="00612E08" w:rsidRDefault="00746D3C" w:rsidP="007B33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2B107229"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30F84691" w14:textId="77777777" w:rsidR="00746D3C" w:rsidRPr="00612E08" w:rsidRDefault="00746D3C" w:rsidP="007B33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3FB800F1"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108F658" w14:textId="77777777" w:rsidR="00746D3C" w:rsidRPr="00612E08" w:rsidRDefault="00746D3C" w:rsidP="007B337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FDF4AD0" w14:textId="77777777" w:rsidR="00746D3C" w:rsidRPr="00612E08" w:rsidRDefault="00746D3C" w:rsidP="007B337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746D3C" w:rsidRPr="00612E08" w14:paraId="16B5D0C5" w14:textId="77777777" w:rsidTr="007B3372">
        <w:tc>
          <w:tcPr>
            <w:tcW w:w="3812" w:type="dxa"/>
            <w:tcBorders>
              <w:top w:val="single" w:sz="4" w:space="0" w:color="auto"/>
              <w:left w:val="single" w:sz="4" w:space="0" w:color="auto"/>
              <w:bottom w:val="single" w:sz="4" w:space="0" w:color="auto"/>
              <w:right w:val="single" w:sz="4" w:space="0" w:color="auto"/>
            </w:tcBorders>
            <w:shd w:val="clear" w:color="auto" w:fill="E2E2E2"/>
          </w:tcPr>
          <w:p w14:paraId="15DFCDB8" w14:textId="77777777" w:rsidR="00746D3C" w:rsidRPr="00612E08" w:rsidRDefault="00746D3C" w:rsidP="007B3372">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5E3BC2C" w14:textId="77777777" w:rsidR="00746D3C" w:rsidRPr="00612E08" w:rsidRDefault="00746D3C" w:rsidP="007B33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CB6C3E4"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A85EEDA" w14:textId="77777777" w:rsidR="00746D3C" w:rsidRPr="00612E08" w:rsidRDefault="00746D3C" w:rsidP="007B3372">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1F28DFB0" w14:textId="77777777" w:rsidR="00746D3C" w:rsidRPr="00612E08" w:rsidRDefault="00746D3C" w:rsidP="007B3372">
            <w:pPr>
              <w:rPr>
                <w:rFonts w:ascii="Times New Roman" w:eastAsia="Times New Roman" w:hAnsi="Times New Roman" w:cs="Times New Roman"/>
                <w:sz w:val="20"/>
                <w:szCs w:val="20"/>
                <w:lang w:eastAsia="sk-SK"/>
              </w:rPr>
            </w:pPr>
          </w:p>
        </w:tc>
        <w:sdt>
          <w:sdtPr>
            <w:rPr>
              <w:sz w:val="20"/>
              <w:szCs w:val="20"/>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E1A2924" w14:textId="77777777" w:rsidR="00746D3C" w:rsidRPr="00612E08" w:rsidRDefault="00746D3C" w:rsidP="007B337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CA951D9" w14:textId="77777777" w:rsidR="00746D3C" w:rsidRPr="00612E08" w:rsidRDefault="00746D3C" w:rsidP="007B337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746D3C" w:rsidRPr="00612E08" w14:paraId="123ED9A2" w14:textId="77777777" w:rsidTr="007B3372">
        <w:tc>
          <w:tcPr>
            <w:tcW w:w="3812" w:type="dxa"/>
            <w:tcBorders>
              <w:top w:val="single" w:sz="4" w:space="0" w:color="auto"/>
              <w:left w:val="single" w:sz="4" w:space="0" w:color="auto"/>
              <w:bottom w:val="single" w:sz="4" w:space="0" w:color="auto"/>
              <w:right w:val="single" w:sz="4" w:space="0" w:color="auto"/>
            </w:tcBorders>
            <w:shd w:val="clear" w:color="auto" w:fill="E2E2E2"/>
          </w:tcPr>
          <w:p w14:paraId="5816CE5C"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DF7937B" w14:textId="77777777" w:rsidR="00746D3C" w:rsidRPr="00612E08" w:rsidRDefault="00746D3C" w:rsidP="007B33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DE1E3C0"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7DEAFF35" w14:textId="77777777" w:rsidR="00746D3C" w:rsidRPr="00612E08" w:rsidRDefault="00746D3C" w:rsidP="007B3372">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B4D98E1"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188929913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AEEB6B2" w14:textId="77777777" w:rsidR="00746D3C" w:rsidRPr="00612E08" w:rsidRDefault="00746D3C" w:rsidP="007B3372">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2E3A508" w14:textId="77777777" w:rsidR="00746D3C" w:rsidRPr="00612E08" w:rsidRDefault="00746D3C" w:rsidP="007B337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746D3C" w:rsidRPr="00612E08" w14:paraId="073FD725" w14:textId="77777777" w:rsidTr="007B3372">
        <w:tc>
          <w:tcPr>
            <w:tcW w:w="3812" w:type="dxa"/>
            <w:tcBorders>
              <w:top w:val="single" w:sz="4" w:space="0" w:color="auto"/>
              <w:left w:val="single" w:sz="4" w:space="0" w:color="auto"/>
              <w:bottom w:val="nil"/>
              <w:right w:val="single" w:sz="4" w:space="0" w:color="auto"/>
            </w:tcBorders>
            <w:shd w:val="clear" w:color="auto" w:fill="E2E2E2"/>
          </w:tcPr>
          <w:p w14:paraId="102FD866"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b/>
              <w:sz w:val="20"/>
              <w:szCs w:val="20"/>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168D6B8B" w14:textId="77777777" w:rsidR="00746D3C" w:rsidRPr="00612E08" w:rsidRDefault="00746D3C" w:rsidP="007B33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4A636699" w14:textId="77777777" w:rsidR="00746D3C" w:rsidRPr="00612E08" w:rsidRDefault="00746D3C" w:rsidP="007B33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263D0C6"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2A4D29ED"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D4E3572" w14:textId="77777777" w:rsidR="00746D3C" w:rsidRPr="00612E08" w:rsidRDefault="00746D3C" w:rsidP="007B33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C655A23" w14:textId="77777777" w:rsidR="00746D3C" w:rsidRPr="00612E08" w:rsidRDefault="00746D3C" w:rsidP="007B33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746D3C" w:rsidRPr="00612E08" w14:paraId="7909F1E1" w14:textId="77777777" w:rsidTr="007B3372">
        <w:tc>
          <w:tcPr>
            <w:tcW w:w="3812" w:type="dxa"/>
            <w:tcBorders>
              <w:top w:val="nil"/>
              <w:left w:val="single" w:sz="4" w:space="0" w:color="000000"/>
              <w:bottom w:val="nil"/>
              <w:right w:val="single" w:sz="4" w:space="0" w:color="000000"/>
            </w:tcBorders>
            <w:shd w:val="clear" w:color="auto" w:fill="E2E2E2"/>
          </w:tcPr>
          <w:p w14:paraId="372D659B"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639FC9DE" w14:textId="77777777" w:rsidR="00746D3C" w:rsidRPr="00612E08" w:rsidRDefault="00746D3C" w:rsidP="007B3372">
            <w:pPr>
              <w:rPr>
                <w:rFonts w:ascii="Times New Roman" w:eastAsia="Times New Roman" w:hAnsi="Times New Roman" w:cs="Times New Roman"/>
                <w:sz w:val="20"/>
                <w:szCs w:val="20"/>
                <w:lang w:eastAsia="sk-SK"/>
              </w:rPr>
            </w:pPr>
          </w:p>
        </w:tc>
        <w:sdt>
          <w:sdtPr>
            <w:rPr>
              <w:sz w:val="20"/>
              <w:szCs w:val="20"/>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4102C55" w14:textId="77777777" w:rsidR="00746D3C" w:rsidRPr="00612E08" w:rsidRDefault="00746D3C" w:rsidP="007B337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B8174D1" w14:textId="77777777" w:rsidR="00746D3C" w:rsidRPr="00612E08" w:rsidRDefault="00746D3C" w:rsidP="007B3372">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06B821E" w14:textId="77777777" w:rsidR="00746D3C" w:rsidRPr="00612E08" w:rsidRDefault="00746D3C" w:rsidP="007B33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76B8D0B"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sz w:val="20"/>
              <w:szCs w:val="20"/>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40EB829" w14:textId="77777777" w:rsidR="00746D3C" w:rsidRPr="00612E08" w:rsidRDefault="00746D3C" w:rsidP="007B337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3BBDC94" w14:textId="77777777" w:rsidR="00746D3C" w:rsidRPr="00612E08" w:rsidRDefault="00746D3C" w:rsidP="007B3372">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746D3C" w:rsidRPr="00612E08" w14:paraId="71D79D58" w14:textId="77777777" w:rsidTr="007B3372">
        <w:tc>
          <w:tcPr>
            <w:tcW w:w="3812" w:type="dxa"/>
            <w:tcBorders>
              <w:top w:val="nil"/>
              <w:left w:val="single" w:sz="4" w:space="0" w:color="auto"/>
              <w:bottom w:val="single" w:sz="4" w:space="0" w:color="auto"/>
              <w:right w:val="single" w:sz="4" w:space="0" w:color="auto"/>
            </w:tcBorders>
            <w:shd w:val="clear" w:color="auto" w:fill="E2E2E2"/>
          </w:tcPr>
          <w:p w14:paraId="0D9135F5" w14:textId="77777777" w:rsidR="00746D3C" w:rsidRPr="00612E08" w:rsidRDefault="00746D3C" w:rsidP="007B33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16CFBD2A"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b/>
              <w:sz w:val="20"/>
              <w:szCs w:val="20"/>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A98C0D6" w14:textId="77777777" w:rsidR="00746D3C" w:rsidRPr="00612E08" w:rsidRDefault="00746D3C" w:rsidP="007B33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112A9DA6" w14:textId="77777777" w:rsidR="00746D3C" w:rsidRPr="00612E08" w:rsidRDefault="00746D3C" w:rsidP="007B33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2AEE9CDB" w14:textId="77777777" w:rsidR="00746D3C" w:rsidRPr="00612E08" w:rsidRDefault="00746D3C" w:rsidP="007B3372">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F045633" w14:textId="77777777" w:rsidR="00746D3C" w:rsidRPr="00612E08" w:rsidRDefault="00746D3C" w:rsidP="007B3372">
            <w:pPr>
              <w:jc w:val="center"/>
              <w:rPr>
                <w:rFonts w:ascii="Times New Roman" w:eastAsia="Times New Roman" w:hAnsi="Times New Roman" w:cs="Times New Roman"/>
                <w:b/>
                <w:sz w:val="20"/>
                <w:szCs w:val="20"/>
                <w:lang w:eastAsia="sk-SK"/>
              </w:rPr>
            </w:pPr>
          </w:p>
        </w:tc>
        <w:sdt>
          <w:sdtPr>
            <w:rPr>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46BB7CD" w14:textId="77777777" w:rsidR="00746D3C" w:rsidRPr="00612E08" w:rsidRDefault="00746D3C" w:rsidP="007B33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376DBB6" w14:textId="77777777" w:rsidR="00746D3C" w:rsidRPr="00612E08" w:rsidRDefault="00746D3C" w:rsidP="007B33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746D3C" w:rsidRPr="00612E08" w14:paraId="6A220D5F" w14:textId="77777777" w:rsidTr="007B3372">
        <w:tc>
          <w:tcPr>
            <w:tcW w:w="3812" w:type="dxa"/>
            <w:tcBorders>
              <w:top w:val="single" w:sz="4" w:space="0" w:color="000000"/>
              <w:left w:val="single" w:sz="4" w:space="0" w:color="auto"/>
              <w:bottom w:val="single" w:sz="4" w:space="0" w:color="auto"/>
              <w:right w:val="single" w:sz="4" w:space="0" w:color="auto"/>
            </w:tcBorders>
            <w:shd w:val="clear" w:color="auto" w:fill="E2E2E2"/>
          </w:tcPr>
          <w:p w14:paraId="77BC3D10"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B7F9802"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8F74EAE" w14:textId="77777777" w:rsidR="00746D3C" w:rsidRPr="00612E08" w:rsidRDefault="00746D3C" w:rsidP="007B33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2924DC5" w14:textId="77777777" w:rsidR="00746D3C" w:rsidRPr="00612E08" w:rsidRDefault="00746D3C" w:rsidP="007B33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1BE28E7"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733F173"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EC296DA" w14:textId="77777777" w:rsidR="00746D3C" w:rsidRPr="00612E08" w:rsidRDefault="00746D3C" w:rsidP="007B33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746D3C" w:rsidRPr="00612E08" w14:paraId="2736050F" w14:textId="77777777" w:rsidTr="007B3372">
        <w:tc>
          <w:tcPr>
            <w:tcW w:w="3812" w:type="dxa"/>
            <w:tcBorders>
              <w:top w:val="single" w:sz="4" w:space="0" w:color="auto"/>
              <w:left w:val="single" w:sz="4" w:space="0" w:color="auto"/>
              <w:bottom w:val="nil"/>
              <w:right w:val="single" w:sz="4" w:space="0" w:color="auto"/>
            </w:tcBorders>
            <w:shd w:val="clear" w:color="auto" w:fill="E2E2E2"/>
          </w:tcPr>
          <w:p w14:paraId="3767F018"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972A8DA"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EC48EC2" w14:textId="77777777" w:rsidR="00746D3C" w:rsidRPr="00612E08" w:rsidRDefault="00746D3C" w:rsidP="007B33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5A580F8" w14:textId="77777777" w:rsidR="00746D3C" w:rsidRPr="00612E08" w:rsidRDefault="00746D3C" w:rsidP="007B33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951716C"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4793971"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99D6B9B" w14:textId="77777777" w:rsidR="00746D3C" w:rsidRPr="00612E08" w:rsidRDefault="00746D3C" w:rsidP="007B33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746D3C" w:rsidRPr="00612E08" w14:paraId="4BE44F73" w14:textId="77777777" w:rsidTr="007B3372">
        <w:tc>
          <w:tcPr>
            <w:tcW w:w="3812" w:type="dxa"/>
            <w:tcBorders>
              <w:top w:val="nil"/>
              <w:left w:val="single" w:sz="4" w:space="0" w:color="auto"/>
              <w:bottom w:val="single" w:sz="4" w:space="0" w:color="auto"/>
              <w:right w:val="single" w:sz="4" w:space="0" w:color="auto"/>
            </w:tcBorders>
            <w:shd w:val="clear" w:color="auto" w:fill="E2E2E2"/>
          </w:tcPr>
          <w:p w14:paraId="5E6CCBB7" w14:textId="77777777" w:rsidR="00746D3C" w:rsidRPr="00612E08" w:rsidRDefault="00746D3C" w:rsidP="007B3372">
            <w:pPr>
              <w:rPr>
                <w:rFonts w:ascii="Times New Roman" w:eastAsia="Times New Roman" w:hAnsi="Times New Roman" w:cs="Times New Roman"/>
                <w:sz w:val="20"/>
                <w:szCs w:val="20"/>
                <w:lang w:eastAsia="sk-SK"/>
              </w:rPr>
            </w:pPr>
          </w:p>
          <w:p w14:paraId="0ED01F53" w14:textId="77777777" w:rsidR="00746D3C" w:rsidRPr="00612E08" w:rsidRDefault="00746D3C" w:rsidP="007B3372">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14E5F95"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6B5CC52" w14:textId="77777777" w:rsidR="00746D3C" w:rsidRPr="00612E08" w:rsidRDefault="00746D3C" w:rsidP="007B33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76C1C8F" w14:textId="77777777" w:rsidR="00746D3C" w:rsidRPr="00612E08" w:rsidRDefault="00746D3C" w:rsidP="007B3372">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699091AF" w14:textId="77777777" w:rsidR="00746D3C" w:rsidRPr="00612E08" w:rsidRDefault="00746D3C" w:rsidP="007B3372">
            <w:pPr>
              <w:jc w:val="center"/>
              <w:rPr>
                <w:rFonts w:ascii="Times New Roman" w:eastAsia="Times New Roman" w:hAnsi="Times New Roman" w:cs="Times New Roman"/>
                <w:b/>
                <w:sz w:val="20"/>
                <w:szCs w:val="20"/>
                <w:lang w:eastAsia="sk-SK"/>
              </w:rPr>
            </w:pPr>
          </w:p>
        </w:tc>
        <w:sdt>
          <w:sdtPr>
            <w:rPr>
              <w:b/>
              <w:sz w:val="20"/>
              <w:szCs w:val="20"/>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A31CA74"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330A2DA" w14:textId="77777777" w:rsidR="00746D3C" w:rsidRPr="00612E08" w:rsidRDefault="00746D3C" w:rsidP="007B33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746D3C" w:rsidRPr="00612E08" w14:paraId="23049963" w14:textId="77777777" w:rsidTr="007B3372">
        <w:tc>
          <w:tcPr>
            <w:tcW w:w="3812" w:type="dxa"/>
            <w:tcBorders>
              <w:top w:val="single" w:sz="4" w:space="0" w:color="auto"/>
              <w:left w:val="single" w:sz="4" w:space="0" w:color="auto"/>
              <w:bottom w:val="single" w:sz="4" w:space="0" w:color="auto"/>
              <w:right w:val="single" w:sz="4" w:space="0" w:color="auto"/>
            </w:tcBorders>
            <w:shd w:val="clear" w:color="auto" w:fill="E2E2E2"/>
          </w:tcPr>
          <w:p w14:paraId="10C8C8D8"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b/>
              <w:sz w:val="20"/>
              <w:szCs w:val="20"/>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1CDC6B0" w14:textId="77777777" w:rsidR="00746D3C" w:rsidRPr="00612E08" w:rsidRDefault="00746D3C" w:rsidP="007B33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E4BF49A" w14:textId="77777777" w:rsidR="00746D3C" w:rsidRPr="00612E08" w:rsidRDefault="00746D3C" w:rsidP="007B33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2F3874C"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39A46CC"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09AF84C"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4343C93" w14:textId="77777777" w:rsidR="00746D3C" w:rsidRPr="00612E08" w:rsidRDefault="00746D3C" w:rsidP="007B33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746D3C" w:rsidRPr="00612E08" w14:paraId="60BABE7A" w14:textId="77777777" w:rsidTr="007B3372">
        <w:tc>
          <w:tcPr>
            <w:tcW w:w="3812" w:type="dxa"/>
            <w:tcBorders>
              <w:top w:val="single" w:sz="4" w:space="0" w:color="auto"/>
              <w:left w:val="single" w:sz="4" w:space="0" w:color="auto"/>
              <w:bottom w:val="nil"/>
              <w:right w:val="single" w:sz="4" w:space="0" w:color="auto"/>
            </w:tcBorders>
            <w:shd w:val="clear" w:color="auto" w:fill="E2E2E2"/>
          </w:tcPr>
          <w:p w14:paraId="027D3779" w14:textId="77777777" w:rsidR="00746D3C" w:rsidRPr="00612E08" w:rsidRDefault="00746D3C" w:rsidP="007B3372">
            <w:pPr>
              <w:rPr>
                <w:b/>
                <w:sz w:val="20"/>
                <w:szCs w:val="20"/>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18C5BB88" w14:textId="77777777" w:rsidR="00746D3C" w:rsidRPr="00612E08" w:rsidRDefault="00746D3C" w:rsidP="007B3372">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14:paraId="74B80814" w14:textId="77777777" w:rsidR="00746D3C" w:rsidRPr="00612E08" w:rsidRDefault="00746D3C" w:rsidP="007B3372">
            <w:pPr>
              <w:ind w:right="-108"/>
              <w:rPr>
                <w:b/>
                <w:sz w:val="20"/>
                <w:szCs w:val="20"/>
              </w:rPr>
            </w:pPr>
          </w:p>
        </w:tc>
        <w:tc>
          <w:tcPr>
            <w:tcW w:w="569" w:type="dxa"/>
            <w:gridSpan w:val="2"/>
            <w:tcBorders>
              <w:top w:val="single" w:sz="4" w:space="0" w:color="auto"/>
              <w:left w:val="nil"/>
              <w:bottom w:val="nil"/>
              <w:right w:val="nil"/>
            </w:tcBorders>
            <w:shd w:val="clear" w:color="auto" w:fill="auto"/>
          </w:tcPr>
          <w:p w14:paraId="531AD689" w14:textId="77777777" w:rsidR="00746D3C" w:rsidRPr="00612E08" w:rsidRDefault="00746D3C" w:rsidP="007B3372">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14:paraId="47A51591" w14:textId="77777777" w:rsidR="00746D3C" w:rsidRPr="00612E08" w:rsidRDefault="00746D3C" w:rsidP="007B3372">
            <w:pPr>
              <w:rPr>
                <w:b/>
                <w:sz w:val="20"/>
                <w:szCs w:val="20"/>
              </w:rPr>
            </w:pPr>
          </w:p>
        </w:tc>
        <w:tc>
          <w:tcPr>
            <w:tcW w:w="547" w:type="dxa"/>
            <w:tcBorders>
              <w:top w:val="single" w:sz="4" w:space="0" w:color="auto"/>
              <w:left w:val="nil"/>
              <w:bottom w:val="nil"/>
              <w:right w:val="nil"/>
            </w:tcBorders>
            <w:shd w:val="clear" w:color="auto" w:fill="auto"/>
          </w:tcPr>
          <w:p w14:paraId="233946AD" w14:textId="77777777" w:rsidR="00746D3C" w:rsidRPr="00612E08" w:rsidRDefault="00746D3C" w:rsidP="007B3372">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14:paraId="67591D02" w14:textId="77777777" w:rsidR="00746D3C" w:rsidRPr="00612E08" w:rsidRDefault="00746D3C" w:rsidP="007B3372">
            <w:pPr>
              <w:ind w:left="54"/>
              <w:rPr>
                <w:b/>
                <w:sz w:val="20"/>
                <w:szCs w:val="20"/>
              </w:rPr>
            </w:pPr>
          </w:p>
        </w:tc>
      </w:tr>
      <w:tr w:rsidR="00746D3C" w:rsidRPr="00612E08" w14:paraId="50352862" w14:textId="77777777" w:rsidTr="007B3372">
        <w:tc>
          <w:tcPr>
            <w:tcW w:w="3812" w:type="dxa"/>
            <w:tcBorders>
              <w:top w:val="nil"/>
              <w:left w:val="single" w:sz="4" w:space="0" w:color="auto"/>
              <w:bottom w:val="nil"/>
              <w:right w:val="single" w:sz="4" w:space="0" w:color="auto"/>
            </w:tcBorders>
            <w:shd w:val="clear" w:color="auto" w:fill="E2E2E2"/>
          </w:tcPr>
          <w:p w14:paraId="772A259C" w14:textId="77777777" w:rsidR="00746D3C" w:rsidRPr="00612E08" w:rsidRDefault="00746D3C" w:rsidP="007B3372">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26F1C2F7" w14:textId="77777777" w:rsidR="00746D3C" w:rsidRPr="00612E08" w:rsidRDefault="00746D3C" w:rsidP="007B3372">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14:paraId="23D149C9" w14:textId="77777777" w:rsidR="00746D3C" w:rsidRPr="00612E08" w:rsidRDefault="00746D3C" w:rsidP="007B3372">
            <w:pPr>
              <w:ind w:right="-108"/>
              <w:rPr>
                <w:b/>
                <w:sz w:val="20"/>
                <w:szCs w:val="20"/>
              </w:rPr>
            </w:pPr>
            <w:r w:rsidRPr="00612E08">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2F086582" w14:textId="77777777" w:rsidR="00746D3C" w:rsidRPr="00612E08" w:rsidRDefault="00746D3C" w:rsidP="007B3372">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14:paraId="702AFC9F" w14:textId="77777777" w:rsidR="00746D3C" w:rsidRPr="00612E08" w:rsidRDefault="00746D3C" w:rsidP="007B3372">
            <w:pPr>
              <w:rPr>
                <w:b/>
                <w:sz w:val="20"/>
                <w:szCs w:val="20"/>
              </w:rPr>
            </w:pPr>
            <w:r w:rsidRPr="00612E08">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3C2A5C25" w14:textId="77777777" w:rsidR="00746D3C" w:rsidRPr="00612E08" w:rsidRDefault="00746D3C" w:rsidP="007B3372">
                <w:pPr>
                  <w:jc w:val="center"/>
                  <w:rPr>
                    <w:b/>
                    <w:sz w:val="20"/>
                    <w:szCs w:val="20"/>
                  </w:rPr>
                </w:pPr>
                <w:r w:rsidRPr="00612E08">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401DBF00" w14:textId="77777777" w:rsidR="00746D3C" w:rsidRPr="00612E08" w:rsidRDefault="00746D3C" w:rsidP="007B3372">
            <w:pPr>
              <w:ind w:left="54"/>
              <w:rPr>
                <w:b/>
                <w:sz w:val="20"/>
                <w:szCs w:val="20"/>
              </w:rPr>
            </w:pPr>
            <w:r w:rsidRPr="00612E08">
              <w:rPr>
                <w:b/>
                <w:sz w:val="20"/>
                <w:szCs w:val="20"/>
              </w:rPr>
              <w:t>Negatívne</w:t>
            </w:r>
          </w:p>
        </w:tc>
      </w:tr>
      <w:tr w:rsidR="00746D3C" w:rsidRPr="00612E08" w14:paraId="7F8960E7" w14:textId="77777777" w:rsidTr="007B3372">
        <w:tc>
          <w:tcPr>
            <w:tcW w:w="3812" w:type="dxa"/>
            <w:tcBorders>
              <w:top w:val="nil"/>
              <w:left w:val="single" w:sz="4" w:space="0" w:color="auto"/>
              <w:bottom w:val="nil"/>
              <w:right w:val="single" w:sz="4" w:space="0" w:color="auto"/>
            </w:tcBorders>
            <w:shd w:val="clear" w:color="auto" w:fill="E2E2E2"/>
          </w:tcPr>
          <w:p w14:paraId="225B1916" w14:textId="77777777" w:rsidR="00746D3C" w:rsidRPr="00612E08" w:rsidRDefault="00746D3C" w:rsidP="007B3372">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1BDE2089" w14:textId="77777777" w:rsidR="00746D3C" w:rsidRPr="00612E08" w:rsidRDefault="00746D3C" w:rsidP="007B3372">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392DC72" w14:textId="77777777" w:rsidR="00746D3C" w:rsidRPr="00612E08" w:rsidRDefault="00746D3C" w:rsidP="007B3372">
            <w:pPr>
              <w:ind w:right="-108"/>
              <w:rPr>
                <w:b/>
                <w:sz w:val="20"/>
                <w:szCs w:val="20"/>
              </w:rPr>
            </w:pPr>
            <w:r w:rsidRPr="00612E08">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241FCF7E" w14:textId="77777777" w:rsidR="00746D3C" w:rsidRPr="00612E08" w:rsidRDefault="00746D3C" w:rsidP="007B3372">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14:paraId="7367D296" w14:textId="77777777" w:rsidR="00746D3C" w:rsidRPr="00612E08" w:rsidRDefault="00746D3C" w:rsidP="007B3372">
            <w:pPr>
              <w:rPr>
                <w:b/>
                <w:sz w:val="20"/>
                <w:szCs w:val="20"/>
              </w:rPr>
            </w:pPr>
            <w:r w:rsidRPr="00612E08">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7106BF12" w14:textId="77777777" w:rsidR="00746D3C" w:rsidRPr="00612E08" w:rsidRDefault="00746D3C" w:rsidP="007B3372">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2ADD1C09" w14:textId="77777777" w:rsidR="00746D3C" w:rsidRPr="00612E08" w:rsidRDefault="00746D3C" w:rsidP="007B3372">
            <w:pPr>
              <w:ind w:left="54"/>
              <w:rPr>
                <w:b/>
                <w:sz w:val="20"/>
                <w:szCs w:val="20"/>
              </w:rPr>
            </w:pPr>
            <w:r w:rsidRPr="00612E08">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746D3C" w:rsidRPr="00612E08" w14:paraId="3F4A407E" w14:textId="77777777" w:rsidTr="007B3372">
        <w:tc>
          <w:tcPr>
            <w:tcW w:w="3812" w:type="dxa"/>
            <w:tcBorders>
              <w:top w:val="single" w:sz="4" w:space="0" w:color="000000"/>
              <w:left w:val="single" w:sz="4" w:space="0" w:color="auto"/>
              <w:bottom w:val="single" w:sz="4" w:space="0" w:color="auto"/>
              <w:right w:val="single" w:sz="4" w:space="0" w:color="auto"/>
            </w:tcBorders>
            <w:shd w:val="clear" w:color="auto" w:fill="E2E2E2"/>
          </w:tcPr>
          <w:p w14:paraId="545783BD"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C65D362"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296B3BC2" w14:textId="77777777" w:rsidR="00746D3C" w:rsidRPr="00612E08" w:rsidRDefault="00746D3C" w:rsidP="007B33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1E03D33" w14:textId="77777777" w:rsidR="00746D3C" w:rsidRPr="00612E08" w:rsidRDefault="00746D3C" w:rsidP="007B33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2987816" w14:textId="77777777" w:rsidR="00746D3C" w:rsidRPr="00612E08" w:rsidRDefault="00746D3C" w:rsidP="007B33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0E43C46E" w14:textId="77777777" w:rsidR="00746D3C" w:rsidRPr="00612E08" w:rsidRDefault="00746D3C" w:rsidP="007B33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8D35AAB" w14:textId="77777777" w:rsidR="00746D3C" w:rsidRPr="00612E08" w:rsidRDefault="00746D3C" w:rsidP="007B33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1E98EA9B" w14:textId="77777777" w:rsidR="00746D3C" w:rsidRPr="00612E08" w:rsidRDefault="00746D3C" w:rsidP="00746D3C">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746D3C" w:rsidRPr="00612E08" w14:paraId="50681EF6" w14:textId="77777777" w:rsidTr="007B3372">
        <w:tc>
          <w:tcPr>
            <w:tcW w:w="9176" w:type="dxa"/>
            <w:tcBorders>
              <w:top w:val="single" w:sz="4" w:space="0" w:color="auto"/>
              <w:left w:val="single" w:sz="4" w:space="0" w:color="auto"/>
              <w:bottom w:val="nil"/>
              <w:right w:val="single" w:sz="4" w:space="0" w:color="auto"/>
            </w:tcBorders>
            <w:shd w:val="clear" w:color="auto" w:fill="E2E2E2"/>
          </w:tcPr>
          <w:p w14:paraId="6B6D0510" w14:textId="77777777" w:rsidR="00746D3C" w:rsidRPr="00612E08" w:rsidRDefault="00746D3C" w:rsidP="00746D3C">
            <w:pPr>
              <w:numPr>
                <w:ilvl w:val="0"/>
                <w:numId w:val="12"/>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746D3C" w:rsidRPr="00612E08" w14:paraId="338F3BDF" w14:textId="77777777" w:rsidTr="007B3372">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578AFCA" w14:textId="77777777" w:rsidR="00746D3C" w:rsidRPr="006B70AF" w:rsidRDefault="00746D3C" w:rsidP="007B3372">
            <w:pPr>
              <w:jc w:val="both"/>
              <w:rPr>
                <w:rFonts w:ascii="Times New Roman" w:eastAsia="Calibri" w:hAnsi="Times New Roman" w:cs="Times New Roman"/>
                <w:sz w:val="20"/>
                <w:szCs w:val="20"/>
              </w:rPr>
            </w:pPr>
            <w:r w:rsidRPr="0030421F">
              <w:rPr>
                <w:rFonts w:ascii="Times New Roman" w:eastAsia="Calibri" w:hAnsi="Times New Roman" w:cs="Times New Roman"/>
                <w:sz w:val="20"/>
                <w:szCs w:val="20"/>
              </w:rPr>
              <w:t>Primárny cieľ návrhu zákona</w:t>
            </w:r>
            <w:r>
              <w:rPr>
                <w:rFonts w:ascii="Times New Roman" w:eastAsia="Calibri" w:hAnsi="Times New Roman" w:cs="Times New Roman"/>
                <w:sz w:val="20"/>
                <w:szCs w:val="20"/>
              </w:rPr>
              <w:t>, a to</w:t>
            </w:r>
            <w:r w:rsidRPr="0030421F">
              <w:rPr>
                <w:rFonts w:ascii="Times New Roman" w:eastAsia="Calibri" w:hAnsi="Times New Roman" w:cs="Times New Roman"/>
                <w:sz w:val="20"/>
                <w:szCs w:val="20"/>
              </w:rPr>
              <w:t xml:space="preserve"> transpozícia článku 1 a článku 5 smernice 2025/516, teda zavedenie povinnej elektronickej fakturácie pre zdaniteľné osoby, ktoré sú platiteľmi dane z pridanej hodnoty, ako aj povinné oznamovanie súvisiacich údajov finančnej správe v reálnom čase</w:t>
            </w:r>
            <w:r>
              <w:rPr>
                <w:rFonts w:ascii="Times New Roman" w:eastAsia="Calibri" w:hAnsi="Times New Roman" w:cs="Times New Roman"/>
                <w:sz w:val="20"/>
                <w:szCs w:val="20"/>
              </w:rPr>
              <w:t xml:space="preserve"> predstavuje</w:t>
            </w:r>
            <w:r w:rsidRPr="006B70AF">
              <w:rPr>
                <w:rFonts w:ascii="Times New Roman" w:eastAsia="Calibri" w:hAnsi="Times New Roman" w:cs="Times New Roman"/>
                <w:sz w:val="20"/>
                <w:szCs w:val="20"/>
              </w:rPr>
              <w:t xml:space="preserve"> kvantifikovateľný negatívny finančný vplyv na štátny rozpočet a týka sa úprav informačných systémov MFSR a FRSR</w:t>
            </w:r>
            <w:r>
              <w:rPr>
                <w:rFonts w:ascii="Times New Roman" w:eastAsia="Calibri" w:hAnsi="Times New Roman" w:cs="Times New Roman"/>
                <w:sz w:val="20"/>
                <w:szCs w:val="20"/>
              </w:rPr>
              <w:t>. Negatívny vplyv na štátny rozpočet vyvoláva aj nová právna úprava registrácie skupiny z úradnej moci.</w:t>
            </w:r>
            <w:r w:rsidRPr="006B70AF">
              <w:rPr>
                <w:rFonts w:ascii="Times New Roman" w:eastAsia="Calibri" w:hAnsi="Times New Roman" w:cs="Times New Roman"/>
                <w:sz w:val="20"/>
                <w:szCs w:val="20"/>
              </w:rPr>
              <w:t xml:space="preserve"> Návrh zákona predpokladá aj </w:t>
            </w:r>
            <w:r w:rsidRPr="006B70AF">
              <w:rPr>
                <w:rFonts w:ascii="Times New Roman" w:hAnsi="Times New Roman" w:cs="Times New Roman"/>
                <w:bCs/>
                <w:sz w:val="20"/>
                <w:szCs w:val="20"/>
              </w:rPr>
              <w:t>pozitívne vplyvy na štátny rozpočet,</w:t>
            </w:r>
            <w:r>
              <w:rPr>
                <w:rFonts w:ascii="Times New Roman" w:hAnsi="Times New Roman" w:cs="Times New Roman"/>
                <w:bCs/>
                <w:sz w:val="20"/>
                <w:szCs w:val="20"/>
              </w:rPr>
              <w:t xml:space="preserve"> ale</w:t>
            </w:r>
            <w:r w:rsidRPr="006B70AF">
              <w:rPr>
                <w:rFonts w:ascii="Times New Roman" w:hAnsi="Times New Roman" w:cs="Times New Roman"/>
                <w:bCs/>
                <w:sz w:val="20"/>
                <w:szCs w:val="20"/>
              </w:rPr>
              <w:t xml:space="preserve"> </w:t>
            </w:r>
            <w:r>
              <w:rPr>
                <w:rFonts w:ascii="Times New Roman" w:hAnsi="Times New Roman" w:cs="Times New Roman"/>
                <w:bCs/>
                <w:sz w:val="20"/>
                <w:szCs w:val="20"/>
              </w:rPr>
              <w:t>k</w:t>
            </w:r>
            <w:r w:rsidRPr="00F547D7">
              <w:rPr>
                <w:rFonts w:ascii="Times New Roman" w:hAnsi="Times New Roman" w:cs="Times New Roman"/>
                <w:bCs/>
                <w:sz w:val="20"/>
                <w:szCs w:val="20"/>
              </w:rPr>
              <w:t>valifikovaný nominálny odhad týchto prínosov je však vzhľadom na komplexnosť problematiky náročné stanoviť.</w:t>
            </w:r>
          </w:p>
          <w:p w14:paraId="41FCABDA" w14:textId="77777777" w:rsidR="00746D3C" w:rsidRDefault="00746D3C" w:rsidP="007B3372">
            <w:pPr>
              <w:jc w:val="both"/>
              <w:rPr>
                <w:rFonts w:ascii="Times New Roman" w:eastAsia="Calibri" w:hAnsi="Times New Roman" w:cs="Times New Roman"/>
                <w:sz w:val="20"/>
                <w:szCs w:val="20"/>
              </w:rPr>
            </w:pPr>
            <w:r w:rsidRPr="006B70AF">
              <w:rPr>
                <w:rFonts w:ascii="Times New Roman" w:eastAsia="Calibri" w:hAnsi="Times New Roman" w:cs="Times New Roman"/>
                <w:sz w:val="20"/>
                <w:szCs w:val="20"/>
              </w:rPr>
              <w:lastRenderedPageBreak/>
              <w:t>Navrhovan</w:t>
            </w:r>
            <w:r>
              <w:rPr>
                <w:rFonts w:ascii="Times New Roman" w:eastAsia="Calibri" w:hAnsi="Times New Roman" w:cs="Times New Roman"/>
                <w:sz w:val="20"/>
                <w:szCs w:val="20"/>
              </w:rPr>
              <w:t xml:space="preserve">á právna úprava svojím charakterom digitalizácie procesov </w:t>
            </w:r>
            <w:r w:rsidRPr="006B70AF">
              <w:rPr>
                <w:rFonts w:ascii="Times New Roman" w:eastAsia="Calibri" w:hAnsi="Times New Roman" w:cs="Times New Roman"/>
                <w:sz w:val="20"/>
                <w:szCs w:val="20"/>
              </w:rPr>
              <w:t xml:space="preserve">predpokladá </w:t>
            </w:r>
            <w:r>
              <w:rPr>
                <w:rFonts w:ascii="Times New Roman" w:eastAsia="Calibri" w:hAnsi="Times New Roman" w:cs="Times New Roman"/>
                <w:sz w:val="20"/>
                <w:szCs w:val="20"/>
              </w:rPr>
              <w:t>pozitívny vplyv</w:t>
            </w:r>
            <w:r w:rsidRPr="006B70AF">
              <w:rPr>
                <w:rFonts w:ascii="Times New Roman" w:eastAsia="Calibri" w:hAnsi="Times New Roman" w:cs="Times New Roman"/>
                <w:sz w:val="20"/>
                <w:szCs w:val="20"/>
              </w:rPr>
              <w:t xml:space="preserve"> na podnikateľské prostredie</w:t>
            </w:r>
            <w:r>
              <w:rPr>
                <w:rFonts w:ascii="Times New Roman" w:eastAsia="Calibri" w:hAnsi="Times New Roman" w:cs="Times New Roman"/>
                <w:sz w:val="20"/>
                <w:szCs w:val="20"/>
              </w:rPr>
              <w:t xml:space="preserve"> a na informatizáciu spoločnosti.</w:t>
            </w:r>
          </w:p>
          <w:p w14:paraId="1559B160" w14:textId="77777777" w:rsidR="00746D3C" w:rsidRDefault="00746D3C" w:rsidP="007B3372">
            <w:pPr>
              <w:jc w:val="both"/>
              <w:rPr>
                <w:rFonts w:ascii="Times New Roman" w:eastAsia="Times New Roman" w:hAnsi="Times New Roman" w:cs="Times New Roman"/>
                <w:i/>
                <w:sz w:val="20"/>
                <w:szCs w:val="20"/>
                <w:lang w:eastAsia="sk-SK"/>
              </w:rPr>
            </w:pPr>
          </w:p>
          <w:p w14:paraId="2CF667EC" w14:textId="77777777" w:rsidR="00746D3C" w:rsidRDefault="00746D3C" w:rsidP="007B3372">
            <w:pPr>
              <w:jc w:val="both"/>
              <w:rPr>
                <w:rFonts w:ascii="Times New Roman" w:eastAsia="Times New Roman" w:hAnsi="Times New Roman" w:cs="Times New Roman"/>
                <w:iCs/>
                <w:sz w:val="20"/>
                <w:szCs w:val="20"/>
                <w:lang w:eastAsia="sk-SK"/>
              </w:rPr>
            </w:pPr>
            <w:r w:rsidRPr="00E62B70">
              <w:rPr>
                <w:rFonts w:ascii="Times New Roman" w:eastAsia="Times New Roman" w:hAnsi="Times New Roman" w:cs="Times New Roman"/>
                <w:iCs/>
                <w:sz w:val="20"/>
                <w:szCs w:val="20"/>
                <w:lang w:eastAsia="sk-SK"/>
              </w:rPr>
              <w:t>Skoršie zavedenie systému elektronickej fakturácie a oznamovania údajov týkajúc</w:t>
            </w:r>
            <w:r>
              <w:rPr>
                <w:rFonts w:ascii="Times New Roman" w:eastAsia="Times New Roman" w:hAnsi="Times New Roman" w:cs="Times New Roman"/>
                <w:iCs/>
                <w:sz w:val="20"/>
                <w:szCs w:val="20"/>
                <w:lang w:eastAsia="sk-SK"/>
              </w:rPr>
              <w:t xml:space="preserve">ich </w:t>
            </w:r>
            <w:r w:rsidRPr="00E62B70">
              <w:rPr>
                <w:rFonts w:ascii="Times New Roman" w:eastAsia="Times New Roman" w:hAnsi="Times New Roman" w:cs="Times New Roman"/>
                <w:iCs/>
                <w:sz w:val="20"/>
                <w:szCs w:val="20"/>
                <w:lang w:eastAsia="sk-SK"/>
              </w:rPr>
              <w:t>sa tuzemských zdaniteľných obchodov pripraví platiteľov dane</w:t>
            </w:r>
            <w:r>
              <w:rPr>
                <w:rFonts w:ascii="Times New Roman" w:eastAsia="Times New Roman" w:hAnsi="Times New Roman" w:cs="Times New Roman"/>
                <w:iCs/>
                <w:sz w:val="20"/>
                <w:szCs w:val="20"/>
                <w:lang w:eastAsia="sk-SK"/>
              </w:rPr>
              <w:t xml:space="preserve"> (vyhotovovanie a prijímanie elektronických faktúr)</w:t>
            </w:r>
            <w:r w:rsidRPr="00E62B70">
              <w:rPr>
                <w:rFonts w:ascii="Times New Roman" w:eastAsia="Times New Roman" w:hAnsi="Times New Roman" w:cs="Times New Roman"/>
                <w:iCs/>
                <w:sz w:val="20"/>
                <w:szCs w:val="20"/>
                <w:lang w:eastAsia="sk-SK"/>
              </w:rPr>
              <w:t>, zdaniteľné osoby, ktoré nie sú platiteľom dane a právnické osoby, ktoré nie sú zdaniteľnými osobami</w:t>
            </w:r>
            <w:r>
              <w:rPr>
                <w:rFonts w:ascii="Times New Roman" w:eastAsia="Times New Roman" w:hAnsi="Times New Roman" w:cs="Times New Roman"/>
                <w:iCs/>
                <w:sz w:val="20"/>
                <w:szCs w:val="20"/>
                <w:lang w:eastAsia="sk-SK"/>
              </w:rPr>
              <w:t xml:space="preserve"> (prijímanie elektronických faktúr)</w:t>
            </w:r>
            <w:r w:rsidRPr="00E62B70">
              <w:rPr>
                <w:rFonts w:ascii="Times New Roman" w:eastAsia="Times New Roman" w:hAnsi="Times New Roman" w:cs="Times New Roman"/>
                <w:iCs/>
                <w:sz w:val="20"/>
                <w:szCs w:val="20"/>
                <w:lang w:eastAsia="sk-SK"/>
              </w:rPr>
              <w:t xml:space="preserve"> na povinnú elektronickú fakturáciu a povinné oznamovania údajov o cezhraničných transakciách podľa článku 5 smernice 2025/516, ktorý musí byť do zákona o DPH transponovaný do 30. júna 2030 a účinný k 1. júlu 2030.</w:t>
            </w:r>
            <w:r>
              <w:rPr>
                <w:rFonts w:ascii="Times New Roman" w:eastAsia="Times New Roman" w:hAnsi="Times New Roman" w:cs="Times New Roman"/>
                <w:iCs/>
                <w:sz w:val="20"/>
                <w:szCs w:val="20"/>
                <w:lang w:eastAsia="sk-SK"/>
              </w:rPr>
              <w:t xml:space="preserve"> </w:t>
            </w:r>
          </w:p>
          <w:p w14:paraId="03FD9D7B" w14:textId="77777777" w:rsidR="00746D3C" w:rsidRPr="00612E08" w:rsidRDefault="00746D3C" w:rsidP="007B3372">
            <w:pPr>
              <w:jc w:val="both"/>
              <w:rPr>
                <w:rFonts w:ascii="Times New Roman" w:eastAsia="Calibri" w:hAnsi="Times New Roman" w:cs="Times New Roman"/>
                <w:b/>
              </w:rPr>
            </w:pPr>
            <w:r>
              <w:rPr>
                <w:rFonts w:ascii="Times New Roman" w:eastAsia="Times New Roman" w:hAnsi="Times New Roman" w:cs="Times New Roman"/>
                <w:iCs/>
                <w:sz w:val="20"/>
                <w:szCs w:val="20"/>
                <w:lang w:eastAsia="sk-SK"/>
              </w:rPr>
              <w:t xml:space="preserve">V súlade s čl. 1 smernice 2025/516 </w:t>
            </w:r>
            <w:r w:rsidRPr="00AA1E61">
              <w:rPr>
                <w:rFonts w:ascii="Times New Roman" w:hAnsi="Times New Roman"/>
                <w:sz w:val="20"/>
                <w:szCs w:val="20"/>
              </w:rPr>
              <w:t xml:space="preserve">bude s účinnosťou od 1. januára 2027 </w:t>
            </w:r>
            <w:r>
              <w:rPr>
                <w:rFonts w:ascii="Times New Roman" w:hAnsi="Times New Roman"/>
                <w:sz w:val="20"/>
                <w:szCs w:val="20"/>
              </w:rPr>
              <w:t xml:space="preserve">teda </w:t>
            </w:r>
            <w:r w:rsidRPr="00AA1E61">
              <w:rPr>
                <w:rFonts w:ascii="Times New Roman" w:hAnsi="Times New Roman"/>
                <w:sz w:val="20"/>
                <w:szCs w:val="20"/>
              </w:rPr>
              <w:t xml:space="preserve">zavedená povinnosť pre platiteľov dane usadených v tuzemsku vyhotoviť a prijímať elektronické faktúry v ustanovenom formáte pri tuzemských zdaniteľných obchodoch. Povinnosť prijať takéto elektronické faktúry sa bude vzťahovať aj na v tuzemsku usadené zdaniteľné osoby, ktoré nie sú platiteľom dane a právnické osoby, ktoré nie sú zdaniteľnými osobami. </w:t>
            </w:r>
            <w:r>
              <w:rPr>
                <w:rFonts w:ascii="Times New Roman" w:hAnsi="Times New Roman"/>
                <w:sz w:val="20"/>
                <w:szCs w:val="20"/>
              </w:rPr>
              <w:t xml:space="preserve">Návrhom zákona sa v súlade so smernicou 2025/516 zároveň zjednocuje formát elektronickej faktúry. </w:t>
            </w:r>
            <w:r w:rsidRPr="00AA1E61">
              <w:rPr>
                <w:rFonts w:ascii="Times New Roman" w:hAnsi="Times New Roman" w:cs="Times New Roman"/>
                <w:sz w:val="20"/>
                <w:szCs w:val="20"/>
              </w:rPr>
              <w:t>Údaje z faktúr sa budú oznamovať elektronicky takým spôsobom, ktorý bude súladný so spôsobom ustanoveným článkom 5 smernice 2025/516, ktorý upravuje predkladanie údajov z elektronických faktúr pre cezhraničné transakcie v rámci Európskej únie</w:t>
            </w:r>
            <w:r>
              <w:rPr>
                <w:rFonts w:ascii="Times New Roman" w:hAnsi="Times New Roman" w:cs="Times New Roman"/>
                <w:sz w:val="20"/>
                <w:szCs w:val="20"/>
              </w:rPr>
              <w:t xml:space="preserve"> [na základe článku 273 smernice Rady </w:t>
            </w:r>
            <w:r w:rsidRPr="009E65C0">
              <w:rPr>
                <w:rFonts w:ascii="Times New Roman" w:hAnsi="Times New Roman" w:cs="Times New Roman"/>
                <w:sz w:val="20"/>
                <w:szCs w:val="20"/>
              </w:rPr>
              <w:t>2006/112/ES z  28. novembra 2006 o spoločnom systéme dane z </w:t>
            </w:r>
            <w:r w:rsidRPr="00AA1E61">
              <w:rPr>
                <w:rFonts w:ascii="Times New Roman" w:hAnsi="Times New Roman" w:cs="Times New Roman"/>
                <w:i/>
                <w:iCs/>
                <w:sz w:val="20"/>
                <w:szCs w:val="20"/>
              </w:rPr>
              <w:t>pridanej hodnoty (</w:t>
            </w:r>
            <w:r w:rsidRPr="00AA1E61">
              <w:rPr>
                <w:rStyle w:val="Zvraznenie"/>
                <w:rFonts w:ascii="Times New Roman" w:hAnsi="Times New Roman" w:cs="Times New Roman"/>
                <w:sz w:val="20"/>
                <w:szCs w:val="20"/>
              </w:rPr>
              <w:t>Ú. v. EÚ L 347, 11.12.2006) v platnom znení</w:t>
            </w:r>
            <w:r>
              <w:rPr>
                <w:rStyle w:val="Zvraznenie"/>
                <w:rFonts w:ascii="Times New Roman" w:hAnsi="Times New Roman" w:cs="Times New Roman"/>
                <w:sz w:val="20"/>
                <w:szCs w:val="20"/>
              </w:rPr>
              <w:t>]</w:t>
            </w:r>
            <w:r w:rsidRPr="00AA1E61">
              <w:rPr>
                <w:rFonts w:ascii="Times New Roman" w:hAnsi="Times New Roman" w:cs="Times New Roman"/>
                <w:i/>
                <w:iCs/>
                <w:sz w:val="20"/>
                <w:szCs w:val="20"/>
              </w:rPr>
              <w:t>.</w:t>
            </w:r>
          </w:p>
        </w:tc>
      </w:tr>
      <w:tr w:rsidR="00746D3C" w:rsidRPr="00612E08" w14:paraId="1407F2B0" w14:textId="77777777" w:rsidTr="007B3372">
        <w:tc>
          <w:tcPr>
            <w:tcW w:w="9176" w:type="dxa"/>
            <w:tcBorders>
              <w:top w:val="single" w:sz="4" w:space="0" w:color="auto"/>
              <w:left w:val="single" w:sz="4" w:space="0" w:color="auto"/>
              <w:bottom w:val="single" w:sz="4" w:space="0" w:color="FFFFFF"/>
              <w:right w:val="single" w:sz="4" w:space="0" w:color="auto"/>
            </w:tcBorders>
            <w:shd w:val="clear" w:color="auto" w:fill="E2E2E2"/>
          </w:tcPr>
          <w:p w14:paraId="18F898BB" w14:textId="77777777" w:rsidR="00746D3C" w:rsidRPr="00612E08" w:rsidRDefault="00746D3C" w:rsidP="00746D3C">
            <w:pPr>
              <w:numPr>
                <w:ilvl w:val="0"/>
                <w:numId w:val="1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Kontakt na spracovateľa</w:t>
            </w:r>
          </w:p>
        </w:tc>
      </w:tr>
      <w:tr w:rsidR="00746D3C" w:rsidRPr="00612E08" w14:paraId="573FF1B1" w14:textId="77777777" w:rsidTr="007B3372">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FF5F89F" w14:textId="77777777" w:rsidR="00746D3C" w:rsidRDefault="00746D3C" w:rsidP="007B3372">
            <w:pPr>
              <w:rPr>
                <w:rFonts w:ascii="Times New Roman" w:eastAsia="Times New Roman" w:hAnsi="Times New Roman" w:cs="Times New Roman"/>
                <w:iCs/>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6A4FA574" w14:textId="77777777" w:rsidR="00746D3C" w:rsidRPr="00746D3C" w:rsidRDefault="00746D3C" w:rsidP="007B3372">
            <w:pPr>
              <w:jc w:val="both"/>
              <w:rPr>
                <w:rFonts w:ascii="Times New Roman" w:eastAsiaTheme="minorEastAsia" w:hAnsi="Times New Roman" w:cs="Times New Roman"/>
                <w:i/>
                <w:noProof/>
                <w:sz w:val="20"/>
                <w:szCs w:val="20"/>
                <w:lang w:eastAsia="sk-SK"/>
              </w:rPr>
            </w:pPr>
            <w:r w:rsidRPr="003C3612">
              <w:rPr>
                <w:rFonts w:ascii="Times New Roman" w:eastAsia="Times New Roman" w:hAnsi="Times New Roman" w:cs="Times New Roman"/>
                <w:sz w:val="20"/>
                <w:szCs w:val="20"/>
                <w:lang w:eastAsia="sk-SK"/>
              </w:rPr>
              <w:t>JUDr. Ján Dancák, Ministerstvo financií Slovenskej republiky,</w:t>
            </w:r>
            <w:r w:rsidRPr="003C3612">
              <w:rPr>
                <w:rFonts w:ascii="Times New Roman" w:hAnsi="Times New Roman" w:cs="Times New Roman"/>
                <w:sz w:val="20"/>
                <w:szCs w:val="20"/>
              </w:rPr>
              <w:t xml:space="preserve"> </w:t>
            </w:r>
            <w:r w:rsidRPr="003C3612">
              <w:rPr>
                <w:rFonts w:ascii="Times New Roman" w:eastAsia="Times New Roman" w:hAnsi="Times New Roman" w:cs="Times New Roman"/>
                <w:sz w:val="20"/>
                <w:szCs w:val="20"/>
                <w:lang w:eastAsia="sk-SK"/>
              </w:rPr>
              <w:t>Oddelenie DPH, Odbor nepriamych daní, Sekcia daňová a colná, e-</w:t>
            </w:r>
            <w:r w:rsidRPr="00746D3C">
              <w:rPr>
                <w:rFonts w:ascii="Times New Roman" w:eastAsia="Times New Roman" w:hAnsi="Times New Roman" w:cs="Times New Roman"/>
                <w:sz w:val="20"/>
                <w:szCs w:val="20"/>
                <w:lang w:eastAsia="sk-SK"/>
              </w:rPr>
              <w:t>mail:</w:t>
            </w:r>
            <w:r w:rsidRPr="00746D3C">
              <w:rPr>
                <w:rFonts w:ascii="Times New Roman" w:eastAsia="Times New Roman" w:hAnsi="Times New Roman" w:cs="Times New Roman"/>
                <w:i/>
                <w:sz w:val="20"/>
                <w:szCs w:val="20"/>
                <w:lang w:eastAsia="sk-SK"/>
              </w:rPr>
              <w:t xml:space="preserve"> </w:t>
            </w:r>
            <w:hyperlink r:id="rId8" w:history="1">
              <w:r w:rsidRPr="00746D3C">
                <w:rPr>
                  <w:rStyle w:val="Hypertextovprepojenie"/>
                  <w:rFonts w:ascii="Times New Roman" w:eastAsia="Times New Roman" w:hAnsi="Times New Roman" w:cs="Times New Roman"/>
                  <w:i/>
                  <w:color w:val="auto"/>
                  <w:sz w:val="20"/>
                  <w:szCs w:val="20"/>
                  <w:lang w:eastAsia="sk-SK"/>
                </w:rPr>
                <w:t>jan.dancak@mfsr.sk</w:t>
              </w:r>
            </w:hyperlink>
            <w:r w:rsidRPr="00746D3C">
              <w:rPr>
                <w:rStyle w:val="Hypertextovprepojenie"/>
                <w:rFonts w:ascii="Times New Roman" w:eastAsia="Times New Roman" w:hAnsi="Times New Roman" w:cs="Times New Roman"/>
                <w:color w:val="auto"/>
                <w:sz w:val="20"/>
                <w:szCs w:val="20"/>
                <w:lang w:eastAsia="sk-SK"/>
              </w:rPr>
              <w:t>,</w:t>
            </w:r>
            <w:r w:rsidRPr="00746D3C">
              <w:rPr>
                <w:rStyle w:val="Hypertextovprepojenie"/>
                <w:rFonts w:ascii="Times New Roman" w:eastAsia="Times New Roman" w:hAnsi="Times New Roman" w:cs="Times New Roman"/>
                <w:i/>
                <w:color w:val="auto"/>
                <w:sz w:val="20"/>
                <w:szCs w:val="20"/>
                <w:lang w:eastAsia="sk-SK"/>
              </w:rPr>
              <w:t xml:space="preserve"> </w:t>
            </w:r>
            <w:r w:rsidRPr="00746D3C">
              <w:rPr>
                <w:rFonts w:ascii="Times New Roman" w:eastAsiaTheme="minorEastAsia" w:hAnsi="Times New Roman" w:cs="Times New Roman"/>
                <w:noProof/>
                <w:sz w:val="20"/>
                <w:szCs w:val="20"/>
                <w:lang w:eastAsia="sk-SK"/>
              </w:rPr>
              <w:t xml:space="preserve">tel.:  </w:t>
            </w:r>
            <w:r w:rsidRPr="00746D3C">
              <w:rPr>
                <w:rFonts w:ascii="Times New Roman" w:eastAsiaTheme="minorEastAsia" w:hAnsi="Times New Roman" w:cs="Times New Roman"/>
                <w:i/>
                <w:noProof/>
                <w:sz w:val="20"/>
                <w:szCs w:val="20"/>
                <w:lang w:eastAsia="sk-SK"/>
              </w:rPr>
              <w:t>02 5958 3495</w:t>
            </w:r>
          </w:p>
          <w:p w14:paraId="0C8B4E1A" w14:textId="77777777" w:rsidR="00746D3C" w:rsidRPr="0019184D" w:rsidRDefault="00746D3C" w:rsidP="007B3372">
            <w:pPr>
              <w:jc w:val="both"/>
              <w:rPr>
                <w:rFonts w:ascii="Times New Roman" w:eastAsia="Times New Roman" w:hAnsi="Times New Roman" w:cs="Times New Roman"/>
                <w:iCs/>
                <w:sz w:val="20"/>
                <w:szCs w:val="20"/>
                <w:lang w:eastAsia="sk-SK"/>
              </w:rPr>
            </w:pPr>
            <w:r w:rsidRPr="00746D3C">
              <w:rPr>
                <w:rFonts w:ascii="Times New Roman" w:eastAsiaTheme="minorEastAsia" w:hAnsi="Times New Roman" w:cs="Times New Roman"/>
                <w:iCs/>
                <w:noProof/>
                <w:sz w:val="20"/>
                <w:szCs w:val="20"/>
                <w:lang w:eastAsia="sk-SK"/>
              </w:rPr>
              <w:t xml:space="preserve">Ing. Viera Simanová, </w:t>
            </w:r>
            <w:r w:rsidRPr="00746D3C">
              <w:rPr>
                <w:rFonts w:ascii="Times New Roman" w:eastAsia="Times New Roman" w:hAnsi="Times New Roman" w:cs="Times New Roman"/>
                <w:sz w:val="20"/>
                <w:szCs w:val="20"/>
                <w:lang w:eastAsia="sk-SK"/>
              </w:rPr>
              <w:t>Ministerstvo financií Slovenskej republiky,</w:t>
            </w:r>
            <w:r w:rsidRPr="00746D3C">
              <w:rPr>
                <w:rFonts w:ascii="Times New Roman" w:hAnsi="Times New Roman" w:cs="Times New Roman"/>
                <w:sz w:val="20"/>
                <w:szCs w:val="20"/>
              </w:rPr>
              <w:t xml:space="preserve"> </w:t>
            </w:r>
            <w:r w:rsidRPr="00746D3C">
              <w:rPr>
                <w:rFonts w:ascii="Times New Roman" w:eastAsia="Times New Roman" w:hAnsi="Times New Roman" w:cs="Times New Roman"/>
                <w:sz w:val="20"/>
                <w:szCs w:val="20"/>
                <w:lang w:eastAsia="sk-SK"/>
              </w:rPr>
              <w:t>Oddelenie DPH, Odbor nepriamych daní, Sekcia daňová a colná, e-mail:</w:t>
            </w:r>
            <w:r w:rsidRPr="00746D3C">
              <w:rPr>
                <w:rFonts w:ascii="Times New Roman" w:eastAsia="Times New Roman" w:hAnsi="Times New Roman" w:cs="Times New Roman"/>
                <w:i/>
                <w:sz w:val="20"/>
                <w:szCs w:val="20"/>
                <w:lang w:eastAsia="sk-SK"/>
              </w:rPr>
              <w:t xml:space="preserve"> </w:t>
            </w:r>
            <w:hyperlink r:id="rId9" w:history="1">
              <w:r w:rsidRPr="00746D3C">
                <w:rPr>
                  <w:rStyle w:val="Hypertextovprepojenie"/>
                  <w:rFonts w:ascii="Times New Roman" w:eastAsia="Times New Roman" w:hAnsi="Times New Roman" w:cs="Times New Roman"/>
                  <w:i/>
                  <w:color w:val="auto"/>
                  <w:sz w:val="20"/>
                  <w:szCs w:val="20"/>
                  <w:lang w:eastAsia="sk-SK"/>
                </w:rPr>
                <w:t>viera.simanova@mfsr.sk</w:t>
              </w:r>
            </w:hyperlink>
            <w:r w:rsidRPr="00746D3C">
              <w:rPr>
                <w:rStyle w:val="Hypertextovprepojenie"/>
                <w:rFonts w:ascii="Times New Roman" w:eastAsia="Times New Roman" w:hAnsi="Times New Roman" w:cs="Times New Roman"/>
                <w:color w:val="auto"/>
                <w:sz w:val="20"/>
                <w:szCs w:val="20"/>
                <w:lang w:eastAsia="sk-SK"/>
              </w:rPr>
              <w:t>,</w:t>
            </w:r>
            <w:r w:rsidRPr="00746D3C">
              <w:rPr>
                <w:rStyle w:val="Hypertextovprepojenie"/>
                <w:rFonts w:ascii="Times New Roman" w:eastAsia="Times New Roman" w:hAnsi="Times New Roman" w:cs="Times New Roman"/>
                <w:i/>
                <w:color w:val="auto"/>
                <w:sz w:val="20"/>
                <w:szCs w:val="20"/>
                <w:lang w:eastAsia="sk-SK"/>
              </w:rPr>
              <w:t xml:space="preserve"> </w:t>
            </w:r>
            <w:r w:rsidRPr="00746D3C">
              <w:rPr>
                <w:rFonts w:ascii="Times New Roman" w:eastAsiaTheme="minorEastAsia" w:hAnsi="Times New Roman" w:cs="Times New Roman"/>
                <w:noProof/>
                <w:sz w:val="20"/>
                <w:szCs w:val="20"/>
                <w:lang w:eastAsia="sk-SK"/>
              </w:rPr>
              <w:t>tel</w:t>
            </w:r>
            <w:r w:rsidRPr="003C3612">
              <w:rPr>
                <w:rFonts w:ascii="Times New Roman" w:eastAsiaTheme="minorEastAsia" w:hAnsi="Times New Roman" w:cs="Times New Roman"/>
                <w:noProof/>
                <w:sz w:val="20"/>
                <w:szCs w:val="20"/>
                <w:lang w:eastAsia="sk-SK"/>
              </w:rPr>
              <w:t xml:space="preserve">.:  </w:t>
            </w:r>
            <w:r w:rsidRPr="003C3612">
              <w:rPr>
                <w:rFonts w:ascii="Times New Roman" w:eastAsiaTheme="minorEastAsia" w:hAnsi="Times New Roman" w:cs="Times New Roman"/>
                <w:i/>
                <w:noProof/>
                <w:sz w:val="20"/>
                <w:szCs w:val="20"/>
                <w:lang w:eastAsia="sk-SK"/>
              </w:rPr>
              <w:t>02 5958 349</w:t>
            </w:r>
            <w:r>
              <w:rPr>
                <w:rFonts w:ascii="Times New Roman" w:eastAsiaTheme="minorEastAsia" w:hAnsi="Times New Roman" w:cs="Times New Roman"/>
                <w:i/>
                <w:noProof/>
                <w:sz w:val="20"/>
                <w:szCs w:val="20"/>
                <w:lang w:eastAsia="sk-SK"/>
              </w:rPr>
              <w:t>4</w:t>
            </w:r>
          </w:p>
        </w:tc>
      </w:tr>
      <w:tr w:rsidR="00746D3C" w:rsidRPr="00612E08" w14:paraId="58ACAE20" w14:textId="77777777" w:rsidTr="007B3372">
        <w:tc>
          <w:tcPr>
            <w:tcW w:w="9176" w:type="dxa"/>
            <w:tcBorders>
              <w:top w:val="single" w:sz="4" w:space="0" w:color="auto"/>
              <w:left w:val="single" w:sz="4" w:space="0" w:color="auto"/>
              <w:bottom w:val="single" w:sz="4" w:space="0" w:color="FFFFFF"/>
              <w:right w:val="single" w:sz="4" w:space="0" w:color="auto"/>
            </w:tcBorders>
            <w:shd w:val="clear" w:color="auto" w:fill="E2E2E2"/>
          </w:tcPr>
          <w:p w14:paraId="4B28009F" w14:textId="77777777" w:rsidR="00746D3C" w:rsidRPr="00612E08" w:rsidRDefault="00746D3C" w:rsidP="00746D3C">
            <w:pPr>
              <w:numPr>
                <w:ilvl w:val="0"/>
                <w:numId w:val="12"/>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746D3C" w:rsidRPr="00612E08" w14:paraId="583078CA" w14:textId="77777777" w:rsidTr="007B3372">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3A0DDB6" w14:textId="77777777" w:rsidR="00746D3C" w:rsidRDefault="00746D3C" w:rsidP="007B3372">
            <w:pPr>
              <w:jc w:val="both"/>
              <w:rPr>
                <w:rFonts w:ascii="Times New Roman" w:eastAsia="Times New Roman" w:hAnsi="Times New Roman" w:cs="Times New Roman"/>
                <w:iCs/>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p>
          <w:p w14:paraId="7D667205" w14:textId="77777777" w:rsidR="00746D3C" w:rsidRDefault="00746D3C" w:rsidP="007B3372">
            <w:pPr>
              <w:jc w:val="both"/>
              <w:rPr>
                <w:rFonts w:ascii="Times New Roman" w:eastAsia="Calibri" w:hAnsi="Times New Roman" w:cs="Times New Roman"/>
                <w:sz w:val="20"/>
                <w:szCs w:val="20"/>
              </w:rPr>
            </w:pPr>
            <w:r>
              <w:rPr>
                <w:rFonts w:ascii="Times New Roman" w:eastAsia="Calibri" w:hAnsi="Times New Roman" w:cs="Times New Roman"/>
                <w:sz w:val="20"/>
                <w:szCs w:val="20"/>
              </w:rPr>
              <w:t>Údaje a kvantifikácie dopadov na IS poskytnuté FRSR.</w:t>
            </w:r>
          </w:p>
          <w:p w14:paraId="5E312107" w14:textId="77777777" w:rsidR="00746D3C" w:rsidRPr="003C3612" w:rsidRDefault="00746D3C" w:rsidP="007B3372">
            <w:pPr>
              <w:jc w:val="both"/>
              <w:rPr>
                <w:rFonts w:ascii="Times New Roman" w:eastAsia="Calibri" w:hAnsi="Times New Roman" w:cs="Times New Roman"/>
                <w:sz w:val="20"/>
                <w:szCs w:val="20"/>
              </w:rPr>
            </w:pPr>
            <w:r w:rsidRPr="003C3612">
              <w:rPr>
                <w:rFonts w:ascii="Times New Roman" w:eastAsia="Calibri" w:hAnsi="Times New Roman" w:cs="Times New Roman"/>
                <w:sz w:val="20"/>
                <w:szCs w:val="20"/>
              </w:rPr>
              <w:t xml:space="preserve">Aplikačná prax </w:t>
            </w:r>
            <w:r>
              <w:rPr>
                <w:rFonts w:ascii="Times New Roman" w:eastAsia="Calibri" w:hAnsi="Times New Roman" w:cs="Times New Roman"/>
                <w:sz w:val="20"/>
                <w:szCs w:val="20"/>
              </w:rPr>
              <w:t>MFSR</w:t>
            </w:r>
            <w:r w:rsidRPr="003C3612">
              <w:rPr>
                <w:rFonts w:ascii="Times New Roman" w:eastAsia="Calibri" w:hAnsi="Times New Roman" w:cs="Times New Roman"/>
                <w:sz w:val="20"/>
                <w:szCs w:val="20"/>
              </w:rPr>
              <w:t xml:space="preserve"> a </w:t>
            </w:r>
            <w:r>
              <w:rPr>
                <w:rFonts w:ascii="Times New Roman" w:eastAsia="Calibri" w:hAnsi="Times New Roman" w:cs="Times New Roman"/>
                <w:sz w:val="20"/>
                <w:szCs w:val="20"/>
              </w:rPr>
              <w:t>FRSR</w:t>
            </w:r>
            <w:r w:rsidRPr="003C3612">
              <w:rPr>
                <w:rFonts w:ascii="Times New Roman" w:eastAsia="Calibri" w:hAnsi="Times New Roman" w:cs="Times New Roman"/>
                <w:sz w:val="20"/>
                <w:szCs w:val="20"/>
              </w:rPr>
              <w:t>.</w:t>
            </w:r>
          </w:p>
          <w:p w14:paraId="1DCCE316" w14:textId="77777777" w:rsidR="00746D3C" w:rsidRPr="00612E08" w:rsidRDefault="00746D3C" w:rsidP="007B3372">
            <w:pPr>
              <w:jc w:val="both"/>
              <w:rPr>
                <w:rFonts w:ascii="Times New Roman" w:eastAsia="Times New Roman" w:hAnsi="Times New Roman" w:cs="Times New Roman"/>
                <w:b/>
                <w:sz w:val="20"/>
                <w:szCs w:val="20"/>
                <w:lang w:eastAsia="sk-SK"/>
              </w:rPr>
            </w:pPr>
            <w:r>
              <w:rPr>
                <w:rFonts w:ascii="Times New Roman" w:eastAsia="Calibri" w:hAnsi="Times New Roman" w:cs="Times New Roman"/>
                <w:sz w:val="20"/>
                <w:szCs w:val="20"/>
              </w:rPr>
              <w:t>Vyjadrenie</w:t>
            </w:r>
            <w:r w:rsidRPr="003C3612">
              <w:rPr>
                <w:rFonts w:ascii="Times New Roman" w:eastAsia="Calibri" w:hAnsi="Times New Roman" w:cs="Times New Roman"/>
                <w:sz w:val="20"/>
                <w:szCs w:val="20"/>
              </w:rPr>
              <w:t xml:space="preserve"> </w:t>
            </w:r>
            <w:r>
              <w:rPr>
                <w:rFonts w:ascii="Times New Roman" w:eastAsia="Calibri" w:hAnsi="Times New Roman" w:cs="Times New Roman"/>
                <w:sz w:val="20"/>
                <w:szCs w:val="20"/>
              </w:rPr>
              <w:t>MFSR</w:t>
            </w:r>
            <w:r w:rsidRPr="003C3612">
              <w:rPr>
                <w:rFonts w:ascii="Times New Roman" w:eastAsia="Calibri" w:hAnsi="Times New Roman" w:cs="Times New Roman"/>
                <w:sz w:val="20"/>
                <w:szCs w:val="20"/>
              </w:rPr>
              <w:t>, Inštitútu finančnej politiky.</w:t>
            </w:r>
          </w:p>
        </w:tc>
      </w:tr>
      <w:tr w:rsidR="00746D3C" w:rsidRPr="00612E08" w14:paraId="16D3023C" w14:textId="77777777" w:rsidTr="007B3372">
        <w:tc>
          <w:tcPr>
            <w:tcW w:w="9176" w:type="dxa"/>
            <w:tcBorders>
              <w:top w:val="single" w:sz="4" w:space="0" w:color="auto"/>
              <w:left w:val="single" w:sz="4" w:space="0" w:color="auto"/>
              <w:bottom w:val="single" w:sz="4" w:space="0" w:color="FFFFFF"/>
              <w:right w:val="single" w:sz="4" w:space="0" w:color="auto"/>
            </w:tcBorders>
            <w:shd w:val="clear" w:color="auto" w:fill="E2E2E2"/>
          </w:tcPr>
          <w:p w14:paraId="5696C741" w14:textId="77777777" w:rsidR="00746D3C" w:rsidRPr="00612E08" w:rsidRDefault="00746D3C" w:rsidP="00746D3C">
            <w:pPr>
              <w:numPr>
                <w:ilvl w:val="0"/>
                <w:numId w:val="12"/>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7166FBB3" w14:textId="77777777" w:rsidR="00746D3C" w:rsidRPr="00612E08" w:rsidRDefault="00746D3C" w:rsidP="007B3372">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746D3C" w:rsidRPr="00612E08" w14:paraId="792C2D0F" w14:textId="77777777" w:rsidTr="007B337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809632E" w14:textId="77777777" w:rsidR="00746D3C" w:rsidRPr="00612E08" w:rsidRDefault="00746D3C" w:rsidP="007B3372">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46D3C" w:rsidRPr="00612E08" w14:paraId="7A1330FE" w14:textId="77777777" w:rsidTr="007B3372">
              <w:trPr>
                <w:trHeight w:val="396"/>
              </w:trPr>
              <w:tc>
                <w:tcPr>
                  <w:tcW w:w="2552" w:type="dxa"/>
                </w:tcPr>
                <w:p w14:paraId="5B2EBC11" w14:textId="77777777" w:rsidR="00746D3C" w:rsidRPr="00612E08" w:rsidRDefault="002C7EDD" w:rsidP="007B3372">
                  <w:pPr>
                    <w:rPr>
                      <w:rFonts w:ascii="Times New Roman" w:eastAsia="Times New Roman" w:hAnsi="Times New Roman" w:cs="Times New Roman"/>
                      <w:b/>
                      <w:sz w:val="20"/>
                      <w:szCs w:val="20"/>
                      <w:lang w:eastAsia="sk-SK"/>
                    </w:rPr>
                  </w:pPr>
                  <w:sdt>
                    <w:sdtPr>
                      <w:rPr>
                        <w:b/>
                        <w:sz w:val="20"/>
                        <w:szCs w:val="20"/>
                      </w:rPr>
                      <w:id w:val="-1874910888"/>
                      <w14:checkbox>
                        <w14:checked w14:val="0"/>
                        <w14:checkedState w14:val="2612" w14:font="MS Gothic"/>
                        <w14:uncheckedState w14:val="2610" w14:font="MS Gothic"/>
                      </w14:checkbox>
                    </w:sdtPr>
                    <w:sdtEndPr/>
                    <w:sdtContent>
                      <w:r w:rsidR="00746D3C" w:rsidRPr="00612E08">
                        <w:rPr>
                          <w:rFonts w:ascii="MS Gothic" w:eastAsia="MS Gothic" w:hAnsi="MS Gothic" w:cs="Times New Roman" w:hint="eastAsia"/>
                          <w:b/>
                          <w:sz w:val="20"/>
                          <w:szCs w:val="20"/>
                          <w:lang w:eastAsia="sk-SK"/>
                        </w:rPr>
                        <w:t>☐</w:t>
                      </w:r>
                    </w:sdtContent>
                  </w:sdt>
                  <w:r w:rsidR="00746D3C" w:rsidRPr="00612E08">
                    <w:rPr>
                      <w:rFonts w:ascii="Times New Roman" w:eastAsia="Times New Roman" w:hAnsi="Times New Roman" w:cs="Times New Roman"/>
                      <w:b/>
                      <w:sz w:val="20"/>
                      <w:szCs w:val="20"/>
                      <w:lang w:eastAsia="sk-SK"/>
                    </w:rPr>
                    <w:t xml:space="preserve">  Súhlasné </w:t>
                  </w:r>
                </w:p>
              </w:tc>
              <w:tc>
                <w:tcPr>
                  <w:tcW w:w="3827" w:type="dxa"/>
                </w:tcPr>
                <w:p w14:paraId="2AF1C8A5" w14:textId="77777777" w:rsidR="00746D3C" w:rsidRPr="00612E08" w:rsidRDefault="002C7EDD" w:rsidP="007B3372">
                  <w:pPr>
                    <w:rPr>
                      <w:rFonts w:ascii="Times New Roman" w:eastAsia="Times New Roman" w:hAnsi="Times New Roman" w:cs="Times New Roman"/>
                      <w:b/>
                      <w:sz w:val="20"/>
                      <w:szCs w:val="20"/>
                      <w:lang w:eastAsia="sk-SK"/>
                    </w:rPr>
                  </w:pPr>
                  <w:sdt>
                    <w:sdtPr>
                      <w:rPr>
                        <w:b/>
                        <w:sz w:val="20"/>
                        <w:szCs w:val="20"/>
                      </w:rPr>
                      <w:id w:val="1697888127"/>
                      <w14:checkbox>
                        <w14:checked w14:val="0"/>
                        <w14:checkedState w14:val="2612" w14:font="MS Gothic"/>
                        <w14:uncheckedState w14:val="2610" w14:font="MS Gothic"/>
                      </w14:checkbox>
                    </w:sdtPr>
                    <w:sdtEndPr/>
                    <w:sdtContent>
                      <w:r w:rsidR="00746D3C" w:rsidRPr="00612E08">
                        <w:rPr>
                          <w:rFonts w:ascii="MS Gothic" w:eastAsia="MS Gothic" w:hAnsi="MS Gothic" w:cs="Times New Roman" w:hint="eastAsia"/>
                          <w:b/>
                          <w:sz w:val="20"/>
                          <w:szCs w:val="20"/>
                          <w:lang w:eastAsia="sk-SK"/>
                        </w:rPr>
                        <w:t>☐</w:t>
                      </w:r>
                    </w:sdtContent>
                  </w:sdt>
                  <w:r w:rsidR="00746D3C"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18AB2E12" w14:textId="77777777" w:rsidR="00746D3C" w:rsidRPr="00612E08" w:rsidRDefault="002C7EDD" w:rsidP="007B3372">
                  <w:pPr>
                    <w:ind w:right="459"/>
                    <w:rPr>
                      <w:rFonts w:ascii="Times New Roman" w:eastAsia="Times New Roman" w:hAnsi="Times New Roman" w:cs="Times New Roman"/>
                      <w:b/>
                      <w:sz w:val="20"/>
                      <w:szCs w:val="20"/>
                      <w:lang w:eastAsia="sk-SK"/>
                    </w:rPr>
                  </w:pPr>
                  <w:sdt>
                    <w:sdtPr>
                      <w:rPr>
                        <w:b/>
                        <w:sz w:val="20"/>
                        <w:szCs w:val="20"/>
                      </w:rPr>
                      <w:id w:val="-647822913"/>
                      <w14:checkbox>
                        <w14:checked w14:val="0"/>
                        <w14:checkedState w14:val="2612" w14:font="MS Gothic"/>
                        <w14:uncheckedState w14:val="2610" w14:font="MS Gothic"/>
                      </w14:checkbox>
                    </w:sdtPr>
                    <w:sdtEndPr/>
                    <w:sdtContent>
                      <w:r w:rsidR="00746D3C" w:rsidRPr="00612E08">
                        <w:rPr>
                          <w:rFonts w:ascii="MS Gothic" w:eastAsia="MS Gothic" w:hAnsi="MS Gothic" w:cs="Times New Roman" w:hint="eastAsia"/>
                          <w:b/>
                          <w:sz w:val="20"/>
                          <w:szCs w:val="20"/>
                          <w:lang w:eastAsia="sk-SK"/>
                        </w:rPr>
                        <w:t>☐</w:t>
                      </w:r>
                    </w:sdtContent>
                  </w:sdt>
                  <w:r w:rsidR="00746D3C" w:rsidRPr="00612E08">
                    <w:rPr>
                      <w:rFonts w:ascii="Times New Roman" w:eastAsia="Times New Roman" w:hAnsi="Times New Roman" w:cs="Times New Roman"/>
                      <w:b/>
                      <w:sz w:val="20"/>
                      <w:szCs w:val="20"/>
                      <w:lang w:eastAsia="sk-SK"/>
                    </w:rPr>
                    <w:t xml:space="preserve">  Nesúhlasné</w:t>
                  </w:r>
                </w:p>
              </w:tc>
            </w:tr>
          </w:tbl>
          <w:p w14:paraId="4D4B72EA" w14:textId="77777777" w:rsidR="00746D3C" w:rsidRPr="00612E08" w:rsidRDefault="00746D3C" w:rsidP="007B3372">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6284518C" w14:textId="77777777" w:rsidR="00746D3C" w:rsidRPr="00612E08" w:rsidRDefault="00746D3C" w:rsidP="007B3372">
            <w:pPr>
              <w:rPr>
                <w:rFonts w:ascii="Times New Roman" w:eastAsia="Times New Roman" w:hAnsi="Times New Roman" w:cs="Times New Roman"/>
                <w:b/>
                <w:sz w:val="20"/>
                <w:szCs w:val="20"/>
                <w:lang w:eastAsia="sk-SK"/>
              </w:rPr>
            </w:pPr>
          </w:p>
          <w:p w14:paraId="09396033" w14:textId="77777777" w:rsidR="00746D3C" w:rsidRPr="00612E08" w:rsidRDefault="00746D3C" w:rsidP="007B3372">
            <w:pPr>
              <w:rPr>
                <w:rFonts w:ascii="Times New Roman" w:eastAsia="Times New Roman" w:hAnsi="Times New Roman" w:cs="Times New Roman"/>
                <w:b/>
                <w:sz w:val="20"/>
                <w:szCs w:val="20"/>
                <w:lang w:eastAsia="sk-SK"/>
              </w:rPr>
            </w:pPr>
          </w:p>
        </w:tc>
      </w:tr>
      <w:tr w:rsidR="00746D3C" w:rsidRPr="00612E08" w14:paraId="087BDEA0" w14:textId="77777777" w:rsidTr="007B3372">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2EC9A2EB" w14:textId="77777777" w:rsidR="00746D3C" w:rsidRPr="00612E08" w:rsidRDefault="00746D3C" w:rsidP="00746D3C">
            <w:pPr>
              <w:numPr>
                <w:ilvl w:val="0"/>
                <w:numId w:val="12"/>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zo záverečného posúdenia č. </w:t>
            </w:r>
            <w:r>
              <w:rPr>
                <w:rFonts w:ascii="Times New Roman" w:eastAsia="Calibri" w:hAnsi="Times New Roman" w:cs="Times New Roman"/>
                <w:b/>
              </w:rPr>
              <w:t>135/2025</w:t>
            </w:r>
            <w:r w:rsidRPr="00612E08">
              <w:rPr>
                <w:rFonts w:ascii="Times New Roman" w:eastAsia="Calibri" w:hAnsi="Times New Roman" w:cs="Times New Roman"/>
              </w:rPr>
              <w:t xml:space="preserve"> (v prípade, ak sa uskutočnilo v zmysle bodu 9.1. Jednotnej metodiky) </w:t>
            </w:r>
          </w:p>
        </w:tc>
      </w:tr>
      <w:tr w:rsidR="00746D3C" w:rsidRPr="00612E08" w14:paraId="67DC0E2C" w14:textId="77777777" w:rsidTr="007B3372">
        <w:tblPrEx>
          <w:tblBorders>
            <w:insideH w:val="single" w:sz="4" w:space="0" w:color="FFFFFF"/>
            <w:insideV w:val="single" w:sz="4" w:space="0" w:color="FFFFFF"/>
          </w:tblBorders>
        </w:tblPrEx>
        <w:tc>
          <w:tcPr>
            <w:tcW w:w="9176" w:type="dxa"/>
            <w:shd w:val="clear" w:color="auto" w:fill="FFFFFF"/>
          </w:tcPr>
          <w:p w14:paraId="13185E05" w14:textId="77777777" w:rsidR="00746D3C" w:rsidRPr="00612E08" w:rsidRDefault="00746D3C" w:rsidP="007B3372">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46D3C" w:rsidRPr="00612E08" w14:paraId="4A6875B7" w14:textId="77777777" w:rsidTr="007B3372">
              <w:trPr>
                <w:trHeight w:val="396"/>
              </w:trPr>
              <w:tc>
                <w:tcPr>
                  <w:tcW w:w="2552" w:type="dxa"/>
                </w:tcPr>
                <w:p w14:paraId="28DB9AA5" w14:textId="77777777" w:rsidR="00746D3C" w:rsidRPr="00612E08" w:rsidRDefault="002C7EDD" w:rsidP="007B3372">
                  <w:pPr>
                    <w:rPr>
                      <w:rFonts w:ascii="Times New Roman" w:eastAsia="Times New Roman" w:hAnsi="Times New Roman" w:cs="Times New Roman"/>
                      <w:b/>
                      <w:sz w:val="20"/>
                      <w:szCs w:val="20"/>
                      <w:lang w:eastAsia="sk-SK"/>
                    </w:rPr>
                  </w:pPr>
                  <w:sdt>
                    <w:sdtPr>
                      <w:rPr>
                        <w:b/>
                        <w:sz w:val="20"/>
                        <w:szCs w:val="20"/>
                      </w:rPr>
                      <w:id w:val="888232876"/>
                      <w14:checkbox>
                        <w14:checked w14:val="1"/>
                        <w14:checkedState w14:val="2612" w14:font="MS Gothic"/>
                        <w14:uncheckedState w14:val="2610" w14:font="MS Gothic"/>
                      </w14:checkbox>
                    </w:sdtPr>
                    <w:sdtEndPr/>
                    <w:sdtContent>
                      <w:r w:rsidR="00746D3C">
                        <w:rPr>
                          <w:rFonts w:ascii="MS Gothic" w:eastAsia="MS Gothic" w:hAnsi="MS Gothic" w:cs="Times New Roman" w:hint="eastAsia"/>
                          <w:b/>
                          <w:sz w:val="20"/>
                          <w:szCs w:val="20"/>
                          <w:lang w:eastAsia="sk-SK"/>
                        </w:rPr>
                        <w:t>☒</w:t>
                      </w:r>
                    </w:sdtContent>
                  </w:sdt>
                  <w:r w:rsidR="00746D3C" w:rsidRPr="00612E08">
                    <w:rPr>
                      <w:rFonts w:ascii="Times New Roman" w:eastAsia="Times New Roman" w:hAnsi="Times New Roman" w:cs="Times New Roman"/>
                      <w:b/>
                      <w:sz w:val="20"/>
                      <w:szCs w:val="20"/>
                      <w:lang w:eastAsia="sk-SK"/>
                    </w:rPr>
                    <w:t xml:space="preserve">   Súhlasné </w:t>
                  </w:r>
                </w:p>
              </w:tc>
              <w:tc>
                <w:tcPr>
                  <w:tcW w:w="3827" w:type="dxa"/>
                </w:tcPr>
                <w:p w14:paraId="0BC86198" w14:textId="77777777" w:rsidR="00746D3C" w:rsidRPr="00612E08" w:rsidRDefault="002C7EDD" w:rsidP="007B3372">
                  <w:pPr>
                    <w:rPr>
                      <w:rFonts w:ascii="Times New Roman" w:eastAsia="Times New Roman" w:hAnsi="Times New Roman" w:cs="Times New Roman"/>
                      <w:b/>
                      <w:sz w:val="20"/>
                      <w:szCs w:val="20"/>
                      <w:lang w:eastAsia="sk-SK"/>
                    </w:rPr>
                  </w:pPr>
                  <w:sdt>
                    <w:sdtPr>
                      <w:rPr>
                        <w:b/>
                        <w:sz w:val="20"/>
                        <w:szCs w:val="20"/>
                      </w:rPr>
                      <w:id w:val="953831761"/>
                      <w14:checkbox>
                        <w14:checked w14:val="0"/>
                        <w14:checkedState w14:val="2612" w14:font="MS Gothic"/>
                        <w14:uncheckedState w14:val="2610" w14:font="MS Gothic"/>
                      </w14:checkbox>
                    </w:sdtPr>
                    <w:sdtEndPr/>
                    <w:sdtContent>
                      <w:r w:rsidR="00746D3C" w:rsidRPr="00612E08">
                        <w:rPr>
                          <w:rFonts w:ascii="MS Gothic" w:eastAsia="MS Gothic" w:hAnsi="MS Gothic" w:cs="Times New Roman" w:hint="eastAsia"/>
                          <w:b/>
                          <w:sz w:val="20"/>
                          <w:szCs w:val="20"/>
                          <w:lang w:eastAsia="sk-SK"/>
                        </w:rPr>
                        <w:t>☐</w:t>
                      </w:r>
                    </w:sdtContent>
                  </w:sdt>
                  <w:r w:rsidR="00746D3C"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2154B9CB" w14:textId="77777777" w:rsidR="00746D3C" w:rsidRPr="00612E08" w:rsidRDefault="002C7EDD" w:rsidP="007B3372">
                  <w:pPr>
                    <w:ind w:right="459"/>
                    <w:rPr>
                      <w:rFonts w:ascii="Times New Roman" w:eastAsia="Times New Roman" w:hAnsi="Times New Roman" w:cs="Times New Roman"/>
                      <w:b/>
                      <w:sz w:val="20"/>
                      <w:szCs w:val="20"/>
                      <w:lang w:eastAsia="sk-SK"/>
                    </w:rPr>
                  </w:pPr>
                  <w:sdt>
                    <w:sdtPr>
                      <w:rPr>
                        <w:b/>
                        <w:sz w:val="20"/>
                        <w:szCs w:val="20"/>
                      </w:rPr>
                      <w:id w:val="-361740452"/>
                      <w14:checkbox>
                        <w14:checked w14:val="0"/>
                        <w14:checkedState w14:val="2612" w14:font="MS Gothic"/>
                        <w14:uncheckedState w14:val="2610" w14:font="MS Gothic"/>
                      </w14:checkbox>
                    </w:sdtPr>
                    <w:sdtEndPr/>
                    <w:sdtContent>
                      <w:r w:rsidR="00746D3C" w:rsidRPr="00612E08">
                        <w:rPr>
                          <w:rFonts w:ascii="MS Gothic" w:eastAsia="MS Gothic" w:hAnsi="MS Gothic" w:cs="Times New Roman" w:hint="eastAsia"/>
                          <w:b/>
                          <w:sz w:val="20"/>
                          <w:szCs w:val="20"/>
                          <w:lang w:eastAsia="sk-SK"/>
                        </w:rPr>
                        <w:t>☐</w:t>
                      </w:r>
                    </w:sdtContent>
                  </w:sdt>
                  <w:r w:rsidR="00746D3C" w:rsidRPr="00612E08">
                    <w:rPr>
                      <w:rFonts w:ascii="Times New Roman" w:eastAsia="Times New Roman" w:hAnsi="Times New Roman" w:cs="Times New Roman"/>
                      <w:b/>
                      <w:sz w:val="20"/>
                      <w:szCs w:val="20"/>
                      <w:lang w:eastAsia="sk-SK"/>
                    </w:rPr>
                    <w:t xml:space="preserve">  Nesúhlasné</w:t>
                  </w:r>
                </w:p>
              </w:tc>
            </w:tr>
          </w:tbl>
          <w:p w14:paraId="2478C692" w14:textId="77777777" w:rsidR="00746D3C" w:rsidRPr="00612E08" w:rsidRDefault="00746D3C" w:rsidP="007B3372">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4866A7C1" w14:textId="77777777" w:rsidR="00746D3C" w:rsidRPr="00612E08" w:rsidRDefault="00746D3C" w:rsidP="007B3372">
            <w:pPr>
              <w:rPr>
                <w:rFonts w:ascii="Times New Roman" w:eastAsia="Times New Roman" w:hAnsi="Times New Roman" w:cs="Times New Roman"/>
                <w:b/>
                <w:sz w:val="20"/>
                <w:szCs w:val="20"/>
                <w:lang w:eastAsia="sk-SK"/>
              </w:rPr>
            </w:pPr>
          </w:p>
          <w:p w14:paraId="253E735A" w14:textId="77777777" w:rsidR="00746D3C" w:rsidRPr="00612E08" w:rsidRDefault="00746D3C" w:rsidP="007B3372">
            <w:pPr>
              <w:rPr>
                <w:rFonts w:ascii="Times New Roman" w:eastAsia="Times New Roman" w:hAnsi="Times New Roman" w:cs="Times New Roman"/>
                <w:b/>
                <w:sz w:val="20"/>
                <w:szCs w:val="20"/>
                <w:lang w:eastAsia="sk-SK"/>
              </w:rPr>
            </w:pPr>
          </w:p>
        </w:tc>
      </w:tr>
    </w:tbl>
    <w:p w14:paraId="00189CF5" w14:textId="77777777" w:rsidR="00746D3C" w:rsidRPr="00612E08" w:rsidRDefault="00746D3C" w:rsidP="00746D3C"/>
    <w:p w14:paraId="6406CFD9" w14:textId="77777777" w:rsidR="00746D3C" w:rsidRDefault="00746D3C" w:rsidP="003C217B">
      <w:pPr>
        <w:ind w:firstLine="708"/>
        <w:jc w:val="both"/>
        <w:rPr>
          <w:rStyle w:val="awspanawtext3"/>
          <w:color w:val="000000"/>
        </w:rPr>
      </w:pPr>
    </w:p>
    <w:p w14:paraId="58E7D7B1" w14:textId="77777777" w:rsidR="00746D3C" w:rsidRDefault="00746D3C" w:rsidP="003C217B">
      <w:pPr>
        <w:ind w:firstLine="708"/>
        <w:jc w:val="both"/>
        <w:rPr>
          <w:rStyle w:val="awspanawtext3"/>
          <w:color w:val="000000"/>
        </w:rPr>
      </w:pPr>
    </w:p>
    <w:p w14:paraId="35A7349B" w14:textId="77777777" w:rsidR="00746D3C" w:rsidRDefault="00746D3C" w:rsidP="003C217B">
      <w:pPr>
        <w:ind w:firstLine="708"/>
        <w:jc w:val="both"/>
        <w:rPr>
          <w:rStyle w:val="awspanawtext3"/>
          <w:color w:val="000000"/>
        </w:rPr>
      </w:pPr>
    </w:p>
    <w:p w14:paraId="30C8D05B" w14:textId="77777777" w:rsidR="00746D3C" w:rsidRDefault="00746D3C" w:rsidP="003C217B">
      <w:pPr>
        <w:ind w:firstLine="708"/>
        <w:jc w:val="both"/>
        <w:rPr>
          <w:rStyle w:val="awspanawtext3"/>
          <w:color w:val="000000"/>
        </w:rPr>
      </w:pPr>
    </w:p>
    <w:p w14:paraId="2001B5C8" w14:textId="77777777" w:rsidR="00746D3C" w:rsidRDefault="00746D3C" w:rsidP="003C217B">
      <w:pPr>
        <w:ind w:firstLine="708"/>
        <w:jc w:val="both"/>
        <w:rPr>
          <w:rStyle w:val="awspanawtext3"/>
          <w:color w:val="000000"/>
        </w:rPr>
      </w:pPr>
    </w:p>
    <w:p w14:paraId="42511223" w14:textId="77777777" w:rsidR="00746D3C" w:rsidRDefault="00746D3C" w:rsidP="003C217B">
      <w:pPr>
        <w:ind w:firstLine="708"/>
        <w:jc w:val="both"/>
        <w:rPr>
          <w:rStyle w:val="awspanawtext3"/>
          <w:color w:val="000000"/>
        </w:rPr>
      </w:pPr>
    </w:p>
    <w:p w14:paraId="7C6959E8" w14:textId="77777777" w:rsidR="00746D3C" w:rsidRDefault="00746D3C" w:rsidP="003C217B">
      <w:pPr>
        <w:ind w:firstLine="708"/>
        <w:jc w:val="both"/>
        <w:rPr>
          <w:rStyle w:val="awspanawtext3"/>
          <w:color w:val="000000"/>
        </w:rPr>
      </w:pPr>
    </w:p>
    <w:p w14:paraId="6E9BC030" w14:textId="77777777" w:rsidR="00746D3C" w:rsidRDefault="00746D3C" w:rsidP="003C217B">
      <w:pPr>
        <w:ind w:firstLine="708"/>
        <w:jc w:val="both"/>
        <w:rPr>
          <w:rStyle w:val="awspanawtext3"/>
          <w:color w:val="000000"/>
        </w:rPr>
      </w:pPr>
    </w:p>
    <w:p w14:paraId="04C83DF8" w14:textId="77777777" w:rsidR="00746D3C" w:rsidRDefault="00746D3C" w:rsidP="003C217B">
      <w:pPr>
        <w:ind w:firstLine="708"/>
        <w:jc w:val="both"/>
        <w:rPr>
          <w:rStyle w:val="awspanawtext3"/>
          <w:color w:val="000000"/>
        </w:rPr>
      </w:pPr>
    </w:p>
    <w:p w14:paraId="7B604B71" w14:textId="77777777" w:rsidR="00746D3C" w:rsidRDefault="00746D3C" w:rsidP="003C217B">
      <w:pPr>
        <w:ind w:firstLine="708"/>
        <w:jc w:val="both"/>
        <w:rPr>
          <w:rStyle w:val="awspanawtext3"/>
          <w:color w:val="000000"/>
        </w:rPr>
      </w:pPr>
    </w:p>
    <w:p w14:paraId="0F83F62C" w14:textId="77777777" w:rsidR="00746D3C" w:rsidRPr="007B7470" w:rsidRDefault="00746D3C" w:rsidP="00746D3C">
      <w:pPr>
        <w:jc w:val="center"/>
        <w:rPr>
          <w:b/>
          <w:bCs/>
          <w:sz w:val="28"/>
          <w:szCs w:val="28"/>
        </w:rPr>
      </w:pPr>
      <w:r w:rsidRPr="007B7470">
        <w:rPr>
          <w:b/>
          <w:bCs/>
          <w:sz w:val="28"/>
          <w:szCs w:val="28"/>
        </w:rPr>
        <w:lastRenderedPageBreak/>
        <w:t>Analýza vplyvov na rozpočet verejnej správy,</w:t>
      </w:r>
    </w:p>
    <w:p w14:paraId="54879D05" w14:textId="77777777" w:rsidR="00746D3C" w:rsidRPr="007B7470" w:rsidRDefault="00746D3C" w:rsidP="00746D3C">
      <w:pPr>
        <w:jc w:val="center"/>
        <w:rPr>
          <w:b/>
          <w:bCs/>
          <w:sz w:val="28"/>
          <w:szCs w:val="28"/>
        </w:rPr>
      </w:pPr>
      <w:r w:rsidRPr="007B7470">
        <w:rPr>
          <w:b/>
          <w:bCs/>
          <w:sz w:val="28"/>
          <w:szCs w:val="28"/>
        </w:rPr>
        <w:t>na zamestnanosť vo verejnej správe a financovanie návrhu</w:t>
      </w:r>
    </w:p>
    <w:p w14:paraId="719FBB01" w14:textId="77777777" w:rsidR="00746D3C" w:rsidRPr="007B7470" w:rsidRDefault="00746D3C" w:rsidP="00746D3C">
      <w:pPr>
        <w:jc w:val="right"/>
        <w:rPr>
          <w:b/>
          <w:bCs/>
        </w:rPr>
      </w:pPr>
    </w:p>
    <w:p w14:paraId="17D60EAD" w14:textId="77777777" w:rsidR="00746D3C" w:rsidRPr="007B7470" w:rsidRDefault="00746D3C" w:rsidP="00746D3C">
      <w:pPr>
        <w:jc w:val="right"/>
        <w:rPr>
          <w:b/>
          <w:bCs/>
        </w:rPr>
      </w:pPr>
    </w:p>
    <w:p w14:paraId="09FDB953" w14:textId="77777777" w:rsidR="00746D3C" w:rsidRPr="007B7470" w:rsidRDefault="00746D3C" w:rsidP="00746D3C">
      <w:pPr>
        <w:rPr>
          <w:b/>
          <w:bCs/>
        </w:rPr>
      </w:pPr>
      <w:r w:rsidRPr="007B7470">
        <w:rPr>
          <w:b/>
          <w:bCs/>
        </w:rPr>
        <w:t>2.1 Zhrnutie vplyvov na rozpočet verejnej správy v návrhu</w:t>
      </w:r>
    </w:p>
    <w:p w14:paraId="65BB5AA6" w14:textId="77777777" w:rsidR="00746D3C" w:rsidRPr="007B7470" w:rsidRDefault="00746D3C" w:rsidP="00746D3C">
      <w:pPr>
        <w:jc w:val="right"/>
        <w:rPr>
          <w:sz w:val="20"/>
          <w:szCs w:val="20"/>
        </w:rPr>
      </w:pPr>
      <w:r w:rsidRPr="007B7470">
        <w:rPr>
          <w:sz w:val="20"/>
          <w:szCs w:val="20"/>
        </w:rPr>
        <w:t xml:space="preserve">Tabuľka č. 1/A </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520"/>
        <w:gridCol w:w="1267"/>
        <w:gridCol w:w="1267"/>
      </w:tblGrid>
      <w:tr w:rsidR="00746D3C" w:rsidRPr="007B7470" w14:paraId="21D33439" w14:textId="77777777" w:rsidTr="007B3372">
        <w:trPr>
          <w:cantSplit/>
          <w:trHeight w:val="194"/>
          <w:jc w:val="center"/>
        </w:trPr>
        <w:tc>
          <w:tcPr>
            <w:tcW w:w="4661" w:type="dxa"/>
            <w:vMerge w:val="restart"/>
            <w:shd w:val="clear" w:color="auto" w:fill="BFBFBF" w:themeFill="background1" w:themeFillShade="BF"/>
            <w:vAlign w:val="center"/>
          </w:tcPr>
          <w:p w14:paraId="5F9186AB" w14:textId="77777777" w:rsidR="00746D3C" w:rsidRPr="007B7470" w:rsidRDefault="00746D3C" w:rsidP="007B3372">
            <w:pPr>
              <w:jc w:val="center"/>
              <w:rPr>
                <w:b/>
                <w:bCs/>
              </w:rPr>
            </w:pPr>
            <w:bookmarkStart w:id="1" w:name="OLE_LINK1"/>
            <w:r w:rsidRPr="007B7470">
              <w:rPr>
                <w:b/>
                <w:bCs/>
              </w:rPr>
              <w:t>Vplyvy na rozpočet verejnej správy</w:t>
            </w:r>
          </w:p>
        </w:tc>
        <w:tc>
          <w:tcPr>
            <w:tcW w:w="5321" w:type="dxa"/>
            <w:gridSpan w:val="4"/>
            <w:shd w:val="clear" w:color="auto" w:fill="BFBFBF" w:themeFill="background1" w:themeFillShade="BF"/>
            <w:vAlign w:val="center"/>
          </w:tcPr>
          <w:p w14:paraId="6CE82B54" w14:textId="77777777" w:rsidR="00746D3C" w:rsidRPr="007B7470" w:rsidRDefault="00746D3C" w:rsidP="007B3372">
            <w:pPr>
              <w:jc w:val="center"/>
              <w:rPr>
                <w:b/>
                <w:bCs/>
              </w:rPr>
            </w:pPr>
            <w:r w:rsidRPr="007B7470">
              <w:rPr>
                <w:b/>
                <w:bCs/>
              </w:rPr>
              <w:t>Vplyv na rozpočet verejnej správy (v eurách)</w:t>
            </w:r>
          </w:p>
        </w:tc>
      </w:tr>
      <w:tr w:rsidR="00746D3C" w:rsidRPr="007B7470" w14:paraId="48780708" w14:textId="77777777" w:rsidTr="007B3372">
        <w:trPr>
          <w:cantSplit/>
          <w:trHeight w:val="70"/>
          <w:jc w:val="center"/>
        </w:trPr>
        <w:tc>
          <w:tcPr>
            <w:tcW w:w="4661" w:type="dxa"/>
            <w:vMerge/>
            <w:shd w:val="clear" w:color="auto" w:fill="BFBFBF" w:themeFill="background1" w:themeFillShade="BF"/>
            <w:vAlign w:val="center"/>
          </w:tcPr>
          <w:p w14:paraId="3E87282D" w14:textId="77777777" w:rsidR="00746D3C" w:rsidRPr="007B7470" w:rsidRDefault="00746D3C" w:rsidP="007B3372">
            <w:pPr>
              <w:jc w:val="center"/>
              <w:rPr>
                <w:b/>
                <w:bCs/>
              </w:rPr>
            </w:pPr>
          </w:p>
        </w:tc>
        <w:tc>
          <w:tcPr>
            <w:tcW w:w="1267" w:type="dxa"/>
            <w:shd w:val="clear" w:color="auto" w:fill="BFBFBF" w:themeFill="background1" w:themeFillShade="BF"/>
            <w:vAlign w:val="center"/>
          </w:tcPr>
          <w:p w14:paraId="621D2C66" w14:textId="77777777" w:rsidR="00746D3C" w:rsidRPr="007B7470" w:rsidRDefault="00746D3C" w:rsidP="007B3372">
            <w:pPr>
              <w:jc w:val="center"/>
              <w:rPr>
                <w:b/>
                <w:bCs/>
              </w:rPr>
            </w:pPr>
            <w:r>
              <w:rPr>
                <w:b/>
                <w:bCs/>
              </w:rPr>
              <w:t>2025</w:t>
            </w:r>
          </w:p>
        </w:tc>
        <w:tc>
          <w:tcPr>
            <w:tcW w:w="1520" w:type="dxa"/>
            <w:shd w:val="clear" w:color="auto" w:fill="BFBFBF" w:themeFill="background1" w:themeFillShade="BF"/>
            <w:vAlign w:val="center"/>
          </w:tcPr>
          <w:p w14:paraId="143D2E08" w14:textId="77777777" w:rsidR="00746D3C" w:rsidRPr="007B7470" w:rsidRDefault="00746D3C" w:rsidP="007B3372">
            <w:pPr>
              <w:jc w:val="center"/>
              <w:rPr>
                <w:b/>
                <w:bCs/>
              </w:rPr>
            </w:pPr>
            <w:r>
              <w:rPr>
                <w:b/>
                <w:bCs/>
              </w:rPr>
              <w:t>2026</w:t>
            </w:r>
          </w:p>
        </w:tc>
        <w:tc>
          <w:tcPr>
            <w:tcW w:w="1267" w:type="dxa"/>
            <w:shd w:val="clear" w:color="auto" w:fill="BFBFBF" w:themeFill="background1" w:themeFillShade="BF"/>
            <w:vAlign w:val="center"/>
          </w:tcPr>
          <w:p w14:paraId="0A1BAEBE" w14:textId="77777777" w:rsidR="00746D3C" w:rsidRPr="007B7470" w:rsidRDefault="00746D3C" w:rsidP="007B3372">
            <w:pPr>
              <w:jc w:val="center"/>
              <w:rPr>
                <w:b/>
                <w:bCs/>
              </w:rPr>
            </w:pPr>
            <w:r>
              <w:rPr>
                <w:b/>
                <w:bCs/>
              </w:rPr>
              <w:t>2027</w:t>
            </w:r>
          </w:p>
        </w:tc>
        <w:tc>
          <w:tcPr>
            <w:tcW w:w="1267" w:type="dxa"/>
            <w:shd w:val="clear" w:color="auto" w:fill="BFBFBF" w:themeFill="background1" w:themeFillShade="BF"/>
            <w:vAlign w:val="center"/>
          </w:tcPr>
          <w:p w14:paraId="630B6D96" w14:textId="77777777" w:rsidR="00746D3C" w:rsidRPr="007B7470" w:rsidRDefault="00746D3C" w:rsidP="007B3372">
            <w:pPr>
              <w:jc w:val="center"/>
              <w:rPr>
                <w:b/>
                <w:bCs/>
              </w:rPr>
            </w:pPr>
            <w:r>
              <w:rPr>
                <w:b/>
                <w:bCs/>
              </w:rPr>
              <w:t>2028</w:t>
            </w:r>
          </w:p>
        </w:tc>
      </w:tr>
      <w:tr w:rsidR="00746D3C" w:rsidRPr="007B7470" w14:paraId="225A7A45" w14:textId="77777777" w:rsidTr="007B3372">
        <w:trPr>
          <w:trHeight w:val="70"/>
          <w:jc w:val="center"/>
        </w:trPr>
        <w:tc>
          <w:tcPr>
            <w:tcW w:w="4661" w:type="dxa"/>
            <w:shd w:val="clear" w:color="auto" w:fill="C0C0C0"/>
            <w:noWrap/>
            <w:vAlign w:val="center"/>
          </w:tcPr>
          <w:p w14:paraId="3FB29B31" w14:textId="77777777" w:rsidR="00746D3C" w:rsidRPr="007B7470" w:rsidRDefault="00746D3C" w:rsidP="007B3372">
            <w:r w:rsidRPr="007B7470">
              <w:rPr>
                <w:b/>
                <w:bCs/>
              </w:rPr>
              <w:t>Príjmy verejnej správy celkom</w:t>
            </w:r>
          </w:p>
        </w:tc>
        <w:tc>
          <w:tcPr>
            <w:tcW w:w="1267" w:type="dxa"/>
            <w:shd w:val="clear" w:color="auto" w:fill="C0C0C0"/>
            <w:vAlign w:val="center"/>
          </w:tcPr>
          <w:p w14:paraId="41F8861C" w14:textId="77777777" w:rsidR="00746D3C" w:rsidRPr="007B7470" w:rsidRDefault="00746D3C" w:rsidP="007B3372">
            <w:pPr>
              <w:jc w:val="right"/>
              <w:rPr>
                <w:b/>
                <w:bCs/>
              </w:rPr>
            </w:pPr>
            <w:r w:rsidRPr="007B7470">
              <w:rPr>
                <w:b/>
                <w:bCs/>
              </w:rPr>
              <w:t>0</w:t>
            </w:r>
          </w:p>
        </w:tc>
        <w:tc>
          <w:tcPr>
            <w:tcW w:w="1520" w:type="dxa"/>
            <w:shd w:val="clear" w:color="auto" w:fill="C0C0C0"/>
            <w:vAlign w:val="center"/>
          </w:tcPr>
          <w:p w14:paraId="763DBBCE" w14:textId="77777777" w:rsidR="00746D3C" w:rsidRPr="007B7470" w:rsidRDefault="00746D3C" w:rsidP="007B3372">
            <w:pPr>
              <w:jc w:val="right"/>
              <w:rPr>
                <w:b/>
                <w:bCs/>
              </w:rPr>
            </w:pPr>
            <w:r w:rsidRPr="007B7470">
              <w:rPr>
                <w:b/>
                <w:bCs/>
              </w:rPr>
              <w:t>0</w:t>
            </w:r>
          </w:p>
        </w:tc>
        <w:tc>
          <w:tcPr>
            <w:tcW w:w="1267" w:type="dxa"/>
            <w:shd w:val="clear" w:color="auto" w:fill="C0C0C0"/>
            <w:vAlign w:val="center"/>
          </w:tcPr>
          <w:p w14:paraId="395AD3A9" w14:textId="77777777" w:rsidR="00746D3C" w:rsidRPr="007B7470" w:rsidRDefault="00746D3C" w:rsidP="007B3372">
            <w:pPr>
              <w:jc w:val="right"/>
              <w:rPr>
                <w:b/>
                <w:bCs/>
              </w:rPr>
            </w:pPr>
            <w:r w:rsidRPr="007B7470">
              <w:rPr>
                <w:b/>
                <w:bCs/>
              </w:rPr>
              <w:t>0</w:t>
            </w:r>
          </w:p>
        </w:tc>
        <w:tc>
          <w:tcPr>
            <w:tcW w:w="1267" w:type="dxa"/>
            <w:shd w:val="clear" w:color="auto" w:fill="C0C0C0"/>
            <w:vAlign w:val="center"/>
          </w:tcPr>
          <w:p w14:paraId="6C76BDC1" w14:textId="77777777" w:rsidR="00746D3C" w:rsidRPr="007B7470" w:rsidRDefault="00746D3C" w:rsidP="007B3372">
            <w:pPr>
              <w:jc w:val="right"/>
              <w:rPr>
                <w:b/>
                <w:bCs/>
              </w:rPr>
            </w:pPr>
            <w:r w:rsidRPr="007B7470">
              <w:rPr>
                <w:b/>
                <w:bCs/>
              </w:rPr>
              <w:t>0</w:t>
            </w:r>
          </w:p>
        </w:tc>
      </w:tr>
      <w:tr w:rsidR="00746D3C" w:rsidRPr="007B7470" w14:paraId="3F9BFB36" w14:textId="77777777" w:rsidTr="007B3372">
        <w:trPr>
          <w:trHeight w:val="132"/>
          <w:jc w:val="center"/>
        </w:trPr>
        <w:tc>
          <w:tcPr>
            <w:tcW w:w="4661" w:type="dxa"/>
            <w:noWrap/>
            <w:vAlign w:val="center"/>
          </w:tcPr>
          <w:p w14:paraId="041164F0" w14:textId="77777777" w:rsidR="00746D3C" w:rsidRPr="007B7470" w:rsidRDefault="00746D3C" w:rsidP="007B3372">
            <w:r w:rsidRPr="007B7470">
              <w:t>v tom: za každý subjekt verejnej správy zvlášť</w:t>
            </w:r>
          </w:p>
        </w:tc>
        <w:tc>
          <w:tcPr>
            <w:tcW w:w="1267" w:type="dxa"/>
            <w:noWrap/>
            <w:vAlign w:val="center"/>
          </w:tcPr>
          <w:p w14:paraId="2A5A03AF" w14:textId="77777777" w:rsidR="00746D3C" w:rsidRPr="007B7470" w:rsidRDefault="00746D3C" w:rsidP="007B3372">
            <w:pPr>
              <w:jc w:val="right"/>
            </w:pPr>
            <w:r w:rsidRPr="007B7470">
              <w:t>0</w:t>
            </w:r>
          </w:p>
        </w:tc>
        <w:tc>
          <w:tcPr>
            <w:tcW w:w="1520" w:type="dxa"/>
            <w:noWrap/>
            <w:vAlign w:val="center"/>
          </w:tcPr>
          <w:p w14:paraId="5A4C28C3" w14:textId="77777777" w:rsidR="00746D3C" w:rsidRPr="007B7470" w:rsidRDefault="00746D3C" w:rsidP="007B3372">
            <w:pPr>
              <w:jc w:val="right"/>
            </w:pPr>
            <w:r w:rsidRPr="007B7470">
              <w:t>0</w:t>
            </w:r>
          </w:p>
        </w:tc>
        <w:tc>
          <w:tcPr>
            <w:tcW w:w="1267" w:type="dxa"/>
            <w:noWrap/>
            <w:vAlign w:val="center"/>
          </w:tcPr>
          <w:p w14:paraId="36C4B907" w14:textId="77777777" w:rsidR="00746D3C" w:rsidRPr="007B7470" w:rsidRDefault="00746D3C" w:rsidP="007B3372">
            <w:pPr>
              <w:jc w:val="right"/>
            </w:pPr>
            <w:r w:rsidRPr="007B7470">
              <w:t>0</w:t>
            </w:r>
          </w:p>
        </w:tc>
        <w:tc>
          <w:tcPr>
            <w:tcW w:w="1267" w:type="dxa"/>
            <w:noWrap/>
            <w:vAlign w:val="center"/>
          </w:tcPr>
          <w:p w14:paraId="33FB0282" w14:textId="77777777" w:rsidR="00746D3C" w:rsidRPr="007B7470" w:rsidRDefault="00746D3C" w:rsidP="007B3372">
            <w:pPr>
              <w:jc w:val="right"/>
            </w:pPr>
            <w:r w:rsidRPr="007B7470">
              <w:t>0</w:t>
            </w:r>
          </w:p>
        </w:tc>
      </w:tr>
      <w:tr w:rsidR="00746D3C" w:rsidRPr="007B7470" w14:paraId="25A8680D" w14:textId="77777777" w:rsidTr="007B3372">
        <w:trPr>
          <w:trHeight w:val="70"/>
          <w:jc w:val="center"/>
        </w:trPr>
        <w:tc>
          <w:tcPr>
            <w:tcW w:w="4661" w:type="dxa"/>
            <w:noWrap/>
            <w:vAlign w:val="center"/>
          </w:tcPr>
          <w:p w14:paraId="5E01131E" w14:textId="77777777" w:rsidR="00746D3C" w:rsidRPr="007B7470" w:rsidRDefault="00746D3C" w:rsidP="007B3372">
            <w:pPr>
              <w:rPr>
                <w:b/>
                <w:bCs/>
                <w:i/>
                <w:iCs/>
              </w:rPr>
            </w:pPr>
            <w:r w:rsidRPr="007B7470">
              <w:rPr>
                <w:b/>
                <w:bCs/>
                <w:i/>
                <w:iCs/>
              </w:rPr>
              <w:t xml:space="preserve">z toho:  </w:t>
            </w:r>
          </w:p>
        </w:tc>
        <w:tc>
          <w:tcPr>
            <w:tcW w:w="1267" w:type="dxa"/>
            <w:noWrap/>
            <w:vAlign w:val="center"/>
          </w:tcPr>
          <w:p w14:paraId="6A475132" w14:textId="77777777" w:rsidR="00746D3C" w:rsidRPr="007B7470" w:rsidRDefault="00746D3C" w:rsidP="007B3372">
            <w:pPr>
              <w:jc w:val="right"/>
              <w:rPr>
                <w:b/>
                <w:bCs/>
                <w:iCs/>
              </w:rPr>
            </w:pPr>
          </w:p>
        </w:tc>
        <w:tc>
          <w:tcPr>
            <w:tcW w:w="1520" w:type="dxa"/>
            <w:noWrap/>
            <w:vAlign w:val="center"/>
          </w:tcPr>
          <w:p w14:paraId="4D02C933" w14:textId="77777777" w:rsidR="00746D3C" w:rsidRPr="007B7470" w:rsidRDefault="00746D3C" w:rsidP="007B3372">
            <w:pPr>
              <w:jc w:val="right"/>
              <w:rPr>
                <w:b/>
                <w:bCs/>
                <w:iCs/>
              </w:rPr>
            </w:pPr>
          </w:p>
        </w:tc>
        <w:tc>
          <w:tcPr>
            <w:tcW w:w="1267" w:type="dxa"/>
            <w:noWrap/>
            <w:vAlign w:val="center"/>
          </w:tcPr>
          <w:p w14:paraId="7EED81CA" w14:textId="77777777" w:rsidR="00746D3C" w:rsidRPr="007B7470" w:rsidRDefault="00746D3C" w:rsidP="007B3372">
            <w:pPr>
              <w:jc w:val="right"/>
              <w:rPr>
                <w:b/>
                <w:bCs/>
                <w:iCs/>
              </w:rPr>
            </w:pPr>
          </w:p>
        </w:tc>
        <w:tc>
          <w:tcPr>
            <w:tcW w:w="1267" w:type="dxa"/>
            <w:noWrap/>
            <w:vAlign w:val="center"/>
          </w:tcPr>
          <w:p w14:paraId="78992188" w14:textId="77777777" w:rsidR="00746D3C" w:rsidRPr="007B7470" w:rsidRDefault="00746D3C" w:rsidP="007B3372">
            <w:pPr>
              <w:jc w:val="right"/>
              <w:rPr>
                <w:b/>
                <w:bCs/>
                <w:iCs/>
              </w:rPr>
            </w:pPr>
          </w:p>
        </w:tc>
      </w:tr>
      <w:tr w:rsidR="00746D3C" w:rsidRPr="007B7470" w14:paraId="79D19B96" w14:textId="77777777" w:rsidTr="007B3372">
        <w:trPr>
          <w:trHeight w:val="125"/>
          <w:jc w:val="center"/>
        </w:trPr>
        <w:tc>
          <w:tcPr>
            <w:tcW w:w="4661" w:type="dxa"/>
            <w:noWrap/>
            <w:vAlign w:val="center"/>
          </w:tcPr>
          <w:p w14:paraId="48AC8820" w14:textId="77777777" w:rsidR="00746D3C" w:rsidRPr="007B7470" w:rsidRDefault="00746D3C" w:rsidP="007B3372">
            <w:pPr>
              <w:rPr>
                <w:b/>
                <w:bCs/>
                <w:i/>
                <w:iCs/>
              </w:rPr>
            </w:pPr>
            <w:r w:rsidRPr="007B7470">
              <w:rPr>
                <w:b/>
                <w:bCs/>
                <w:i/>
                <w:iCs/>
              </w:rPr>
              <w:t>- vplyv na ŠR</w:t>
            </w:r>
          </w:p>
        </w:tc>
        <w:tc>
          <w:tcPr>
            <w:tcW w:w="1267" w:type="dxa"/>
            <w:noWrap/>
            <w:vAlign w:val="center"/>
          </w:tcPr>
          <w:p w14:paraId="1DEEFF74" w14:textId="77777777" w:rsidR="00746D3C" w:rsidRPr="007B7470" w:rsidRDefault="00746D3C" w:rsidP="007B3372">
            <w:pPr>
              <w:jc w:val="right"/>
              <w:rPr>
                <w:b/>
                <w:bCs/>
                <w:iCs/>
              </w:rPr>
            </w:pPr>
            <w:r w:rsidRPr="007B7470">
              <w:rPr>
                <w:b/>
                <w:bCs/>
                <w:iCs/>
              </w:rPr>
              <w:t>0</w:t>
            </w:r>
          </w:p>
        </w:tc>
        <w:tc>
          <w:tcPr>
            <w:tcW w:w="1520" w:type="dxa"/>
            <w:noWrap/>
            <w:vAlign w:val="center"/>
          </w:tcPr>
          <w:p w14:paraId="74CAD815" w14:textId="77777777" w:rsidR="00746D3C" w:rsidRPr="007B7470" w:rsidRDefault="00746D3C" w:rsidP="007B3372">
            <w:pPr>
              <w:jc w:val="right"/>
              <w:rPr>
                <w:b/>
                <w:bCs/>
                <w:iCs/>
              </w:rPr>
            </w:pPr>
            <w:r w:rsidRPr="007B7470">
              <w:rPr>
                <w:b/>
                <w:bCs/>
                <w:iCs/>
              </w:rPr>
              <w:t>0</w:t>
            </w:r>
          </w:p>
        </w:tc>
        <w:tc>
          <w:tcPr>
            <w:tcW w:w="1267" w:type="dxa"/>
            <w:noWrap/>
            <w:vAlign w:val="center"/>
          </w:tcPr>
          <w:p w14:paraId="24D0A0C1" w14:textId="77777777" w:rsidR="00746D3C" w:rsidRPr="007B7470" w:rsidRDefault="00746D3C" w:rsidP="007B3372">
            <w:pPr>
              <w:jc w:val="right"/>
              <w:rPr>
                <w:b/>
                <w:bCs/>
                <w:iCs/>
              </w:rPr>
            </w:pPr>
            <w:r w:rsidRPr="007B7470">
              <w:rPr>
                <w:b/>
                <w:bCs/>
                <w:iCs/>
              </w:rPr>
              <w:t>0</w:t>
            </w:r>
          </w:p>
        </w:tc>
        <w:tc>
          <w:tcPr>
            <w:tcW w:w="1267" w:type="dxa"/>
            <w:noWrap/>
            <w:vAlign w:val="center"/>
          </w:tcPr>
          <w:p w14:paraId="72B3E127" w14:textId="77777777" w:rsidR="00746D3C" w:rsidRPr="007B7470" w:rsidRDefault="00746D3C" w:rsidP="007B3372">
            <w:pPr>
              <w:jc w:val="right"/>
              <w:rPr>
                <w:b/>
                <w:bCs/>
                <w:iCs/>
              </w:rPr>
            </w:pPr>
            <w:r w:rsidRPr="007B7470">
              <w:rPr>
                <w:b/>
                <w:bCs/>
                <w:iCs/>
              </w:rPr>
              <w:t>0</w:t>
            </w:r>
          </w:p>
        </w:tc>
      </w:tr>
      <w:tr w:rsidR="00746D3C" w:rsidRPr="007B7470" w14:paraId="2B7C8878" w14:textId="77777777" w:rsidTr="007B3372">
        <w:trPr>
          <w:trHeight w:val="125"/>
          <w:jc w:val="center"/>
        </w:trPr>
        <w:tc>
          <w:tcPr>
            <w:tcW w:w="4661" w:type="dxa"/>
            <w:noWrap/>
            <w:vAlign w:val="center"/>
          </w:tcPr>
          <w:p w14:paraId="794AC499" w14:textId="77777777" w:rsidR="00746D3C" w:rsidRPr="007B7470" w:rsidRDefault="00746D3C" w:rsidP="007B3372">
            <w:pPr>
              <w:ind w:left="259"/>
              <w:rPr>
                <w:b/>
                <w:bCs/>
                <w:i/>
                <w:iCs/>
              </w:rPr>
            </w:pPr>
            <w:r w:rsidRPr="007B7470">
              <w:rPr>
                <w:bCs/>
                <w:i/>
                <w:iCs/>
              </w:rPr>
              <w:t>Rozpočtové prostriedky</w:t>
            </w:r>
          </w:p>
        </w:tc>
        <w:tc>
          <w:tcPr>
            <w:tcW w:w="1267" w:type="dxa"/>
            <w:noWrap/>
            <w:vAlign w:val="center"/>
          </w:tcPr>
          <w:p w14:paraId="44650C34" w14:textId="77777777" w:rsidR="00746D3C" w:rsidRPr="007B7470" w:rsidRDefault="00746D3C" w:rsidP="007B3372">
            <w:pPr>
              <w:jc w:val="right"/>
              <w:rPr>
                <w:b/>
                <w:bCs/>
                <w:iCs/>
              </w:rPr>
            </w:pPr>
            <w:r w:rsidRPr="007B7470">
              <w:rPr>
                <w:b/>
                <w:bCs/>
                <w:iCs/>
              </w:rPr>
              <w:t>0</w:t>
            </w:r>
          </w:p>
        </w:tc>
        <w:tc>
          <w:tcPr>
            <w:tcW w:w="1520" w:type="dxa"/>
            <w:noWrap/>
            <w:vAlign w:val="center"/>
          </w:tcPr>
          <w:p w14:paraId="73921302" w14:textId="77777777" w:rsidR="00746D3C" w:rsidRPr="007B7470" w:rsidRDefault="00746D3C" w:rsidP="007B3372">
            <w:pPr>
              <w:jc w:val="right"/>
              <w:rPr>
                <w:b/>
                <w:bCs/>
                <w:iCs/>
              </w:rPr>
            </w:pPr>
            <w:r w:rsidRPr="007B7470">
              <w:rPr>
                <w:b/>
                <w:bCs/>
                <w:iCs/>
              </w:rPr>
              <w:t>0</w:t>
            </w:r>
          </w:p>
        </w:tc>
        <w:tc>
          <w:tcPr>
            <w:tcW w:w="1267" w:type="dxa"/>
            <w:noWrap/>
            <w:vAlign w:val="center"/>
          </w:tcPr>
          <w:p w14:paraId="45F0380D" w14:textId="77777777" w:rsidR="00746D3C" w:rsidRPr="007B7470" w:rsidRDefault="00746D3C" w:rsidP="007B3372">
            <w:pPr>
              <w:jc w:val="right"/>
              <w:rPr>
                <w:b/>
                <w:bCs/>
                <w:iCs/>
              </w:rPr>
            </w:pPr>
            <w:r w:rsidRPr="007B7470">
              <w:rPr>
                <w:b/>
                <w:bCs/>
                <w:iCs/>
              </w:rPr>
              <w:t>0</w:t>
            </w:r>
          </w:p>
        </w:tc>
        <w:tc>
          <w:tcPr>
            <w:tcW w:w="1267" w:type="dxa"/>
            <w:noWrap/>
            <w:vAlign w:val="center"/>
          </w:tcPr>
          <w:p w14:paraId="2BA31C2C" w14:textId="77777777" w:rsidR="00746D3C" w:rsidRPr="007B7470" w:rsidRDefault="00746D3C" w:rsidP="007B3372">
            <w:pPr>
              <w:jc w:val="right"/>
              <w:rPr>
                <w:b/>
                <w:bCs/>
                <w:iCs/>
              </w:rPr>
            </w:pPr>
            <w:r w:rsidRPr="007B7470">
              <w:rPr>
                <w:b/>
                <w:bCs/>
                <w:iCs/>
              </w:rPr>
              <w:t>0</w:t>
            </w:r>
          </w:p>
        </w:tc>
      </w:tr>
      <w:tr w:rsidR="00746D3C" w:rsidRPr="007B7470" w14:paraId="47BEF5D5" w14:textId="77777777" w:rsidTr="007B3372">
        <w:trPr>
          <w:trHeight w:val="125"/>
          <w:jc w:val="center"/>
        </w:trPr>
        <w:tc>
          <w:tcPr>
            <w:tcW w:w="4661" w:type="dxa"/>
            <w:noWrap/>
            <w:vAlign w:val="center"/>
          </w:tcPr>
          <w:p w14:paraId="638C3E2E" w14:textId="77777777" w:rsidR="00746D3C" w:rsidRPr="007B7470" w:rsidRDefault="00746D3C" w:rsidP="007B3372">
            <w:pPr>
              <w:ind w:left="259"/>
              <w:rPr>
                <w:bCs/>
                <w:i/>
                <w:iCs/>
              </w:rPr>
            </w:pPr>
            <w:r w:rsidRPr="007B7470">
              <w:rPr>
                <w:bCs/>
                <w:i/>
                <w:iCs/>
              </w:rPr>
              <w:t>EÚ zdroje</w:t>
            </w:r>
          </w:p>
        </w:tc>
        <w:tc>
          <w:tcPr>
            <w:tcW w:w="1267" w:type="dxa"/>
            <w:noWrap/>
            <w:vAlign w:val="center"/>
          </w:tcPr>
          <w:p w14:paraId="163A5BB5" w14:textId="77777777" w:rsidR="00746D3C" w:rsidRPr="007B7470" w:rsidRDefault="00746D3C" w:rsidP="007B3372">
            <w:pPr>
              <w:jc w:val="right"/>
            </w:pPr>
            <w:r w:rsidRPr="007B7470">
              <w:t>0</w:t>
            </w:r>
          </w:p>
        </w:tc>
        <w:tc>
          <w:tcPr>
            <w:tcW w:w="1520" w:type="dxa"/>
            <w:noWrap/>
            <w:vAlign w:val="center"/>
          </w:tcPr>
          <w:p w14:paraId="57DCDEEF" w14:textId="77777777" w:rsidR="00746D3C" w:rsidRPr="007B7470" w:rsidRDefault="00746D3C" w:rsidP="007B3372">
            <w:pPr>
              <w:jc w:val="right"/>
            </w:pPr>
            <w:r w:rsidRPr="007B7470">
              <w:t>0</w:t>
            </w:r>
          </w:p>
        </w:tc>
        <w:tc>
          <w:tcPr>
            <w:tcW w:w="1267" w:type="dxa"/>
            <w:noWrap/>
            <w:vAlign w:val="center"/>
          </w:tcPr>
          <w:p w14:paraId="4F6148CC" w14:textId="77777777" w:rsidR="00746D3C" w:rsidRPr="007B7470" w:rsidRDefault="00746D3C" w:rsidP="007B3372">
            <w:pPr>
              <w:jc w:val="right"/>
            </w:pPr>
            <w:r w:rsidRPr="007B7470">
              <w:t>0</w:t>
            </w:r>
          </w:p>
        </w:tc>
        <w:tc>
          <w:tcPr>
            <w:tcW w:w="1267" w:type="dxa"/>
            <w:noWrap/>
            <w:vAlign w:val="center"/>
          </w:tcPr>
          <w:p w14:paraId="62328902" w14:textId="77777777" w:rsidR="00746D3C" w:rsidRPr="007B7470" w:rsidRDefault="00746D3C" w:rsidP="007B3372">
            <w:pPr>
              <w:jc w:val="right"/>
            </w:pPr>
            <w:r w:rsidRPr="007B7470">
              <w:t>0</w:t>
            </w:r>
          </w:p>
        </w:tc>
      </w:tr>
      <w:tr w:rsidR="00746D3C" w:rsidRPr="007B7470" w14:paraId="194DAE92" w14:textId="77777777" w:rsidTr="007B3372">
        <w:trPr>
          <w:trHeight w:val="125"/>
          <w:jc w:val="center"/>
        </w:trPr>
        <w:tc>
          <w:tcPr>
            <w:tcW w:w="4661" w:type="dxa"/>
            <w:noWrap/>
            <w:vAlign w:val="center"/>
          </w:tcPr>
          <w:p w14:paraId="03E9B9A2" w14:textId="77777777" w:rsidR="00746D3C" w:rsidRPr="007B7470" w:rsidRDefault="00746D3C" w:rsidP="007B3372">
            <w:pPr>
              <w:rPr>
                <w:b/>
                <w:bCs/>
                <w:i/>
                <w:iCs/>
              </w:rPr>
            </w:pPr>
            <w:r w:rsidRPr="007B7470">
              <w:rPr>
                <w:b/>
                <w:bCs/>
                <w:i/>
                <w:iCs/>
              </w:rPr>
              <w:t>- vplyv na obce</w:t>
            </w:r>
          </w:p>
        </w:tc>
        <w:tc>
          <w:tcPr>
            <w:tcW w:w="1267" w:type="dxa"/>
            <w:noWrap/>
            <w:vAlign w:val="center"/>
          </w:tcPr>
          <w:p w14:paraId="388339BE" w14:textId="77777777" w:rsidR="00746D3C" w:rsidRPr="007B7470" w:rsidRDefault="00746D3C" w:rsidP="007B3372">
            <w:pPr>
              <w:jc w:val="right"/>
              <w:rPr>
                <w:b/>
                <w:bCs/>
                <w:iCs/>
              </w:rPr>
            </w:pPr>
            <w:r w:rsidRPr="007B7470">
              <w:rPr>
                <w:b/>
                <w:bCs/>
                <w:iCs/>
              </w:rPr>
              <w:t>0</w:t>
            </w:r>
          </w:p>
        </w:tc>
        <w:tc>
          <w:tcPr>
            <w:tcW w:w="1520" w:type="dxa"/>
            <w:noWrap/>
            <w:vAlign w:val="center"/>
          </w:tcPr>
          <w:p w14:paraId="1D4B0937" w14:textId="77777777" w:rsidR="00746D3C" w:rsidRPr="007B7470" w:rsidRDefault="00746D3C" w:rsidP="007B3372">
            <w:pPr>
              <w:jc w:val="right"/>
              <w:rPr>
                <w:b/>
                <w:bCs/>
                <w:iCs/>
              </w:rPr>
            </w:pPr>
            <w:r w:rsidRPr="007B7470">
              <w:rPr>
                <w:b/>
                <w:bCs/>
                <w:iCs/>
              </w:rPr>
              <w:t>0</w:t>
            </w:r>
          </w:p>
        </w:tc>
        <w:tc>
          <w:tcPr>
            <w:tcW w:w="1267" w:type="dxa"/>
            <w:noWrap/>
            <w:vAlign w:val="center"/>
          </w:tcPr>
          <w:p w14:paraId="62AD38A1" w14:textId="77777777" w:rsidR="00746D3C" w:rsidRPr="007B7470" w:rsidRDefault="00746D3C" w:rsidP="007B3372">
            <w:pPr>
              <w:jc w:val="right"/>
              <w:rPr>
                <w:b/>
                <w:bCs/>
                <w:iCs/>
              </w:rPr>
            </w:pPr>
            <w:r w:rsidRPr="007B7470">
              <w:rPr>
                <w:b/>
                <w:bCs/>
                <w:iCs/>
              </w:rPr>
              <w:t>0</w:t>
            </w:r>
          </w:p>
        </w:tc>
        <w:tc>
          <w:tcPr>
            <w:tcW w:w="1267" w:type="dxa"/>
            <w:noWrap/>
            <w:vAlign w:val="center"/>
          </w:tcPr>
          <w:p w14:paraId="2A62546D" w14:textId="77777777" w:rsidR="00746D3C" w:rsidRPr="007B7470" w:rsidRDefault="00746D3C" w:rsidP="007B3372">
            <w:pPr>
              <w:jc w:val="right"/>
              <w:rPr>
                <w:b/>
                <w:bCs/>
                <w:iCs/>
              </w:rPr>
            </w:pPr>
            <w:r w:rsidRPr="007B7470">
              <w:rPr>
                <w:b/>
                <w:bCs/>
                <w:iCs/>
              </w:rPr>
              <w:t>0</w:t>
            </w:r>
          </w:p>
        </w:tc>
      </w:tr>
      <w:tr w:rsidR="00746D3C" w:rsidRPr="007B7470" w14:paraId="7F1FC424" w14:textId="77777777" w:rsidTr="007B3372">
        <w:trPr>
          <w:trHeight w:val="125"/>
          <w:jc w:val="center"/>
        </w:trPr>
        <w:tc>
          <w:tcPr>
            <w:tcW w:w="4661" w:type="dxa"/>
            <w:noWrap/>
            <w:vAlign w:val="center"/>
          </w:tcPr>
          <w:p w14:paraId="542EC9C4" w14:textId="77777777" w:rsidR="00746D3C" w:rsidRPr="007B7470" w:rsidRDefault="00746D3C" w:rsidP="007B3372">
            <w:pPr>
              <w:rPr>
                <w:b/>
                <w:bCs/>
                <w:i/>
                <w:iCs/>
              </w:rPr>
            </w:pPr>
            <w:r w:rsidRPr="007B7470">
              <w:rPr>
                <w:b/>
                <w:bCs/>
                <w:i/>
                <w:iCs/>
              </w:rPr>
              <w:t>- vplyv na vyššie územné celky</w:t>
            </w:r>
          </w:p>
        </w:tc>
        <w:tc>
          <w:tcPr>
            <w:tcW w:w="1267" w:type="dxa"/>
            <w:noWrap/>
            <w:vAlign w:val="center"/>
          </w:tcPr>
          <w:p w14:paraId="21FF3CEC" w14:textId="77777777" w:rsidR="00746D3C" w:rsidRPr="007B7470" w:rsidRDefault="00746D3C" w:rsidP="007B3372">
            <w:pPr>
              <w:jc w:val="right"/>
              <w:rPr>
                <w:b/>
                <w:bCs/>
                <w:iCs/>
              </w:rPr>
            </w:pPr>
            <w:r w:rsidRPr="007B7470">
              <w:rPr>
                <w:b/>
                <w:bCs/>
                <w:iCs/>
              </w:rPr>
              <w:t>0</w:t>
            </w:r>
          </w:p>
        </w:tc>
        <w:tc>
          <w:tcPr>
            <w:tcW w:w="1520" w:type="dxa"/>
            <w:noWrap/>
            <w:vAlign w:val="center"/>
          </w:tcPr>
          <w:p w14:paraId="57D0DF9B" w14:textId="77777777" w:rsidR="00746D3C" w:rsidRPr="007B7470" w:rsidRDefault="00746D3C" w:rsidP="007B3372">
            <w:pPr>
              <w:jc w:val="right"/>
              <w:rPr>
                <w:b/>
                <w:bCs/>
                <w:iCs/>
              </w:rPr>
            </w:pPr>
            <w:r w:rsidRPr="007B7470">
              <w:rPr>
                <w:b/>
                <w:bCs/>
                <w:iCs/>
              </w:rPr>
              <w:t>0</w:t>
            </w:r>
          </w:p>
        </w:tc>
        <w:tc>
          <w:tcPr>
            <w:tcW w:w="1267" w:type="dxa"/>
            <w:noWrap/>
            <w:vAlign w:val="center"/>
          </w:tcPr>
          <w:p w14:paraId="031F2E28" w14:textId="77777777" w:rsidR="00746D3C" w:rsidRPr="007B7470" w:rsidRDefault="00746D3C" w:rsidP="007B3372">
            <w:pPr>
              <w:jc w:val="right"/>
              <w:rPr>
                <w:b/>
                <w:bCs/>
                <w:iCs/>
              </w:rPr>
            </w:pPr>
            <w:r w:rsidRPr="007B7470">
              <w:rPr>
                <w:b/>
                <w:bCs/>
                <w:iCs/>
              </w:rPr>
              <w:t>0</w:t>
            </w:r>
          </w:p>
        </w:tc>
        <w:tc>
          <w:tcPr>
            <w:tcW w:w="1267" w:type="dxa"/>
            <w:noWrap/>
            <w:vAlign w:val="center"/>
          </w:tcPr>
          <w:p w14:paraId="5E3A56C6" w14:textId="77777777" w:rsidR="00746D3C" w:rsidRPr="007B7470" w:rsidRDefault="00746D3C" w:rsidP="007B3372">
            <w:pPr>
              <w:jc w:val="right"/>
              <w:rPr>
                <w:b/>
                <w:bCs/>
                <w:iCs/>
              </w:rPr>
            </w:pPr>
            <w:r w:rsidRPr="007B7470">
              <w:rPr>
                <w:b/>
                <w:bCs/>
                <w:iCs/>
              </w:rPr>
              <w:t>0</w:t>
            </w:r>
          </w:p>
        </w:tc>
      </w:tr>
      <w:tr w:rsidR="00746D3C" w:rsidRPr="007B7470" w14:paraId="7CDA6086" w14:textId="77777777" w:rsidTr="007B3372">
        <w:trPr>
          <w:trHeight w:val="125"/>
          <w:jc w:val="center"/>
        </w:trPr>
        <w:tc>
          <w:tcPr>
            <w:tcW w:w="4661" w:type="dxa"/>
            <w:noWrap/>
            <w:vAlign w:val="center"/>
          </w:tcPr>
          <w:p w14:paraId="00B4A499" w14:textId="77777777" w:rsidR="00746D3C" w:rsidRPr="007B7470" w:rsidRDefault="00746D3C" w:rsidP="007B3372">
            <w:pPr>
              <w:rPr>
                <w:b/>
                <w:bCs/>
                <w:i/>
                <w:iCs/>
              </w:rPr>
            </w:pPr>
            <w:r w:rsidRPr="007B7470">
              <w:rPr>
                <w:b/>
                <w:bCs/>
                <w:i/>
                <w:iCs/>
              </w:rPr>
              <w:t>- vplyv na ostatné subjekty verejnej správy</w:t>
            </w:r>
          </w:p>
        </w:tc>
        <w:tc>
          <w:tcPr>
            <w:tcW w:w="1267" w:type="dxa"/>
            <w:noWrap/>
            <w:vAlign w:val="center"/>
          </w:tcPr>
          <w:p w14:paraId="2D1B3D74" w14:textId="77777777" w:rsidR="00746D3C" w:rsidRPr="007B7470" w:rsidRDefault="00746D3C" w:rsidP="007B3372">
            <w:pPr>
              <w:jc w:val="right"/>
              <w:rPr>
                <w:b/>
                <w:bCs/>
                <w:iCs/>
              </w:rPr>
            </w:pPr>
            <w:r w:rsidRPr="007B7470">
              <w:rPr>
                <w:b/>
                <w:bCs/>
                <w:iCs/>
              </w:rPr>
              <w:t>0</w:t>
            </w:r>
          </w:p>
        </w:tc>
        <w:tc>
          <w:tcPr>
            <w:tcW w:w="1520" w:type="dxa"/>
            <w:noWrap/>
            <w:vAlign w:val="center"/>
          </w:tcPr>
          <w:p w14:paraId="091143A4" w14:textId="77777777" w:rsidR="00746D3C" w:rsidRPr="007B7470" w:rsidRDefault="00746D3C" w:rsidP="007B3372">
            <w:pPr>
              <w:jc w:val="right"/>
              <w:rPr>
                <w:b/>
                <w:bCs/>
                <w:iCs/>
              </w:rPr>
            </w:pPr>
            <w:r w:rsidRPr="007B7470">
              <w:rPr>
                <w:b/>
                <w:bCs/>
                <w:iCs/>
              </w:rPr>
              <w:t>0</w:t>
            </w:r>
          </w:p>
        </w:tc>
        <w:tc>
          <w:tcPr>
            <w:tcW w:w="1267" w:type="dxa"/>
            <w:noWrap/>
            <w:vAlign w:val="center"/>
          </w:tcPr>
          <w:p w14:paraId="765CA7E7" w14:textId="77777777" w:rsidR="00746D3C" w:rsidRPr="007B7470" w:rsidRDefault="00746D3C" w:rsidP="007B3372">
            <w:pPr>
              <w:jc w:val="right"/>
              <w:rPr>
                <w:b/>
                <w:bCs/>
                <w:iCs/>
              </w:rPr>
            </w:pPr>
            <w:r w:rsidRPr="007B7470">
              <w:rPr>
                <w:b/>
                <w:bCs/>
                <w:iCs/>
              </w:rPr>
              <w:t>0</w:t>
            </w:r>
          </w:p>
        </w:tc>
        <w:tc>
          <w:tcPr>
            <w:tcW w:w="1267" w:type="dxa"/>
            <w:noWrap/>
            <w:vAlign w:val="center"/>
          </w:tcPr>
          <w:p w14:paraId="5BA24FC0" w14:textId="77777777" w:rsidR="00746D3C" w:rsidRPr="007B7470" w:rsidRDefault="00746D3C" w:rsidP="007B3372">
            <w:pPr>
              <w:jc w:val="right"/>
              <w:rPr>
                <w:b/>
                <w:bCs/>
                <w:iCs/>
              </w:rPr>
            </w:pPr>
            <w:r w:rsidRPr="007B7470">
              <w:rPr>
                <w:b/>
                <w:bCs/>
                <w:iCs/>
              </w:rPr>
              <w:t>0</w:t>
            </w:r>
          </w:p>
        </w:tc>
      </w:tr>
      <w:tr w:rsidR="00746D3C" w:rsidRPr="007B7470" w14:paraId="69C665B8" w14:textId="77777777" w:rsidTr="007B3372">
        <w:trPr>
          <w:trHeight w:val="125"/>
          <w:jc w:val="center"/>
        </w:trPr>
        <w:tc>
          <w:tcPr>
            <w:tcW w:w="4661" w:type="dxa"/>
            <w:shd w:val="clear" w:color="auto" w:fill="C0C0C0"/>
            <w:noWrap/>
            <w:vAlign w:val="center"/>
          </w:tcPr>
          <w:p w14:paraId="60B5E479" w14:textId="77777777" w:rsidR="00746D3C" w:rsidRPr="007B7470" w:rsidRDefault="00746D3C" w:rsidP="007B3372">
            <w:pPr>
              <w:rPr>
                <w:b/>
                <w:bCs/>
              </w:rPr>
            </w:pPr>
            <w:r w:rsidRPr="007B7470">
              <w:rPr>
                <w:b/>
                <w:bCs/>
              </w:rPr>
              <w:t>Výdavky verejnej správy celkom</w:t>
            </w:r>
          </w:p>
        </w:tc>
        <w:tc>
          <w:tcPr>
            <w:tcW w:w="1267" w:type="dxa"/>
            <w:shd w:val="clear" w:color="auto" w:fill="C0C0C0"/>
            <w:noWrap/>
            <w:vAlign w:val="center"/>
          </w:tcPr>
          <w:p w14:paraId="3D0AD019" w14:textId="77777777" w:rsidR="00746D3C" w:rsidRPr="007B7470" w:rsidRDefault="00746D3C" w:rsidP="007B3372">
            <w:pPr>
              <w:jc w:val="right"/>
              <w:rPr>
                <w:b/>
                <w:bCs/>
              </w:rPr>
            </w:pPr>
            <w:r>
              <w:rPr>
                <w:b/>
                <w:bCs/>
              </w:rPr>
              <w:t>566 338</w:t>
            </w:r>
          </w:p>
        </w:tc>
        <w:tc>
          <w:tcPr>
            <w:tcW w:w="1520" w:type="dxa"/>
            <w:shd w:val="clear" w:color="auto" w:fill="C0C0C0"/>
            <w:noWrap/>
            <w:vAlign w:val="center"/>
          </w:tcPr>
          <w:p w14:paraId="62DE1643" w14:textId="77777777" w:rsidR="00746D3C" w:rsidRPr="007B7470" w:rsidRDefault="00746D3C" w:rsidP="007B3372">
            <w:pPr>
              <w:jc w:val="right"/>
              <w:rPr>
                <w:b/>
                <w:bCs/>
              </w:rPr>
            </w:pPr>
            <w:r>
              <w:rPr>
                <w:b/>
                <w:bCs/>
              </w:rPr>
              <w:t>11 227 861</w:t>
            </w:r>
          </w:p>
        </w:tc>
        <w:tc>
          <w:tcPr>
            <w:tcW w:w="1267" w:type="dxa"/>
            <w:shd w:val="clear" w:color="auto" w:fill="C0C0C0"/>
            <w:noWrap/>
            <w:vAlign w:val="center"/>
          </w:tcPr>
          <w:p w14:paraId="7D08F79B" w14:textId="77777777" w:rsidR="00746D3C" w:rsidRPr="007B7470" w:rsidRDefault="00746D3C" w:rsidP="007B3372">
            <w:pPr>
              <w:jc w:val="right"/>
              <w:rPr>
                <w:b/>
                <w:bCs/>
              </w:rPr>
            </w:pPr>
            <w:r>
              <w:rPr>
                <w:b/>
                <w:bCs/>
              </w:rPr>
              <w:t>2 369 262</w:t>
            </w:r>
          </w:p>
        </w:tc>
        <w:tc>
          <w:tcPr>
            <w:tcW w:w="1267" w:type="dxa"/>
            <w:shd w:val="clear" w:color="auto" w:fill="C0C0C0"/>
            <w:noWrap/>
            <w:vAlign w:val="center"/>
          </w:tcPr>
          <w:p w14:paraId="5C0FEB65" w14:textId="77777777" w:rsidR="00746D3C" w:rsidRPr="007B7470" w:rsidRDefault="00746D3C" w:rsidP="007B3372">
            <w:pPr>
              <w:jc w:val="right"/>
              <w:rPr>
                <w:b/>
                <w:bCs/>
              </w:rPr>
            </w:pPr>
            <w:r>
              <w:rPr>
                <w:b/>
                <w:bCs/>
              </w:rPr>
              <w:t>2 369 262</w:t>
            </w:r>
            <w:r w:rsidRPr="007B7470">
              <w:rPr>
                <w:b/>
                <w:bCs/>
              </w:rPr>
              <w:t xml:space="preserve">   </w:t>
            </w:r>
          </w:p>
        </w:tc>
      </w:tr>
      <w:bookmarkEnd w:id="1"/>
      <w:tr w:rsidR="00746D3C" w:rsidRPr="007B7470" w14:paraId="725A5B63" w14:textId="77777777" w:rsidTr="007B3372">
        <w:trPr>
          <w:trHeight w:val="70"/>
          <w:jc w:val="center"/>
        </w:trPr>
        <w:tc>
          <w:tcPr>
            <w:tcW w:w="4661" w:type="dxa"/>
            <w:noWrap/>
            <w:vAlign w:val="center"/>
          </w:tcPr>
          <w:p w14:paraId="7B39307D" w14:textId="77777777" w:rsidR="00746D3C" w:rsidRDefault="00746D3C" w:rsidP="007B3372">
            <w:r w:rsidRPr="00C43417">
              <w:t>v tom: kapitola MF SR/</w:t>
            </w:r>
          </w:p>
          <w:p w14:paraId="5C0613C9" w14:textId="77777777" w:rsidR="00746D3C" w:rsidRDefault="00746D3C" w:rsidP="007B3372">
            <w:r w:rsidRPr="00C43417">
              <w:t>072 Výber daní, cla, odvodov a príspevkov (</w:t>
            </w:r>
            <w:r>
              <w:t xml:space="preserve">org. </w:t>
            </w:r>
            <w:r w:rsidRPr="00C43417">
              <w:t>FR SR)</w:t>
            </w:r>
          </w:p>
          <w:p w14:paraId="7031E0E8" w14:textId="77777777" w:rsidR="00746D3C" w:rsidRPr="007B7470" w:rsidRDefault="00746D3C" w:rsidP="007B3372">
            <w:r w:rsidRPr="000709C9">
              <w:t>0EK 0D I</w:t>
            </w:r>
            <w:r>
              <w:t>nformačné technológie</w:t>
            </w:r>
            <w:r w:rsidRPr="000709C9">
              <w:t xml:space="preserve"> financované zo ŠR – MF SR (</w:t>
            </w:r>
            <w:r>
              <w:t xml:space="preserve">org. </w:t>
            </w:r>
            <w:r w:rsidRPr="00DE47B0">
              <w:t>MF SR - úrad,</w:t>
            </w:r>
            <w:r>
              <w:t> </w:t>
            </w:r>
            <w:r w:rsidRPr="000709C9">
              <w:t>FR</w:t>
            </w:r>
            <w:r>
              <w:t> </w:t>
            </w:r>
            <w:r w:rsidRPr="000709C9">
              <w:t>SR)</w:t>
            </w:r>
          </w:p>
        </w:tc>
        <w:tc>
          <w:tcPr>
            <w:tcW w:w="1267" w:type="dxa"/>
            <w:noWrap/>
            <w:vAlign w:val="center"/>
          </w:tcPr>
          <w:p w14:paraId="448E0AC8" w14:textId="77777777" w:rsidR="00746D3C" w:rsidRDefault="00746D3C" w:rsidP="007B3372">
            <w:pPr>
              <w:jc w:val="right"/>
            </w:pPr>
          </w:p>
          <w:p w14:paraId="18408715" w14:textId="77777777" w:rsidR="00746D3C" w:rsidRDefault="00746D3C" w:rsidP="007B3372">
            <w:pPr>
              <w:jc w:val="right"/>
            </w:pPr>
          </w:p>
          <w:p w14:paraId="7E8ADDBB" w14:textId="77777777" w:rsidR="00746D3C" w:rsidRDefault="00746D3C" w:rsidP="007B3372">
            <w:pPr>
              <w:jc w:val="right"/>
            </w:pPr>
            <w:r>
              <w:t>0</w:t>
            </w:r>
          </w:p>
          <w:p w14:paraId="30695C79" w14:textId="77777777" w:rsidR="00746D3C" w:rsidRDefault="00746D3C" w:rsidP="007B3372">
            <w:pPr>
              <w:jc w:val="right"/>
            </w:pPr>
          </w:p>
          <w:p w14:paraId="550D6C71" w14:textId="77777777" w:rsidR="00746D3C" w:rsidRPr="007B7470" w:rsidDel="00CF0A5E" w:rsidRDefault="00746D3C" w:rsidP="007B3372">
            <w:pPr>
              <w:jc w:val="right"/>
            </w:pPr>
            <w:r>
              <w:t>566 338</w:t>
            </w:r>
          </w:p>
        </w:tc>
        <w:tc>
          <w:tcPr>
            <w:tcW w:w="1520" w:type="dxa"/>
            <w:noWrap/>
            <w:vAlign w:val="center"/>
          </w:tcPr>
          <w:p w14:paraId="7F0606C2" w14:textId="77777777" w:rsidR="00746D3C" w:rsidRDefault="00746D3C" w:rsidP="007B3372">
            <w:pPr>
              <w:jc w:val="right"/>
            </w:pPr>
          </w:p>
          <w:p w14:paraId="253E4D45" w14:textId="77777777" w:rsidR="00746D3C" w:rsidRDefault="00746D3C" w:rsidP="007B3372">
            <w:pPr>
              <w:jc w:val="right"/>
            </w:pPr>
          </w:p>
          <w:p w14:paraId="62270F3B" w14:textId="77777777" w:rsidR="00746D3C" w:rsidRDefault="00746D3C" w:rsidP="007B3372">
            <w:pPr>
              <w:jc w:val="right"/>
            </w:pPr>
            <w:r w:rsidRPr="00C43417">
              <w:t>264</w:t>
            </w:r>
            <w:r>
              <w:t> </w:t>
            </w:r>
            <w:r w:rsidRPr="00C43417">
              <w:t>287</w:t>
            </w:r>
          </w:p>
          <w:p w14:paraId="0F8028FF" w14:textId="77777777" w:rsidR="00746D3C" w:rsidRDefault="00746D3C" w:rsidP="007B3372">
            <w:pPr>
              <w:jc w:val="right"/>
            </w:pPr>
          </w:p>
          <w:p w14:paraId="42B17AF4" w14:textId="77777777" w:rsidR="00746D3C" w:rsidRPr="007B7470" w:rsidDel="00CF0A5E" w:rsidRDefault="00746D3C" w:rsidP="007B3372">
            <w:pPr>
              <w:jc w:val="right"/>
            </w:pPr>
            <w:r>
              <w:t>10 963 574</w:t>
            </w:r>
          </w:p>
        </w:tc>
        <w:tc>
          <w:tcPr>
            <w:tcW w:w="1267" w:type="dxa"/>
            <w:noWrap/>
            <w:vAlign w:val="center"/>
          </w:tcPr>
          <w:p w14:paraId="2DC6C4F3" w14:textId="77777777" w:rsidR="00746D3C" w:rsidRDefault="00746D3C" w:rsidP="007B3372">
            <w:pPr>
              <w:jc w:val="right"/>
            </w:pPr>
          </w:p>
          <w:p w14:paraId="3D7E5DBE" w14:textId="77777777" w:rsidR="00746D3C" w:rsidRDefault="00746D3C" w:rsidP="007B3372">
            <w:pPr>
              <w:jc w:val="right"/>
            </w:pPr>
          </w:p>
          <w:p w14:paraId="33DF1618" w14:textId="77777777" w:rsidR="00746D3C" w:rsidRDefault="00746D3C" w:rsidP="007B3372">
            <w:pPr>
              <w:jc w:val="right"/>
            </w:pPr>
            <w:r w:rsidRPr="00C43417">
              <w:t>264</w:t>
            </w:r>
            <w:r>
              <w:t> </w:t>
            </w:r>
            <w:r w:rsidRPr="00C43417">
              <w:t>287</w:t>
            </w:r>
          </w:p>
          <w:p w14:paraId="105F68EB" w14:textId="77777777" w:rsidR="00746D3C" w:rsidRDefault="00746D3C" w:rsidP="007B3372">
            <w:pPr>
              <w:jc w:val="right"/>
            </w:pPr>
          </w:p>
          <w:p w14:paraId="3748BCD0" w14:textId="77777777" w:rsidR="00746D3C" w:rsidRPr="007B7470" w:rsidRDefault="00746D3C" w:rsidP="007B3372">
            <w:pPr>
              <w:jc w:val="right"/>
            </w:pPr>
            <w:r>
              <w:t>2 104 975</w:t>
            </w:r>
          </w:p>
        </w:tc>
        <w:tc>
          <w:tcPr>
            <w:tcW w:w="1267" w:type="dxa"/>
            <w:noWrap/>
            <w:vAlign w:val="center"/>
          </w:tcPr>
          <w:p w14:paraId="7C804F4D" w14:textId="77777777" w:rsidR="00746D3C" w:rsidRDefault="00746D3C" w:rsidP="007B3372">
            <w:pPr>
              <w:jc w:val="right"/>
            </w:pPr>
          </w:p>
          <w:p w14:paraId="616F31B6" w14:textId="77777777" w:rsidR="00746D3C" w:rsidRDefault="00746D3C" w:rsidP="007B3372">
            <w:pPr>
              <w:jc w:val="right"/>
            </w:pPr>
          </w:p>
          <w:p w14:paraId="01D2ECF6" w14:textId="77777777" w:rsidR="00746D3C" w:rsidRDefault="00746D3C" w:rsidP="007B3372">
            <w:pPr>
              <w:jc w:val="right"/>
            </w:pPr>
            <w:r w:rsidRPr="00C43417">
              <w:t>264</w:t>
            </w:r>
            <w:r>
              <w:t> </w:t>
            </w:r>
            <w:r w:rsidRPr="00C43417">
              <w:t>287</w:t>
            </w:r>
          </w:p>
          <w:p w14:paraId="13D944AE" w14:textId="77777777" w:rsidR="00746D3C" w:rsidRDefault="00746D3C" w:rsidP="007B3372">
            <w:pPr>
              <w:jc w:val="right"/>
            </w:pPr>
          </w:p>
          <w:p w14:paraId="112C7A3E" w14:textId="77777777" w:rsidR="00746D3C" w:rsidRPr="007B7470" w:rsidRDefault="00746D3C" w:rsidP="007B3372">
            <w:pPr>
              <w:jc w:val="right"/>
            </w:pPr>
            <w:r>
              <w:t>2 104 975</w:t>
            </w:r>
          </w:p>
        </w:tc>
      </w:tr>
      <w:tr w:rsidR="00746D3C" w:rsidRPr="007B7470" w14:paraId="45C5723E" w14:textId="77777777" w:rsidTr="007B3372">
        <w:trPr>
          <w:trHeight w:val="70"/>
          <w:jc w:val="center"/>
        </w:trPr>
        <w:tc>
          <w:tcPr>
            <w:tcW w:w="4661" w:type="dxa"/>
            <w:noWrap/>
            <w:vAlign w:val="center"/>
          </w:tcPr>
          <w:p w14:paraId="0F70CE05" w14:textId="77777777" w:rsidR="00746D3C" w:rsidRPr="007B7470" w:rsidRDefault="00746D3C" w:rsidP="007B3372">
            <w:pPr>
              <w:rPr>
                <w:b/>
                <w:bCs/>
                <w:i/>
                <w:iCs/>
              </w:rPr>
            </w:pPr>
            <w:r w:rsidRPr="007B7470">
              <w:rPr>
                <w:b/>
                <w:bCs/>
                <w:i/>
                <w:iCs/>
              </w:rPr>
              <w:t xml:space="preserve">z toho: </w:t>
            </w:r>
          </w:p>
        </w:tc>
        <w:tc>
          <w:tcPr>
            <w:tcW w:w="1267" w:type="dxa"/>
            <w:noWrap/>
            <w:vAlign w:val="center"/>
          </w:tcPr>
          <w:p w14:paraId="759C3C67" w14:textId="77777777" w:rsidR="00746D3C" w:rsidRPr="007B7470" w:rsidRDefault="00746D3C" w:rsidP="007B3372">
            <w:pPr>
              <w:jc w:val="right"/>
              <w:rPr>
                <w:b/>
                <w:bCs/>
                <w:iCs/>
              </w:rPr>
            </w:pPr>
          </w:p>
        </w:tc>
        <w:tc>
          <w:tcPr>
            <w:tcW w:w="1520" w:type="dxa"/>
            <w:noWrap/>
            <w:vAlign w:val="center"/>
          </w:tcPr>
          <w:p w14:paraId="05C62A2A" w14:textId="77777777" w:rsidR="00746D3C" w:rsidRPr="007B7470" w:rsidRDefault="00746D3C" w:rsidP="007B3372">
            <w:pPr>
              <w:jc w:val="right"/>
              <w:rPr>
                <w:b/>
                <w:bCs/>
                <w:iCs/>
              </w:rPr>
            </w:pPr>
          </w:p>
        </w:tc>
        <w:tc>
          <w:tcPr>
            <w:tcW w:w="1267" w:type="dxa"/>
            <w:noWrap/>
            <w:vAlign w:val="center"/>
          </w:tcPr>
          <w:p w14:paraId="1E4C52B8" w14:textId="77777777" w:rsidR="00746D3C" w:rsidRPr="007B7470" w:rsidRDefault="00746D3C" w:rsidP="007B3372">
            <w:pPr>
              <w:jc w:val="right"/>
              <w:rPr>
                <w:b/>
                <w:bCs/>
                <w:iCs/>
              </w:rPr>
            </w:pPr>
          </w:p>
        </w:tc>
        <w:tc>
          <w:tcPr>
            <w:tcW w:w="1267" w:type="dxa"/>
            <w:noWrap/>
            <w:vAlign w:val="center"/>
          </w:tcPr>
          <w:p w14:paraId="710E1EEE" w14:textId="77777777" w:rsidR="00746D3C" w:rsidRPr="007B7470" w:rsidRDefault="00746D3C" w:rsidP="007B3372">
            <w:pPr>
              <w:jc w:val="right"/>
              <w:rPr>
                <w:b/>
                <w:bCs/>
                <w:iCs/>
              </w:rPr>
            </w:pPr>
          </w:p>
        </w:tc>
      </w:tr>
      <w:tr w:rsidR="00746D3C" w:rsidRPr="007B7470" w14:paraId="377D8CDC" w14:textId="77777777" w:rsidTr="007B3372">
        <w:trPr>
          <w:trHeight w:val="70"/>
          <w:jc w:val="center"/>
        </w:trPr>
        <w:tc>
          <w:tcPr>
            <w:tcW w:w="4661" w:type="dxa"/>
            <w:noWrap/>
            <w:vAlign w:val="center"/>
          </w:tcPr>
          <w:p w14:paraId="42BC9003" w14:textId="77777777" w:rsidR="00746D3C" w:rsidRPr="007B7470" w:rsidRDefault="00746D3C" w:rsidP="007B3372">
            <w:pPr>
              <w:rPr>
                <w:b/>
                <w:bCs/>
                <w:i/>
                <w:iCs/>
              </w:rPr>
            </w:pPr>
            <w:r w:rsidRPr="007B7470">
              <w:rPr>
                <w:b/>
                <w:bCs/>
                <w:i/>
                <w:iCs/>
              </w:rPr>
              <w:t>- vplyv na ŠR</w:t>
            </w:r>
          </w:p>
        </w:tc>
        <w:tc>
          <w:tcPr>
            <w:tcW w:w="1267" w:type="dxa"/>
            <w:noWrap/>
            <w:vAlign w:val="center"/>
          </w:tcPr>
          <w:p w14:paraId="56ED949C" w14:textId="77777777" w:rsidR="00746D3C" w:rsidRPr="000B7089" w:rsidRDefault="00746D3C" w:rsidP="007B3372">
            <w:pPr>
              <w:jc w:val="right"/>
              <w:rPr>
                <w:b/>
                <w:bCs/>
                <w:iCs/>
              </w:rPr>
            </w:pPr>
            <w:r w:rsidRPr="000B7089">
              <w:rPr>
                <w:b/>
                <w:bCs/>
                <w:iCs/>
              </w:rPr>
              <w:t>566</w:t>
            </w:r>
            <w:r>
              <w:rPr>
                <w:b/>
                <w:bCs/>
                <w:iCs/>
              </w:rPr>
              <w:t xml:space="preserve"> </w:t>
            </w:r>
            <w:r w:rsidRPr="000B7089">
              <w:rPr>
                <w:b/>
                <w:bCs/>
                <w:iCs/>
              </w:rPr>
              <w:t>338</w:t>
            </w:r>
          </w:p>
        </w:tc>
        <w:tc>
          <w:tcPr>
            <w:tcW w:w="1520" w:type="dxa"/>
            <w:noWrap/>
            <w:vAlign w:val="center"/>
          </w:tcPr>
          <w:p w14:paraId="736B167C" w14:textId="77777777" w:rsidR="00746D3C" w:rsidRPr="000B7089" w:rsidRDefault="00746D3C" w:rsidP="007B3372">
            <w:pPr>
              <w:jc w:val="right"/>
              <w:rPr>
                <w:b/>
                <w:bCs/>
                <w:iCs/>
              </w:rPr>
            </w:pPr>
            <w:r>
              <w:rPr>
                <w:b/>
                <w:bCs/>
                <w:iCs/>
              </w:rPr>
              <w:t>11 227 861</w:t>
            </w:r>
          </w:p>
        </w:tc>
        <w:tc>
          <w:tcPr>
            <w:tcW w:w="1267" w:type="dxa"/>
            <w:noWrap/>
            <w:vAlign w:val="center"/>
          </w:tcPr>
          <w:p w14:paraId="6E4A8FE0" w14:textId="77777777" w:rsidR="00746D3C" w:rsidRPr="007B7470" w:rsidRDefault="00746D3C" w:rsidP="007B3372">
            <w:pPr>
              <w:jc w:val="right"/>
              <w:rPr>
                <w:b/>
                <w:bCs/>
                <w:iCs/>
              </w:rPr>
            </w:pPr>
            <w:r>
              <w:rPr>
                <w:b/>
                <w:bCs/>
                <w:iCs/>
              </w:rPr>
              <w:t>2 369 262</w:t>
            </w:r>
          </w:p>
        </w:tc>
        <w:tc>
          <w:tcPr>
            <w:tcW w:w="1267" w:type="dxa"/>
            <w:noWrap/>
            <w:vAlign w:val="center"/>
          </w:tcPr>
          <w:p w14:paraId="3D7E75E4" w14:textId="77777777" w:rsidR="00746D3C" w:rsidRPr="007B7470" w:rsidRDefault="00746D3C" w:rsidP="007B3372">
            <w:pPr>
              <w:jc w:val="right"/>
              <w:rPr>
                <w:b/>
                <w:bCs/>
                <w:iCs/>
              </w:rPr>
            </w:pPr>
            <w:r>
              <w:rPr>
                <w:b/>
                <w:bCs/>
                <w:iCs/>
              </w:rPr>
              <w:t>2 369 262</w:t>
            </w:r>
          </w:p>
        </w:tc>
      </w:tr>
      <w:tr w:rsidR="00746D3C" w:rsidRPr="007B7470" w14:paraId="714F14EB" w14:textId="77777777" w:rsidTr="007B3372">
        <w:trPr>
          <w:trHeight w:val="70"/>
          <w:jc w:val="center"/>
        </w:trPr>
        <w:tc>
          <w:tcPr>
            <w:tcW w:w="4661" w:type="dxa"/>
            <w:noWrap/>
            <w:vAlign w:val="center"/>
          </w:tcPr>
          <w:p w14:paraId="6691B660" w14:textId="77777777" w:rsidR="00746D3C" w:rsidRPr="007B7470" w:rsidRDefault="00746D3C" w:rsidP="007B3372">
            <w:pPr>
              <w:ind w:left="259"/>
              <w:rPr>
                <w:b/>
                <w:bCs/>
                <w:i/>
                <w:iCs/>
              </w:rPr>
            </w:pPr>
            <w:r w:rsidRPr="007B7470">
              <w:rPr>
                <w:bCs/>
                <w:i/>
                <w:iCs/>
              </w:rPr>
              <w:t>Rozpočtové prostriedky</w:t>
            </w:r>
          </w:p>
        </w:tc>
        <w:tc>
          <w:tcPr>
            <w:tcW w:w="1267" w:type="dxa"/>
            <w:noWrap/>
            <w:vAlign w:val="center"/>
          </w:tcPr>
          <w:p w14:paraId="7F0E74A3" w14:textId="77777777" w:rsidR="00746D3C" w:rsidRPr="00D0769B" w:rsidRDefault="00746D3C" w:rsidP="007B3372">
            <w:pPr>
              <w:jc w:val="right"/>
              <w:rPr>
                <w:iCs/>
              </w:rPr>
            </w:pPr>
            <w:r w:rsidRPr="00D0769B">
              <w:rPr>
                <w:iCs/>
              </w:rPr>
              <w:t>566 338</w:t>
            </w:r>
          </w:p>
        </w:tc>
        <w:tc>
          <w:tcPr>
            <w:tcW w:w="1520" w:type="dxa"/>
            <w:noWrap/>
            <w:vAlign w:val="center"/>
          </w:tcPr>
          <w:p w14:paraId="689D8367" w14:textId="77777777" w:rsidR="00746D3C" w:rsidRPr="00D0769B" w:rsidRDefault="00746D3C" w:rsidP="007B3372">
            <w:pPr>
              <w:jc w:val="right"/>
              <w:rPr>
                <w:iCs/>
              </w:rPr>
            </w:pPr>
            <w:r>
              <w:rPr>
                <w:iCs/>
              </w:rPr>
              <w:t>11 227 861</w:t>
            </w:r>
          </w:p>
        </w:tc>
        <w:tc>
          <w:tcPr>
            <w:tcW w:w="1267" w:type="dxa"/>
            <w:noWrap/>
            <w:vAlign w:val="center"/>
          </w:tcPr>
          <w:p w14:paraId="7DC6FFB9" w14:textId="77777777" w:rsidR="00746D3C" w:rsidRPr="00D0769B" w:rsidRDefault="00746D3C" w:rsidP="007B3372">
            <w:pPr>
              <w:jc w:val="right"/>
              <w:rPr>
                <w:iCs/>
              </w:rPr>
            </w:pPr>
            <w:r>
              <w:rPr>
                <w:iCs/>
              </w:rPr>
              <w:t>2 369 262</w:t>
            </w:r>
          </w:p>
        </w:tc>
        <w:tc>
          <w:tcPr>
            <w:tcW w:w="1267" w:type="dxa"/>
            <w:noWrap/>
            <w:vAlign w:val="center"/>
          </w:tcPr>
          <w:p w14:paraId="564D5F55" w14:textId="77777777" w:rsidR="00746D3C" w:rsidRPr="00D0769B" w:rsidRDefault="00746D3C" w:rsidP="007B3372">
            <w:pPr>
              <w:jc w:val="right"/>
              <w:rPr>
                <w:iCs/>
              </w:rPr>
            </w:pPr>
            <w:r>
              <w:rPr>
                <w:iCs/>
              </w:rPr>
              <w:t>2 369 262</w:t>
            </w:r>
          </w:p>
        </w:tc>
      </w:tr>
      <w:tr w:rsidR="00746D3C" w:rsidRPr="007B7470" w14:paraId="048CAC94" w14:textId="77777777" w:rsidTr="007B3372">
        <w:trPr>
          <w:trHeight w:val="70"/>
          <w:jc w:val="center"/>
        </w:trPr>
        <w:tc>
          <w:tcPr>
            <w:tcW w:w="4661" w:type="dxa"/>
            <w:noWrap/>
            <w:vAlign w:val="center"/>
          </w:tcPr>
          <w:p w14:paraId="01E281CC" w14:textId="77777777" w:rsidR="00746D3C" w:rsidRPr="007B7470" w:rsidRDefault="00746D3C" w:rsidP="007B3372">
            <w:pPr>
              <w:rPr>
                <w:bCs/>
                <w:i/>
                <w:iCs/>
              </w:rPr>
            </w:pPr>
            <w:r w:rsidRPr="007B7470">
              <w:rPr>
                <w:bCs/>
                <w:i/>
                <w:iCs/>
              </w:rPr>
              <w:t xml:space="preserve">    EÚ zdroje</w:t>
            </w:r>
          </w:p>
        </w:tc>
        <w:tc>
          <w:tcPr>
            <w:tcW w:w="1267" w:type="dxa"/>
            <w:noWrap/>
            <w:vAlign w:val="center"/>
          </w:tcPr>
          <w:p w14:paraId="699A1D7D" w14:textId="77777777" w:rsidR="00746D3C" w:rsidRPr="007B7470" w:rsidRDefault="00746D3C" w:rsidP="007B3372">
            <w:pPr>
              <w:jc w:val="right"/>
            </w:pPr>
            <w:r w:rsidRPr="007B7470">
              <w:t>0</w:t>
            </w:r>
          </w:p>
        </w:tc>
        <w:tc>
          <w:tcPr>
            <w:tcW w:w="1520" w:type="dxa"/>
            <w:noWrap/>
            <w:vAlign w:val="center"/>
          </w:tcPr>
          <w:p w14:paraId="586A2EF6" w14:textId="77777777" w:rsidR="00746D3C" w:rsidRPr="007B7470" w:rsidRDefault="00746D3C" w:rsidP="007B3372">
            <w:pPr>
              <w:jc w:val="right"/>
            </w:pPr>
            <w:r w:rsidRPr="007B7470">
              <w:t>0</w:t>
            </w:r>
          </w:p>
        </w:tc>
        <w:tc>
          <w:tcPr>
            <w:tcW w:w="1267" w:type="dxa"/>
            <w:noWrap/>
            <w:vAlign w:val="center"/>
          </w:tcPr>
          <w:p w14:paraId="7C986915" w14:textId="77777777" w:rsidR="00746D3C" w:rsidRPr="007B7470" w:rsidRDefault="00746D3C" w:rsidP="007B3372">
            <w:pPr>
              <w:jc w:val="right"/>
            </w:pPr>
            <w:r w:rsidRPr="007B7470">
              <w:t>0</w:t>
            </w:r>
          </w:p>
        </w:tc>
        <w:tc>
          <w:tcPr>
            <w:tcW w:w="1267" w:type="dxa"/>
            <w:noWrap/>
            <w:vAlign w:val="center"/>
          </w:tcPr>
          <w:p w14:paraId="7E044309" w14:textId="77777777" w:rsidR="00746D3C" w:rsidRPr="007B7470" w:rsidRDefault="00746D3C" w:rsidP="007B3372">
            <w:pPr>
              <w:jc w:val="right"/>
            </w:pPr>
            <w:r w:rsidRPr="007B7470">
              <w:t>0</w:t>
            </w:r>
          </w:p>
        </w:tc>
      </w:tr>
      <w:tr w:rsidR="00746D3C" w:rsidRPr="007B7470" w14:paraId="4FFECEF0" w14:textId="77777777" w:rsidTr="007B3372">
        <w:trPr>
          <w:trHeight w:val="70"/>
          <w:jc w:val="center"/>
        </w:trPr>
        <w:tc>
          <w:tcPr>
            <w:tcW w:w="4661" w:type="dxa"/>
            <w:noWrap/>
            <w:vAlign w:val="center"/>
          </w:tcPr>
          <w:p w14:paraId="23C56A6E" w14:textId="77777777" w:rsidR="00746D3C" w:rsidRPr="007B7470" w:rsidRDefault="00746D3C" w:rsidP="007B3372">
            <w:pPr>
              <w:rPr>
                <w:bCs/>
                <w:i/>
                <w:iCs/>
              </w:rPr>
            </w:pPr>
            <w:r w:rsidRPr="007B7470">
              <w:rPr>
                <w:bCs/>
                <w:i/>
                <w:iCs/>
              </w:rPr>
              <w:t xml:space="preserve">    spolufinancovanie</w:t>
            </w:r>
          </w:p>
        </w:tc>
        <w:tc>
          <w:tcPr>
            <w:tcW w:w="1267" w:type="dxa"/>
            <w:noWrap/>
            <w:vAlign w:val="center"/>
          </w:tcPr>
          <w:p w14:paraId="6790CE6F" w14:textId="77777777" w:rsidR="00746D3C" w:rsidRPr="007B7470" w:rsidRDefault="00746D3C" w:rsidP="007B3372">
            <w:pPr>
              <w:jc w:val="right"/>
            </w:pPr>
            <w:r w:rsidRPr="007B7470">
              <w:t>0</w:t>
            </w:r>
          </w:p>
        </w:tc>
        <w:tc>
          <w:tcPr>
            <w:tcW w:w="1520" w:type="dxa"/>
            <w:noWrap/>
            <w:vAlign w:val="center"/>
          </w:tcPr>
          <w:p w14:paraId="394C5550" w14:textId="77777777" w:rsidR="00746D3C" w:rsidRPr="007B7470" w:rsidRDefault="00746D3C" w:rsidP="007B3372">
            <w:pPr>
              <w:jc w:val="right"/>
            </w:pPr>
            <w:r w:rsidRPr="007B7470">
              <w:t>0</w:t>
            </w:r>
          </w:p>
        </w:tc>
        <w:tc>
          <w:tcPr>
            <w:tcW w:w="1267" w:type="dxa"/>
            <w:noWrap/>
            <w:vAlign w:val="center"/>
          </w:tcPr>
          <w:p w14:paraId="4071A180" w14:textId="77777777" w:rsidR="00746D3C" w:rsidRPr="007B7470" w:rsidRDefault="00746D3C" w:rsidP="007B3372">
            <w:pPr>
              <w:jc w:val="right"/>
            </w:pPr>
            <w:r w:rsidRPr="007B7470">
              <w:t>0</w:t>
            </w:r>
          </w:p>
        </w:tc>
        <w:tc>
          <w:tcPr>
            <w:tcW w:w="1267" w:type="dxa"/>
            <w:noWrap/>
            <w:vAlign w:val="center"/>
          </w:tcPr>
          <w:p w14:paraId="624D7142" w14:textId="77777777" w:rsidR="00746D3C" w:rsidRPr="007B7470" w:rsidRDefault="00746D3C" w:rsidP="007B3372">
            <w:pPr>
              <w:jc w:val="right"/>
            </w:pPr>
            <w:r w:rsidRPr="007B7470">
              <w:t>0</w:t>
            </w:r>
          </w:p>
        </w:tc>
      </w:tr>
      <w:tr w:rsidR="00746D3C" w:rsidRPr="007B7470" w14:paraId="5C88EF26" w14:textId="77777777" w:rsidTr="007B3372">
        <w:trPr>
          <w:trHeight w:val="125"/>
          <w:jc w:val="center"/>
        </w:trPr>
        <w:tc>
          <w:tcPr>
            <w:tcW w:w="4661" w:type="dxa"/>
            <w:noWrap/>
            <w:vAlign w:val="center"/>
          </w:tcPr>
          <w:p w14:paraId="7D559E7B" w14:textId="77777777" w:rsidR="00746D3C" w:rsidRPr="007B7470" w:rsidRDefault="00746D3C" w:rsidP="007B3372">
            <w:pPr>
              <w:rPr>
                <w:b/>
                <w:bCs/>
                <w:i/>
                <w:iCs/>
              </w:rPr>
            </w:pPr>
            <w:r w:rsidRPr="007B7470">
              <w:rPr>
                <w:b/>
                <w:bCs/>
                <w:i/>
                <w:iCs/>
              </w:rPr>
              <w:t>- vplyv na obce</w:t>
            </w:r>
          </w:p>
        </w:tc>
        <w:tc>
          <w:tcPr>
            <w:tcW w:w="1267" w:type="dxa"/>
            <w:noWrap/>
            <w:vAlign w:val="center"/>
          </w:tcPr>
          <w:p w14:paraId="58ADD7F5" w14:textId="77777777" w:rsidR="00746D3C" w:rsidRPr="007B7470" w:rsidRDefault="00746D3C" w:rsidP="007B3372">
            <w:pPr>
              <w:jc w:val="right"/>
              <w:rPr>
                <w:b/>
                <w:bCs/>
                <w:iCs/>
              </w:rPr>
            </w:pPr>
            <w:r w:rsidRPr="007B7470">
              <w:rPr>
                <w:b/>
                <w:bCs/>
                <w:iCs/>
              </w:rPr>
              <w:t>0</w:t>
            </w:r>
          </w:p>
        </w:tc>
        <w:tc>
          <w:tcPr>
            <w:tcW w:w="1520" w:type="dxa"/>
            <w:noWrap/>
            <w:vAlign w:val="center"/>
          </w:tcPr>
          <w:p w14:paraId="2042B4D6" w14:textId="77777777" w:rsidR="00746D3C" w:rsidRPr="007B7470" w:rsidRDefault="00746D3C" w:rsidP="007B3372">
            <w:pPr>
              <w:jc w:val="right"/>
              <w:rPr>
                <w:b/>
                <w:bCs/>
                <w:iCs/>
              </w:rPr>
            </w:pPr>
            <w:r w:rsidRPr="007B7470">
              <w:rPr>
                <w:b/>
                <w:bCs/>
                <w:iCs/>
              </w:rPr>
              <w:t>0</w:t>
            </w:r>
          </w:p>
        </w:tc>
        <w:tc>
          <w:tcPr>
            <w:tcW w:w="1267" w:type="dxa"/>
            <w:noWrap/>
            <w:vAlign w:val="center"/>
          </w:tcPr>
          <w:p w14:paraId="3A203F9F" w14:textId="77777777" w:rsidR="00746D3C" w:rsidRPr="007B7470" w:rsidRDefault="00746D3C" w:rsidP="007B3372">
            <w:pPr>
              <w:jc w:val="right"/>
              <w:rPr>
                <w:b/>
                <w:bCs/>
                <w:iCs/>
              </w:rPr>
            </w:pPr>
            <w:r w:rsidRPr="007B7470">
              <w:rPr>
                <w:b/>
                <w:bCs/>
                <w:iCs/>
              </w:rPr>
              <w:t>0</w:t>
            </w:r>
          </w:p>
        </w:tc>
        <w:tc>
          <w:tcPr>
            <w:tcW w:w="1267" w:type="dxa"/>
            <w:noWrap/>
            <w:vAlign w:val="center"/>
          </w:tcPr>
          <w:p w14:paraId="0235945A" w14:textId="77777777" w:rsidR="00746D3C" w:rsidRPr="007B7470" w:rsidRDefault="00746D3C" w:rsidP="007B3372">
            <w:pPr>
              <w:jc w:val="right"/>
              <w:rPr>
                <w:b/>
                <w:bCs/>
                <w:iCs/>
              </w:rPr>
            </w:pPr>
            <w:r w:rsidRPr="007B7470">
              <w:rPr>
                <w:b/>
                <w:bCs/>
                <w:iCs/>
              </w:rPr>
              <w:t>0</w:t>
            </w:r>
          </w:p>
        </w:tc>
      </w:tr>
      <w:tr w:rsidR="00746D3C" w:rsidRPr="007B7470" w14:paraId="040DC373" w14:textId="77777777" w:rsidTr="007B3372">
        <w:trPr>
          <w:trHeight w:val="125"/>
          <w:jc w:val="center"/>
        </w:trPr>
        <w:tc>
          <w:tcPr>
            <w:tcW w:w="4661" w:type="dxa"/>
            <w:noWrap/>
            <w:vAlign w:val="center"/>
          </w:tcPr>
          <w:p w14:paraId="0C4B7654" w14:textId="77777777" w:rsidR="00746D3C" w:rsidRPr="007B7470" w:rsidRDefault="00746D3C" w:rsidP="007B3372">
            <w:pPr>
              <w:ind w:left="203"/>
              <w:rPr>
                <w:bCs/>
                <w:i/>
                <w:iCs/>
              </w:rPr>
            </w:pPr>
            <w:r w:rsidRPr="007B7470">
              <w:rPr>
                <w:bCs/>
                <w:i/>
                <w:iCs/>
              </w:rPr>
              <w:t xml:space="preserve">z toho vplyv nových úloh v zmysle ods. 2 Čl. 6 ústavného zákona č. 493/2011 Z. z. </w:t>
            </w:r>
          </w:p>
          <w:p w14:paraId="46071FC0" w14:textId="77777777" w:rsidR="00746D3C" w:rsidRPr="007B7470" w:rsidRDefault="00746D3C" w:rsidP="007B3372">
            <w:pPr>
              <w:ind w:left="203"/>
              <w:rPr>
                <w:b/>
                <w:bCs/>
                <w:i/>
                <w:iCs/>
              </w:rPr>
            </w:pPr>
            <w:r w:rsidRPr="007B7470">
              <w:rPr>
                <w:bCs/>
                <w:i/>
                <w:iCs/>
              </w:rPr>
              <w:t>o rozpočtovej zodpovednosti</w:t>
            </w:r>
          </w:p>
        </w:tc>
        <w:tc>
          <w:tcPr>
            <w:tcW w:w="1267" w:type="dxa"/>
            <w:noWrap/>
            <w:vAlign w:val="center"/>
          </w:tcPr>
          <w:p w14:paraId="1A59DB2C" w14:textId="77777777" w:rsidR="00746D3C" w:rsidRPr="007B7470" w:rsidRDefault="00746D3C" w:rsidP="007B3372">
            <w:pPr>
              <w:jc w:val="right"/>
            </w:pPr>
            <w:r w:rsidRPr="007B7470">
              <w:t>0</w:t>
            </w:r>
          </w:p>
        </w:tc>
        <w:tc>
          <w:tcPr>
            <w:tcW w:w="1520" w:type="dxa"/>
            <w:noWrap/>
            <w:vAlign w:val="center"/>
          </w:tcPr>
          <w:p w14:paraId="0439F956" w14:textId="77777777" w:rsidR="00746D3C" w:rsidRPr="007B7470" w:rsidRDefault="00746D3C" w:rsidP="007B3372">
            <w:pPr>
              <w:jc w:val="right"/>
            </w:pPr>
            <w:r w:rsidRPr="007B7470">
              <w:t>0</w:t>
            </w:r>
          </w:p>
        </w:tc>
        <w:tc>
          <w:tcPr>
            <w:tcW w:w="1267" w:type="dxa"/>
            <w:noWrap/>
            <w:vAlign w:val="center"/>
          </w:tcPr>
          <w:p w14:paraId="3F1EFD42" w14:textId="77777777" w:rsidR="00746D3C" w:rsidRPr="007B7470" w:rsidRDefault="00746D3C" w:rsidP="007B3372">
            <w:pPr>
              <w:jc w:val="right"/>
            </w:pPr>
            <w:r w:rsidRPr="007B7470">
              <w:t>0</w:t>
            </w:r>
          </w:p>
        </w:tc>
        <w:tc>
          <w:tcPr>
            <w:tcW w:w="1267" w:type="dxa"/>
            <w:noWrap/>
            <w:vAlign w:val="center"/>
          </w:tcPr>
          <w:p w14:paraId="22E69C7A" w14:textId="77777777" w:rsidR="00746D3C" w:rsidRPr="007B7470" w:rsidRDefault="00746D3C" w:rsidP="007B3372">
            <w:pPr>
              <w:jc w:val="right"/>
            </w:pPr>
            <w:r w:rsidRPr="007B7470">
              <w:t>0</w:t>
            </w:r>
          </w:p>
        </w:tc>
      </w:tr>
      <w:tr w:rsidR="00746D3C" w:rsidRPr="007B7470" w14:paraId="4F63243D" w14:textId="77777777" w:rsidTr="007B3372">
        <w:trPr>
          <w:trHeight w:val="125"/>
          <w:jc w:val="center"/>
        </w:trPr>
        <w:tc>
          <w:tcPr>
            <w:tcW w:w="4661" w:type="dxa"/>
            <w:noWrap/>
            <w:vAlign w:val="center"/>
          </w:tcPr>
          <w:p w14:paraId="1F0FBF10" w14:textId="77777777" w:rsidR="00746D3C" w:rsidRPr="007B7470" w:rsidRDefault="00746D3C" w:rsidP="007B3372">
            <w:pPr>
              <w:rPr>
                <w:b/>
                <w:bCs/>
                <w:i/>
                <w:iCs/>
              </w:rPr>
            </w:pPr>
            <w:r w:rsidRPr="007B7470">
              <w:rPr>
                <w:b/>
                <w:bCs/>
                <w:i/>
                <w:iCs/>
              </w:rPr>
              <w:t>- vplyv na vyššie územné celky</w:t>
            </w:r>
          </w:p>
        </w:tc>
        <w:tc>
          <w:tcPr>
            <w:tcW w:w="1267" w:type="dxa"/>
            <w:noWrap/>
            <w:vAlign w:val="center"/>
          </w:tcPr>
          <w:p w14:paraId="3A2189B3" w14:textId="77777777" w:rsidR="00746D3C" w:rsidRPr="007B7470" w:rsidRDefault="00746D3C" w:rsidP="007B3372">
            <w:pPr>
              <w:jc w:val="right"/>
              <w:rPr>
                <w:b/>
                <w:bCs/>
                <w:iCs/>
              </w:rPr>
            </w:pPr>
            <w:r w:rsidRPr="007B7470">
              <w:rPr>
                <w:b/>
                <w:bCs/>
                <w:iCs/>
              </w:rPr>
              <w:t>0</w:t>
            </w:r>
          </w:p>
        </w:tc>
        <w:tc>
          <w:tcPr>
            <w:tcW w:w="1520" w:type="dxa"/>
            <w:noWrap/>
            <w:vAlign w:val="center"/>
          </w:tcPr>
          <w:p w14:paraId="33AC7D68" w14:textId="77777777" w:rsidR="00746D3C" w:rsidRPr="007B7470" w:rsidRDefault="00746D3C" w:rsidP="007B3372">
            <w:pPr>
              <w:jc w:val="right"/>
              <w:rPr>
                <w:b/>
                <w:bCs/>
                <w:iCs/>
              </w:rPr>
            </w:pPr>
            <w:r w:rsidRPr="007B7470">
              <w:rPr>
                <w:b/>
                <w:bCs/>
                <w:iCs/>
              </w:rPr>
              <w:t>0</w:t>
            </w:r>
          </w:p>
        </w:tc>
        <w:tc>
          <w:tcPr>
            <w:tcW w:w="1267" w:type="dxa"/>
            <w:noWrap/>
            <w:vAlign w:val="center"/>
          </w:tcPr>
          <w:p w14:paraId="7B53CF67" w14:textId="77777777" w:rsidR="00746D3C" w:rsidRPr="007B7470" w:rsidRDefault="00746D3C" w:rsidP="007B3372">
            <w:pPr>
              <w:jc w:val="right"/>
              <w:rPr>
                <w:b/>
                <w:bCs/>
                <w:iCs/>
              </w:rPr>
            </w:pPr>
            <w:r w:rsidRPr="007B7470">
              <w:rPr>
                <w:b/>
                <w:bCs/>
                <w:iCs/>
              </w:rPr>
              <w:t>0</w:t>
            </w:r>
          </w:p>
        </w:tc>
        <w:tc>
          <w:tcPr>
            <w:tcW w:w="1267" w:type="dxa"/>
            <w:noWrap/>
            <w:vAlign w:val="center"/>
          </w:tcPr>
          <w:p w14:paraId="59488D57" w14:textId="77777777" w:rsidR="00746D3C" w:rsidRPr="007B7470" w:rsidRDefault="00746D3C" w:rsidP="007B3372">
            <w:pPr>
              <w:jc w:val="right"/>
              <w:rPr>
                <w:b/>
                <w:bCs/>
                <w:iCs/>
              </w:rPr>
            </w:pPr>
            <w:r w:rsidRPr="007B7470">
              <w:rPr>
                <w:b/>
                <w:bCs/>
                <w:iCs/>
              </w:rPr>
              <w:t>0</w:t>
            </w:r>
          </w:p>
        </w:tc>
      </w:tr>
      <w:tr w:rsidR="00746D3C" w:rsidRPr="007B7470" w14:paraId="5A803A85" w14:textId="77777777" w:rsidTr="007B3372">
        <w:trPr>
          <w:trHeight w:val="125"/>
          <w:jc w:val="center"/>
        </w:trPr>
        <w:tc>
          <w:tcPr>
            <w:tcW w:w="4661" w:type="dxa"/>
            <w:noWrap/>
            <w:vAlign w:val="center"/>
          </w:tcPr>
          <w:p w14:paraId="297205A3" w14:textId="77777777" w:rsidR="00746D3C" w:rsidRPr="007B7470" w:rsidRDefault="00746D3C" w:rsidP="007B3372">
            <w:pPr>
              <w:ind w:left="203"/>
              <w:rPr>
                <w:bCs/>
                <w:i/>
                <w:iCs/>
              </w:rPr>
            </w:pPr>
            <w:r w:rsidRPr="007B7470">
              <w:rPr>
                <w:bCs/>
                <w:i/>
                <w:iCs/>
              </w:rPr>
              <w:t xml:space="preserve">z toho vplyv nových úloh v zmysle ods. 2 Čl. 6 ústavného zákona č. 493/2011 Z. z. </w:t>
            </w:r>
          </w:p>
          <w:p w14:paraId="164F1103" w14:textId="77777777" w:rsidR="00746D3C" w:rsidRPr="007B7470" w:rsidRDefault="00746D3C" w:rsidP="007B3372">
            <w:pPr>
              <w:ind w:left="203"/>
              <w:rPr>
                <w:b/>
                <w:bCs/>
                <w:i/>
                <w:iCs/>
              </w:rPr>
            </w:pPr>
            <w:r w:rsidRPr="007B7470">
              <w:rPr>
                <w:bCs/>
                <w:i/>
                <w:iCs/>
              </w:rPr>
              <w:t>o rozpočtovej zodpovednosti</w:t>
            </w:r>
          </w:p>
        </w:tc>
        <w:tc>
          <w:tcPr>
            <w:tcW w:w="1267" w:type="dxa"/>
            <w:noWrap/>
            <w:vAlign w:val="center"/>
          </w:tcPr>
          <w:p w14:paraId="724C6EE9" w14:textId="77777777" w:rsidR="00746D3C" w:rsidRPr="007B7470" w:rsidRDefault="00746D3C" w:rsidP="007B3372">
            <w:pPr>
              <w:jc w:val="right"/>
            </w:pPr>
            <w:r w:rsidRPr="007B7470">
              <w:t>0</w:t>
            </w:r>
          </w:p>
        </w:tc>
        <w:tc>
          <w:tcPr>
            <w:tcW w:w="1520" w:type="dxa"/>
            <w:noWrap/>
            <w:vAlign w:val="center"/>
          </w:tcPr>
          <w:p w14:paraId="7947E424" w14:textId="77777777" w:rsidR="00746D3C" w:rsidRPr="007B7470" w:rsidRDefault="00746D3C" w:rsidP="007B3372">
            <w:pPr>
              <w:jc w:val="right"/>
            </w:pPr>
            <w:r w:rsidRPr="007B7470">
              <w:t>0</w:t>
            </w:r>
          </w:p>
        </w:tc>
        <w:tc>
          <w:tcPr>
            <w:tcW w:w="1267" w:type="dxa"/>
            <w:noWrap/>
            <w:vAlign w:val="center"/>
          </w:tcPr>
          <w:p w14:paraId="560830E3" w14:textId="77777777" w:rsidR="00746D3C" w:rsidRPr="007B7470" w:rsidRDefault="00746D3C" w:rsidP="007B3372">
            <w:pPr>
              <w:jc w:val="right"/>
            </w:pPr>
            <w:r w:rsidRPr="007B7470">
              <w:t>0</w:t>
            </w:r>
          </w:p>
        </w:tc>
        <w:tc>
          <w:tcPr>
            <w:tcW w:w="1267" w:type="dxa"/>
            <w:noWrap/>
            <w:vAlign w:val="center"/>
          </w:tcPr>
          <w:p w14:paraId="13485F64" w14:textId="77777777" w:rsidR="00746D3C" w:rsidRPr="007B7470" w:rsidRDefault="00746D3C" w:rsidP="007B3372">
            <w:pPr>
              <w:jc w:val="right"/>
            </w:pPr>
            <w:r w:rsidRPr="007B7470">
              <w:t>0</w:t>
            </w:r>
          </w:p>
        </w:tc>
      </w:tr>
      <w:tr w:rsidR="00746D3C" w:rsidRPr="007B7470" w14:paraId="3DFEAE46" w14:textId="77777777" w:rsidTr="007B3372">
        <w:trPr>
          <w:trHeight w:val="70"/>
          <w:jc w:val="center"/>
        </w:trPr>
        <w:tc>
          <w:tcPr>
            <w:tcW w:w="4661" w:type="dxa"/>
            <w:noWrap/>
            <w:vAlign w:val="center"/>
          </w:tcPr>
          <w:p w14:paraId="0451ED31" w14:textId="77777777" w:rsidR="00746D3C" w:rsidRPr="007B7470" w:rsidRDefault="00746D3C" w:rsidP="007B3372">
            <w:pPr>
              <w:rPr>
                <w:b/>
                <w:bCs/>
              </w:rPr>
            </w:pPr>
            <w:r w:rsidRPr="007B7470">
              <w:rPr>
                <w:b/>
                <w:bCs/>
                <w:i/>
                <w:iCs/>
              </w:rPr>
              <w:t>- vplyv na ostatné subjekty verejnej správy</w:t>
            </w:r>
          </w:p>
        </w:tc>
        <w:tc>
          <w:tcPr>
            <w:tcW w:w="1267" w:type="dxa"/>
            <w:noWrap/>
            <w:vAlign w:val="center"/>
          </w:tcPr>
          <w:p w14:paraId="5605215A" w14:textId="77777777" w:rsidR="00746D3C" w:rsidRPr="007B7470" w:rsidRDefault="00746D3C" w:rsidP="007B3372">
            <w:pPr>
              <w:jc w:val="right"/>
              <w:rPr>
                <w:b/>
                <w:bCs/>
                <w:iCs/>
              </w:rPr>
            </w:pPr>
            <w:r w:rsidRPr="007B7470">
              <w:rPr>
                <w:b/>
                <w:bCs/>
                <w:iCs/>
              </w:rPr>
              <w:t>0</w:t>
            </w:r>
          </w:p>
        </w:tc>
        <w:tc>
          <w:tcPr>
            <w:tcW w:w="1520" w:type="dxa"/>
            <w:noWrap/>
            <w:vAlign w:val="center"/>
          </w:tcPr>
          <w:p w14:paraId="1DDD6E83" w14:textId="77777777" w:rsidR="00746D3C" w:rsidRPr="007B7470" w:rsidRDefault="00746D3C" w:rsidP="007B3372">
            <w:pPr>
              <w:jc w:val="right"/>
              <w:rPr>
                <w:b/>
                <w:bCs/>
                <w:iCs/>
              </w:rPr>
            </w:pPr>
            <w:r w:rsidRPr="007B7470">
              <w:rPr>
                <w:b/>
                <w:bCs/>
                <w:iCs/>
              </w:rPr>
              <w:t>0</w:t>
            </w:r>
          </w:p>
        </w:tc>
        <w:tc>
          <w:tcPr>
            <w:tcW w:w="1267" w:type="dxa"/>
            <w:noWrap/>
            <w:vAlign w:val="center"/>
          </w:tcPr>
          <w:p w14:paraId="52E551E2" w14:textId="77777777" w:rsidR="00746D3C" w:rsidRPr="007B7470" w:rsidRDefault="00746D3C" w:rsidP="007B3372">
            <w:pPr>
              <w:jc w:val="right"/>
              <w:rPr>
                <w:b/>
                <w:bCs/>
                <w:iCs/>
              </w:rPr>
            </w:pPr>
            <w:r w:rsidRPr="007B7470">
              <w:rPr>
                <w:b/>
                <w:bCs/>
                <w:iCs/>
              </w:rPr>
              <w:t>0</w:t>
            </w:r>
          </w:p>
        </w:tc>
        <w:tc>
          <w:tcPr>
            <w:tcW w:w="1267" w:type="dxa"/>
            <w:noWrap/>
            <w:vAlign w:val="center"/>
          </w:tcPr>
          <w:p w14:paraId="42833114" w14:textId="77777777" w:rsidR="00746D3C" w:rsidRPr="007B7470" w:rsidRDefault="00746D3C" w:rsidP="007B3372">
            <w:pPr>
              <w:jc w:val="right"/>
              <w:rPr>
                <w:b/>
                <w:bCs/>
                <w:iCs/>
              </w:rPr>
            </w:pPr>
            <w:r w:rsidRPr="007B7470">
              <w:rPr>
                <w:b/>
                <w:bCs/>
                <w:iCs/>
              </w:rPr>
              <w:t>0</w:t>
            </w:r>
          </w:p>
        </w:tc>
      </w:tr>
      <w:tr w:rsidR="00746D3C" w:rsidRPr="007B7470" w14:paraId="4D630C04" w14:textId="77777777" w:rsidTr="007B3372">
        <w:trPr>
          <w:trHeight w:val="70"/>
          <w:jc w:val="center"/>
        </w:trPr>
        <w:tc>
          <w:tcPr>
            <w:tcW w:w="4661" w:type="dxa"/>
            <w:shd w:val="clear" w:color="auto" w:fill="BFBFBF" w:themeFill="background1" w:themeFillShade="BF"/>
            <w:noWrap/>
            <w:vAlign w:val="center"/>
          </w:tcPr>
          <w:p w14:paraId="6E707D62" w14:textId="77777777" w:rsidR="00746D3C" w:rsidRPr="007B7470" w:rsidRDefault="00746D3C" w:rsidP="007B3372">
            <w:pPr>
              <w:rPr>
                <w:b/>
                <w:bCs/>
              </w:rPr>
            </w:pPr>
            <w:r w:rsidRPr="007B7470">
              <w:rPr>
                <w:b/>
                <w:bCs/>
              </w:rPr>
              <w:t xml:space="preserve">Vplyv na počet zamestnancov </w:t>
            </w:r>
          </w:p>
        </w:tc>
        <w:tc>
          <w:tcPr>
            <w:tcW w:w="1267" w:type="dxa"/>
            <w:shd w:val="clear" w:color="auto" w:fill="BFBFBF" w:themeFill="background1" w:themeFillShade="BF"/>
            <w:noWrap/>
            <w:vAlign w:val="center"/>
          </w:tcPr>
          <w:p w14:paraId="6C86FD27" w14:textId="77777777" w:rsidR="00746D3C" w:rsidRPr="007B7470" w:rsidRDefault="00746D3C" w:rsidP="007B3372">
            <w:pPr>
              <w:jc w:val="right"/>
              <w:rPr>
                <w:b/>
                <w:bCs/>
              </w:rPr>
            </w:pPr>
            <w:r w:rsidRPr="007B7470">
              <w:rPr>
                <w:b/>
                <w:bCs/>
              </w:rPr>
              <w:t>0</w:t>
            </w:r>
          </w:p>
        </w:tc>
        <w:tc>
          <w:tcPr>
            <w:tcW w:w="1520" w:type="dxa"/>
            <w:shd w:val="clear" w:color="auto" w:fill="BFBFBF" w:themeFill="background1" w:themeFillShade="BF"/>
            <w:noWrap/>
            <w:vAlign w:val="center"/>
          </w:tcPr>
          <w:p w14:paraId="11AAB862" w14:textId="77777777" w:rsidR="00746D3C" w:rsidRPr="00A5146F" w:rsidRDefault="00746D3C" w:rsidP="007B3372">
            <w:pPr>
              <w:jc w:val="right"/>
              <w:rPr>
                <w:b/>
                <w:bCs/>
              </w:rPr>
            </w:pPr>
            <w:r w:rsidRPr="00A5146F">
              <w:rPr>
                <w:b/>
                <w:bCs/>
              </w:rPr>
              <w:t>6</w:t>
            </w:r>
          </w:p>
        </w:tc>
        <w:tc>
          <w:tcPr>
            <w:tcW w:w="1267" w:type="dxa"/>
            <w:shd w:val="clear" w:color="auto" w:fill="BFBFBF" w:themeFill="background1" w:themeFillShade="BF"/>
            <w:noWrap/>
            <w:vAlign w:val="center"/>
          </w:tcPr>
          <w:p w14:paraId="5D703AC7" w14:textId="77777777" w:rsidR="00746D3C" w:rsidRPr="00A5146F" w:rsidRDefault="00746D3C" w:rsidP="007B3372">
            <w:pPr>
              <w:jc w:val="right"/>
              <w:rPr>
                <w:b/>
                <w:bCs/>
              </w:rPr>
            </w:pPr>
            <w:r w:rsidRPr="00A5146F">
              <w:rPr>
                <w:b/>
                <w:bCs/>
              </w:rPr>
              <w:t>6</w:t>
            </w:r>
          </w:p>
        </w:tc>
        <w:tc>
          <w:tcPr>
            <w:tcW w:w="1267" w:type="dxa"/>
            <w:shd w:val="clear" w:color="auto" w:fill="BFBFBF" w:themeFill="background1" w:themeFillShade="BF"/>
            <w:noWrap/>
            <w:vAlign w:val="center"/>
          </w:tcPr>
          <w:p w14:paraId="358BC075" w14:textId="77777777" w:rsidR="00746D3C" w:rsidRPr="00A5146F" w:rsidRDefault="00746D3C" w:rsidP="007B3372">
            <w:pPr>
              <w:jc w:val="right"/>
              <w:rPr>
                <w:b/>
                <w:bCs/>
              </w:rPr>
            </w:pPr>
            <w:r w:rsidRPr="00A5146F">
              <w:rPr>
                <w:b/>
                <w:bCs/>
              </w:rPr>
              <w:t>6</w:t>
            </w:r>
          </w:p>
        </w:tc>
      </w:tr>
      <w:tr w:rsidR="00746D3C" w:rsidRPr="007B7470" w14:paraId="7B458503" w14:textId="77777777" w:rsidTr="007B3372">
        <w:trPr>
          <w:trHeight w:val="70"/>
          <w:jc w:val="center"/>
        </w:trPr>
        <w:tc>
          <w:tcPr>
            <w:tcW w:w="4661" w:type="dxa"/>
            <w:noWrap/>
            <w:vAlign w:val="center"/>
          </w:tcPr>
          <w:p w14:paraId="6BD0C22D" w14:textId="77777777" w:rsidR="00746D3C" w:rsidRPr="007B7470" w:rsidRDefault="00746D3C" w:rsidP="007B3372">
            <w:pPr>
              <w:rPr>
                <w:b/>
                <w:bCs/>
                <w:i/>
                <w:iCs/>
              </w:rPr>
            </w:pPr>
            <w:r w:rsidRPr="007B7470">
              <w:rPr>
                <w:b/>
                <w:bCs/>
                <w:i/>
                <w:iCs/>
              </w:rPr>
              <w:t>- vplyv na ŠR</w:t>
            </w:r>
          </w:p>
        </w:tc>
        <w:tc>
          <w:tcPr>
            <w:tcW w:w="1267" w:type="dxa"/>
            <w:noWrap/>
            <w:vAlign w:val="center"/>
          </w:tcPr>
          <w:p w14:paraId="42B6388D" w14:textId="77777777" w:rsidR="00746D3C" w:rsidRPr="007B7470" w:rsidRDefault="00746D3C" w:rsidP="007B3372">
            <w:pPr>
              <w:jc w:val="right"/>
              <w:rPr>
                <w:b/>
                <w:bCs/>
                <w:iCs/>
              </w:rPr>
            </w:pPr>
            <w:r w:rsidRPr="007B7470">
              <w:rPr>
                <w:b/>
                <w:bCs/>
                <w:iCs/>
              </w:rPr>
              <w:t>0</w:t>
            </w:r>
          </w:p>
        </w:tc>
        <w:tc>
          <w:tcPr>
            <w:tcW w:w="1520" w:type="dxa"/>
            <w:noWrap/>
            <w:vAlign w:val="center"/>
          </w:tcPr>
          <w:p w14:paraId="63A44AF8" w14:textId="77777777" w:rsidR="00746D3C" w:rsidRPr="00A5146F" w:rsidRDefault="00746D3C" w:rsidP="007B3372">
            <w:pPr>
              <w:jc w:val="right"/>
              <w:rPr>
                <w:b/>
                <w:bCs/>
                <w:iCs/>
              </w:rPr>
            </w:pPr>
            <w:r w:rsidRPr="00A5146F">
              <w:rPr>
                <w:b/>
                <w:bCs/>
                <w:iCs/>
              </w:rPr>
              <w:t>6</w:t>
            </w:r>
          </w:p>
        </w:tc>
        <w:tc>
          <w:tcPr>
            <w:tcW w:w="1267" w:type="dxa"/>
            <w:noWrap/>
            <w:vAlign w:val="center"/>
          </w:tcPr>
          <w:p w14:paraId="30DCEC74" w14:textId="77777777" w:rsidR="00746D3C" w:rsidRPr="00A5146F" w:rsidRDefault="00746D3C" w:rsidP="007B3372">
            <w:pPr>
              <w:jc w:val="right"/>
              <w:rPr>
                <w:b/>
                <w:bCs/>
                <w:iCs/>
              </w:rPr>
            </w:pPr>
            <w:r w:rsidRPr="00A5146F">
              <w:rPr>
                <w:b/>
                <w:bCs/>
                <w:iCs/>
              </w:rPr>
              <w:t>6</w:t>
            </w:r>
          </w:p>
        </w:tc>
        <w:tc>
          <w:tcPr>
            <w:tcW w:w="1267" w:type="dxa"/>
            <w:noWrap/>
            <w:vAlign w:val="center"/>
          </w:tcPr>
          <w:p w14:paraId="2667E83F" w14:textId="77777777" w:rsidR="00746D3C" w:rsidRPr="00A5146F" w:rsidRDefault="00746D3C" w:rsidP="007B3372">
            <w:pPr>
              <w:jc w:val="right"/>
              <w:rPr>
                <w:b/>
                <w:bCs/>
                <w:iCs/>
              </w:rPr>
            </w:pPr>
            <w:r w:rsidRPr="00A5146F">
              <w:rPr>
                <w:b/>
                <w:bCs/>
                <w:iCs/>
              </w:rPr>
              <w:t>6</w:t>
            </w:r>
          </w:p>
        </w:tc>
      </w:tr>
      <w:tr w:rsidR="00746D3C" w:rsidRPr="007B7470" w14:paraId="3A42F783" w14:textId="77777777" w:rsidTr="007B3372">
        <w:trPr>
          <w:trHeight w:val="70"/>
          <w:jc w:val="center"/>
        </w:trPr>
        <w:tc>
          <w:tcPr>
            <w:tcW w:w="4661" w:type="dxa"/>
            <w:noWrap/>
            <w:vAlign w:val="center"/>
          </w:tcPr>
          <w:p w14:paraId="350CB2E9" w14:textId="77777777" w:rsidR="00746D3C" w:rsidRPr="007B7470" w:rsidRDefault="00746D3C" w:rsidP="007B3372">
            <w:pPr>
              <w:rPr>
                <w:b/>
                <w:bCs/>
                <w:i/>
                <w:iCs/>
              </w:rPr>
            </w:pPr>
            <w:r w:rsidRPr="007B7470">
              <w:rPr>
                <w:b/>
                <w:bCs/>
                <w:i/>
                <w:iCs/>
              </w:rPr>
              <w:t>- vplyv na obce</w:t>
            </w:r>
          </w:p>
        </w:tc>
        <w:tc>
          <w:tcPr>
            <w:tcW w:w="1267" w:type="dxa"/>
            <w:noWrap/>
            <w:vAlign w:val="center"/>
          </w:tcPr>
          <w:p w14:paraId="433860FF" w14:textId="77777777" w:rsidR="00746D3C" w:rsidRPr="007B7470" w:rsidRDefault="00746D3C" w:rsidP="007B3372">
            <w:pPr>
              <w:jc w:val="right"/>
              <w:rPr>
                <w:b/>
                <w:bCs/>
                <w:iCs/>
              </w:rPr>
            </w:pPr>
            <w:r w:rsidRPr="007B7470">
              <w:rPr>
                <w:b/>
                <w:bCs/>
                <w:iCs/>
              </w:rPr>
              <w:t>0</w:t>
            </w:r>
          </w:p>
        </w:tc>
        <w:tc>
          <w:tcPr>
            <w:tcW w:w="1520" w:type="dxa"/>
            <w:noWrap/>
            <w:vAlign w:val="center"/>
          </w:tcPr>
          <w:p w14:paraId="64EDF3FF" w14:textId="77777777" w:rsidR="00746D3C" w:rsidRPr="00A5146F" w:rsidRDefault="00746D3C" w:rsidP="007B3372">
            <w:pPr>
              <w:jc w:val="right"/>
              <w:rPr>
                <w:b/>
                <w:bCs/>
                <w:iCs/>
              </w:rPr>
            </w:pPr>
            <w:r w:rsidRPr="00A5146F">
              <w:rPr>
                <w:b/>
                <w:bCs/>
                <w:iCs/>
              </w:rPr>
              <w:t>0</w:t>
            </w:r>
          </w:p>
        </w:tc>
        <w:tc>
          <w:tcPr>
            <w:tcW w:w="1267" w:type="dxa"/>
            <w:noWrap/>
            <w:vAlign w:val="center"/>
          </w:tcPr>
          <w:p w14:paraId="17B663EB" w14:textId="77777777" w:rsidR="00746D3C" w:rsidRPr="00A5146F" w:rsidRDefault="00746D3C" w:rsidP="007B3372">
            <w:pPr>
              <w:jc w:val="right"/>
              <w:rPr>
                <w:b/>
                <w:bCs/>
                <w:iCs/>
              </w:rPr>
            </w:pPr>
            <w:r w:rsidRPr="00A5146F">
              <w:rPr>
                <w:b/>
                <w:bCs/>
                <w:iCs/>
              </w:rPr>
              <w:t>0</w:t>
            </w:r>
          </w:p>
        </w:tc>
        <w:tc>
          <w:tcPr>
            <w:tcW w:w="1267" w:type="dxa"/>
            <w:noWrap/>
            <w:vAlign w:val="center"/>
          </w:tcPr>
          <w:p w14:paraId="4B23DF86" w14:textId="77777777" w:rsidR="00746D3C" w:rsidRPr="00A5146F" w:rsidRDefault="00746D3C" w:rsidP="007B3372">
            <w:pPr>
              <w:jc w:val="right"/>
              <w:rPr>
                <w:b/>
                <w:bCs/>
                <w:iCs/>
              </w:rPr>
            </w:pPr>
            <w:r w:rsidRPr="00A5146F">
              <w:rPr>
                <w:b/>
                <w:bCs/>
                <w:iCs/>
              </w:rPr>
              <w:t>0</w:t>
            </w:r>
          </w:p>
        </w:tc>
      </w:tr>
      <w:tr w:rsidR="00746D3C" w:rsidRPr="007B7470" w14:paraId="2D2DBA98" w14:textId="77777777" w:rsidTr="007B3372">
        <w:trPr>
          <w:trHeight w:val="70"/>
          <w:jc w:val="center"/>
        </w:trPr>
        <w:tc>
          <w:tcPr>
            <w:tcW w:w="4661" w:type="dxa"/>
            <w:noWrap/>
            <w:vAlign w:val="center"/>
          </w:tcPr>
          <w:p w14:paraId="361E42A5" w14:textId="77777777" w:rsidR="00746D3C" w:rsidRPr="007B7470" w:rsidRDefault="00746D3C" w:rsidP="007B3372">
            <w:pPr>
              <w:rPr>
                <w:b/>
                <w:bCs/>
                <w:i/>
                <w:iCs/>
              </w:rPr>
            </w:pPr>
            <w:r w:rsidRPr="007B7470">
              <w:rPr>
                <w:b/>
                <w:bCs/>
                <w:i/>
                <w:iCs/>
              </w:rPr>
              <w:t>- vplyv na vyššie územné celky</w:t>
            </w:r>
          </w:p>
        </w:tc>
        <w:tc>
          <w:tcPr>
            <w:tcW w:w="1267" w:type="dxa"/>
            <w:noWrap/>
            <w:vAlign w:val="center"/>
          </w:tcPr>
          <w:p w14:paraId="41EF768E" w14:textId="77777777" w:rsidR="00746D3C" w:rsidRPr="007B7470" w:rsidRDefault="00746D3C" w:rsidP="007B3372">
            <w:pPr>
              <w:jc w:val="right"/>
              <w:rPr>
                <w:b/>
                <w:bCs/>
                <w:iCs/>
              </w:rPr>
            </w:pPr>
            <w:r w:rsidRPr="007B7470">
              <w:rPr>
                <w:b/>
                <w:bCs/>
                <w:iCs/>
              </w:rPr>
              <w:t>0</w:t>
            </w:r>
          </w:p>
        </w:tc>
        <w:tc>
          <w:tcPr>
            <w:tcW w:w="1520" w:type="dxa"/>
            <w:noWrap/>
            <w:vAlign w:val="center"/>
          </w:tcPr>
          <w:p w14:paraId="1AA3EB6C" w14:textId="77777777" w:rsidR="00746D3C" w:rsidRPr="007B7470" w:rsidRDefault="00746D3C" w:rsidP="007B3372">
            <w:pPr>
              <w:jc w:val="right"/>
              <w:rPr>
                <w:b/>
                <w:bCs/>
                <w:iCs/>
              </w:rPr>
            </w:pPr>
            <w:r w:rsidRPr="007B7470">
              <w:rPr>
                <w:b/>
                <w:bCs/>
                <w:iCs/>
              </w:rPr>
              <w:t>0</w:t>
            </w:r>
          </w:p>
        </w:tc>
        <w:tc>
          <w:tcPr>
            <w:tcW w:w="1267" w:type="dxa"/>
            <w:noWrap/>
            <w:vAlign w:val="center"/>
          </w:tcPr>
          <w:p w14:paraId="1D8B4CCD" w14:textId="77777777" w:rsidR="00746D3C" w:rsidRPr="007B7470" w:rsidRDefault="00746D3C" w:rsidP="007B3372">
            <w:pPr>
              <w:jc w:val="right"/>
              <w:rPr>
                <w:b/>
                <w:bCs/>
                <w:iCs/>
              </w:rPr>
            </w:pPr>
            <w:r w:rsidRPr="007B7470">
              <w:rPr>
                <w:b/>
                <w:bCs/>
                <w:iCs/>
              </w:rPr>
              <w:t>0</w:t>
            </w:r>
          </w:p>
        </w:tc>
        <w:tc>
          <w:tcPr>
            <w:tcW w:w="1267" w:type="dxa"/>
            <w:noWrap/>
            <w:vAlign w:val="center"/>
          </w:tcPr>
          <w:p w14:paraId="040E21A7" w14:textId="77777777" w:rsidR="00746D3C" w:rsidRPr="007B7470" w:rsidRDefault="00746D3C" w:rsidP="007B3372">
            <w:pPr>
              <w:jc w:val="right"/>
              <w:rPr>
                <w:b/>
                <w:bCs/>
                <w:iCs/>
              </w:rPr>
            </w:pPr>
            <w:r w:rsidRPr="007B7470">
              <w:rPr>
                <w:b/>
                <w:bCs/>
                <w:iCs/>
              </w:rPr>
              <w:t>0</w:t>
            </w:r>
          </w:p>
        </w:tc>
      </w:tr>
      <w:tr w:rsidR="00746D3C" w:rsidRPr="007B7470" w14:paraId="7A0B81F6" w14:textId="77777777" w:rsidTr="007B3372">
        <w:trPr>
          <w:trHeight w:val="70"/>
          <w:jc w:val="center"/>
        </w:trPr>
        <w:tc>
          <w:tcPr>
            <w:tcW w:w="4661" w:type="dxa"/>
            <w:noWrap/>
            <w:vAlign w:val="center"/>
          </w:tcPr>
          <w:p w14:paraId="4E5C122A" w14:textId="77777777" w:rsidR="00746D3C" w:rsidRPr="007B7470" w:rsidRDefault="00746D3C" w:rsidP="007B3372">
            <w:pPr>
              <w:rPr>
                <w:b/>
                <w:bCs/>
                <w:i/>
                <w:iCs/>
              </w:rPr>
            </w:pPr>
            <w:r w:rsidRPr="007B7470">
              <w:rPr>
                <w:b/>
                <w:bCs/>
                <w:i/>
                <w:iCs/>
              </w:rPr>
              <w:t>- vplyv na ostatné subjekty verejnej správy</w:t>
            </w:r>
          </w:p>
        </w:tc>
        <w:tc>
          <w:tcPr>
            <w:tcW w:w="1267" w:type="dxa"/>
            <w:noWrap/>
            <w:vAlign w:val="center"/>
          </w:tcPr>
          <w:p w14:paraId="3D31B0E5" w14:textId="77777777" w:rsidR="00746D3C" w:rsidRPr="007B7470" w:rsidRDefault="00746D3C" w:rsidP="007B3372">
            <w:pPr>
              <w:jc w:val="right"/>
              <w:rPr>
                <w:b/>
                <w:bCs/>
                <w:iCs/>
              </w:rPr>
            </w:pPr>
            <w:r w:rsidRPr="007B7470">
              <w:rPr>
                <w:b/>
                <w:bCs/>
                <w:iCs/>
              </w:rPr>
              <w:t>0</w:t>
            </w:r>
          </w:p>
        </w:tc>
        <w:tc>
          <w:tcPr>
            <w:tcW w:w="1520" w:type="dxa"/>
            <w:noWrap/>
            <w:vAlign w:val="center"/>
          </w:tcPr>
          <w:p w14:paraId="365C20A7" w14:textId="77777777" w:rsidR="00746D3C" w:rsidRPr="007B7470" w:rsidRDefault="00746D3C" w:rsidP="007B3372">
            <w:pPr>
              <w:jc w:val="right"/>
              <w:rPr>
                <w:b/>
                <w:bCs/>
                <w:iCs/>
              </w:rPr>
            </w:pPr>
            <w:r w:rsidRPr="007B7470">
              <w:rPr>
                <w:b/>
                <w:bCs/>
                <w:iCs/>
              </w:rPr>
              <w:t>0</w:t>
            </w:r>
          </w:p>
        </w:tc>
        <w:tc>
          <w:tcPr>
            <w:tcW w:w="1267" w:type="dxa"/>
            <w:noWrap/>
            <w:vAlign w:val="center"/>
          </w:tcPr>
          <w:p w14:paraId="075D69E2" w14:textId="77777777" w:rsidR="00746D3C" w:rsidRPr="007B7470" w:rsidRDefault="00746D3C" w:rsidP="007B3372">
            <w:pPr>
              <w:jc w:val="right"/>
              <w:rPr>
                <w:b/>
                <w:bCs/>
                <w:iCs/>
              </w:rPr>
            </w:pPr>
            <w:r w:rsidRPr="007B7470">
              <w:rPr>
                <w:b/>
                <w:bCs/>
                <w:iCs/>
              </w:rPr>
              <w:t>0</w:t>
            </w:r>
          </w:p>
        </w:tc>
        <w:tc>
          <w:tcPr>
            <w:tcW w:w="1267" w:type="dxa"/>
            <w:noWrap/>
            <w:vAlign w:val="center"/>
          </w:tcPr>
          <w:p w14:paraId="25B3B3F5" w14:textId="77777777" w:rsidR="00746D3C" w:rsidRPr="007B7470" w:rsidRDefault="00746D3C" w:rsidP="007B3372">
            <w:pPr>
              <w:jc w:val="right"/>
              <w:rPr>
                <w:b/>
                <w:bCs/>
                <w:iCs/>
              </w:rPr>
            </w:pPr>
            <w:r w:rsidRPr="007B7470">
              <w:rPr>
                <w:b/>
                <w:bCs/>
                <w:iCs/>
              </w:rPr>
              <w:t>0</w:t>
            </w:r>
          </w:p>
        </w:tc>
      </w:tr>
      <w:tr w:rsidR="00746D3C" w:rsidRPr="007B7470" w14:paraId="0BAFB1C3" w14:textId="77777777" w:rsidTr="007B3372">
        <w:trPr>
          <w:trHeight w:val="70"/>
          <w:jc w:val="center"/>
        </w:trPr>
        <w:tc>
          <w:tcPr>
            <w:tcW w:w="4661" w:type="dxa"/>
            <w:shd w:val="clear" w:color="auto" w:fill="BFBFBF" w:themeFill="background1" w:themeFillShade="BF"/>
            <w:noWrap/>
            <w:vAlign w:val="center"/>
          </w:tcPr>
          <w:p w14:paraId="2685B0E8" w14:textId="77777777" w:rsidR="00746D3C" w:rsidRPr="007B7470" w:rsidRDefault="00746D3C" w:rsidP="007B3372">
            <w:pPr>
              <w:rPr>
                <w:b/>
              </w:rPr>
            </w:pPr>
            <w:r w:rsidRPr="007B7470">
              <w:rPr>
                <w:b/>
              </w:rPr>
              <w:t>Vplyv na mzdové výdavky</w:t>
            </w:r>
          </w:p>
        </w:tc>
        <w:tc>
          <w:tcPr>
            <w:tcW w:w="1267" w:type="dxa"/>
            <w:shd w:val="clear" w:color="auto" w:fill="BFBFBF" w:themeFill="background1" w:themeFillShade="BF"/>
            <w:noWrap/>
            <w:vAlign w:val="center"/>
          </w:tcPr>
          <w:p w14:paraId="71E0758B" w14:textId="77777777" w:rsidR="00746D3C" w:rsidRPr="007B7470" w:rsidRDefault="00746D3C" w:rsidP="007B3372">
            <w:pPr>
              <w:jc w:val="right"/>
              <w:rPr>
                <w:b/>
              </w:rPr>
            </w:pPr>
            <w:r w:rsidRPr="007B7470">
              <w:rPr>
                <w:b/>
              </w:rPr>
              <w:t>0</w:t>
            </w:r>
          </w:p>
        </w:tc>
        <w:tc>
          <w:tcPr>
            <w:tcW w:w="1520" w:type="dxa"/>
            <w:shd w:val="clear" w:color="auto" w:fill="BFBFBF" w:themeFill="background1" w:themeFillShade="BF"/>
            <w:noWrap/>
            <w:vAlign w:val="center"/>
          </w:tcPr>
          <w:p w14:paraId="4B0A375A" w14:textId="77777777" w:rsidR="00746D3C" w:rsidRPr="008E654A" w:rsidRDefault="00746D3C" w:rsidP="007B3372">
            <w:pPr>
              <w:jc w:val="right"/>
              <w:rPr>
                <w:b/>
              </w:rPr>
            </w:pPr>
            <w:r w:rsidRPr="008E654A">
              <w:rPr>
                <w:b/>
              </w:rPr>
              <w:t>194</w:t>
            </w:r>
            <w:r>
              <w:rPr>
                <w:b/>
              </w:rPr>
              <w:t xml:space="preserve"> </w:t>
            </w:r>
            <w:r w:rsidRPr="008E654A">
              <w:rPr>
                <w:b/>
              </w:rPr>
              <w:t>400</w:t>
            </w:r>
          </w:p>
        </w:tc>
        <w:tc>
          <w:tcPr>
            <w:tcW w:w="1267" w:type="dxa"/>
            <w:shd w:val="clear" w:color="auto" w:fill="BFBFBF" w:themeFill="background1" w:themeFillShade="BF"/>
            <w:noWrap/>
            <w:vAlign w:val="center"/>
          </w:tcPr>
          <w:p w14:paraId="61FA5A39" w14:textId="77777777" w:rsidR="00746D3C" w:rsidRPr="008E654A" w:rsidRDefault="00746D3C" w:rsidP="007B3372">
            <w:pPr>
              <w:jc w:val="right"/>
              <w:rPr>
                <w:b/>
              </w:rPr>
            </w:pPr>
            <w:r w:rsidRPr="008E654A">
              <w:rPr>
                <w:b/>
              </w:rPr>
              <w:t>194</w:t>
            </w:r>
            <w:r>
              <w:rPr>
                <w:b/>
              </w:rPr>
              <w:t xml:space="preserve"> </w:t>
            </w:r>
            <w:r w:rsidRPr="008E654A">
              <w:rPr>
                <w:b/>
              </w:rPr>
              <w:t>400</w:t>
            </w:r>
          </w:p>
        </w:tc>
        <w:tc>
          <w:tcPr>
            <w:tcW w:w="1267" w:type="dxa"/>
            <w:shd w:val="clear" w:color="auto" w:fill="BFBFBF" w:themeFill="background1" w:themeFillShade="BF"/>
            <w:noWrap/>
            <w:vAlign w:val="center"/>
          </w:tcPr>
          <w:p w14:paraId="5C643770" w14:textId="77777777" w:rsidR="00746D3C" w:rsidRPr="008E654A" w:rsidRDefault="00746D3C" w:rsidP="007B3372">
            <w:pPr>
              <w:jc w:val="right"/>
              <w:rPr>
                <w:b/>
              </w:rPr>
            </w:pPr>
            <w:r w:rsidRPr="008E654A">
              <w:rPr>
                <w:b/>
              </w:rPr>
              <w:t>194</w:t>
            </w:r>
            <w:r>
              <w:rPr>
                <w:b/>
              </w:rPr>
              <w:t xml:space="preserve"> </w:t>
            </w:r>
            <w:r w:rsidRPr="008E654A">
              <w:rPr>
                <w:b/>
              </w:rPr>
              <w:t>400</w:t>
            </w:r>
          </w:p>
        </w:tc>
      </w:tr>
      <w:tr w:rsidR="00746D3C" w:rsidRPr="007B7470" w14:paraId="3E491469" w14:textId="77777777" w:rsidTr="007B3372">
        <w:trPr>
          <w:trHeight w:val="70"/>
          <w:jc w:val="center"/>
        </w:trPr>
        <w:tc>
          <w:tcPr>
            <w:tcW w:w="4661" w:type="dxa"/>
            <w:noWrap/>
            <w:vAlign w:val="center"/>
          </w:tcPr>
          <w:p w14:paraId="6E4332CB" w14:textId="77777777" w:rsidR="00746D3C" w:rsidRPr="007B7470" w:rsidRDefault="00746D3C" w:rsidP="007B3372">
            <w:pPr>
              <w:rPr>
                <w:b/>
                <w:bCs/>
                <w:i/>
                <w:iCs/>
              </w:rPr>
            </w:pPr>
            <w:r w:rsidRPr="007B7470">
              <w:rPr>
                <w:b/>
                <w:bCs/>
                <w:i/>
                <w:iCs/>
              </w:rPr>
              <w:t>- vplyv na ŠR</w:t>
            </w:r>
          </w:p>
        </w:tc>
        <w:tc>
          <w:tcPr>
            <w:tcW w:w="1267" w:type="dxa"/>
            <w:noWrap/>
            <w:vAlign w:val="center"/>
          </w:tcPr>
          <w:p w14:paraId="2300955A" w14:textId="77777777" w:rsidR="00746D3C" w:rsidRPr="007B7470" w:rsidRDefault="00746D3C" w:rsidP="007B3372">
            <w:pPr>
              <w:jc w:val="right"/>
              <w:rPr>
                <w:b/>
                <w:bCs/>
                <w:iCs/>
              </w:rPr>
            </w:pPr>
            <w:r w:rsidRPr="007B7470">
              <w:rPr>
                <w:b/>
                <w:bCs/>
                <w:iCs/>
              </w:rPr>
              <w:t>0</w:t>
            </w:r>
          </w:p>
        </w:tc>
        <w:tc>
          <w:tcPr>
            <w:tcW w:w="1520" w:type="dxa"/>
            <w:noWrap/>
            <w:vAlign w:val="center"/>
          </w:tcPr>
          <w:p w14:paraId="686E5E0E" w14:textId="77777777" w:rsidR="00746D3C" w:rsidRPr="008E654A" w:rsidRDefault="00746D3C" w:rsidP="007B3372">
            <w:pPr>
              <w:jc w:val="right"/>
              <w:rPr>
                <w:b/>
                <w:bCs/>
                <w:iCs/>
              </w:rPr>
            </w:pPr>
            <w:r w:rsidRPr="008E654A">
              <w:rPr>
                <w:b/>
                <w:bCs/>
                <w:iCs/>
              </w:rPr>
              <w:t>194</w:t>
            </w:r>
            <w:r>
              <w:rPr>
                <w:b/>
                <w:bCs/>
                <w:iCs/>
              </w:rPr>
              <w:t xml:space="preserve"> </w:t>
            </w:r>
            <w:r w:rsidRPr="008E654A">
              <w:rPr>
                <w:b/>
                <w:bCs/>
                <w:iCs/>
              </w:rPr>
              <w:t>400</w:t>
            </w:r>
          </w:p>
        </w:tc>
        <w:tc>
          <w:tcPr>
            <w:tcW w:w="1267" w:type="dxa"/>
            <w:noWrap/>
            <w:vAlign w:val="center"/>
          </w:tcPr>
          <w:p w14:paraId="6D1B4069" w14:textId="77777777" w:rsidR="00746D3C" w:rsidRPr="008E654A" w:rsidRDefault="00746D3C" w:rsidP="007B3372">
            <w:pPr>
              <w:jc w:val="right"/>
              <w:rPr>
                <w:b/>
                <w:bCs/>
                <w:iCs/>
              </w:rPr>
            </w:pPr>
            <w:r w:rsidRPr="008E654A">
              <w:rPr>
                <w:b/>
                <w:bCs/>
                <w:iCs/>
              </w:rPr>
              <w:t>194</w:t>
            </w:r>
            <w:r>
              <w:rPr>
                <w:b/>
                <w:bCs/>
                <w:iCs/>
              </w:rPr>
              <w:t xml:space="preserve"> </w:t>
            </w:r>
            <w:r w:rsidRPr="008E654A">
              <w:rPr>
                <w:b/>
                <w:bCs/>
                <w:iCs/>
              </w:rPr>
              <w:t>400</w:t>
            </w:r>
          </w:p>
        </w:tc>
        <w:tc>
          <w:tcPr>
            <w:tcW w:w="1267" w:type="dxa"/>
            <w:noWrap/>
            <w:vAlign w:val="center"/>
          </w:tcPr>
          <w:p w14:paraId="4982E99D" w14:textId="77777777" w:rsidR="00746D3C" w:rsidRPr="008E654A" w:rsidRDefault="00746D3C" w:rsidP="007B3372">
            <w:pPr>
              <w:jc w:val="right"/>
              <w:rPr>
                <w:b/>
                <w:bCs/>
                <w:iCs/>
              </w:rPr>
            </w:pPr>
            <w:r w:rsidRPr="008E654A">
              <w:rPr>
                <w:b/>
                <w:bCs/>
                <w:iCs/>
              </w:rPr>
              <w:t>194</w:t>
            </w:r>
            <w:r>
              <w:rPr>
                <w:b/>
                <w:bCs/>
                <w:iCs/>
              </w:rPr>
              <w:t xml:space="preserve"> </w:t>
            </w:r>
            <w:r w:rsidRPr="008E654A">
              <w:rPr>
                <w:b/>
                <w:bCs/>
                <w:iCs/>
              </w:rPr>
              <w:t>400</w:t>
            </w:r>
          </w:p>
        </w:tc>
      </w:tr>
      <w:tr w:rsidR="00746D3C" w:rsidRPr="007B7470" w14:paraId="4563ECBD" w14:textId="77777777" w:rsidTr="007B3372">
        <w:trPr>
          <w:trHeight w:val="70"/>
          <w:jc w:val="center"/>
        </w:trPr>
        <w:tc>
          <w:tcPr>
            <w:tcW w:w="4661" w:type="dxa"/>
            <w:noWrap/>
            <w:vAlign w:val="center"/>
          </w:tcPr>
          <w:p w14:paraId="14A0DAF6" w14:textId="77777777" w:rsidR="00746D3C" w:rsidRPr="007B7470" w:rsidRDefault="00746D3C" w:rsidP="007B3372">
            <w:pPr>
              <w:rPr>
                <w:b/>
                <w:bCs/>
                <w:i/>
                <w:iCs/>
              </w:rPr>
            </w:pPr>
            <w:r w:rsidRPr="007B7470">
              <w:rPr>
                <w:b/>
                <w:bCs/>
                <w:i/>
                <w:iCs/>
              </w:rPr>
              <w:t>- vplyv na obce</w:t>
            </w:r>
          </w:p>
        </w:tc>
        <w:tc>
          <w:tcPr>
            <w:tcW w:w="1267" w:type="dxa"/>
            <w:noWrap/>
            <w:vAlign w:val="center"/>
          </w:tcPr>
          <w:p w14:paraId="79FCC889" w14:textId="77777777" w:rsidR="00746D3C" w:rsidRPr="007B7470" w:rsidRDefault="00746D3C" w:rsidP="007B3372">
            <w:pPr>
              <w:jc w:val="right"/>
              <w:rPr>
                <w:b/>
                <w:bCs/>
                <w:iCs/>
              </w:rPr>
            </w:pPr>
            <w:r w:rsidRPr="007B7470">
              <w:rPr>
                <w:b/>
                <w:bCs/>
                <w:iCs/>
              </w:rPr>
              <w:t>0</w:t>
            </w:r>
          </w:p>
        </w:tc>
        <w:tc>
          <w:tcPr>
            <w:tcW w:w="1520" w:type="dxa"/>
            <w:noWrap/>
            <w:vAlign w:val="center"/>
          </w:tcPr>
          <w:p w14:paraId="71A6204F" w14:textId="77777777" w:rsidR="00746D3C" w:rsidRPr="007B7470" w:rsidRDefault="00746D3C" w:rsidP="007B3372">
            <w:pPr>
              <w:jc w:val="right"/>
              <w:rPr>
                <w:b/>
                <w:bCs/>
                <w:iCs/>
              </w:rPr>
            </w:pPr>
            <w:r w:rsidRPr="007B7470">
              <w:rPr>
                <w:b/>
                <w:bCs/>
                <w:iCs/>
              </w:rPr>
              <w:t>0</w:t>
            </w:r>
          </w:p>
        </w:tc>
        <w:tc>
          <w:tcPr>
            <w:tcW w:w="1267" w:type="dxa"/>
            <w:noWrap/>
            <w:vAlign w:val="center"/>
          </w:tcPr>
          <w:p w14:paraId="0D327050" w14:textId="77777777" w:rsidR="00746D3C" w:rsidRPr="007B7470" w:rsidRDefault="00746D3C" w:rsidP="007B3372">
            <w:pPr>
              <w:jc w:val="right"/>
              <w:rPr>
                <w:b/>
                <w:bCs/>
                <w:iCs/>
              </w:rPr>
            </w:pPr>
            <w:r w:rsidRPr="007B7470">
              <w:rPr>
                <w:b/>
                <w:bCs/>
                <w:iCs/>
              </w:rPr>
              <w:t>0</w:t>
            </w:r>
          </w:p>
        </w:tc>
        <w:tc>
          <w:tcPr>
            <w:tcW w:w="1267" w:type="dxa"/>
            <w:noWrap/>
            <w:vAlign w:val="center"/>
          </w:tcPr>
          <w:p w14:paraId="630B590B" w14:textId="77777777" w:rsidR="00746D3C" w:rsidRPr="007B7470" w:rsidRDefault="00746D3C" w:rsidP="007B3372">
            <w:pPr>
              <w:jc w:val="right"/>
              <w:rPr>
                <w:b/>
                <w:bCs/>
                <w:iCs/>
              </w:rPr>
            </w:pPr>
            <w:r w:rsidRPr="007B7470">
              <w:rPr>
                <w:b/>
                <w:bCs/>
                <w:iCs/>
              </w:rPr>
              <w:t>0</w:t>
            </w:r>
          </w:p>
        </w:tc>
      </w:tr>
      <w:tr w:rsidR="00746D3C" w:rsidRPr="007B7470" w14:paraId="098A226B" w14:textId="77777777" w:rsidTr="007B3372">
        <w:trPr>
          <w:trHeight w:val="70"/>
          <w:jc w:val="center"/>
        </w:trPr>
        <w:tc>
          <w:tcPr>
            <w:tcW w:w="4661" w:type="dxa"/>
            <w:noWrap/>
            <w:vAlign w:val="center"/>
          </w:tcPr>
          <w:p w14:paraId="257DDE29" w14:textId="77777777" w:rsidR="00746D3C" w:rsidRPr="007B7470" w:rsidRDefault="00746D3C" w:rsidP="007B3372">
            <w:pPr>
              <w:rPr>
                <w:b/>
                <w:bCs/>
                <w:i/>
                <w:iCs/>
              </w:rPr>
            </w:pPr>
            <w:r w:rsidRPr="007B7470">
              <w:rPr>
                <w:b/>
                <w:bCs/>
                <w:i/>
                <w:iCs/>
              </w:rPr>
              <w:t>- vplyv na vyššie územné celky</w:t>
            </w:r>
          </w:p>
        </w:tc>
        <w:tc>
          <w:tcPr>
            <w:tcW w:w="1267" w:type="dxa"/>
            <w:noWrap/>
            <w:vAlign w:val="center"/>
          </w:tcPr>
          <w:p w14:paraId="68C09A04" w14:textId="77777777" w:rsidR="00746D3C" w:rsidRPr="007B7470" w:rsidRDefault="00746D3C" w:rsidP="007B3372">
            <w:pPr>
              <w:jc w:val="right"/>
              <w:rPr>
                <w:b/>
                <w:bCs/>
                <w:iCs/>
              </w:rPr>
            </w:pPr>
            <w:r w:rsidRPr="007B7470">
              <w:rPr>
                <w:b/>
                <w:bCs/>
                <w:iCs/>
              </w:rPr>
              <w:t>0</w:t>
            </w:r>
          </w:p>
        </w:tc>
        <w:tc>
          <w:tcPr>
            <w:tcW w:w="1520" w:type="dxa"/>
            <w:noWrap/>
            <w:vAlign w:val="center"/>
          </w:tcPr>
          <w:p w14:paraId="3FE18476" w14:textId="77777777" w:rsidR="00746D3C" w:rsidRPr="007B7470" w:rsidRDefault="00746D3C" w:rsidP="007B3372">
            <w:pPr>
              <w:jc w:val="right"/>
              <w:rPr>
                <w:b/>
                <w:bCs/>
                <w:iCs/>
              </w:rPr>
            </w:pPr>
            <w:r w:rsidRPr="007B7470">
              <w:rPr>
                <w:b/>
                <w:bCs/>
                <w:iCs/>
              </w:rPr>
              <w:t>0</w:t>
            </w:r>
          </w:p>
        </w:tc>
        <w:tc>
          <w:tcPr>
            <w:tcW w:w="1267" w:type="dxa"/>
            <w:noWrap/>
            <w:vAlign w:val="center"/>
          </w:tcPr>
          <w:p w14:paraId="49A38A1E" w14:textId="77777777" w:rsidR="00746D3C" w:rsidRPr="007B7470" w:rsidRDefault="00746D3C" w:rsidP="007B3372">
            <w:pPr>
              <w:jc w:val="right"/>
              <w:rPr>
                <w:b/>
                <w:bCs/>
                <w:iCs/>
              </w:rPr>
            </w:pPr>
            <w:r w:rsidRPr="007B7470">
              <w:rPr>
                <w:b/>
                <w:bCs/>
                <w:iCs/>
              </w:rPr>
              <w:t>0</w:t>
            </w:r>
          </w:p>
        </w:tc>
        <w:tc>
          <w:tcPr>
            <w:tcW w:w="1267" w:type="dxa"/>
            <w:noWrap/>
            <w:vAlign w:val="center"/>
          </w:tcPr>
          <w:p w14:paraId="21F68647" w14:textId="77777777" w:rsidR="00746D3C" w:rsidRPr="007B7470" w:rsidRDefault="00746D3C" w:rsidP="007B3372">
            <w:pPr>
              <w:jc w:val="right"/>
              <w:rPr>
                <w:b/>
                <w:bCs/>
                <w:iCs/>
              </w:rPr>
            </w:pPr>
            <w:r w:rsidRPr="007B7470">
              <w:rPr>
                <w:b/>
                <w:bCs/>
                <w:iCs/>
              </w:rPr>
              <w:t>0</w:t>
            </w:r>
          </w:p>
        </w:tc>
      </w:tr>
      <w:tr w:rsidR="00746D3C" w:rsidRPr="007B7470" w14:paraId="7DF69810" w14:textId="77777777" w:rsidTr="007B3372">
        <w:trPr>
          <w:trHeight w:val="70"/>
          <w:jc w:val="center"/>
        </w:trPr>
        <w:tc>
          <w:tcPr>
            <w:tcW w:w="4661" w:type="dxa"/>
            <w:noWrap/>
            <w:vAlign w:val="center"/>
          </w:tcPr>
          <w:p w14:paraId="1357276F" w14:textId="77777777" w:rsidR="00746D3C" w:rsidRPr="007B7470" w:rsidRDefault="00746D3C" w:rsidP="007B3372">
            <w:pPr>
              <w:rPr>
                <w:b/>
                <w:bCs/>
              </w:rPr>
            </w:pPr>
            <w:r w:rsidRPr="007B7470">
              <w:rPr>
                <w:b/>
                <w:bCs/>
                <w:i/>
                <w:iCs/>
              </w:rPr>
              <w:t>- vplyv na ostatné subjekty verejnej správy</w:t>
            </w:r>
          </w:p>
        </w:tc>
        <w:tc>
          <w:tcPr>
            <w:tcW w:w="1267" w:type="dxa"/>
            <w:noWrap/>
            <w:vAlign w:val="center"/>
          </w:tcPr>
          <w:p w14:paraId="11908885" w14:textId="77777777" w:rsidR="00746D3C" w:rsidRPr="007B7470" w:rsidRDefault="00746D3C" w:rsidP="007B3372">
            <w:pPr>
              <w:jc w:val="right"/>
              <w:rPr>
                <w:b/>
                <w:bCs/>
                <w:iCs/>
              </w:rPr>
            </w:pPr>
            <w:r w:rsidRPr="007B7470">
              <w:rPr>
                <w:b/>
                <w:bCs/>
                <w:iCs/>
              </w:rPr>
              <w:t>0</w:t>
            </w:r>
          </w:p>
        </w:tc>
        <w:tc>
          <w:tcPr>
            <w:tcW w:w="1520" w:type="dxa"/>
            <w:noWrap/>
            <w:vAlign w:val="center"/>
          </w:tcPr>
          <w:p w14:paraId="70D21CD2" w14:textId="77777777" w:rsidR="00746D3C" w:rsidRPr="007B7470" w:rsidRDefault="00746D3C" w:rsidP="007B3372">
            <w:pPr>
              <w:jc w:val="right"/>
              <w:rPr>
                <w:b/>
                <w:bCs/>
                <w:iCs/>
              </w:rPr>
            </w:pPr>
            <w:r w:rsidRPr="007B7470">
              <w:rPr>
                <w:b/>
                <w:bCs/>
                <w:iCs/>
              </w:rPr>
              <w:t>0</w:t>
            </w:r>
          </w:p>
        </w:tc>
        <w:tc>
          <w:tcPr>
            <w:tcW w:w="1267" w:type="dxa"/>
            <w:noWrap/>
            <w:vAlign w:val="center"/>
          </w:tcPr>
          <w:p w14:paraId="47A8A192" w14:textId="77777777" w:rsidR="00746D3C" w:rsidRPr="007B7470" w:rsidRDefault="00746D3C" w:rsidP="007B3372">
            <w:pPr>
              <w:jc w:val="right"/>
              <w:rPr>
                <w:b/>
                <w:bCs/>
                <w:iCs/>
              </w:rPr>
            </w:pPr>
            <w:r w:rsidRPr="007B7470">
              <w:rPr>
                <w:b/>
                <w:bCs/>
                <w:iCs/>
              </w:rPr>
              <w:t>0</w:t>
            </w:r>
          </w:p>
        </w:tc>
        <w:tc>
          <w:tcPr>
            <w:tcW w:w="1267" w:type="dxa"/>
            <w:noWrap/>
            <w:vAlign w:val="center"/>
          </w:tcPr>
          <w:p w14:paraId="2B4B2C7E" w14:textId="77777777" w:rsidR="00746D3C" w:rsidRPr="007B7470" w:rsidRDefault="00746D3C" w:rsidP="007B3372">
            <w:pPr>
              <w:jc w:val="right"/>
              <w:rPr>
                <w:b/>
                <w:bCs/>
                <w:iCs/>
              </w:rPr>
            </w:pPr>
            <w:r w:rsidRPr="007B7470">
              <w:rPr>
                <w:b/>
                <w:bCs/>
                <w:iCs/>
              </w:rPr>
              <w:t>0</w:t>
            </w:r>
          </w:p>
        </w:tc>
      </w:tr>
      <w:tr w:rsidR="00746D3C" w:rsidRPr="007B7470" w14:paraId="0F78AD20" w14:textId="77777777" w:rsidTr="007B3372">
        <w:trPr>
          <w:trHeight w:val="70"/>
          <w:jc w:val="center"/>
        </w:trPr>
        <w:tc>
          <w:tcPr>
            <w:tcW w:w="4661" w:type="dxa"/>
            <w:shd w:val="clear" w:color="auto" w:fill="C0C0C0"/>
            <w:noWrap/>
            <w:vAlign w:val="center"/>
          </w:tcPr>
          <w:p w14:paraId="7834AA26" w14:textId="77777777" w:rsidR="00746D3C" w:rsidRPr="007B7470" w:rsidRDefault="00746D3C" w:rsidP="007B3372">
            <w:pPr>
              <w:rPr>
                <w:b/>
                <w:bCs/>
              </w:rPr>
            </w:pPr>
            <w:r w:rsidRPr="007B7470">
              <w:rPr>
                <w:b/>
                <w:bCs/>
              </w:rPr>
              <w:t>Financovanie zabezpečené v rozpočte</w:t>
            </w:r>
          </w:p>
        </w:tc>
        <w:tc>
          <w:tcPr>
            <w:tcW w:w="1267" w:type="dxa"/>
            <w:shd w:val="clear" w:color="auto" w:fill="C0C0C0"/>
            <w:noWrap/>
            <w:vAlign w:val="center"/>
          </w:tcPr>
          <w:p w14:paraId="17707C40" w14:textId="77777777" w:rsidR="00746D3C" w:rsidRPr="000B7089" w:rsidRDefault="00746D3C" w:rsidP="007B3372">
            <w:pPr>
              <w:jc w:val="right"/>
              <w:rPr>
                <w:b/>
                <w:bCs/>
              </w:rPr>
            </w:pPr>
            <w:r w:rsidRPr="000B7089">
              <w:rPr>
                <w:b/>
                <w:bCs/>
              </w:rPr>
              <w:t>566</w:t>
            </w:r>
            <w:r>
              <w:rPr>
                <w:b/>
                <w:bCs/>
              </w:rPr>
              <w:t xml:space="preserve"> </w:t>
            </w:r>
            <w:r w:rsidRPr="000B7089">
              <w:rPr>
                <w:b/>
                <w:bCs/>
              </w:rPr>
              <w:t>338</w:t>
            </w:r>
          </w:p>
        </w:tc>
        <w:tc>
          <w:tcPr>
            <w:tcW w:w="1520" w:type="dxa"/>
            <w:shd w:val="clear" w:color="auto" w:fill="C0C0C0"/>
            <w:noWrap/>
            <w:vAlign w:val="center"/>
          </w:tcPr>
          <w:p w14:paraId="515B743F" w14:textId="77777777" w:rsidR="00746D3C" w:rsidRPr="000B7089" w:rsidRDefault="00746D3C" w:rsidP="007B3372">
            <w:pPr>
              <w:jc w:val="right"/>
              <w:rPr>
                <w:b/>
                <w:bCs/>
              </w:rPr>
            </w:pPr>
            <w:r>
              <w:rPr>
                <w:b/>
                <w:bCs/>
              </w:rPr>
              <w:t>409 287</w:t>
            </w:r>
          </w:p>
        </w:tc>
        <w:tc>
          <w:tcPr>
            <w:tcW w:w="1267" w:type="dxa"/>
            <w:shd w:val="clear" w:color="auto" w:fill="C0C0C0"/>
            <w:noWrap/>
            <w:vAlign w:val="center"/>
          </w:tcPr>
          <w:p w14:paraId="3C877C4A" w14:textId="77777777" w:rsidR="00746D3C" w:rsidRPr="007B7470" w:rsidRDefault="00746D3C" w:rsidP="007B3372">
            <w:pPr>
              <w:jc w:val="right"/>
              <w:rPr>
                <w:b/>
                <w:bCs/>
              </w:rPr>
            </w:pPr>
            <w:r>
              <w:rPr>
                <w:b/>
                <w:bCs/>
              </w:rPr>
              <w:t>264 287</w:t>
            </w:r>
          </w:p>
        </w:tc>
        <w:tc>
          <w:tcPr>
            <w:tcW w:w="1267" w:type="dxa"/>
            <w:shd w:val="clear" w:color="auto" w:fill="C0C0C0"/>
            <w:noWrap/>
            <w:vAlign w:val="center"/>
          </w:tcPr>
          <w:p w14:paraId="34B7EFD6" w14:textId="77777777" w:rsidR="00746D3C" w:rsidRPr="007B7470" w:rsidRDefault="00746D3C" w:rsidP="007B3372">
            <w:pPr>
              <w:jc w:val="right"/>
              <w:rPr>
                <w:b/>
                <w:bCs/>
              </w:rPr>
            </w:pPr>
            <w:r>
              <w:rPr>
                <w:b/>
                <w:bCs/>
              </w:rPr>
              <w:t>264 287</w:t>
            </w:r>
          </w:p>
        </w:tc>
      </w:tr>
      <w:tr w:rsidR="00746D3C" w:rsidRPr="007B7470" w14:paraId="420D56BE" w14:textId="77777777" w:rsidTr="007B3372">
        <w:trPr>
          <w:trHeight w:val="70"/>
          <w:jc w:val="center"/>
        </w:trPr>
        <w:tc>
          <w:tcPr>
            <w:tcW w:w="4661" w:type="dxa"/>
            <w:noWrap/>
            <w:vAlign w:val="center"/>
          </w:tcPr>
          <w:p w14:paraId="239669F0" w14:textId="77777777" w:rsidR="00746D3C" w:rsidRDefault="00746D3C" w:rsidP="007B3372">
            <w:r w:rsidRPr="00C43417">
              <w:t>v tom: kapitola MF SR/</w:t>
            </w:r>
          </w:p>
          <w:p w14:paraId="5C6AD056" w14:textId="77777777" w:rsidR="00746D3C" w:rsidRDefault="00746D3C" w:rsidP="007B3372">
            <w:r w:rsidRPr="00C43417">
              <w:lastRenderedPageBreak/>
              <w:t>072 Výber daní, cla, odvodov a príspevkov (</w:t>
            </w:r>
            <w:r>
              <w:t xml:space="preserve">org. </w:t>
            </w:r>
            <w:r w:rsidRPr="00C43417">
              <w:t>FR SR)</w:t>
            </w:r>
          </w:p>
          <w:p w14:paraId="08C75D45" w14:textId="77777777" w:rsidR="00746D3C" w:rsidRDefault="00746D3C" w:rsidP="007B3372">
            <w:r w:rsidRPr="00A64944">
              <w:t>0EK 0D Informačné technológie financované zo ŠR - MF SR (org. MF SR - úrad)</w:t>
            </w:r>
          </w:p>
          <w:p w14:paraId="6351D45D" w14:textId="77777777" w:rsidR="00746D3C" w:rsidRPr="007B7470" w:rsidRDefault="00746D3C" w:rsidP="007B3372">
            <w:r w:rsidRPr="000709C9">
              <w:t>0EK 0D I</w:t>
            </w:r>
            <w:r>
              <w:t>nformačné technológie</w:t>
            </w:r>
            <w:r w:rsidRPr="000709C9">
              <w:t xml:space="preserve"> financované zo ŠR – MF SR (</w:t>
            </w:r>
            <w:r>
              <w:t>org. </w:t>
            </w:r>
            <w:r w:rsidRPr="000709C9">
              <w:t>FR</w:t>
            </w:r>
            <w:r>
              <w:t> </w:t>
            </w:r>
            <w:r w:rsidRPr="000709C9">
              <w:t>SR)</w:t>
            </w:r>
          </w:p>
        </w:tc>
        <w:tc>
          <w:tcPr>
            <w:tcW w:w="1267" w:type="dxa"/>
            <w:noWrap/>
            <w:vAlign w:val="center"/>
          </w:tcPr>
          <w:p w14:paraId="554CEBBF" w14:textId="77777777" w:rsidR="00746D3C" w:rsidRDefault="00746D3C" w:rsidP="007B3372">
            <w:pPr>
              <w:jc w:val="right"/>
            </w:pPr>
          </w:p>
          <w:p w14:paraId="02FCD0D0" w14:textId="77777777" w:rsidR="00746D3C" w:rsidRDefault="00746D3C" w:rsidP="007B3372">
            <w:pPr>
              <w:jc w:val="right"/>
            </w:pPr>
          </w:p>
          <w:p w14:paraId="37E3678C" w14:textId="77777777" w:rsidR="00746D3C" w:rsidRDefault="00746D3C" w:rsidP="007B3372">
            <w:pPr>
              <w:jc w:val="right"/>
            </w:pPr>
            <w:r>
              <w:lastRenderedPageBreak/>
              <w:t>0</w:t>
            </w:r>
          </w:p>
          <w:p w14:paraId="2A08313E" w14:textId="77777777" w:rsidR="00746D3C" w:rsidRDefault="00746D3C" w:rsidP="007B3372">
            <w:pPr>
              <w:jc w:val="right"/>
            </w:pPr>
          </w:p>
          <w:p w14:paraId="1755D7AA" w14:textId="77777777" w:rsidR="00746D3C" w:rsidRDefault="00746D3C" w:rsidP="007B3372">
            <w:pPr>
              <w:jc w:val="right"/>
            </w:pPr>
            <w:r>
              <w:t>0</w:t>
            </w:r>
          </w:p>
          <w:p w14:paraId="533F5AD1" w14:textId="77777777" w:rsidR="00746D3C" w:rsidRDefault="00746D3C" w:rsidP="007B3372">
            <w:pPr>
              <w:jc w:val="right"/>
            </w:pPr>
          </w:p>
          <w:p w14:paraId="408BD765" w14:textId="77777777" w:rsidR="00746D3C" w:rsidRPr="000B7089" w:rsidRDefault="00746D3C" w:rsidP="007B3372">
            <w:pPr>
              <w:jc w:val="right"/>
            </w:pPr>
            <w:r>
              <w:t>566 338</w:t>
            </w:r>
          </w:p>
        </w:tc>
        <w:tc>
          <w:tcPr>
            <w:tcW w:w="1520" w:type="dxa"/>
            <w:noWrap/>
            <w:vAlign w:val="center"/>
          </w:tcPr>
          <w:p w14:paraId="4FD324DE" w14:textId="77777777" w:rsidR="00746D3C" w:rsidRDefault="00746D3C" w:rsidP="007B3372">
            <w:pPr>
              <w:jc w:val="right"/>
            </w:pPr>
          </w:p>
          <w:p w14:paraId="723A370E" w14:textId="77777777" w:rsidR="00746D3C" w:rsidRDefault="00746D3C" w:rsidP="007B3372">
            <w:pPr>
              <w:jc w:val="right"/>
            </w:pPr>
          </w:p>
          <w:p w14:paraId="3E5F0F32" w14:textId="77777777" w:rsidR="00746D3C" w:rsidRDefault="00746D3C" w:rsidP="007B3372">
            <w:pPr>
              <w:jc w:val="right"/>
            </w:pPr>
            <w:r>
              <w:lastRenderedPageBreak/>
              <w:t>264 287</w:t>
            </w:r>
          </w:p>
          <w:p w14:paraId="5FD6B56C" w14:textId="77777777" w:rsidR="00746D3C" w:rsidRDefault="00746D3C" w:rsidP="007B3372">
            <w:pPr>
              <w:jc w:val="right"/>
            </w:pPr>
          </w:p>
          <w:p w14:paraId="4AFADC48" w14:textId="77777777" w:rsidR="00746D3C" w:rsidRDefault="00746D3C" w:rsidP="007B3372">
            <w:pPr>
              <w:jc w:val="right"/>
            </w:pPr>
            <w:r>
              <w:t>145 000</w:t>
            </w:r>
          </w:p>
          <w:p w14:paraId="14E18D27" w14:textId="77777777" w:rsidR="00746D3C" w:rsidRDefault="00746D3C" w:rsidP="007B3372">
            <w:pPr>
              <w:jc w:val="right"/>
            </w:pPr>
          </w:p>
          <w:p w14:paraId="2BF0C039" w14:textId="77777777" w:rsidR="00746D3C" w:rsidRPr="000B7089" w:rsidRDefault="00746D3C" w:rsidP="007B3372">
            <w:pPr>
              <w:jc w:val="right"/>
            </w:pPr>
            <w:r>
              <w:t>0</w:t>
            </w:r>
          </w:p>
        </w:tc>
        <w:tc>
          <w:tcPr>
            <w:tcW w:w="1267" w:type="dxa"/>
            <w:noWrap/>
            <w:vAlign w:val="center"/>
          </w:tcPr>
          <w:p w14:paraId="4E0B273E" w14:textId="77777777" w:rsidR="00746D3C" w:rsidRDefault="00746D3C" w:rsidP="007B3372">
            <w:pPr>
              <w:jc w:val="right"/>
            </w:pPr>
          </w:p>
          <w:p w14:paraId="1CED5BE1" w14:textId="77777777" w:rsidR="00746D3C" w:rsidRDefault="00746D3C" w:rsidP="007B3372">
            <w:pPr>
              <w:jc w:val="right"/>
            </w:pPr>
          </w:p>
          <w:p w14:paraId="58EA7EDC" w14:textId="77777777" w:rsidR="00746D3C" w:rsidRDefault="00746D3C" w:rsidP="007B3372">
            <w:pPr>
              <w:jc w:val="right"/>
            </w:pPr>
            <w:r>
              <w:lastRenderedPageBreak/>
              <w:t>264 287</w:t>
            </w:r>
          </w:p>
          <w:p w14:paraId="371199A3" w14:textId="77777777" w:rsidR="00746D3C" w:rsidRDefault="00746D3C" w:rsidP="007B3372">
            <w:pPr>
              <w:jc w:val="right"/>
            </w:pPr>
          </w:p>
          <w:p w14:paraId="393FC247" w14:textId="77777777" w:rsidR="00746D3C" w:rsidRDefault="00746D3C" w:rsidP="007B3372">
            <w:pPr>
              <w:jc w:val="right"/>
            </w:pPr>
            <w:r>
              <w:t>0</w:t>
            </w:r>
          </w:p>
          <w:p w14:paraId="5E0D033F" w14:textId="77777777" w:rsidR="00746D3C" w:rsidRDefault="00746D3C" w:rsidP="007B3372">
            <w:pPr>
              <w:jc w:val="right"/>
            </w:pPr>
          </w:p>
          <w:p w14:paraId="34425F7B" w14:textId="77777777" w:rsidR="00746D3C" w:rsidRPr="007B7470" w:rsidRDefault="00746D3C" w:rsidP="007B3372">
            <w:pPr>
              <w:jc w:val="right"/>
            </w:pPr>
            <w:r>
              <w:t>0</w:t>
            </w:r>
          </w:p>
        </w:tc>
        <w:tc>
          <w:tcPr>
            <w:tcW w:w="1267" w:type="dxa"/>
            <w:noWrap/>
            <w:vAlign w:val="center"/>
          </w:tcPr>
          <w:p w14:paraId="7155B21F" w14:textId="77777777" w:rsidR="00746D3C" w:rsidRDefault="00746D3C" w:rsidP="007B3372">
            <w:pPr>
              <w:jc w:val="right"/>
            </w:pPr>
          </w:p>
          <w:p w14:paraId="7F9F3130" w14:textId="77777777" w:rsidR="00746D3C" w:rsidRDefault="00746D3C" w:rsidP="007B3372">
            <w:pPr>
              <w:jc w:val="right"/>
            </w:pPr>
          </w:p>
          <w:p w14:paraId="192F0E3A" w14:textId="77777777" w:rsidR="00746D3C" w:rsidRDefault="00746D3C" w:rsidP="007B3372">
            <w:pPr>
              <w:jc w:val="right"/>
            </w:pPr>
            <w:r>
              <w:lastRenderedPageBreak/>
              <w:t>264 287</w:t>
            </w:r>
          </w:p>
          <w:p w14:paraId="3D41906D" w14:textId="77777777" w:rsidR="00746D3C" w:rsidRDefault="00746D3C" w:rsidP="007B3372">
            <w:pPr>
              <w:jc w:val="right"/>
            </w:pPr>
          </w:p>
          <w:p w14:paraId="174E78C5" w14:textId="77777777" w:rsidR="00746D3C" w:rsidRDefault="00746D3C" w:rsidP="007B3372">
            <w:pPr>
              <w:jc w:val="right"/>
            </w:pPr>
            <w:r>
              <w:t>0</w:t>
            </w:r>
          </w:p>
          <w:p w14:paraId="387BE8DF" w14:textId="77777777" w:rsidR="00746D3C" w:rsidRDefault="00746D3C" w:rsidP="007B3372">
            <w:pPr>
              <w:jc w:val="right"/>
            </w:pPr>
          </w:p>
          <w:p w14:paraId="04A17B8C" w14:textId="77777777" w:rsidR="00746D3C" w:rsidRPr="007B7470" w:rsidRDefault="00746D3C" w:rsidP="007B3372">
            <w:pPr>
              <w:jc w:val="right"/>
            </w:pPr>
            <w:r>
              <w:t>0</w:t>
            </w:r>
          </w:p>
        </w:tc>
      </w:tr>
      <w:tr w:rsidR="00746D3C" w:rsidRPr="007B7470" w14:paraId="3182F80E" w14:textId="77777777" w:rsidTr="007B3372">
        <w:trPr>
          <w:trHeight w:val="70"/>
          <w:jc w:val="center"/>
        </w:trPr>
        <w:tc>
          <w:tcPr>
            <w:tcW w:w="4661" w:type="dxa"/>
            <w:shd w:val="clear" w:color="auto" w:fill="BFBFBF" w:themeFill="background1" w:themeFillShade="BF"/>
            <w:noWrap/>
            <w:vAlign w:val="center"/>
          </w:tcPr>
          <w:p w14:paraId="14C5894C" w14:textId="77777777" w:rsidR="00746D3C" w:rsidRPr="007B7470" w:rsidRDefault="00746D3C" w:rsidP="007B3372">
            <w:pPr>
              <w:rPr>
                <w:b/>
              </w:rPr>
            </w:pPr>
            <w:r w:rsidRPr="007B7470">
              <w:rPr>
                <w:b/>
              </w:rPr>
              <w:lastRenderedPageBreak/>
              <w:t>Iné ako rozpočtové zdroje</w:t>
            </w:r>
          </w:p>
        </w:tc>
        <w:tc>
          <w:tcPr>
            <w:tcW w:w="1267" w:type="dxa"/>
            <w:shd w:val="clear" w:color="auto" w:fill="BFBFBF" w:themeFill="background1" w:themeFillShade="BF"/>
            <w:noWrap/>
            <w:vAlign w:val="center"/>
          </w:tcPr>
          <w:p w14:paraId="7930ED04" w14:textId="77777777" w:rsidR="00746D3C" w:rsidRPr="007B7470" w:rsidRDefault="00746D3C" w:rsidP="007B3372">
            <w:pPr>
              <w:jc w:val="right"/>
              <w:rPr>
                <w:b/>
                <w:bCs/>
              </w:rPr>
            </w:pPr>
            <w:r w:rsidRPr="007B7470">
              <w:rPr>
                <w:b/>
                <w:bCs/>
              </w:rPr>
              <w:t>0</w:t>
            </w:r>
          </w:p>
        </w:tc>
        <w:tc>
          <w:tcPr>
            <w:tcW w:w="1520" w:type="dxa"/>
            <w:shd w:val="clear" w:color="auto" w:fill="BFBFBF" w:themeFill="background1" w:themeFillShade="BF"/>
            <w:noWrap/>
            <w:vAlign w:val="center"/>
          </w:tcPr>
          <w:p w14:paraId="6501AC6F" w14:textId="77777777" w:rsidR="00746D3C" w:rsidRPr="007B7470" w:rsidRDefault="00746D3C" w:rsidP="007B3372">
            <w:pPr>
              <w:jc w:val="right"/>
              <w:rPr>
                <w:b/>
                <w:bCs/>
              </w:rPr>
            </w:pPr>
            <w:r w:rsidRPr="007B7470">
              <w:rPr>
                <w:b/>
                <w:bCs/>
              </w:rPr>
              <w:t>0</w:t>
            </w:r>
          </w:p>
        </w:tc>
        <w:tc>
          <w:tcPr>
            <w:tcW w:w="1267" w:type="dxa"/>
            <w:shd w:val="clear" w:color="auto" w:fill="BFBFBF" w:themeFill="background1" w:themeFillShade="BF"/>
            <w:noWrap/>
            <w:vAlign w:val="center"/>
          </w:tcPr>
          <w:p w14:paraId="0C411371" w14:textId="77777777" w:rsidR="00746D3C" w:rsidRPr="007B7470" w:rsidRDefault="00746D3C" w:rsidP="007B3372">
            <w:pPr>
              <w:jc w:val="right"/>
              <w:rPr>
                <w:b/>
                <w:bCs/>
              </w:rPr>
            </w:pPr>
            <w:r w:rsidRPr="007B7470">
              <w:rPr>
                <w:b/>
                <w:bCs/>
              </w:rPr>
              <w:t>0</w:t>
            </w:r>
          </w:p>
        </w:tc>
        <w:tc>
          <w:tcPr>
            <w:tcW w:w="1267" w:type="dxa"/>
            <w:shd w:val="clear" w:color="auto" w:fill="BFBFBF" w:themeFill="background1" w:themeFillShade="BF"/>
            <w:noWrap/>
            <w:vAlign w:val="center"/>
          </w:tcPr>
          <w:p w14:paraId="379385DB" w14:textId="77777777" w:rsidR="00746D3C" w:rsidRPr="007B7470" w:rsidRDefault="00746D3C" w:rsidP="007B3372">
            <w:pPr>
              <w:jc w:val="right"/>
              <w:rPr>
                <w:b/>
                <w:bCs/>
              </w:rPr>
            </w:pPr>
            <w:r w:rsidRPr="007B7470">
              <w:rPr>
                <w:b/>
                <w:bCs/>
              </w:rPr>
              <w:t>0</w:t>
            </w:r>
          </w:p>
        </w:tc>
      </w:tr>
      <w:tr w:rsidR="00746D3C" w:rsidRPr="007B7470" w14:paraId="74FB053F" w14:textId="77777777" w:rsidTr="007B3372">
        <w:trPr>
          <w:trHeight w:val="70"/>
          <w:jc w:val="center"/>
        </w:trPr>
        <w:tc>
          <w:tcPr>
            <w:tcW w:w="4661" w:type="dxa"/>
            <w:shd w:val="clear" w:color="auto" w:fill="A6A6A6" w:themeFill="background1" w:themeFillShade="A6"/>
            <w:noWrap/>
            <w:vAlign w:val="center"/>
          </w:tcPr>
          <w:p w14:paraId="0872EE3B" w14:textId="77777777" w:rsidR="00746D3C" w:rsidRPr="007B7470" w:rsidRDefault="00746D3C" w:rsidP="007B3372">
            <w:pPr>
              <w:rPr>
                <w:b/>
                <w:bCs/>
              </w:rPr>
            </w:pPr>
            <w:r w:rsidRPr="007B7470">
              <w:rPr>
                <w:b/>
                <w:bCs/>
              </w:rPr>
              <w:t>Rozpočtovo nekrytý vplyv / úspora</w:t>
            </w:r>
          </w:p>
        </w:tc>
        <w:tc>
          <w:tcPr>
            <w:tcW w:w="1267" w:type="dxa"/>
            <w:shd w:val="clear" w:color="auto" w:fill="A6A6A6" w:themeFill="background1" w:themeFillShade="A6"/>
            <w:noWrap/>
            <w:vAlign w:val="center"/>
          </w:tcPr>
          <w:p w14:paraId="3C2A094D" w14:textId="77777777" w:rsidR="00746D3C" w:rsidRPr="007B7470" w:rsidRDefault="00746D3C" w:rsidP="007B3372">
            <w:pPr>
              <w:jc w:val="right"/>
              <w:rPr>
                <w:b/>
                <w:bCs/>
              </w:rPr>
            </w:pPr>
            <w:r w:rsidRPr="007B7470">
              <w:rPr>
                <w:b/>
                <w:bCs/>
              </w:rPr>
              <w:t>0</w:t>
            </w:r>
          </w:p>
        </w:tc>
        <w:tc>
          <w:tcPr>
            <w:tcW w:w="1520" w:type="dxa"/>
            <w:shd w:val="clear" w:color="auto" w:fill="A6A6A6" w:themeFill="background1" w:themeFillShade="A6"/>
            <w:noWrap/>
            <w:vAlign w:val="center"/>
          </w:tcPr>
          <w:p w14:paraId="33B3ADD5" w14:textId="77777777" w:rsidR="00746D3C" w:rsidRPr="007B7470" w:rsidRDefault="00746D3C" w:rsidP="007B3372">
            <w:pPr>
              <w:jc w:val="right"/>
              <w:rPr>
                <w:b/>
                <w:bCs/>
              </w:rPr>
            </w:pPr>
            <w:r>
              <w:rPr>
                <w:b/>
                <w:bCs/>
              </w:rPr>
              <w:t>10 818 574</w:t>
            </w:r>
          </w:p>
        </w:tc>
        <w:tc>
          <w:tcPr>
            <w:tcW w:w="1267" w:type="dxa"/>
            <w:shd w:val="clear" w:color="auto" w:fill="A6A6A6" w:themeFill="background1" w:themeFillShade="A6"/>
            <w:noWrap/>
            <w:vAlign w:val="center"/>
          </w:tcPr>
          <w:p w14:paraId="0F209C93" w14:textId="77777777" w:rsidR="00746D3C" w:rsidRPr="007B7470" w:rsidRDefault="00746D3C" w:rsidP="007B3372">
            <w:pPr>
              <w:jc w:val="right"/>
              <w:rPr>
                <w:b/>
                <w:bCs/>
              </w:rPr>
            </w:pPr>
            <w:r>
              <w:rPr>
                <w:b/>
                <w:bCs/>
              </w:rPr>
              <w:t>2 104 975</w:t>
            </w:r>
          </w:p>
        </w:tc>
        <w:tc>
          <w:tcPr>
            <w:tcW w:w="1267" w:type="dxa"/>
            <w:shd w:val="clear" w:color="auto" w:fill="A6A6A6" w:themeFill="background1" w:themeFillShade="A6"/>
            <w:noWrap/>
            <w:vAlign w:val="center"/>
          </w:tcPr>
          <w:p w14:paraId="71235EDC" w14:textId="77777777" w:rsidR="00746D3C" w:rsidRPr="007B7470" w:rsidRDefault="00746D3C" w:rsidP="007B3372">
            <w:pPr>
              <w:jc w:val="right"/>
              <w:rPr>
                <w:b/>
                <w:bCs/>
              </w:rPr>
            </w:pPr>
            <w:r>
              <w:rPr>
                <w:b/>
                <w:bCs/>
              </w:rPr>
              <w:t>2 104 975</w:t>
            </w:r>
          </w:p>
        </w:tc>
      </w:tr>
      <w:tr w:rsidR="00746D3C" w:rsidRPr="007B7470" w14:paraId="5D644C4E" w14:textId="77777777" w:rsidTr="007B3372">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D052E4E" w14:textId="77777777" w:rsidR="00746D3C" w:rsidRDefault="00746D3C" w:rsidP="007B3372">
            <w:r w:rsidRPr="00C43417">
              <w:t>v tom: kapitola MF SR/</w:t>
            </w:r>
          </w:p>
          <w:p w14:paraId="2ACE603F" w14:textId="77777777" w:rsidR="00746D3C" w:rsidRDefault="00746D3C" w:rsidP="007B3372">
            <w:r w:rsidRPr="00C43417">
              <w:t>072 Výber daní, cla, odvodov a príspevkov (</w:t>
            </w:r>
            <w:r>
              <w:t xml:space="preserve">org. </w:t>
            </w:r>
            <w:r w:rsidRPr="00C43417">
              <w:t>FR SR)</w:t>
            </w:r>
          </w:p>
          <w:p w14:paraId="4A4F18AB" w14:textId="77777777" w:rsidR="00746D3C" w:rsidRDefault="00746D3C" w:rsidP="007B3372">
            <w:r w:rsidRPr="00A64944">
              <w:t>0EK 0D Informačné technológie financované zo ŠR - MF SR (org. MF SR - úrad)</w:t>
            </w:r>
          </w:p>
          <w:p w14:paraId="57723269" w14:textId="77777777" w:rsidR="00746D3C" w:rsidRPr="00BC2D55" w:rsidRDefault="00746D3C" w:rsidP="007B3372">
            <w:r w:rsidRPr="000709C9">
              <w:t>0EK 0D I</w:t>
            </w:r>
            <w:r>
              <w:t>nformačné technológie</w:t>
            </w:r>
            <w:r w:rsidRPr="000709C9">
              <w:t xml:space="preserve"> financované zo ŠR – MF SR (</w:t>
            </w:r>
            <w:r>
              <w:t>org. </w:t>
            </w:r>
            <w:r w:rsidRPr="000709C9">
              <w:t>FR</w:t>
            </w:r>
            <w:r>
              <w:t> </w:t>
            </w:r>
            <w:r w:rsidRPr="000709C9">
              <w:t>SR)</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304BB43" w14:textId="77777777" w:rsidR="00746D3C" w:rsidRDefault="00746D3C" w:rsidP="007B3372">
            <w:pPr>
              <w:jc w:val="right"/>
            </w:pPr>
          </w:p>
          <w:p w14:paraId="7790E05D" w14:textId="77777777" w:rsidR="00746D3C" w:rsidRDefault="00746D3C" w:rsidP="007B3372">
            <w:pPr>
              <w:jc w:val="right"/>
            </w:pPr>
          </w:p>
          <w:p w14:paraId="0BFC46A0" w14:textId="77777777" w:rsidR="00746D3C" w:rsidRDefault="00746D3C" w:rsidP="007B3372">
            <w:pPr>
              <w:jc w:val="right"/>
            </w:pPr>
            <w:r>
              <w:t>0</w:t>
            </w:r>
          </w:p>
          <w:p w14:paraId="682E1EE5" w14:textId="77777777" w:rsidR="00746D3C" w:rsidRDefault="00746D3C" w:rsidP="007B3372">
            <w:pPr>
              <w:jc w:val="right"/>
            </w:pPr>
          </w:p>
          <w:p w14:paraId="4C642EED" w14:textId="77777777" w:rsidR="00746D3C" w:rsidRDefault="00746D3C" w:rsidP="007B3372">
            <w:pPr>
              <w:jc w:val="right"/>
            </w:pPr>
            <w:r>
              <w:t>0</w:t>
            </w:r>
          </w:p>
          <w:p w14:paraId="3A691DFA" w14:textId="77777777" w:rsidR="00746D3C" w:rsidRDefault="00746D3C" w:rsidP="007B3372">
            <w:pPr>
              <w:jc w:val="right"/>
            </w:pPr>
          </w:p>
          <w:p w14:paraId="6DAFDE87" w14:textId="77777777" w:rsidR="00746D3C" w:rsidRPr="00BC2D55" w:rsidRDefault="00746D3C" w:rsidP="007B3372">
            <w:pPr>
              <w:jc w:val="right"/>
            </w:pPr>
            <w:r>
              <w:t>0</w:t>
            </w:r>
          </w:p>
        </w:tc>
        <w:tc>
          <w:tcPr>
            <w:tcW w:w="15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EF8D1AA" w14:textId="77777777" w:rsidR="00746D3C" w:rsidRDefault="00746D3C" w:rsidP="007B3372"/>
          <w:p w14:paraId="7A901A88" w14:textId="77777777" w:rsidR="00746D3C" w:rsidRDefault="00746D3C" w:rsidP="007B3372"/>
          <w:p w14:paraId="0556C0F5" w14:textId="77777777" w:rsidR="00746D3C" w:rsidRDefault="00746D3C" w:rsidP="007B3372">
            <w:r>
              <w:t xml:space="preserve">                     0</w:t>
            </w:r>
          </w:p>
          <w:p w14:paraId="6C3519B1" w14:textId="77777777" w:rsidR="00746D3C" w:rsidRDefault="00746D3C" w:rsidP="007B3372">
            <w:pPr>
              <w:jc w:val="right"/>
            </w:pPr>
          </w:p>
          <w:p w14:paraId="4C279F53" w14:textId="77777777" w:rsidR="00746D3C" w:rsidRDefault="00746D3C" w:rsidP="007B3372">
            <w:pPr>
              <w:jc w:val="right"/>
            </w:pPr>
            <w:r>
              <w:t>0</w:t>
            </w:r>
          </w:p>
          <w:p w14:paraId="27180F17" w14:textId="77777777" w:rsidR="00746D3C" w:rsidRDefault="00746D3C" w:rsidP="007B3372">
            <w:pPr>
              <w:jc w:val="right"/>
            </w:pPr>
          </w:p>
          <w:p w14:paraId="6107BA53" w14:textId="77777777" w:rsidR="00746D3C" w:rsidRPr="00BC2D55" w:rsidRDefault="00746D3C" w:rsidP="007B3372">
            <w:pPr>
              <w:jc w:val="right"/>
            </w:pPr>
            <w:r>
              <w:t xml:space="preserve"> 10 818 574</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083DB3F" w14:textId="77777777" w:rsidR="00746D3C" w:rsidRDefault="00746D3C" w:rsidP="007B3372">
            <w:r>
              <w:t xml:space="preserve">               </w:t>
            </w:r>
          </w:p>
          <w:p w14:paraId="5D7EB23D" w14:textId="77777777" w:rsidR="00746D3C" w:rsidRDefault="00746D3C" w:rsidP="007B3372"/>
          <w:p w14:paraId="6088AA65" w14:textId="77777777" w:rsidR="00746D3C" w:rsidRDefault="00746D3C" w:rsidP="007B3372">
            <w:r>
              <w:t xml:space="preserve">                0</w:t>
            </w:r>
          </w:p>
          <w:p w14:paraId="75FDE0FF" w14:textId="77777777" w:rsidR="00746D3C" w:rsidRDefault="00746D3C" w:rsidP="007B3372">
            <w:pPr>
              <w:jc w:val="center"/>
            </w:pPr>
          </w:p>
          <w:p w14:paraId="27AD7D97" w14:textId="77777777" w:rsidR="00746D3C" w:rsidRDefault="00746D3C" w:rsidP="007B3372">
            <w:pPr>
              <w:jc w:val="center"/>
            </w:pPr>
            <w:r>
              <w:t xml:space="preserve">               0</w:t>
            </w:r>
          </w:p>
          <w:p w14:paraId="45B7D383" w14:textId="77777777" w:rsidR="00746D3C" w:rsidRDefault="00746D3C" w:rsidP="007B3372">
            <w:pPr>
              <w:jc w:val="right"/>
            </w:pPr>
          </w:p>
          <w:p w14:paraId="383A1145" w14:textId="77777777" w:rsidR="00746D3C" w:rsidRPr="00BC2D55" w:rsidRDefault="00746D3C" w:rsidP="007B3372">
            <w:pPr>
              <w:jc w:val="right"/>
            </w:pPr>
            <w:r>
              <w:t>2 104 975</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6B56540" w14:textId="77777777" w:rsidR="00746D3C" w:rsidRDefault="00746D3C" w:rsidP="007B3372">
            <w:r>
              <w:t xml:space="preserve">              </w:t>
            </w:r>
          </w:p>
          <w:p w14:paraId="17FA1248" w14:textId="77777777" w:rsidR="00746D3C" w:rsidRDefault="00746D3C" w:rsidP="007B3372"/>
          <w:p w14:paraId="6F9C1950" w14:textId="77777777" w:rsidR="00746D3C" w:rsidRDefault="00746D3C" w:rsidP="007B3372">
            <w:r>
              <w:t xml:space="preserve">                0</w:t>
            </w:r>
          </w:p>
          <w:p w14:paraId="52840500" w14:textId="77777777" w:rsidR="00746D3C" w:rsidRDefault="00746D3C" w:rsidP="007B3372">
            <w:pPr>
              <w:jc w:val="center"/>
            </w:pPr>
          </w:p>
          <w:p w14:paraId="2DC0C36B" w14:textId="77777777" w:rsidR="00746D3C" w:rsidRDefault="00746D3C" w:rsidP="007B3372">
            <w:pPr>
              <w:jc w:val="center"/>
            </w:pPr>
            <w:r>
              <w:t xml:space="preserve">               0</w:t>
            </w:r>
          </w:p>
          <w:p w14:paraId="5715A15B" w14:textId="77777777" w:rsidR="00746D3C" w:rsidRDefault="00746D3C" w:rsidP="007B3372">
            <w:pPr>
              <w:jc w:val="right"/>
            </w:pPr>
          </w:p>
          <w:p w14:paraId="73DC16D1" w14:textId="77777777" w:rsidR="00746D3C" w:rsidRPr="00BC2D55" w:rsidRDefault="00746D3C" w:rsidP="007B3372">
            <w:pPr>
              <w:jc w:val="right"/>
            </w:pPr>
            <w:r>
              <w:t>2 104 975</w:t>
            </w:r>
          </w:p>
        </w:tc>
      </w:tr>
    </w:tbl>
    <w:p w14:paraId="6BD03A41" w14:textId="77777777" w:rsidR="00746D3C" w:rsidRDefault="00746D3C" w:rsidP="00746D3C">
      <w:pPr>
        <w:rPr>
          <w:bCs/>
          <w:sz w:val="20"/>
          <w:szCs w:val="20"/>
        </w:rPr>
      </w:pPr>
    </w:p>
    <w:p w14:paraId="2E57BB5D" w14:textId="77777777" w:rsidR="00746D3C" w:rsidRDefault="00746D3C" w:rsidP="00746D3C">
      <w:pPr>
        <w:rPr>
          <w:bCs/>
          <w:sz w:val="20"/>
          <w:szCs w:val="20"/>
        </w:rPr>
      </w:pPr>
    </w:p>
    <w:p w14:paraId="76BB9A0D" w14:textId="77777777" w:rsidR="00746D3C" w:rsidRPr="007B7470" w:rsidRDefault="00746D3C" w:rsidP="00746D3C">
      <w:pPr>
        <w:rPr>
          <w:bCs/>
          <w:sz w:val="20"/>
          <w:szCs w:val="20"/>
        </w:rPr>
      </w:pPr>
      <w:r w:rsidRPr="007B7470">
        <w:rPr>
          <w:bCs/>
          <w:sz w:val="20"/>
          <w:szCs w:val="20"/>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746D3C" w:rsidRPr="007B7470" w14:paraId="19797F98" w14:textId="77777777" w:rsidTr="007B3372">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611D891" w14:textId="77777777" w:rsidR="00746D3C" w:rsidRPr="007B7470" w:rsidRDefault="00746D3C" w:rsidP="007B3372">
            <w:pPr>
              <w:rPr>
                <w:color w:val="000000"/>
              </w:rPr>
            </w:pPr>
            <w:r w:rsidRPr="007B7470">
              <w:rPr>
                <w:color w:val="000000"/>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5ADDF42" w14:textId="77777777" w:rsidR="00746D3C" w:rsidRPr="0065710B" w:rsidRDefault="00746D3C" w:rsidP="007B3372">
            <w:pPr>
              <w:jc w:val="center"/>
              <w:rPr>
                <w:b/>
                <w:bCs/>
                <w:color w:val="000000"/>
              </w:rPr>
            </w:pPr>
            <w:r w:rsidRPr="0065710B">
              <w:rPr>
                <w:b/>
                <w:bCs/>
                <w:color w:val="000000"/>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A5AC3BD" w14:textId="77777777" w:rsidR="00746D3C" w:rsidRPr="0065710B" w:rsidRDefault="00746D3C" w:rsidP="007B3372">
            <w:pPr>
              <w:jc w:val="center"/>
              <w:rPr>
                <w:b/>
                <w:bCs/>
                <w:color w:val="000000"/>
              </w:rPr>
            </w:pPr>
            <w:r w:rsidRPr="0065710B">
              <w:rPr>
                <w:b/>
                <w:bCs/>
                <w:color w:val="000000"/>
              </w:rPr>
              <w:t>2026</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713FE8E" w14:textId="77777777" w:rsidR="00746D3C" w:rsidRPr="0065710B" w:rsidRDefault="00746D3C" w:rsidP="007B3372">
            <w:pPr>
              <w:jc w:val="center"/>
              <w:rPr>
                <w:b/>
                <w:bCs/>
                <w:color w:val="000000"/>
              </w:rPr>
            </w:pPr>
            <w:r w:rsidRPr="0065710B">
              <w:rPr>
                <w:b/>
                <w:bCs/>
                <w:color w:val="000000"/>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5195FB5" w14:textId="77777777" w:rsidR="00746D3C" w:rsidRPr="0065710B" w:rsidRDefault="00746D3C" w:rsidP="007B3372">
            <w:pPr>
              <w:jc w:val="center"/>
              <w:rPr>
                <w:b/>
                <w:bCs/>
                <w:color w:val="000000"/>
              </w:rPr>
            </w:pPr>
            <w:r w:rsidRPr="0065710B">
              <w:rPr>
                <w:b/>
                <w:bCs/>
                <w:color w:val="000000"/>
              </w:rPr>
              <w:t>2028</w:t>
            </w:r>
          </w:p>
        </w:tc>
      </w:tr>
      <w:tr w:rsidR="00746D3C" w:rsidRPr="007B7470" w14:paraId="7421B96A" w14:textId="77777777" w:rsidTr="007B337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5209FB7" w14:textId="77777777" w:rsidR="00746D3C" w:rsidRPr="007B7470" w:rsidRDefault="00746D3C" w:rsidP="007B3372">
            <w:pPr>
              <w:rPr>
                <w:b/>
                <w:bCs/>
                <w:color w:val="000000" w:themeColor="text1"/>
              </w:rPr>
            </w:pPr>
            <w:r w:rsidRPr="007B7470">
              <w:rPr>
                <w:b/>
                <w:bCs/>
                <w:color w:val="000000" w:themeColor="text1"/>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2F9C23D8" w14:textId="77777777" w:rsidR="00746D3C" w:rsidRPr="007B7470" w:rsidRDefault="00746D3C" w:rsidP="007B3372">
            <w:pPr>
              <w:jc w:val="right"/>
              <w:rPr>
                <w:b/>
                <w:color w:val="000000"/>
              </w:rPr>
            </w:pPr>
            <w:r w:rsidRPr="007B7470">
              <w:rPr>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14:paraId="1417F2AF" w14:textId="77777777" w:rsidR="00746D3C" w:rsidRPr="007B7470" w:rsidRDefault="00746D3C" w:rsidP="007B3372">
            <w:pPr>
              <w:jc w:val="right"/>
              <w:rPr>
                <w:b/>
                <w:color w:val="000000"/>
              </w:rPr>
            </w:pPr>
            <w:r>
              <w:rPr>
                <w:b/>
                <w:color w:val="000000"/>
              </w:rPr>
              <w:t>10 818 574</w:t>
            </w:r>
          </w:p>
        </w:tc>
        <w:tc>
          <w:tcPr>
            <w:tcW w:w="1134" w:type="dxa"/>
            <w:tcBorders>
              <w:top w:val="nil"/>
              <w:left w:val="nil"/>
              <w:bottom w:val="single" w:sz="4" w:space="0" w:color="auto"/>
              <w:right w:val="single" w:sz="4" w:space="0" w:color="auto"/>
            </w:tcBorders>
            <w:shd w:val="clear" w:color="auto" w:fill="auto"/>
            <w:noWrap/>
            <w:vAlign w:val="center"/>
            <w:hideMark/>
          </w:tcPr>
          <w:p w14:paraId="75C5D58C" w14:textId="77777777" w:rsidR="00746D3C" w:rsidRPr="007B7470" w:rsidRDefault="00746D3C" w:rsidP="007B3372">
            <w:pPr>
              <w:jc w:val="right"/>
              <w:rPr>
                <w:b/>
                <w:color w:val="000000"/>
              </w:rPr>
            </w:pPr>
            <w:r>
              <w:rPr>
                <w:b/>
                <w:color w:val="000000"/>
              </w:rPr>
              <w:t>2 104 975</w:t>
            </w:r>
          </w:p>
        </w:tc>
        <w:tc>
          <w:tcPr>
            <w:tcW w:w="1418" w:type="dxa"/>
            <w:tcBorders>
              <w:top w:val="nil"/>
              <w:left w:val="nil"/>
              <w:bottom w:val="single" w:sz="4" w:space="0" w:color="auto"/>
              <w:right w:val="single" w:sz="4" w:space="0" w:color="auto"/>
            </w:tcBorders>
            <w:shd w:val="clear" w:color="auto" w:fill="auto"/>
            <w:noWrap/>
            <w:vAlign w:val="center"/>
            <w:hideMark/>
          </w:tcPr>
          <w:p w14:paraId="419E61FB" w14:textId="77777777" w:rsidR="00746D3C" w:rsidRPr="007B7470" w:rsidRDefault="00746D3C" w:rsidP="007B3372">
            <w:pPr>
              <w:jc w:val="right"/>
              <w:rPr>
                <w:b/>
                <w:color w:val="000000"/>
              </w:rPr>
            </w:pPr>
            <w:r>
              <w:rPr>
                <w:b/>
                <w:color w:val="000000"/>
              </w:rPr>
              <w:t>2 104 975</w:t>
            </w:r>
          </w:p>
        </w:tc>
      </w:tr>
      <w:tr w:rsidR="00746D3C" w:rsidRPr="007B7470" w14:paraId="15C0D9CC" w14:textId="77777777" w:rsidTr="007B337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CD3128A" w14:textId="77777777" w:rsidR="00746D3C" w:rsidRDefault="00746D3C" w:rsidP="007B3372">
            <w:r w:rsidRPr="00C43417">
              <w:t>v tom: kapitola MF SR/</w:t>
            </w:r>
          </w:p>
          <w:p w14:paraId="587B1BDC" w14:textId="77777777" w:rsidR="00746D3C" w:rsidRDefault="00746D3C" w:rsidP="007B3372">
            <w:r w:rsidRPr="00C43417">
              <w:t>072 Výber daní, cla, odvodov a príspevkov (</w:t>
            </w:r>
            <w:r>
              <w:t>org. </w:t>
            </w:r>
            <w:r w:rsidRPr="00C43417">
              <w:t>FR SR)</w:t>
            </w:r>
          </w:p>
          <w:p w14:paraId="05E8BE10" w14:textId="77777777" w:rsidR="00746D3C" w:rsidRDefault="00746D3C" w:rsidP="007B3372">
            <w:r w:rsidRPr="00A64944">
              <w:t>0EK 0D Informačné technológie financované zo ŠR - MF SR (org. MF SR - úrad)</w:t>
            </w:r>
          </w:p>
          <w:p w14:paraId="4CD017F2" w14:textId="77777777" w:rsidR="00746D3C" w:rsidRPr="007B7470" w:rsidRDefault="00746D3C" w:rsidP="007B3372">
            <w:pPr>
              <w:rPr>
                <w:color w:val="000000" w:themeColor="text1"/>
              </w:rPr>
            </w:pPr>
            <w:r w:rsidRPr="000709C9">
              <w:t>0EK 0D I</w:t>
            </w:r>
            <w:r>
              <w:t>nformačné technológie</w:t>
            </w:r>
            <w:r w:rsidRPr="000709C9">
              <w:t xml:space="preserve"> financované zo</w:t>
            </w:r>
            <w:r>
              <w:t> </w:t>
            </w:r>
            <w:r w:rsidRPr="000709C9">
              <w:t>ŠR – MF SR (</w:t>
            </w:r>
            <w:r>
              <w:t>org. </w:t>
            </w:r>
            <w:r w:rsidRPr="000709C9">
              <w:t>FR</w:t>
            </w:r>
            <w:r>
              <w:t> </w:t>
            </w:r>
            <w:r w:rsidRPr="000709C9">
              <w:t>SR)</w:t>
            </w:r>
          </w:p>
        </w:tc>
        <w:tc>
          <w:tcPr>
            <w:tcW w:w="1134" w:type="dxa"/>
            <w:tcBorders>
              <w:top w:val="nil"/>
              <w:left w:val="nil"/>
              <w:bottom w:val="single" w:sz="4" w:space="0" w:color="auto"/>
              <w:right w:val="single" w:sz="4" w:space="0" w:color="auto"/>
            </w:tcBorders>
            <w:shd w:val="clear" w:color="auto" w:fill="auto"/>
            <w:noWrap/>
            <w:vAlign w:val="center"/>
            <w:hideMark/>
          </w:tcPr>
          <w:p w14:paraId="6633783A" w14:textId="77777777" w:rsidR="00746D3C" w:rsidRDefault="00746D3C" w:rsidP="007B3372"/>
          <w:p w14:paraId="5F9836B0" w14:textId="77777777" w:rsidR="00746D3C" w:rsidRDefault="00746D3C" w:rsidP="007B3372"/>
          <w:p w14:paraId="6D76F42C" w14:textId="77777777" w:rsidR="00746D3C" w:rsidRDefault="00746D3C" w:rsidP="007B3372">
            <w:r>
              <w:t xml:space="preserve">              0</w:t>
            </w:r>
          </w:p>
          <w:p w14:paraId="07822DF4" w14:textId="77777777" w:rsidR="00746D3C" w:rsidRDefault="00746D3C" w:rsidP="007B3372">
            <w:pPr>
              <w:jc w:val="right"/>
            </w:pPr>
          </w:p>
          <w:p w14:paraId="2829A7C2" w14:textId="77777777" w:rsidR="00746D3C" w:rsidRDefault="00746D3C" w:rsidP="007B3372">
            <w:pPr>
              <w:jc w:val="center"/>
            </w:pPr>
            <w:r>
              <w:t xml:space="preserve">             0</w:t>
            </w:r>
          </w:p>
          <w:p w14:paraId="61158734" w14:textId="77777777" w:rsidR="00746D3C" w:rsidRDefault="00746D3C" w:rsidP="007B3372">
            <w:pPr>
              <w:jc w:val="right"/>
            </w:pPr>
          </w:p>
          <w:p w14:paraId="11F0CBE8" w14:textId="77777777" w:rsidR="00746D3C" w:rsidRPr="007B7470" w:rsidRDefault="00746D3C" w:rsidP="007B3372">
            <w:pPr>
              <w:jc w:val="center"/>
              <w:rPr>
                <w:color w:val="000000"/>
              </w:rPr>
            </w:pPr>
            <w:r>
              <w:t xml:space="preserve">             0 </w:t>
            </w:r>
          </w:p>
        </w:tc>
        <w:tc>
          <w:tcPr>
            <w:tcW w:w="1417" w:type="dxa"/>
            <w:tcBorders>
              <w:top w:val="nil"/>
              <w:left w:val="nil"/>
              <w:bottom w:val="single" w:sz="4" w:space="0" w:color="auto"/>
              <w:right w:val="single" w:sz="4" w:space="0" w:color="auto"/>
            </w:tcBorders>
            <w:shd w:val="clear" w:color="auto" w:fill="auto"/>
            <w:noWrap/>
            <w:vAlign w:val="center"/>
            <w:hideMark/>
          </w:tcPr>
          <w:p w14:paraId="5DCB39FA" w14:textId="77777777" w:rsidR="00746D3C" w:rsidRDefault="00746D3C" w:rsidP="007B3372">
            <w:pPr>
              <w:jc w:val="right"/>
            </w:pPr>
          </w:p>
          <w:p w14:paraId="587C1C96" w14:textId="77777777" w:rsidR="00746D3C" w:rsidRDefault="00746D3C" w:rsidP="007B3372">
            <w:pPr>
              <w:jc w:val="right"/>
            </w:pPr>
          </w:p>
          <w:p w14:paraId="2C618E7F" w14:textId="77777777" w:rsidR="00746D3C" w:rsidRDefault="00746D3C" w:rsidP="007B3372">
            <w:pPr>
              <w:jc w:val="right"/>
            </w:pPr>
            <w:r>
              <w:t>0</w:t>
            </w:r>
          </w:p>
          <w:p w14:paraId="35A4561C" w14:textId="77777777" w:rsidR="00746D3C" w:rsidRDefault="00746D3C" w:rsidP="007B3372">
            <w:pPr>
              <w:jc w:val="right"/>
            </w:pPr>
          </w:p>
          <w:p w14:paraId="7C883DF2" w14:textId="77777777" w:rsidR="00746D3C" w:rsidRDefault="00746D3C" w:rsidP="007B3372">
            <w:pPr>
              <w:jc w:val="right"/>
            </w:pPr>
            <w:r>
              <w:t>0</w:t>
            </w:r>
          </w:p>
          <w:p w14:paraId="11BD5B96" w14:textId="77777777" w:rsidR="00746D3C" w:rsidRDefault="00746D3C" w:rsidP="007B3372">
            <w:pPr>
              <w:jc w:val="right"/>
            </w:pPr>
          </w:p>
          <w:p w14:paraId="286F47E9" w14:textId="77777777" w:rsidR="00746D3C" w:rsidRPr="007B7470" w:rsidRDefault="00746D3C" w:rsidP="007B3372">
            <w:pPr>
              <w:jc w:val="right"/>
              <w:rPr>
                <w:color w:val="000000"/>
              </w:rPr>
            </w:pPr>
            <w:r>
              <w:t>10 818 </w:t>
            </w:r>
            <w:r w:rsidRPr="003C6B19">
              <w:t>574</w:t>
            </w:r>
          </w:p>
        </w:tc>
        <w:tc>
          <w:tcPr>
            <w:tcW w:w="1134" w:type="dxa"/>
            <w:tcBorders>
              <w:top w:val="nil"/>
              <w:left w:val="nil"/>
              <w:bottom w:val="single" w:sz="4" w:space="0" w:color="auto"/>
              <w:right w:val="single" w:sz="4" w:space="0" w:color="auto"/>
            </w:tcBorders>
            <w:shd w:val="clear" w:color="auto" w:fill="auto"/>
            <w:noWrap/>
            <w:vAlign w:val="center"/>
            <w:hideMark/>
          </w:tcPr>
          <w:p w14:paraId="502674E2" w14:textId="77777777" w:rsidR="00746D3C" w:rsidRDefault="00746D3C" w:rsidP="007B3372">
            <w:pPr>
              <w:jc w:val="right"/>
            </w:pPr>
          </w:p>
          <w:p w14:paraId="6E5EE7A0" w14:textId="77777777" w:rsidR="00746D3C" w:rsidRDefault="00746D3C" w:rsidP="007B3372">
            <w:pPr>
              <w:jc w:val="right"/>
            </w:pPr>
          </w:p>
          <w:p w14:paraId="49E8EA0C" w14:textId="77777777" w:rsidR="00746D3C" w:rsidRDefault="00746D3C" w:rsidP="007B3372">
            <w:pPr>
              <w:jc w:val="right"/>
            </w:pPr>
            <w:r>
              <w:t>0</w:t>
            </w:r>
          </w:p>
          <w:p w14:paraId="0767B132" w14:textId="77777777" w:rsidR="00746D3C" w:rsidRDefault="00746D3C" w:rsidP="007B3372">
            <w:pPr>
              <w:jc w:val="right"/>
            </w:pPr>
          </w:p>
          <w:p w14:paraId="30056EAE" w14:textId="77777777" w:rsidR="00746D3C" w:rsidRDefault="00746D3C" w:rsidP="007B3372">
            <w:pPr>
              <w:jc w:val="right"/>
            </w:pPr>
            <w:r>
              <w:t>0</w:t>
            </w:r>
          </w:p>
          <w:p w14:paraId="5B73E6CC" w14:textId="77777777" w:rsidR="00746D3C" w:rsidRDefault="00746D3C" w:rsidP="007B3372">
            <w:pPr>
              <w:jc w:val="right"/>
            </w:pPr>
          </w:p>
          <w:p w14:paraId="0869F4EF" w14:textId="77777777" w:rsidR="00746D3C" w:rsidRPr="007B7470" w:rsidRDefault="00746D3C" w:rsidP="007B3372">
            <w:pPr>
              <w:jc w:val="right"/>
              <w:rPr>
                <w:color w:val="000000"/>
              </w:rPr>
            </w:pPr>
            <w:r w:rsidRPr="003C6B19">
              <w:t xml:space="preserve">2 </w:t>
            </w:r>
            <w:r>
              <w:t>10</w:t>
            </w:r>
            <w:r w:rsidRPr="003C6B19">
              <w:t>4</w:t>
            </w:r>
            <w:r>
              <w:t> </w:t>
            </w:r>
            <w:r w:rsidRPr="003C6B19">
              <w:t>975</w:t>
            </w:r>
          </w:p>
        </w:tc>
        <w:tc>
          <w:tcPr>
            <w:tcW w:w="1418" w:type="dxa"/>
            <w:tcBorders>
              <w:top w:val="nil"/>
              <w:left w:val="nil"/>
              <w:bottom w:val="single" w:sz="4" w:space="0" w:color="auto"/>
              <w:right w:val="single" w:sz="4" w:space="0" w:color="auto"/>
            </w:tcBorders>
            <w:shd w:val="clear" w:color="auto" w:fill="auto"/>
            <w:noWrap/>
            <w:vAlign w:val="center"/>
            <w:hideMark/>
          </w:tcPr>
          <w:p w14:paraId="63E6199D" w14:textId="77777777" w:rsidR="00746D3C" w:rsidRDefault="00746D3C" w:rsidP="007B3372">
            <w:pPr>
              <w:jc w:val="right"/>
            </w:pPr>
          </w:p>
          <w:p w14:paraId="0D717CFF" w14:textId="77777777" w:rsidR="00746D3C" w:rsidRDefault="00746D3C" w:rsidP="007B3372">
            <w:pPr>
              <w:jc w:val="right"/>
            </w:pPr>
          </w:p>
          <w:p w14:paraId="55D4F7C3" w14:textId="77777777" w:rsidR="00746D3C" w:rsidRDefault="00746D3C" w:rsidP="007B3372">
            <w:pPr>
              <w:jc w:val="right"/>
            </w:pPr>
            <w:r>
              <w:t>0</w:t>
            </w:r>
          </w:p>
          <w:p w14:paraId="6631C55C" w14:textId="77777777" w:rsidR="00746D3C" w:rsidRDefault="00746D3C" w:rsidP="007B3372">
            <w:pPr>
              <w:jc w:val="right"/>
            </w:pPr>
          </w:p>
          <w:p w14:paraId="1E6D4C3E" w14:textId="77777777" w:rsidR="00746D3C" w:rsidRDefault="00746D3C" w:rsidP="007B3372">
            <w:pPr>
              <w:jc w:val="right"/>
            </w:pPr>
            <w:r>
              <w:t>0</w:t>
            </w:r>
          </w:p>
          <w:p w14:paraId="621296A0" w14:textId="77777777" w:rsidR="00746D3C" w:rsidRDefault="00746D3C" w:rsidP="007B3372">
            <w:pPr>
              <w:jc w:val="right"/>
            </w:pPr>
          </w:p>
          <w:p w14:paraId="7E29697D" w14:textId="77777777" w:rsidR="00746D3C" w:rsidRPr="007B7470" w:rsidRDefault="00746D3C" w:rsidP="007B3372">
            <w:pPr>
              <w:jc w:val="right"/>
              <w:rPr>
                <w:color w:val="000000"/>
              </w:rPr>
            </w:pPr>
            <w:r w:rsidRPr="003C6B19">
              <w:t xml:space="preserve">2 </w:t>
            </w:r>
            <w:r>
              <w:t>10</w:t>
            </w:r>
            <w:r w:rsidRPr="003C6B19">
              <w:t>4 975</w:t>
            </w:r>
          </w:p>
        </w:tc>
      </w:tr>
      <w:tr w:rsidR="00746D3C" w:rsidRPr="007B7470" w14:paraId="0F593986" w14:textId="77777777" w:rsidTr="007B337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270247A" w14:textId="77777777" w:rsidR="00746D3C" w:rsidRPr="007B7470" w:rsidRDefault="00746D3C" w:rsidP="007B3372">
            <w:pPr>
              <w:rPr>
                <w:b/>
                <w:color w:val="000000" w:themeColor="text1"/>
              </w:rPr>
            </w:pPr>
            <w:r w:rsidRPr="007B7470">
              <w:rPr>
                <w:b/>
                <w:color w:val="000000" w:themeColor="text1"/>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43342D18" w14:textId="77777777" w:rsidR="00746D3C" w:rsidRPr="007B7470" w:rsidRDefault="00746D3C" w:rsidP="007B3372">
            <w:pPr>
              <w:rPr>
                <w:color w:val="000000"/>
              </w:rPr>
            </w:pPr>
            <w:r w:rsidRPr="007B7470">
              <w:rPr>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14:paraId="43B2C437" w14:textId="77777777" w:rsidR="00746D3C" w:rsidRPr="007B7470" w:rsidRDefault="00746D3C" w:rsidP="007B3372">
            <w:pPr>
              <w:rPr>
                <w:color w:val="000000"/>
              </w:rPr>
            </w:pPr>
            <w:r w:rsidRPr="007B7470">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C1E4B4C" w14:textId="77777777" w:rsidR="00746D3C" w:rsidRPr="007B7470" w:rsidRDefault="00746D3C" w:rsidP="007B3372">
            <w:pPr>
              <w:rPr>
                <w:color w:val="000000"/>
              </w:rPr>
            </w:pPr>
            <w:r w:rsidRPr="007B747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713B69DD" w14:textId="77777777" w:rsidR="00746D3C" w:rsidRPr="007B7470" w:rsidRDefault="00746D3C" w:rsidP="007B3372">
            <w:pPr>
              <w:rPr>
                <w:color w:val="000000"/>
              </w:rPr>
            </w:pPr>
            <w:r w:rsidRPr="007B7470">
              <w:rPr>
                <w:color w:val="000000"/>
              </w:rPr>
              <w:t> </w:t>
            </w:r>
          </w:p>
        </w:tc>
      </w:tr>
      <w:tr w:rsidR="00746D3C" w:rsidRPr="007B7470" w14:paraId="12362B4A" w14:textId="77777777" w:rsidTr="007B337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D00956E" w14:textId="77777777" w:rsidR="00746D3C" w:rsidRDefault="00746D3C" w:rsidP="007B3372">
            <w:pPr>
              <w:rPr>
                <w:b/>
                <w:bCs/>
                <w:color w:val="000000" w:themeColor="text1"/>
              </w:rPr>
            </w:pPr>
            <w:r w:rsidRPr="007B7470">
              <w:rPr>
                <w:b/>
                <w:bCs/>
                <w:color w:val="000000" w:themeColor="text1"/>
              </w:rPr>
              <w:t>vplyv na limit verejných výdavkov ŠR</w:t>
            </w:r>
          </w:p>
          <w:p w14:paraId="4A718F4D" w14:textId="77777777" w:rsidR="00746D3C" w:rsidRDefault="00746D3C" w:rsidP="007B3372">
            <w:r w:rsidRPr="00C43417">
              <w:t>v tom: kapitola MF SR/</w:t>
            </w:r>
          </w:p>
          <w:p w14:paraId="01935E02" w14:textId="77777777" w:rsidR="00746D3C" w:rsidRDefault="00746D3C" w:rsidP="007B3372">
            <w:r w:rsidRPr="00C43417">
              <w:t>072 Výber daní, cla, odvodov a príspevkov (</w:t>
            </w:r>
            <w:r>
              <w:t>org. </w:t>
            </w:r>
            <w:r w:rsidRPr="00C43417">
              <w:t>FR SR)</w:t>
            </w:r>
          </w:p>
          <w:p w14:paraId="0D8A2ED3" w14:textId="77777777" w:rsidR="00746D3C" w:rsidRDefault="00746D3C" w:rsidP="007B3372">
            <w:r w:rsidRPr="00A64944">
              <w:t>0EK 0D Informačné technológie financované zo ŠR - MF SR (org. MF SR - úrad)</w:t>
            </w:r>
          </w:p>
          <w:p w14:paraId="0932FBB2" w14:textId="77777777" w:rsidR="00746D3C" w:rsidRPr="007B7470" w:rsidRDefault="00746D3C" w:rsidP="007B3372">
            <w:pPr>
              <w:rPr>
                <w:b/>
                <w:bCs/>
                <w:color w:val="000000" w:themeColor="text1"/>
              </w:rPr>
            </w:pPr>
            <w:r w:rsidRPr="000709C9">
              <w:t>0EK 0D I</w:t>
            </w:r>
            <w:r>
              <w:t>nformačné technológie</w:t>
            </w:r>
            <w:r w:rsidRPr="000709C9">
              <w:t xml:space="preserve"> financované zo</w:t>
            </w:r>
            <w:r>
              <w:t> </w:t>
            </w:r>
            <w:r w:rsidRPr="000709C9">
              <w:t>ŠR – MF SR (</w:t>
            </w:r>
            <w:r>
              <w:t>org. </w:t>
            </w:r>
            <w:r w:rsidRPr="000709C9">
              <w:t>FR</w:t>
            </w:r>
            <w:r>
              <w:t> </w:t>
            </w:r>
            <w:r w:rsidRPr="000709C9">
              <w:t>SR)</w:t>
            </w:r>
          </w:p>
        </w:tc>
        <w:tc>
          <w:tcPr>
            <w:tcW w:w="1134" w:type="dxa"/>
            <w:tcBorders>
              <w:top w:val="nil"/>
              <w:left w:val="nil"/>
              <w:bottom w:val="single" w:sz="4" w:space="0" w:color="auto"/>
              <w:right w:val="single" w:sz="4" w:space="0" w:color="auto"/>
            </w:tcBorders>
            <w:shd w:val="clear" w:color="auto" w:fill="auto"/>
            <w:noWrap/>
            <w:vAlign w:val="center"/>
            <w:hideMark/>
          </w:tcPr>
          <w:p w14:paraId="03EE8CA2" w14:textId="77777777" w:rsidR="00746D3C" w:rsidRDefault="00746D3C" w:rsidP="007B3372">
            <w:pPr>
              <w:jc w:val="right"/>
            </w:pPr>
          </w:p>
          <w:p w14:paraId="7195DE14" w14:textId="77777777" w:rsidR="00746D3C" w:rsidRDefault="00746D3C" w:rsidP="007B3372">
            <w:pPr>
              <w:jc w:val="right"/>
            </w:pPr>
          </w:p>
          <w:p w14:paraId="1D75A8CE" w14:textId="77777777" w:rsidR="00746D3C" w:rsidRDefault="00746D3C" w:rsidP="007B3372">
            <w:pPr>
              <w:jc w:val="right"/>
            </w:pPr>
            <w:r>
              <w:t xml:space="preserve">        </w:t>
            </w:r>
          </w:p>
          <w:p w14:paraId="45D9A88C" w14:textId="77777777" w:rsidR="00746D3C" w:rsidRDefault="00746D3C" w:rsidP="007B3372">
            <w:pPr>
              <w:jc w:val="right"/>
            </w:pPr>
            <w:r>
              <w:t xml:space="preserve">              0</w:t>
            </w:r>
          </w:p>
          <w:p w14:paraId="4A23E82A" w14:textId="77777777" w:rsidR="00746D3C" w:rsidRDefault="00746D3C" w:rsidP="007B3372">
            <w:pPr>
              <w:jc w:val="right"/>
            </w:pPr>
          </w:p>
          <w:p w14:paraId="5E8E5CE9" w14:textId="77777777" w:rsidR="00746D3C" w:rsidRDefault="00746D3C" w:rsidP="007B3372">
            <w:pPr>
              <w:jc w:val="right"/>
            </w:pPr>
            <w:r>
              <w:t xml:space="preserve">             0</w:t>
            </w:r>
          </w:p>
          <w:p w14:paraId="168F45B1" w14:textId="77777777" w:rsidR="00746D3C" w:rsidRDefault="00746D3C" w:rsidP="007B3372">
            <w:pPr>
              <w:jc w:val="right"/>
            </w:pPr>
          </w:p>
          <w:p w14:paraId="1171521F" w14:textId="77777777" w:rsidR="00746D3C" w:rsidRPr="007B7470" w:rsidRDefault="00746D3C" w:rsidP="007B3372">
            <w:pPr>
              <w:jc w:val="right"/>
              <w:rPr>
                <w:b/>
                <w:color w:val="000000"/>
              </w:rPr>
            </w:pPr>
            <w:r>
              <w:t xml:space="preserve">             0 </w:t>
            </w:r>
          </w:p>
        </w:tc>
        <w:tc>
          <w:tcPr>
            <w:tcW w:w="1417" w:type="dxa"/>
            <w:tcBorders>
              <w:top w:val="nil"/>
              <w:left w:val="nil"/>
              <w:bottom w:val="single" w:sz="4" w:space="0" w:color="auto"/>
              <w:right w:val="single" w:sz="4" w:space="0" w:color="auto"/>
            </w:tcBorders>
            <w:shd w:val="clear" w:color="auto" w:fill="auto"/>
            <w:noWrap/>
            <w:vAlign w:val="center"/>
            <w:hideMark/>
          </w:tcPr>
          <w:p w14:paraId="4368394A" w14:textId="77777777" w:rsidR="00746D3C" w:rsidRDefault="00746D3C" w:rsidP="007B3372">
            <w:pPr>
              <w:jc w:val="right"/>
            </w:pPr>
          </w:p>
          <w:p w14:paraId="106AB768" w14:textId="77777777" w:rsidR="00746D3C" w:rsidRDefault="00746D3C" w:rsidP="007B3372">
            <w:pPr>
              <w:jc w:val="right"/>
            </w:pPr>
          </w:p>
          <w:p w14:paraId="690ADD5B" w14:textId="77777777" w:rsidR="00746D3C" w:rsidRDefault="00746D3C" w:rsidP="007B3372">
            <w:pPr>
              <w:jc w:val="right"/>
            </w:pPr>
          </w:p>
          <w:p w14:paraId="60DADE53" w14:textId="77777777" w:rsidR="00746D3C" w:rsidRDefault="00746D3C" w:rsidP="007B3372">
            <w:pPr>
              <w:jc w:val="right"/>
            </w:pPr>
            <w:r>
              <w:t>0</w:t>
            </w:r>
          </w:p>
          <w:p w14:paraId="478FF011" w14:textId="77777777" w:rsidR="00746D3C" w:rsidRDefault="00746D3C" w:rsidP="007B3372">
            <w:pPr>
              <w:jc w:val="right"/>
            </w:pPr>
          </w:p>
          <w:p w14:paraId="77F994D0" w14:textId="77777777" w:rsidR="00746D3C" w:rsidRDefault="00746D3C" w:rsidP="007B3372">
            <w:pPr>
              <w:jc w:val="right"/>
            </w:pPr>
            <w:r>
              <w:t>0</w:t>
            </w:r>
          </w:p>
          <w:p w14:paraId="3CCEEB32" w14:textId="77777777" w:rsidR="00746D3C" w:rsidRDefault="00746D3C" w:rsidP="007B3372">
            <w:pPr>
              <w:jc w:val="right"/>
            </w:pPr>
          </w:p>
          <w:p w14:paraId="6921ABE9" w14:textId="77777777" w:rsidR="00746D3C" w:rsidRPr="007B7470" w:rsidRDefault="00746D3C" w:rsidP="007B3372">
            <w:pPr>
              <w:jc w:val="right"/>
              <w:rPr>
                <w:b/>
                <w:color w:val="000000"/>
              </w:rPr>
            </w:pPr>
            <w:r>
              <w:t>10 818 </w:t>
            </w:r>
            <w:r w:rsidRPr="003C6B19">
              <w:t>574</w:t>
            </w:r>
          </w:p>
        </w:tc>
        <w:tc>
          <w:tcPr>
            <w:tcW w:w="1134" w:type="dxa"/>
            <w:tcBorders>
              <w:top w:val="nil"/>
              <w:left w:val="nil"/>
              <w:bottom w:val="single" w:sz="4" w:space="0" w:color="auto"/>
              <w:right w:val="single" w:sz="4" w:space="0" w:color="auto"/>
            </w:tcBorders>
            <w:shd w:val="clear" w:color="auto" w:fill="auto"/>
            <w:noWrap/>
            <w:vAlign w:val="center"/>
            <w:hideMark/>
          </w:tcPr>
          <w:p w14:paraId="4BCD062D" w14:textId="77777777" w:rsidR="00746D3C" w:rsidRDefault="00746D3C" w:rsidP="007B3372">
            <w:pPr>
              <w:jc w:val="right"/>
            </w:pPr>
          </w:p>
          <w:p w14:paraId="1372C1D8" w14:textId="77777777" w:rsidR="00746D3C" w:rsidRDefault="00746D3C" w:rsidP="007B3372">
            <w:pPr>
              <w:jc w:val="right"/>
            </w:pPr>
          </w:p>
          <w:p w14:paraId="3483389C" w14:textId="77777777" w:rsidR="00746D3C" w:rsidRDefault="00746D3C" w:rsidP="007B3372">
            <w:pPr>
              <w:jc w:val="right"/>
            </w:pPr>
          </w:p>
          <w:p w14:paraId="291F9AE8" w14:textId="77777777" w:rsidR="00746D3C" w:rsidRDefault="00746D3C" w:rsidP="007B3372">
            <w:pPr>
              <w:jc w:val="right"/>
            </w:pPr>
            <w:r>
              <w:t>0</w:t>
            </w:r>
          </w:p>
          <w:p w14:paraId="3C866EC7" w14:textId="77777777" w:rsidR="00746D3C" w:rsidRDefault="00746D3C" w:rsidP="007B3372">
            <w:pPr>
              <w:jc w:val="right"/>
            </w:pPr>
          </w:p>
          <w:p w14:paraId="0C54A07D" w14:textId="77777777" w:rsidR="00746D3C" w:rsidRDefault="00746D3C" w:rsidP="007B3372">
            <w:pPr>
              <w:jc w:val="right"/>
            </w:pPr>
            <w:r>
              <w:t>0</w:t>
            </w:r>
          </w:p>
          <w:p w14:paraId="259D86DF" w14:textId="77777777" w:rsidR="00746D3C" w:rsidRDefault="00746D3C" w:rsidP="007B3372">
            <w:pPr>
              <w:jc w:val="right"/>
            </w:pPr>
          </w:p>
          <w:p w14:paraId="274BD9FA" w14:textId="77777777" w:rsidR="00746D3C" w:rsidRPr="007B7470" w:rsidRDefault="00746D3C" w:rsidP="007B3372">
            <w:pPr>
              <w:jc w:val="right"/>
              <w:rPr>
                <w:b/>
                <w:color w:val="000000"/>
              </w:rPr>
            </w:pPr>
            <w:r w:rsidRPr="003C6B19">
              <w:t xml:space="preserve">2 </w:t>
            </w:r>
            <w:r>
              <w:t>10</w:t>
            </w:r>
            <w:r w:rsidRPr="003C6B19">
              <w:t>4</w:t>
            </w:r>
            <w:r>
              <w:t> </w:t>
            </w:r>
            <w:r w:rsidRPr="003C6B19">
              <w:t>975</w:t>
            </w:r>
          </w:p>
        </w:tc>
        <w:tc>
          <w:tcPr>
            <w:tcW w:w="1418" w:type="dxa"/>
            <w:tcBorders>
              <w:top w:val="nil"/>
              <w:left w:val="nil"/>
              <w:bottom w:val="single" w:sz="4" w:space="0" w:color="auto"/>
              <w:right w:val="single" w:sz="4" w:space="0" w:color="auto"/>
            </w:tcBorders>
            <w:shd w:val="clear" w:color="auto" w:fill="auto"/>
            <w:noWrap/>
            <w:vAlign w:val="center"/>
            <w:hideMark/>
          </w:tcPr>
          <w:p w14:paraId="23F611CE" w14:textId="77777777" w:rsidR="00746D3C" w:rsidRDefault="00746D3C" w:rsidP="007B3372">
            <w:pPr>
              <w:jc w:val="right"/>
            </w:pPr>
          </w:p>
          <w:p w14:paraId="3215D857" w14:textId="77777777" w:rsidR="00746D3C" w:rsidRDefault="00746D3C" w:rsidP="007B3372">
            <w:pPr>
              <w:jc w:val="right"/>
            </w:pPr>
          </w:p>
          <w:p w14:paraId="0B19468B" w14:textId="77777777" w:rsidR="00746D3C" w:rsidRDefault="00746D3C" w:rsidP="007B3372">
            <w:pPr>
              <w:jc w:val="right"/>
            </w:pPr>
          </w:p>
          <w:p w14:paraId="63B3FA2A" w14:textId="77777777" w:rsidR="00746D3C" w:rsidRDefault="00746D3C" w:rsidP="007B3372">
            <w:pPr>
              <w:jc w:val="right"/>
            </w:pPr>
            <w:r>
              <w:t>0</w:t>
            </w:r>
          </w:p>
          <w:p w14:paraId="0A911BE4" w14:textId="77777777" w:rsidR="00746D3C" w:rsidRDefault="00746D3C" w:rsidP="007B3372">
            <w:pPr>
              <w:jc w:val="right"/>
            </w:pPr>
          </w:p>
          <w:p w14:paraId="7BE7AC40" w14:textId="77777777" w:rsidR="00746D3C" w:rsidRDefault="00746D3C" w:rsidP="007B3372">
            <w:pPr>
              <w:jc w:val="right"/>
            </w:pPr>
            <w:r>
              <w:t>0</w:t>
            </w:r>
          </w:p>
          <w:p w14:paraId="01C81CD3" w14:textId="77777777" w:rsidR="00746D3C" w:rsidRDefault="00746D3C" w:rsidP="007B3372">
            <w:pPr>
              <w:jc w:val="right"/>
            </w:pPr>
          </w:p>
          <w:p w14:paraId="75066AA5" w14:textId="77777777" w:rsidR="00746D3C" w:rsidRPr="007B7470" w:rsidRDefault="00746D3C" w:rsidP="007B3372">
            <w:pPr>
              <w:jc w:val="right"/>
              <w:rPr>
                <w:b/>
                <w:color w:val="000000"/>
              </w:rPr>
            </w:pPr>
            <w:r w:rsidRPr="003C6B19">
              <w:t xml:space="preserve">2 </w:t>
            </w:r>
            <w:r>
              <w:t>10</w:t>
            </w:r>
            <w:r w:rsidRPr="003C6B19">
              <w:t>4 975</w:t>
            </w:r>
          </w:p>
        </w:tc>
      </w:tr>
      <w:tr w:rsidR="00746D3C" w:rsidRPr="007B7470" w14:paraId="2D01944B" w14:textId="77777777" w:rsidTr="007B337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3277D4A" w14:textId="77777777" w:rsidR="00746D3C" w:rsidRPr="007B7470" w:rsidRDefault="00746D3C" w:rsidP="007B3372">
            <w:pPr>
              <w:rPr>
                <w:b/>
                <w:bCs/>
                <w:color w:val="000000" w:themeColor="text1"/>
              </w:rPr>
            </w:pPr>
            <w:r w:rsidRPr="007B7470">
              <w:rPr>
                <w:b/>
                <w:bCs/>
                <w:color w:val="000000" w:themeColor="text1"/>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5CFE5DB1" w14:textId="77777777" w:rsidR="00746D3C" w:rsidRPr="007B7470" w:rsidRDefault="00746D3C" w:rsidP="007B3372">
            <w:pPr>
              <w:jc w:val="right"/>
              <w:rPr>
                <w:b/>
                <w:color w:val="000000"/>
              </w:rPr>
            </w:pPr>
            <w:r w:rsidRPr="007B7470">
              <w:rPr>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14:paraId="255D3907" w14:textId="77777777" w:rsidR="00746D3C" w:rsidRPr="007B7470" w:rsidRDefault="00746D3C" w:rsidP="007B3372">
            <w:pPr>
              <w:jc w:val="right"/>
              <w:rPr>
                <w:b/>
                <w:color w:val="000000"/>
              </w:rPr>
            </w:pPr>
            <w:r w:rsidRPr="007B7470">
              <w:rPr>
                <w:b/>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4618056" w14:textId="77777777" w:rsidR="00746D3C" w:rsidRPr="007B7470" w:rsidRDefault="00746D3C" w:rsidP="007B3372">
            <w:pPr>
              <w:jc w:val="right"/>
              <w:rPr>
                <w:b/>
                <w:color w:val="000000"/>
              </w:rPr>
            </w:pPr>
            <w:r w:rsidRPr="007B7470">
              <w:rPr>
                <w:b/>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14:paraId="2B851EF6" w14:textId="77777777" w:rsidR="00746D3C" w:rsidRPr="007B7470" w:rsidRDefault="00746D3C" w:rsidP="007B3372">
            <w:pPr>
              <w:jc w:val="right"/>
              <w:rPr>
                <w:b/>
                <w:color w:val="000000"/>
              </w:rPr>
            </w:pPr>
            <w:r w:rsidRPr="007B7470">
              <w:rPr>
                <w:b/>
                <w:color w:val="000000"/>
              </w:rPr>
              <w:t>0</w:t>
            </w:r>
          </w:p>
        </w:tc>
      </w:tr>
      <w:tr w:rsidR="00746D3C" w:rsidRPr="007B7470" w14:paraId="00E09852" w14:textId="77777777" w:rsidTr="007B3372">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0A2BB51" w14:textId="77777777" w:rsidR="00746D3C" w:rsidRPr="007B7470" w:rsidRDefault="00746D3C" w:rsidP="007B3372">
            <w:pPr>
              <w:rPr>
                <w:b/>
                <w:bCs/>
                <w:color w:val="000000" w:themeColor="text1"/>
              </w:rPr>
            </w:pPr>
            <w:r w:rsidRPr="007B7470">
              <w:rPr>
                <w:b/>
                <w:bCs/>
                <w:color w:val="000000" w:themeColor="text1"/>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F8E37F" w14:textId="77777777" w:rsidR="00746D3C" w:rsidRPr="007B7470" w:rsidRDefault="00746D3C" w:rsidP="007B3372">
            <w:pPr>
              <w:jc w:val="right"/>
              <w:rPr>
                <w:b/>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03C6D83" w14:textId="77777777" w:rsidR="00746D3C" w:rsidRPr="007B7470" w:rsidRDefault="00746D3C" w:rsidP="007B3372">
            <w:pPr>
              <w:jc w:val="right"/>
              <w:rPr>
                <w:b/>
                <w:color w:val="000000"/>
              </w:rPr>
            </w:pPr>
            <w:r>
              <w:rPr>
                <w:b/>
                <w:color w:val="000000"/>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41DD22" w14:textId="77777777" w:rsidR="00746D3C" w:rsidRPr="007B7470" w:rsidRDefault="00746D3C" w:rsidP="007B3372">
            <w:pPr>
              <w:jc w:val="right"/>
              <w:rPr>
                <w:b/>
                <w:color w:val="000000"/>
              </w:rPr>
            </w:pPr>
            <w:r>
              <w:rPr>
                <w:b/>
                <w:color w:val="000000"/>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ECD3113" w14:textId="77777777" w:rsidR="00746D3C" w:rsidRPr="007B7470" w:rsidRDefault="00746D3C" w:rsidP="007B3372">
            <w:pPr>
              <w:jc w:val="right"/>
              <w:rPr>
                <w:b/>
                <w:color w:val="000000"/>
              </w:rPr>
            </w:pPr>
            <w:r>
              <w:rPr>
                <w:b/>
                <w:color w:val="000000"/>
              </w:rPr>
              <w:t>0</w:t>
            </w:r>
          </w:p>
        </w:tc>
      </w:tr>
    </w:tbl>
    <w:p w14:paraId="43404347" w14:textId="77777777" w:rsidR="00746D3C" w:rsidRPr="007B7470" w:rsidRDefault="00746D3C" w:rsidP="00746D3C">
      <w:pPr>
        <w:rPr>
          <w:b/>
          <w:bCs/>
        </w:rPr>
      </w:pPr>
    </w:p>
    <w:p w14:paraId="1361CB32" w14:textId="77777777" w:rsidR="00746D3C" w:rsidRPr="007B7470" w:rsidRDefault="00746D3C" w:rsidP="00746D3C">
      <w:pPr>
        <w:rPr>
          <w:b/>
          <w:bCs/>
        </w:rPr>
      </w:pPr>
      <w:r w:rsidRPr="007B7470">
        <w:rPr>
          <w:b/>
          <w:bCs/>
        </w:rPr>
        <w:t>2.1.1. Financovanie návrhu - Návrh na riešenie úbytku príjmov alebo zvýšených výdavkov podľa § 33 ods. 1 zákona č. 523/2004 Z. z. o rozpočtových pravidlách verejnej správy:</w:t>
      </w:r>
    </w:p>
    <w:p w14:paraId="29BCF849" w14:textId="77777777" w:rsidR="00746D3C" w:rsidRPr="007B7470" w:rsidRDefault="00746D3C" w:rsidP="00746D3C">
      <w:pPr>
        <w:jc w:val="both"/>
        <w:rPr>
          <w:b/>
          <w:bCs/>
          <w:sz w:val="12"/>
        </w:rPr>
      </w:pPr>
    </w:p>
    <w:p w14:paraId="518DC80F" w14:textId="77777777" w:rsidR="00746D3C" w:rsidRDefault="00746D3C" w:rsidP="00746D3C">
      <w:pPr>
        <w:pBdr>
          <w:top w:val="single" w:sz="4" w:space="1" w:color="auto"/>
          <w:left w:val="single" w:sz="4" w:space="4" w:color="auto"/>
          <w:bottom w:val="single" w:sz="4" w:space="0" w:color="auto"/>
          <w:right w:val="single" w:sz="4" w:space="4" w:color="auto"/>
        </w:pBdr>
        <w:jc w:val="both"/>
      </w:pPr>
      <w:r w:rsidRPr="00254373">
        <w:t xml:space="preserve">Plnenie návrhu </w:t>
      </w:r>
      <w:r w:rsidRPr="00C111FF">
        <w:t xml:space="preserve">zákona je podmienené úpravami </w:t>
      </w:r>
      <w:r w:rsidRPr="001078EE">
        <w:t>informačných systémov</w:t>
      </w:r>
      <w:r w:rsidRPr="00C111FF">
        <w:t xml:space="preserve"> </w:t>
      </w:r>
      <w:r w:rsidRPr="001078EE">
        <w:t>Ministerstva financií SR (ďalej len „MF SR“)</w:t>
      </w:r>
      <w:r w:rsidRPr="00C111FF">
        <w:t xml:space="preserve"> a Finančného riaditeľstva S</w:t>
      </w:r>
      <w:r>
        <w:t>R</w:t>
      </w:r>
      <w:r w:rsidRPr="00C111FF">
        <w:t xml:space="preserve"> (ďalej len „FR</w:t>
      </w:r>
      <w:r>
        <w:t xml:space="preserve"> </w:t>
      </w:r>
      <w:r w:rsidRPr="00C111FF">
        <w:t>SR“) v</w:t>
      </w:r>
      <w:r>
        <w:t xml:space="preserve"> maximálnej odhadovanej </w:t>
      </w:r>
      <w:r w:rsidRPr="00C111FF">
        <w:t>výške</w:t>
      </w:r>
      <w:r>
        <w:t xml:space="preserve"> do</w:t>
      </w:r>
      <w:r w:rsidRPr="00C111FF">
        <w:t xml:space="preserve"> </w:t>
      </w:r>
      <w:r>
        <w:t>15 739 862</w:t>
      </w:r>
      <w:r w:rsidRPr="00C111FF">
        <w:t xml:space="preserve"> eur</w:t>
      </w:r>
      <w:r>
        <w:t>, z toho:</w:t>
      </w:r>
    </w:p>
    <w:p w14:paraId="4740C27D" w14:textId="77777777" w:rsidR="00746D3C" w:rsidRDefault="00746D3C" w:rsidP="00746D3C">
      <w:pPr>
        <w:pBdr>
          <w:top w:val="single" w:sz="4" w:space="1" w:color="auto"/>
          <w:left w:val="single" w:sz="4" w:space="4" w:color="auto"/>
          <w:bottom w:val="single" w:sz="4" w:space="0" w:color="auto"/>
          <w:right w:val="single" w:sz="4" w:space="4" w:color="auto"/>
        </w:pBdr>
        <w:jc w:val="both"/>
      </w:pPr>
      <w:r>
        <w:t>-</w:t>
      </w:r>
      <w:r>
        <w:tab/>
        <w:t>bežné výdavky v sume do 5 702 425 eur, kategória 630,</w:t>
      </w:r>
      <w:r w:rsidRPr="00B90C40">
        <w:t xml:space="preserve"> </w:t>
      </w:r>
      <w:r w:rsidRPr="00254373">
        <w:t>podprogram 0EK0D – Informačné technológie financované zo štátneho rozpočtu – Ministerstvo financií Slovenskej republiky</w:t>
      </w:r>
      <w:r>
        <w:t xml:space="preserve"> a </w:t>
      </w:r>
    </w:p>
    <w:p w14:paraId="1A72037D" w14:textId="77777777" w:rsidR="00746D3C" w:rsidRDefault="00746D3C" w:rsidP="00746D3C">
      <w:pPr>
        <w:pBdr>
          <w:top w:val="single" w:sz="4" w:space="1" w:color="auto"/>
          <w:left w:val="single" w:sz="4" w:space="4" w:color="auto"/>
          <w:bottom w:val="single" w:sz="4" w:space="0" w:color="auto"/>
          <w:right w:val="single" w:sz="4" w:space="4" w:color="auto"/>
        </w:pBdr>
        <w:jc w:val="both"/>
      </w:pPr>
      <w:r>
        <w:lastRenderedPageBreak/>
        <w:t>-</w:t>
      </w:r>
      <w:r>
        <w:tab/>
      </w:r>
      <w:r w:rsidRPr="00C111FF">
        <w:t>kapitálové</w:t>
      </w:r>
      <w:r w:rsidRPr="00254373">
        <w:t xml:space="preserve"> výdavky</w:t>
      </w:r>
      <w:r>
        <w:t xml:space="preserve"> v sume do 10 037 437 eur</w:t>
      </w:r>
      <w:r w:rsidRPr="00254373">
        <w:t xml:space="preserve">, </w:t>
      </w:r>
      <w:r>
        <w:t xml:space="preserve">kategória 710, </w:t>
      </w:r>
      <w:r w:rsidRPr="00254373">
        <w:t>podprogram 0EK0D – Informačné technológie financované zo štátneho rozpočtu – Ministerstvo financií Slovenskej republiky), a to:</w:t>
      </w:r>
    </w:p>
    <w:p w14:paraId="22FC903A" w14:textId="77777777" w:rsidR="00746D3C" w:rsidRDefault="00746D3C" w:rsidP="00746D3C">
      <w:pPr>
        <w:pBdr>
          <w:top w:val="single" w:sz="4" w:space="1" w:color="auto"/>
          <w:left w:val="single" w:sz="4" w:space="4" w:color="auto"/>
          <w:bottom w:val="single" w:sz="4" w:space="0" w:color="auto"/>
          <w:right w:val="single" w:sz="4" w:space="4" w:color="auto"/>
        </w:pBdr>
        <w:jc w:val="both"/>
      </w:pPr>
    </w:p>
    <w:p w14:paraId="4E35D54A" w14:textId="77777777" w:rsidR="00746D3C" w:rsidRPr="00237BB7" w:rsidRDefault="00746D3C" w:rsidP="00746D3C">
      <w:pPr>
        <w:pBdr>
          <w:top w:val="single" w:sz="4" w:space="1" w:color="auto"/>
          <w:left w:val="single" w:sz="4" w:space="4" w:color="auto"/>
          <w:bottom w:val="single" w:sz="4" w:space="0" w:color="auto"/>
          <w:right w:val="single" w:sz="4" w:space="4" w:color="auto"/>
        </w:pBdr>
        <w:jc w:val="both"/>
        <w:rPr>
          <w:b/>
          <w:bCs/>
        </w:rPr>
      </w:pPr>
      <w:r w:rsidRPr="00237BB7">
        <w:rPr>
          <w:b/>
          <w:bCs/>
        </w:rPr>
        <w:t>I. eFaktúra a oznamovanie údajov</w:t>
      </w:r>
    </w:p>
    <w:p w14:paraId="02445805" w14:textId="77777777" w:rsidR="00746D3C" w:rsidRDefault="00746D3C" w:rsidP="00746D3C">
      <w:pPr>
        <w:pBdr>
          <w:top w:val="single" w:sz="4" w:space="1" w:color="auto"/>
          <w:left w:val="single" w:sz="4" w:space="4" w:color="auto"/>
          <w:bottom w:val="single" w:sz="4" w:space="0" w:color="auto"/>
          <w:right w:val="single" w:sz="4" w:space="4" w:color="auto"/>
        </w:pBdr>
        <w:jc w:val="both"/>
        <w:rPr>
          <w:highlight w:val="yellow"/>
        </w:rPr>
      </w:pPr>
    </w:p>
    <w:p w14:paraId="12F16D05" w14:textId="77777777" w:rsidR="00746D3C" w:rsidRPr="00254373" w:rsidRDefault="00746D3C" w:rsidP="00746D3C">
      <w:pPr>
        <w:pBdr>
          <w:top w:val="single" w:sz="4" w:space="1" w:color="auto"/>
          <w:left w:val="single" w:sz="4" w:space="4" w:color="auto"/>
          <w:bottom w:val="single" w:sz="4" w:space="0" w:color="auto"/>
          <w:right w:val="single" w:sz="4" w:space="4" w:color="auto"/>
        </w:pBdr>
        <w:jc w:val="both"/>
      </w:pPr>
      <w:r w:rsidRPr="00254373">
        <w:t xml:space="preserve">- Integrovaný systém </w:t>
      </w:r>
      <w:r>
        <w:t>f</w:t>
      </w:r>
      <w:r w:rsidRPr="00254373">
        <w:t>inančnej správy – správa daní (ISFS-SD)</w:t>
      </w:r>
      <w:r w:rsidRPr="00254373">
        <w:tab/>
        <w:t>150 148 eur (2025)</w:t>
      </w:r>
    </w:p>
    <w:p w14:paraId="52F00AF2" w14:textId="77777777" w:rsidR="00746D3C" w:rsidRPr="00254373" w:rsidRDefault="00746D3C" w:rsidP="00746D3C">
      <w:pPr>
        <w:pBdr>
          <w:top w:val="single" w:sz="4" w:space="1" w:color="auto"/>
          <w:left w:val="single" w:sz="4" w:space="4" w:color="auto"/>
          <w:bottom w:val="single" w:sz="4" w:space="0" w:color="auto"/>
          <w:right w:val="single" w:sz="4" w:space="4" w:color="auto"/>
        </w:pBdr>
        <w:jc w:val="both"/>
      </w:pPr>
      <w:r w:rsidRPr="00254373">
        <w:tab/>
      </w:r>
      <w:r w:rsidRPr="00254373">
        <w:tab/>
      </w:r>
      <w:r w:rsidRPr="00254373">
        <w:tab/>
      </w:r>
      <w:r w:rsidRPr="00254373">
        <w:tab/>
      </w:r>
      <w:r w:rsidRPr="00254373">
        <w:tab/>
      </w:r>
      <w:r w:rsidRPr="00254373">
        <w:tab/>
      </w:r>
      <w:r w:rsidRPr="00254373">
        <w:tab/>
      </w:r>
      <w:r w:rsidRPr="00254373">
        <w:tab/>
      </w:r>
      <w:r w:rsidRPr="00254373">
        <w:tab/>
        <w:t>504 180 eur (2026)</w:t>
      </w:r>
    </w:p>
    <w:p w14:paraId="5DE0C43F" w14:textId="77777777" w:rsidR="00746D3C" w:rsidRPr="00254373" w:rsidRDefault="00746D3C" w:rsidP="00746D3C">
      <w:pPr>
        <w:pBdr>
          <w:top w:val="single" w:sz="4" w:space="1" w:color="auto"/>
          <w:left w:val="single" w:sz="4" w:space="4" w:color="auto"/>
          <w:bottom w:val="single" w:sz="4" w:space="0" w:color="auto"/>
          <w:right w:val="single" w:sz="4" w:space="4" w:color="auto"/>
        </w:pBdr>
        <w:jc w:val="both"/>
      </w:pPr>
      <w:r w:rsidRPr="00254373">
        <w:tab/>
      </w:r>
      <w:r w:rsidRPr="00254373">
        <w:tab/>
      </w:r>
      <w:r w:rsidRPr="00254373">
        <w:tab/>
      </w:r>
      <w:r w:rsidRPr="00254373">
        <w:tab/>
      </w:r>
      <w:r w:rsidRPr="00254373">
        <w:tab/>
      </w:r>
      <w:r w:rsidRPr="00254373">
        <w:tab/>
      </w:r>
      <w:r w:rsidRPr="00254373">
        <w:tab/>
      </w:r>
      <w:r w:rsidRPr="00254373">
        <w:tab/>
      </w:r>
      <w:r w:rsidRPr="00254373">
        <w:tab/>
      </w:r>
    </w:p>
    <w:p w14:paraId="12D59907" w14:textId="77777777" w:rsidR="00746D3C" w:rsidRPr="00254373" w:rsidRDefault="00746D3C" w:rsidP="00746D3C">
      <w:pPr>
        <w:pBdr>
          <w:top w:val="single" w:sz="4" w:space="1" w:color="auto"/>
          <w:left w:val="single" w:sz="4" w:space="4" w:color="auto"/>
          <w:bottom w:val="single" w:sz="4" w:space="0" w:color="auto"/>
          <w:right w:val="single" w:sz="4" w:space="4" w:color="auto"/>
        </w:pBdr>
        <w:spacing w:after="120"/>
        <w:jc w:val="both"/>
        <w:rPr>
          <w:i/>
          <w:iCs/>
        </w:rPr>
      </w:pPr>
      <w:r w:rsidRPr="00254373">
        <w:tab/>
      </w:r>
      <w:r w:rsidRPr="00254373">
        <w:tab/>
      </w:r>
      <w:r w:rsidRPr="00254373">
        <w:tab/>
      </w:r>
      <w:r w:rsidRPr="00254373">
        <w:tab/>
      </w:r>
      <w:r w:rsidRPr="00254373">
        <w:tab/>
      </w:r>
      <w:r w:rsidRPr="00254373">
        <w:tab/>
      </w:r>
      <w:r w:rsidRPr="00254373">
        <w:tab/>
      </w:r>
      <w:r w:rsidRPr="009C77CC">
        <w:rPr>
          <w:b/>
          <w:bCs/>
          <w:i/>
          <w:iCs/>
        </w:rPr>
        <w:t>spolu</w:t>
      </w:r>
      <w:r w:rsidRPr="009C77CC">
        <w:rPr>
          <w:b/>
          <w:bCs/>
          <w:i/>
          <w:iCs/>
        </w:rPr>
        <w:tab/>
      </w:r>
      <w:r w:rsidRPr="00254373">
        <w:rPr>
          <w:i/>
          <w:iCs/>
        </w:rPr>
        <w:tab/>
      </w:r>
      <w:r>
        <w:rPr>
          <w:b/>
          <w:bCs/>
          <w:i/>
          <w:iCs/>
        </w:rPr>
        <w:t>654 328</w:t>
      </w:r>
      <w:r w:rsidRPr="009C77CC">
        <w:rPr>
          <w:b/>
          <w:bCs/>
          <w:i/>
          <w:iCs/>
        </w:rPr>
        <w:t xml:space="preserve"> eur </w:t>
      </w:r>
    </w:p>
    <w:p w14:paraId="275C69DA" w14:textId="77777777" w:rsidR="00746D3C" w:rsidRPr="00254373" w:rsidRDefault="00746D3C" w:rsidP="00746D3C">
      <w:pPr>
        <w:pBdr>
          <w:top w:val="single" w:sz="4" w:space="1" w:color="auto"/>
          <w:left w:val="single" w:sz="4" w:space="4" w:color="auto"/>
          <w:bottom w:val="single" w:sz="4" w:space="0" w:color="auto"/>
          <w:right w:val="single" w:sz="4" w:space="4" w:color="auto"/>
        </w:pBdr>
        <w:jc w:val="both"/>
      </w:pPr>
      <w:r w:rsidRPr="00254373">
        <w:t>- Portál finančnej správy (PFS)</w:t>
      </w:r>
      <w:r w:rsidRPr="00254373">
        <w:tab/>
      </w:r>
      <w:r w:rsidRPr="00254373">
        <w:tab/>
      </w:r>
      <w:r w:rsidRPr="00254373">
        <w:tab/>
      </w:r>
      <w:r w:rsidRPr="00254373">
        <w:tab/>
      </w:r>
      <w:r w:rsidRPr="00254373">
        <w:tab/>
      </w:r>
      <w:r>
        <w:t xml:space="preserve">  </w:t>
      </w:r>
      <w:r w:rsidRPr="00254373">
        <w:t>29 471 eur (2025)</w:t>
      </w:r>
    </w:p>
    <w:p w14:paraId="1F558E8A" w14:textId="77777777" w:rsidR="00746D3C" w:rsidRPr="00254373" w:rsidRDefault="00746D3C" w:rsidP="00746D3C">
      <w:pPr>
        <w:pBdr>
          <w:top w:val="single" w:sz="4" w:space="1" w:color="auto"/>
          <w:left w:val="single" w:sz="4" w:space="4" w:color="auto"/>
          <w:bottom w:val="single" w:sz="4" w:space="0" w:color="auto"/>
          <w:right w:val="single" w:sz="4" w:space="4" w:color="auto"/>
        </w:pBdr>
        <w:jc w:val="both"/>
      </w:pPr>
      <w:r w:rsidRPr="00254373">
        <w:tab/>
      </w:r>
      <w:r w:rsidRPr="00254373">
        <w:tab/>
      </w:r>
      <w:r w:rsidRPr="00254373">
        <w:tab/>
      </w:r>
      <w:r w:rsidRPr="00254373">
        <w:tab/>
      </w:r>
      <w:r w:rsidRPr="00254373">
        <w:tab/>
      </w:r>
      <w:r w:rsidRPr="00254373">
        <w:tab/>
      </w:r>
      <w:r w:rsidRPr="00254373">
        <w:tab/>
      </w:r>
      <w:r w:rsidRPr="00254373">
        <w:tab/>
      </w:r>
      <w:r w:rsidRPr="00254373">
        <w:tab/>
        <w:t>508 372 eur (2026)</w:t>
      </w:r>
    </w:p>
    <w:p w14:paraId="3049FC68" w14:textId="77777777" w:rsidR="00746D3C" w:rsidRPr="00254373" w:rsidRDefault="00746D3C" w:rsidP="00746D3C">
      <w:pPr>
        <w:pBdr>
          <w:top w:val="single" w:sz="4" w:space="1" w:color="auto"/>
          <w:left w:val="single" w:sz="4" w:space="4" w:color="auto"/>
          <w:bottom w:val="single" w:sz="4" w:space="0" w:color="auto"/>
          <w:right w:val="single" w:sz="4" w:space="4" w:color="auto"/>
        </w:pBdr>
        <w:spacing w:after="120"/>
        <w:jc w:val="both"/>
        <w:rPr>
          <w:i/>
          <w:iCs/>
        </w:rPr>
      </w:pPr>
      <w:r w:rsidRPr="00254373">
        <w:tab/>
      </w:r>
      <w:r w:rsidRPr="00254373">
        <w:tab/>
      </w:r>
      <w:r w:rsidRPr="00254373">
        <w:tab/>
      </w:r>
      <w:r w:rsidRPr="00254373">
        <w:tab/>
      </w:r>
      <w:r w:rsidRPr="00254373">
        <w:tab/>
      </w:r>
      <w:r w:rsidRPr="00254373">
        <w:tab/>
      </w:r>
      <w:r w:rsidRPr="00254373">
        <w:tab/>
      </w:r>
      <w:r w:rsidRPr="009C77CC">
        <w:rPr>
          <w:b/>
          <w:bCs/>
          <w:i/>
          <w:iCs/>
        </w:rPr>
        <w:t>spolu</w:t>
      </w:r>
      <w:r w:rsidRPr="009C77CC">
        <w:rPr>
          <w:b/>
          <w:bCs/>
          <w:i/>
          <w:iCs/>
        </w:rPr>
        <w:tab/>
      </w:r>
      <w:r w:rsidRPr="00254373">
        <w:rPr>
          <w:i/>
          <w:iCs/>
        </w:rPr>
        <w:tab/>
      </w:r>
      <w:r w:rsidRPr="009C77CC">
        <w:rPr>
          <w:b/>
          <w:bCs/>
          <w:i/>
          <w:iCs/>
        </w:rPr>
        <w:t xml:space="preserve">537 843 eur </w:t>
      </w:r>
    </w:p>
    <w:p w14:paraId="2164E512" w14:textId="77777777" w:rsidR="00746D3C" w:rsidRPr="00254373" w:rsidRDefault="00746D3C" w:rsidP="00746D3C">
      <w:pPr>
        <w:pBdr>
          <w:top w:val="single" w:sz="4" w:space="1" w:color="auto"/>
          <w:left w:val="single" w:sz="4" w:space="4" w:color="auto"/>
          <w:bottom w:val="single" w:sz="4" w:space="0" w:color="auto"/>
          <w:right w:val="single" w:sz="4" w:space="4" w:color="auto"/>
        </w:pBdr>
        <w:jc w:val="both"/>
      </w:pPr>
      <w:r w:rsidRPr="00254373">
        <w:t xml:space="preserve">- </w:t>
      </w:r>
      <w:r>
        <w:t>DR SCAN</w:t>
      </w:r>
      <w:r>
        <w:tab/>
      </w:r>
      <w:r>
        <w:tab/>
      </w:r>
      <w:r>
        <w:tab/>
      </w:r>
      <w:r>
        <w:tab/>
      </w:r>
      <w:r>
        <w:tab/>
      </w:r>
      <w:r w:rsidRPr="00254373">
        <w:tab/>
      </w:r>
      <w:r w:rsidRPr="00254373">
        <w:tab/>
      </w:r>
      <w:r w:rsidRPr="00254373">
        <w:tab/>
      </w:r>
      <w:r>
        <w:t xml:space="preserve">     </w:t>
      </w:r>
      <w:r w:rsidRPr="00254373">
        <w:t>57 687 eur (2026)</w:t>
      </w:r>
    </w:p>
    <w:p w14:paraId="36B49B5D" w14:textId="77777777" w:rsidR="00746D3C" w:rsidRPr="00254373" w:rsidRDefault="00746D3C" w:rsidP="00746D3C">
      <w:pPr>
        <w:pBdr>
          <w:top w:val="single" w:sz="4" w:space="1" w:color="auto"/>
          <w:left w:val="single" w:sz="4" w:space="4" w:color="auto"/>
          <w:bottom w:val="single" w:sz="4" w:space="0" w:color="auto"/>
          <w:right w:val="single" w:sz="4" w:space="4" w:color="auto"/>
        </w:pBdr>
        <w:jc w:val="both"/>
      </w:pPr>
      <w:r w:rsidRPr="00254373">
        <w:t>- DATA WAREHOUSE (DWH)</w:t>
      </w:r>
      <w:r w:rsidRPr="00254373">
        <w:tab/>
      </w:r>
      <w:r w:rsidRPr="00254373">
        <w:tab/>
      </w:r>
      <w:r w:rsidRPr="00254373">
        <w:tab/>
      </w:r>
      <w:r w:rsidRPr="00254373">
        <w:tab/>
      </w:r>
      <w:r w:rsidRPr="00254373">
        <w:tab/>
      </w:r>
      <w:r>
        <w:t xml:space="preserve">   </w:t>
      </w:r>
      <w:r w:rsidRPr="00254373">
        <w:t>219 986 eur (2026)</w:t>
      </w:r>
    </w:p>
    <w:p w14:paraId="49B8FEA0" w14:textId="77777777" w:rsidR="00746D3C" w:rsidRPr="00254373" w:rsidRDefault="00746D3C" w:rsidP="00746D3C">
      <w:pPr>
        <w:pBdr>
          <w:top w:val="single" w:sz="4" w:space="1" w:color="auto"/>
          <w:left w:val="single" w:sz="4" w:space="4" w:color="auto"/>
          <w:bottom w:val="single" w:sz="4" w:space="0" w:color="auto"/>
          <w:right w:val="single" w:sz="4" w:space="4" w:color="auto"/>
        </w:pBdr>
        <w:jc w:val="both"/>
      </w:pPr>
      <w:r w:rsidRPr="00254373">
        <w:t>- Kontrolný výkaz DPH (KV DPH)</w:t>
      </w:r>
      <w:r w:rsidRPr="00254373">
        <w:tab/>
      </w:r>
      <w:r w:rsidRPr="00254373">
        <w:tab/>
      </w:r>
      <w:r w:rsidRPr="00254373">
        <w:tab/>
      </w:r>
      <w:r w:rsidRPr="00254373">
        <w:tab/>
      </w:r>
      <w:r w:rsidRPr="00254373">
        <w:tab/>
        <w:t>5 412 000 eur (2026)</w:t>
      </w:r>
    </w:p>
    <w:p w14:paraId="590D10AC" w14:textId="77777777" w:rsidR="00746D3C" w:rsidRPr="00254373" w:rsidRDefault="00746D3C" w:rsidP="00746D3C">
      <w:pPr>
        <w:pBdr>
          <w:top w:val="single" w:sz="4" w:space="1" w:color="auto"/>
          <w:left w:val="single" w:sz="4" w:space="4" w:color="auto"/>
          <w:bottom w:val="single" w:sz="4" w:space="0" w:color="auto"/>
          <w:right w:val="single" w:sz="4" w:space="4" w:color="auto"/>
        </w:pBdr>
        <w:jc w:val="both"/>
      </w:pPr>
      <w:r w:rsidRPr="00254373">
        <w:tab/>
      </w:r>
      <w:r w:rsidRPr="00254373">
        <w:tab/>
      </w:r>
      <w:r w:rsidRPr="00254373">
        <w:tab/>
      </w:r>
      <w:r w:rsidRPr="00254373">
        <w:tab/>
      </w:r>
      <w:r w:rsidRPr="00254373">
        <w:tab/>
      </w:r>
      <w:r w:rsidRPr="00254373">
        <w:tab/>
      </w:r>
      <w:r w:rsidRPr="00254373">
        <w:tab/>
      </w:r>
      <w:r w:rsidRPr="00254373">
        <w:tab/>
      </w:r>
      <w:r w:rsidRPr="00254373">
        <w:tab/>
      </w:r>
    </w:p>
    <w:p w14:paraId="65457A70" w14:textId="77777777" w:rsidR="00746D3C" w:rsidRPr="009C77CC" w:rsidRDefault="00746D3C" w:rsidP="00746D3C">
      <w:pPr>
        <w:pBdr>
          <w:top w:val="single" w:sz="4" w:space="1" w:color="auto"/>
          <w:left w:val="single" w:sz="4" w:space="4" w:color="auto"/>
          <w:bottom w:val="single" w:sz="4" w:space="0" w:color="auto"/>
          <w:right w:val="single" w:sz="4" w:space="4" w:color="auto"/>
        </w:pBdr>
        <w:spacing w:after="120"/>
        <w:ind w:firstLine="709"/>
        <w:jc w:val="both"/>
        <w:rPr>
          <w:b/>
          <w:bCs/>
          <w:i/>
          <w:iCs/>
        </w:rPr>
      </w:pPr>
      <w:r w:rsidRPr="00254373">
        <w:tab/>
      </w:r>
      <w:r w:rsidRPr="00254373">
        <w:tab/>
      </w:r>
      <w:r w:rsidRPr="00254373">
        <w:tab/>
      </w:r>
      <w:r w:rsidRPr="00254373">
        <w:tab/>
      </w:r>
      <w:r w:rsidRPr="00254373">
        <w:tab/>
      </w:r>
      <w:r w:rsidRPr="00254373">
        <w:tab/>
      </w:r>
      <w:r w:rsidRPr="009C77CC">
        <w:rPr>
          <w:b/>
          <w:bCs/>
          <w:i/>
          <w:iCs/>
        </w:rPr>
        <w:t>spolu</w:t>
      </w:r>
      <w:r w:rsidRPr="009C77CC">
        <w:rPr>
          <w:b/>
          <w:bCs/>
          <w:i/>
          <w:iCs/>
        </w:rPr>
        <w:tab/>
      </w:r>
      <w:r w:rsidRPr="009C77CC">
        <w:rPr>
          <w:b/>
          <w:bCs/>
          <w:i/>
          <w:iCs/>
        </w:rPr>
        <w:tab/>
      </w:r>
      <w:r>
        <w:rPr>
          <w:b/>
          <w:bCs/>
          <w:i/>
          <w:iCs/>
        </w:rPr>
        <w:t>5 689 673</w:t>
      </w:r>
      <w:r w:rsidRPr="009C77CC">
        <w:rPr>
          <w:b/>
          <w:bCs/>
          <w:i/>
          <w:iCs/>
        </w:rPr>
        <w:t xml:space="preserve"> eur </w:t>
      </w:r>
    </w:p>
    <w:p w14:paraId="3577005E" w14:textId="77777777" w:rsidR="00746D3C" w:rsidRPr="00254373" w:rsidRDefault="00746D3C" w:rsidP="00746D3C">
      <w:pPr>
        <w:pBdr>
          <w:top w:val="single" w:sz="4" w:space="1" w:color="auto"/>
          <w:left w:val="single" w:sz="4" w:space="4" w:color="auto"/>
          <w:bottom w:val="single" w:sz="4" w:space="0" w:color="auto"/>
          <w:right w:val="single" w:sz="4" w:space="4" w:color="auto"/>
        </w:pBdr>
        <w:jc w:val="both"/>
      </w:pPr>
      <w:r w:rsidRPr="00254373">
        <w:t>- Rozšírenie analytických nástrojov (RAN)</w:t>
      </w:r>
      <w:r w:rsidRPr="00254373">
        <w:tab/>
      </w:r>
      <w:r w:rsidRPr="00254373">
        <w:tab/>
      </w:r>
      <w:r w:rsidRPr="00254373">
        <w:tab/>
      </w:r>
      <w:r w:rsidRPr="00254373">
        <w:tab/>
      </w:r>
      <w:r>
        <w:t xml:space="preserve">    </w:t>
      </w:r>
      <w:r w:rsidRPr="00254373">
        <w:t>98 400 eur (2026)</w:t>
      </w:r>
    </w:p>
    <w:p w14:paraId="3155DC48" w14:textId="77777777" w:rsidR="00746D3C" w:rsidRDefault="00746D3C" w:rsidP="00746D3C">
      <w:pPr>
        <w:pBdr>
          <w:top w:val="single" w:sz="4" w:space="1" w:color="auto"/>
          <w:left w:val="single" w:sz="4" w:space="4" w:color="auto"/>
          <w:bottom w:val="single" w:sz="4" w:space="0" w:color="auto"/>
          <w:right w:val="single" w:sz="4" w:space="4" w:color="auto"/>
        </w:pBdr>
        <w:jc w:val="both"/>
      </w:pPr>
      <w:r w:rsidRPr="00254373">
        <w:tab/>
      </w:r>
      <w:r w:rsidRPr="00254373">
        <w:tab/>
      </w:r>
      <w:r w:rsidRPr="00254373">
        <w:tab/>
      </w:r>
      <w:r w:rsidRPr="00254373">
        <w:tab/>
      </w:r>
      <w:r w:rsidRPr="00254373">
        <w:tab/>
      </w:r>
      <w:r w:rsidRPr="00254373">
        <w:tab/>
      </w:r>
      <w:r w:rsidRPr="00254373">
        <w:tab/>
      </w:r>
      <w:r w:rsidRPr="00254373">
        <w:tab/>
      </w:r>
      <w:r w:rsidRPr="00254373">
        <w:tab/>
      </w:r>
      <w:r>
        <w:t xml:space="preserve">    </w:t>
      </w:r>
    </w:p>
    <w:p w14:paraId="45F09098" w14:textId="77777777" w:rsidR="00746D3C" w:rsidRPr="00254373" w:rsidRDefault="00746D3C" w:rsidP="00746D3C">
      <w:pPr>
        <w:pBdr>
          <w:top w:val="single" w:sz="4" w:space="1" w:color="auto"/>
          <w:left w:val="single" w:sz="4" w:space="4" w:color="auto"/>
          <w:bottom w:val="single" w:sz="4" w:space="0" w:color="auto"/>
          <w:right w:val="single" w:sz="4" w:space="4" w:color="auto"/>
        </w:pBdr>
        <w:spacing w:after="120"/>
        <w:jc w:val="both"/>
      </w:pPr>
      <w:r w:rsidRPr="00254373">
        <w:tab/>
      </w:r>
      <w:r w:rsidRPr="00254373">
        <w:tab/>
      </w:r>
      <w:r w:rsidRPr="00254373">
        <w:tab/>
      </w:r>
      <w:r w:rsidRPr="00254373">
        <w:tab/>
      </w:r>
      <w:r w:rsidRPr="00254373">
        <w:tab/>
      </w:r>
      <w:r w:rsidRPr="00254373">
        <w:tab/>
      </w:r>
      <w:r w:rsidRPr="00254373">
        <w:tab/>
      </w:r>
      <w:r w:rsidRPr="009C77CC">
        <w:rPr>
          <w:b/>
          <w:bCs/>
          <w:i/>
          <w:iCs/>
        </w:rPr>
        <w:t>spolu</w:t>
      </w:r>
      <w:r w:rsidRPr="009C77CC">
        <w:rPr>
          <w:b/>
          <w:bCs/>
          <w:i/>
          <w:iCs/>
        </w:rPr>
        <w:tab/>
      </w:r>
      <w:r w:rsidRPr="009C77CC">
        <w:rPr>
          <w:b/>
          <w:bCs/>
          <w:i/>
          <w:iCs/>
        </w:rPr>
        <w:tab/>
      </w:r>
      <w:r>
        <w:rPr>
          <w:b/>
          <w:bCs/>
          <w:i/>
          <w:iCs/>
        </w:rPr>
        <w:t>98</w:t>
      </w:r>
      <w:r w:rsidRPr="009C77CC">
        <w:rPr>
          <w:b/>
          <w:bCs/>
          <w:i/>
          <w:iCs/>
        </w:rPr>
        <w:t xml:space="preserve"> </w:t>
      </w:r>
      <w:r>
        <w:rPr>
          <w:b/>
          <w:bCs/>
          <w:i/>
          <w:iCs/>
        </w:rPr>
        <w:t>4</w:t>
      </w:r>
      <w:r w:rsidRPr="009C77CC">
        <w:rPr>
          <w:b/>
          <w:bCs/>
          <w:i/>
          <w:iCs/>
        </w:rPr>
        <w:t xml:space="preserve">00 eur </w:t>
      </w:r>
    </w:p>
    <w:p w14:paraId="38E7FA46" w14:textId="77777777" w:rsidR="00746D3C" w:rsidRPr="00254373" w:rsidRDefault="00746D3C" w:rsidP="00746D3C">
      <w:pPr>
        <w:pBdr>
          <w:top w:val="single" w:sz="4" w:space="1" w:color="auto"/>
          <w:left w:val="single" w:sz="4" w:space="4" w:color="auto"/>
          <w:bottom w:val="single" w:sz="4" w:space="0" w:color="auto"/>
          <w:right w:val="single" w:sz="4" w:space="4" w:color="auto"/>
        </w:pBdr>
        <w:spacing w:after="120"/>
        <w:ind w:left="6379" w:hanging="6379"/>
        <w:jc w:val="both"/>
      </w:pPr>
    </w:p>
    <w:p w14:paraId="36792E37" w14:textId="77777777" w:rsidR="00746D3C" w:rsidRDefault="00746D3C" w:rsidP="00746D3C">
      <w:pPr>
        <w:pBdr>
          <w:top w:val="single" w:sz="4" w:space="1" w:color="auto"/>
          <w:left w:val="single" w:sz="4" w:space="4" w:color="auto"/>
          <w:bottom w:val="single" w:sz="4" w:space="0" w:color="auto"/>
          <w:right w:val="single" w:sz="4" w:space="4" w:color="auto"/>
        </w:pBdr>
        <w:ind w:left="6210" w:hanging="6210"/>
        <w:jc w:val="both"/>
      </w:pPr>
      <w:r w:rsidRPr="00254373">
        <w:t>- Nový IS eFaktúra</w:t>
      </w:r>
      <w:r>
        <w:t xml:space="preserve"> [</w:t>
      </w:r>
      <w:r w:rsidRPr="0005009E">
        <w:t>Service Metadata Provider (SMP)</w:t>
      </w:r>
      <w:r>
        <w:t>,</w:t>
      </w:r>
      <w:r w:rsidRPr="0005009E">
        <w:t xml:space="preserve"> </w:t>
      </w:r>
    </w:p>
    <w:p w14:paraId="61EEC533" w14:textId="77777777" w:rsidR="00746D3C" w:rsidRDefault="00746D3C" w:rsidP="00746D3C">
      <w:pPr>
        <w:pBdr>
          <w:top w:val="single" w:sz="4" w:space="1" w:color="auto"/>
          <w:left w:val="single" w:sz="4" w:space="4" w:color="auto"/>
          <w:bottom w:val="single" w:sz="4" w:space="0" w:color="auto"/>
          <w:right w:val="single" w:sz="4" w:space="4" w:color="auto"/>
        </w:pBdr>
        <w:ind w:left="6372" w:hanging="6372"/>
        <w:jc w:val="both"/>
      </w:pPr>
      <w:r w:rsidRPr="0005009E">
        <w:t>5-corner Access Point (C5)</w:t>
      </w:r>
      <w:r>
        <w:t xml:space="preserve"> a </w:t>
      </w:r>
      <w:r w:rsidRPr="0005009E">
        <w:t>Know your customer (KYC)</w:t>
      </w:r>
      <w:r>
        <w:t>]</w:t>
      </w:r>
      <w:r>
        <w:tab/>
        <w:t xml:space="preserve">2 509 700 eur </w:t>
      </w:r>
      <w:r w:rsidRPr="00254373">
        <w:t>(202</w:t>
      </w:r>
      <w:r>
        <w:t>6</w:t>
      </w:r>
      <w:r w:rsidRPr="00254373">
        <w:t>)</w:t>
      </w:r>
    </w:p>
    <w:p w14:paraId="201031D6" w14:textId="77777777" w:rsidR="00746D3C" w:rsidRDefault="00746D3C" w:rsidP="00746D3C">
      <w:pPr>
        <w:pBdr>
          <w:top w:val="single" w:sz="4" w:space="1" w:color="auto"/>
          <w:left w:val="single" w:sz="4" w:space="4" w:color="auto"/>
          <w:bottom w:val="single" w:sz="4" w:space="0" w:color="auto"/>
          <w:right w:val="single" w:sz="4" w:space="4" w:color="auto"/>
        </w:pBdr>
        <w:ind w:left="6372" w:hanging="6372"/>
        <w:jc w:val="both"/>
      </w:pPr>
      <w:r>
        <w:t xml:space="preserve"> </w:t>
      </w:r>
      <w:r>
        <w:tab/>
        <w:t xml:space="preserve">1 084 975 eur </w:t>
      </w:r>
      <w:r w:rsidRPr="00254373">
        <w:t>(202</w:t>
      </w:r>
      <w:r>
        <w:t>7</w:t>
      </w:r>
      <w:r w:rsidRPr="00254373">
        <w:t>)</w:t>
      </w:r>
    </w:p>
    <w:p w14:paraId="28549F55" w14:textId="77777777" w:rsidR="00746D3C" w:rsidRDefault="00746D3C" w:rsidP="00746D3C">
      <w:pPr>
        <w:pBdr>
          <w:top w:val="single" w:sz="4" w:space="1" w:color="auto"/>
          <w:left w:val="single" w:sz="4" w:space="4" w:color="auto"/>
          <w:bottom w:val="single" w:sz="4" w:space="0" w:color="auto"/>
          <w:right w:val="single" w:sz="4" w:space="4" w:color="auto"/>
        </w:pBdr>
        <w:ind w:left="6372" w:hanging="6372"/>
        <w:jc w:val="both"/>
      </w:pPr>
      <w:r>
        <w:t xml:space="preserve"> </w:t>
      </w:r>
      <w:r>
        <w:tab/>
        <w:t xml:space="preserve">1 084 975 eur </w:t>
      </w:r>
      <w:r w:rsidRPr="00254373">
        <w:t>(202</w:t>
      </w:r>
      <w:r>
        <w:t>8</w:t>
      </w:r>
      <w:r w:rsidRPr="00254373">
        <w:t>)</w:t>
      </w:r>
    </w:p>
    <w:p w14:paraId="51714962" w14:textId="77777777" w:rsidR="00746D3C" w:rsidRDefault="00746D3C" w:rsidP="00746D3C">
      <w:pPr>
        <w:pBdr>
          <w:top w:val="single" w:sz="4" w:space="1" w:color="auto"/>
          <w:left w:val="single" w:sz="4" w:space="4" w:color="auto"/>
          <w:bottom w:val="single" w:sz="4" w:space="0" w:color="auto"/>
          <w:right w:val="single" w:sz="4" w:space="4" w:color="auto"/>
        </w:pBdr>
        <w:ind w:left="6372" w:hanging="6372"/>
        <w:jc w:val="both"/>
      </w:pPr>
      <w:r>
        <w:t xml:space="preserve">  </w:t>
      </w:r>
      <w:r>
        <w:tab/>
      </w:r>
    </w:p>
    <w:p w14:paraId="021915B6" w14:textId="77777777" w:rsidR="00746D3C" w:rsidRDefault="00746D3C" w:rsidP="00746D3C">
      <w:pPr>
        <w:pBdr>
          <w:top w:val="single" w:sz="4" w:space="1" w:color="auto"/>
          <w:left w:val="single" w:sz="4" w:space="4" w:color="auto"/>
          <w:bottom w:val="single" w:sz="4" w:space="0" w:color="auto"/>
          <w:right w:val="single" w:sz="4" w:space="4" w:color="auto"/>
        </w:pBdr>
        <w:ind w:left="6372" w:hanging="6372"/>
        <w:jc w:val="both"/>
        <w:rPr>
          <w:b/>
          <w:bCs/>
        </w:rPr>
      </w:pPr>
      <w:r>
        <w:t xml:space="preserve">                                                                                   </w:t>
      </w:r>
      <w:r w:rsidRPr="005A126B">
        <w:rPr>
          <w:b/>
          <w:bCs/>
          <w:i/>
          <w:iCs/>
        </w:rPr>
        <w:t xml:space="preserve">spolu   </w:t>
      </w:r>
      <w:r>
        <w:rPr>
          <w:b/>
          <w:bCs/>
          <w:i/>
          <w:iCs/>
        </w:rPr>
        <w:t xml:space="preserve">   </w:t>
      </w:r>
      <w:r w:rsidRPr="005A126B">
        <w:rPr>
          <w:b/>
          <w:bCs/>
          <w:i/>
          <w:iCs/>
        </w:rPr>
        <w:t xml:space="preserve">        </w:t>
      </w:r>
      <w:r>
        <w:rPr>
          <w:b/>
          <w:bCs/>
          <w:i/>
          <w:iCs/>
        </w:rPr>
        <w:t>4 679 650 eur</w:t>
      </w:r>
    </w:p>
    <w:p w14:paraId="1762AA2E" w14:textId="77777777" w:rsidR="00746D3C" w:rsidRPr="00254373" w:rsidRDefault="00746D3C" w:rsidP="00746D3C">
      <w:pPr>
        <w:pBdr>
          <w:top w:val="single" w:sz="4" w:space="1" w:color="auto"/>
          <w:left w:val="single" w:sz="4" w:space="4" w:color="auto"/>
          <w:bottom w:val="single" w:sz="4" w:space="0" w:color="auto"/>
          <w:right w:val="single" w:sz="4" w:space="4" w:color="auto"/>
        </w:pBdr>
        <w:ind w:left="6372" w:hanging="6372"/>
        <w:jc w:val="both"/>
      </w:pPr>
    </w:p>
    <w:p w14:paraId="3F276FFE" w14:textId="77777777" w:rsidR="00746D3C" w:rsidRPr="00254373" w:rsidRDefault="00746D3C" w:rsidP="00746D3C">
      <w:pPr>
        <w:pBdr>
          <w:top w:val="single" w:sz="4" w:space="1" w:color="auto"/>
          <w:left w:val="single" w:sz="4" w:space="4" w:color="auto"/>
          <w:bottom w:val="single" w:sz="4" w:space="0" w:color="auto"/>
          <w:right w:val="single" w:sz="4" w:space="4" w:color="auto"/>
        </w:pBdr>
        <w:jc w:val="both"/>
      </w:pPr>
      <w:r w:rsidRPr="00254373">
        <w:t xml:space="preserve">- Analytický </w:t>
      </w:r>
      <w:r>
        <w:t>i</w:t>
      </w:r>
      <w:r w:rsidRPr="00254373">
        <w:t xml:space="preserve">nformačný </w:t>
      </w:r>
      <w:r>
        <w:t>s</w:t>
      </w:r>
      <w:r w:rsidRPr="00254373">
        <w:t xml:space="preserve">ystém </w:t>
      </w:r>
      <w:r>
        <w:t>r</w:t>
      </w:r>
      <w:r w:rsidRPr="00254373">
        <w:t xml:space="preserve">izík (AIS-R) a </w:t>
      </w:r>
    </w:p>
    <w:p w14:paraId="6700467A" w14:textId="77777777" w:rsidR="00746D3C" w:rsidRDefault="00746D3C" w:rsidP="00746D3C">
      <w:pPr>
        <w:pBdr>
          <w:top w:val="single" w:sz="4" w:space="1" w:color="auto"/>
          <w:left w:val="single" w:sz="4" w:space="4" w:color="auto"/>
          <w:bottom w:val="single" w:sz="4" w:space="0" w:color="auto"/>
          <w:right w:val="single" w:sz="4" w:space="4" w:color="auto"/>
        </w:pBdr>
        <w:jc w:val="both"/>
        <w:rPr>
          <w:highlight w:val="yellow"/>
        </w:rPr>
      </w:pPr>
      <w:r w:rsidRPr="00254373">
        <w:t>Kontrolný výkaz DPH (KV DPH)</w:t>
      </w:r>
      <w:r w:rsidRPr="00254373">
        <w:tab/>
      </w:r>
      <w:r w:rsidRPr="00254373">
        <w:tab/>
      </w:r>
      <w:r w:rsidRPr="00254373">
        <w:tab/>
      </w:r>
      <w:r w:rsidRPr="00254373">
        <w:tab/>
      </w:r>
      <w:r>
        <w:tab/>
      </w:r>
      <w:r w:rsidRPr="00237BB7">
        <w:rPr>
          <w:b/>
          <w:bCs/>
        </w:rPr>
        <w:t xml:space="preserve">488 249 eur </w:t>
      </w:r>
      <w:r w:rsidRPr="00254373">
        <w:t>(2026)</w:t>
      </w:r>
    </w:p>
    <w:p w14:paraId="109CA30B" w14:textId="77777777" w:rsidR="00746D3C" w:rsidRDefault="00746D3C" w:rsidP="00746D3C">
      <w:pPr>
        <w:pBdr>
          <w:top w:val="single" w:sz="4" w:space="1" w:color="auto"/>
          <w:left w:val="single" w:sz="4" w:space="4" w:color="auto"/>
          <w:bottom w:val="single" w:sz="4" w:space="0" w:color="auto"/>
          <w:right w:val="single" w:sz="4" w:space="4" w:color="auto"/>
        </w:pBdr>
        <w:jc w:val="both"/>
        <w:rPr>
          <w:highlight w:val="yellow"/>
        </w:rPr>
      </w:pPr>
    </w:p>
    <w:p w14:paraId="6427A5F9" w14:textId="77777777" w:rsidR="00746D3C" w:rsidRPr="00237BB7" w:rsidRDefault="00746D3C" w:rsidP="00746D3C">
      <w:pPr>
        <w:pBdr>
          <w:top w:val="single" w:sz="4" w:space="1" w:color="auto"/>
          <w:left w:val="single" w:sz="4" w:space="4" w:color="auto"/>
          <w:bottom w:val="single" w:sz="4" w:space="0" w:color="auto"/>
          <w:right w:val="single" w:sz="4" w:space="4" w:color="auto"/>
        </w:pBdr>
        <w:jc w:val="both"/>
        <w:rPr>
          <w:b/>
          <w:bCs/>
        </w:rPr>
      </w:pPr>
      <w:r w:rsidRPr="00237BB7">
        <w:rPr>
          <w:b/>
          <w:bCs/>
        </w:rPr>
        <w:t>II. zákon č. 215/2019 Z. z.</w:t>
      </w:r>
    </w:p>
    <w:p w14:paraId="60173E83" w14:textId="77777777" w:rsidR="00746D3C" w:rsidRDefault="00746D3C" w:rsidP="00746D3C">
      <w:pPr>
        <w:pBdr>
          <w:top w:val="single" w:sz="4" w:space="1" w:color="auto"/>
          <w:left w:val="single" w:sz="4" w:space="4" w:color="auto"/>
          <w:bottom w:val="single" w:sz="4" w:space="0" w:color="auto"/>
          <w:right w:val="single" w:sz="4" w:space="4" w:color="auto"/>
        </w:pBdr>
        <w:jc w:val="both"/>
      </w:pPr>
    </w:p>
    <w:p w14:paraId="76C6077F" w14:textId="77777777" w:rsidR="00746D3C" w:rsidRDefault="00746D3C" w:rsidP="00746D3C">
      <w:pPr>
        <w:pBdr>
          <w:top w:val="single" w:sz="4" w:space="1" w:color="auto"/>
          <w:left w:val="single" w:sz="4" w:space="4" w:color="auto"/>
          <w:bottom w:val="single" w:sz="4" w:space="0" w:color="auto"/>
          <w:right w:val="single" w:sz="4" w:space="4" w:color="auto"/>
        </w:pBdr>
        <w:ind w:left="6372" w:hanging="6372"/>
        <w:jc w:val="both"/>
      </w:pPr>
      <w:r w:rsidRPr="00F011DB">
        <w:t xml:space="preserve">- Nový IS eFaktúra </w:t>
      </w:r>
      <w:r>
        <w:t>[</w:t>
      </w:r>
      <w:r w:rsidRPr="00076B78">
        <w:t>Access Point provider (GovAP)</w:t>
      </w:r>
      <w:r>
        <w:t>]</w:t>
      </w:r>
      <w:r w:rsidRPr="00F011DB">
        <w:tab/>
      </w:r>
      <w:r>
        <w:t xml:space="preserve">1 020 000 eur </w:t>
      </w:r>
      <w:r w:rsidRPr="00254373">
        <w:t>(202</w:t>
      </w:r>
      <w:r>
        <w:t>6</w:t>
      </w:r>
      <w:r w:rsidRPr="00254373">
        <w:t>)</w:t>
      </w:r>
    </w:p>
    <w:p w14:paraId="261A8029" w14:textId="77777777" w:rsidR="00746D3C" w:rsidRDefault="00746D3C" w:rsidP="00746D3C">
      <w:pPr>
        <w:pBdr>
          <w:top w:val="single" w:sz="4" w:space="1" w:color="auto"/>
          <w:left w:val="single" w:sz="4" w:space="4" w:color="auto"/>
          <w:bottom w:val="single" w:sz="4" w:space="0" w:color="auto"/>
          <w:right w:val="single" w:sz="4" w:space="4" w:color="auto"/>
        </w:pBdr>
        <w:ind w:left="6372" w:hanging="6372"/>
        <w:jc w:val="both"/>
      </w:pPr>
      <w:r>
        <w:t xml:space="preserve"> </w:t>
      </w:r>
      <w:r>
        <w:tab/>
        <w:t xml:space="preserve">1 020 000 eur </w:t>
      </w:r>
      <w:r w:rsidRPr="00254373">
        <w:t>(202</w:t>
      </w:r>
      <w:r>
        <w:t>7</w:t>
      </w:r>
      <w:r w:rsidRPr="00254373">
        <w:t>)</w:t>
      </w:r>
    </w:p>
    <w:p w14:paraId="61B36375" w14:textId="77777777" w:rsidR="00746D3C" w:rsidRDefault="00746D3C" w:rsidP="00746D3C">
      <w:pPr>
        <w:pBdr>
          <w:top w:val="single" w:sz="4" w:space="1" w:color="auto"/>
          <w:left w:val="single" w:sz="4" w:space="4" w:color="auto"/>
          <w:bottom w:val="single" w:sz="4" w:space="0" w:color="auto"/>
          <w:right w:val="single" w:sz="4" w:space="4" w:color="auto"/>
        </w:pBdr>
        <w:ind w:left="6372" w:hanging="6372"/>
        <w:jc w:val="both"/>
      </w:pPr>
      <w:r>
        <w:t xml:space="preserve"> </w:t>
      </w:r>
      <w:r>
        <w:tab/>
        <w:t xml:space="preserve">1 020 000 eur </w:t>
      </w:r>
      <w:r w:rsidRPr="00254373">
        <w:t>(202</w:t>
      </w:r>
      <w:r>
        <w:t>8</w:t>
      </w:r>
      <w:r w:rsidRPr="00254373">
        <w:t>)</w:t>
      </w:r>
    </w:p>
    <w:p w14:paraId="39FB730B" w14:textId="77777777" w:rsidR="00746D3C" w:rsidRDefault="00746D3C" w:rsidP="00746D3C">
      <w:pPr>
        <w:pBdr>
          <w:top w:val="single" w:sz="4" w:space="1" w:color="auto"/>
          <w:left w:val="single" w:sz="4" w:space="4" w:color="auto"/>
          <w:bottom w:val="single" w:sz="4" w:space="0" w:color="auto"/>
          <w:right w:val="single" w:sz="4" w:space="4" w:color="auto"/>
        </w:pBdr>
        <w:ind w:left="6372" w:hanging="6372"/>
        <w:jc w:val="both"/>
      </w:pPr>
      <w:r>
        <w:t xml:space="preserve">  </w:t>
      </w:r>
      <w:r>
        <w:tab/>
        <w:t xml:space="preserve">   </w:t>
      </w:r>
    </w:p>
    <w:p w14:paraId="7E794A47" w14:textId="77777777" w:rsidR="00746D3C" w:rsidRDefault="00746D3C" w:rsidP="00746D3C">
      <w:pPr>
        <w:pBdr>
          <w:top w:val="single" w:sz="4" w:space="1" w:color="auto"/>
          <w:left w:val="single" w:sz="4" w:space="4" w:color="auto"/>
          <w:bottom w:val="single" w:sz="4" w:space="0" w:color="auto"/>
          <w:right w:val="single" w:sz="4" w:space="4" w:color="auto"/>
        </w:pBdr>
        <w:ind w:left="6372" w:hanging="6372"/>
        <w:jc w:val="both"/>
      </w:pPr>
      <w:r>
        <w:rPr>
          <w:b/>
          <w:bCs/>
          <w:i/>
          <w:iCs/>
        </w:rPr>
        <w:t xml:space="preserve">                                                                                  s</w:t>
      </w:r>
      <w:r w:rsidRPr="00BF1604">
        <w:rPr>
          <w:b/>
          <w:bCs/>
          <w:i/>
          <w:iCs/>
        </w:rPr>
        <w:t>polu</w:t>
      </w:r>
      <w:r w:rsidRPr="00BF1604">
        <w:rPr>
          <w:b/>
          <w:bCs/>
          <w:i/>
          <w:iCs/>
        </w:rPr>
        <w:tab/>
      </w:r>
      <w:r>
        <w:rPr>
          <w:b/>
          <w:bCs/>
          <w:i/>
          <w:iCs/>
        </w:rPr>
        <w:t>3 060 000 eur</w:t>
      </w:r>
    </w:p>
    <w:p w14:paraId="0E238B78" w14:textId="77777777" w:rsidR="00746D3C" w:rsidRDefault="00746D3C" w:rsidP="00746D3C">
      <w:pPr>
        <w:pBdr>
          <w:top w:val="single" w:sz="4" w:space="1" w:color="auto"/>
          <w:left w:val="single" w:sz="4" w:space="4" w:color="auto"/>
          <w:bottom w:val="single" w:sz="4" w:space="0" w:color="auto"/>
          <w:right w:val="single" w:sz="4" w:space="4" w:color="auto"/>
        </w:pBdr>
        <w:ind w:left="6372" w:hanging="6372"/>
        <w:jc w:val="both"/>
      </w:pPr>
    </w:p>
    <w:p w14:paraId="04AA2FDF" w14:textId="77777777" w:rsidR="00746D3C" w:rsidRPr="00525892" w:rsidRDefault="00746D3C" w:rsidP="00746D3C">
      <w:pPr>
        <w:pBdr>
          <w:top w:val="single" w:sz="4" w:space="1" w:color="auto"/>
          <w:left w:val="single" w:sz="4" w:space="4" w:color="auto"/>
          <w:bottom w:val="single" w:sz="4" w:space="0" w:color="auto"/>
          <w:right w:val="single" w:sz="4" w:space="4" w:color="auto"/>
        </w:pBdr>
        <w:ind w:left="6372" w:hanging="6372"/>
        <w:jc w:val="both"/>
      </w:pPr>
      <w:r>
        <w:t>- I</w:t>
      </w:r>
      <w:r w:rsidRPr="00525892">
        <w:t>mplementáci</w:t>
      </w:r>
      <w:r>
        <w:t>a</w:t>
      </w:r>
      <w:r w:rsidRPr="00525892">
        <w:t xml:space="preserve"> CES na eFA</w:t>
      </w:r>
      <w:r>
        <w:t xml:space="preserve"> (DXC)</w:t>
      </w:r>
      <w:r>
        <w:tab/>
      </w:r>
      <w:r>
        <w:rPr>
          <w:b/>
          <w:bCs/>
        </w:rPr>
        <w:t>145 000</w:t>
      </w:r>
      <w:r w:rsidRPr="00525892">
        <w:rPr>
          <w:b/>
          <w:bCs/>
        </w:rPr>
        <w:t xml:space="preserve"> eur</w:t>
      </w:r>
      <w:r>
        <w:t xml:space="preserve"> (2026)</w:t>
      </w:r>
    </w:p>
    <w:p w14:paraId="0FFB371C" w14:textId="77777777" w:rsidR="00746D3C" w:rsidRDefault="00746D3C" w:rsidP="00746D3C">
      <w:pPr>
        <w:pBdr>
          <w:top w:val="single" w:sz="4" w:space="1" w:color="auto"/>
          <w:left w:val="single" w:sz="4" w:space="4" w:color="auto"/>
          <w:bottom w:val="single" w:sz="4" w:space="0" w:color="auto"/>
          <w:right w:val="single" w:sz="4" w:space="4" w:color="auto"/>
        </w:pBdr>
        <w:jc w:val="both"/>
      </w:pPr>
    </w:p>
    <w:p w14:paraId="337DF062" w14:textId="77777777" w:rsidR="00746D3C" w:rsidRPr="00237BB7" w:rsidRDefault="00746D3C" w:rsidP="00746D3C">
      <w:pPr>
        <w:pBdr>
          <w:top w:val="single" w:sz="4" w:space="1" w:color="auto"/>
          <w:left w:val="single" w:sz="4" w:space="4" w:color="auto"/>
          <w:bottom w:val="single" w:sz="4" w:space="0" w:color="auto"/>
          <w:right w:val="single" w:sz="4" w:space="4" w:color="auto"/>
        </w:pBdr>
        <w:jc w:val="both"/>
        <w:rPr>
          <w:b/>
          <w:bCs/>
        </w:rPr>
      </w:pPr>
      <w:r w:rsidRPr="00237BB7">
        <w:rPr>
          <w:b/>
          <w:bCs/>
        </w:rPr>
        <w:t>III. registrácia skupiny z úradnej moci</w:t>
      </w:r>
    </w:p>
    <w:p w14:paraId="017BB6D2" w14:textId="77777777" w:rsidR="00746D3C" w:rsidRDefault="00746D3C" w:rsidP="00746D3C">
      <w:pPr>
        <w:pBdr>
          <w:top w:val="single" w:sz="4" w:space="1" w:color="auto"/>
          <w:left w:val="single" w:sz="4" w:space="4" w:color="auto"/>
          <w:bottom w:val="single" w:sz="4" w:space="0" w:color="auto"/>
          <w:right w:val="single" w:sz="4" w:space="4" w:color="auto"/>
        </w:pBdr>
        <w:jc w:val="both"/>
      </w:pPr>
    </w:p>
    <w:p w14:paraId="02215A41" w14:textId="77777777" w:rsidR="00746D3C" w:rsidRPr="004C72C1" w:rsidRDefault="00746D3C" w:rsidP="00746D3C">
      <w:pPr>
        <w:pBdr>
          <w:top w:val="single" w:sz="4" w:space="1" w:color="auto"/>
          <w:left w:val="single" w:sz="4" w:space="4" w:color="auto"/>
          <w:bottom w:val="single" w:sz="4" w:space="0" w:color="auto"/>
          <w:right w:val="single" w:sz="4" w:space="4" w:color="auto"/>
        </w:pBdr>
        <w:jc w:val="both"/>
      </w:pPr>
      <w:r w:rsidRPr="00E82380">
        <w:t xml:space="preserve">- Integrovaný systém </w:t>
      </w:r>
      <w:r>
        <w:t>f</w:t>
      </w:r>
      <w:r w:rsidRPr="00E82380">
        <w:t>inančnej správy – správa daní (ISFS-SD)</w:t>
      </w:r>
      <w:r w:rsidRPr="00E82380">
        <w:tab/>
      </w:r>
      <w:r w:rsidRPr="00BF1604">
        <w:t xml:space="preserve">183 338 eur </w:t>
      </w:r>
      <w:r w:rsidRPr="004C72C1">
        <w:t>(2025)</w:t>
      </w:r>
    </w:p>
    <w:p w14:paraId="5490196C" w14:textId="77777777" w:rsidR="00746D3C" w:rsidRPr="004C72C1" w:rsidRDefault="00746D3C" w:rsidP="00746D3C">
      <w:pPr>
        <w:pBdr>
          <w:top w:val="single" w:sz="4" w:space="1" w:color="auto"/>
          <w:left w:val="single" w:sz="4" w:space="4" w:color="auto"/>
          <w:bottom w:val="single" w:sz="4" w:space="0" w:color="auto"/>
          <w:right w:val="single" w:sz="4" w:space="4" w:color="auto"/>
        </w:pBdr>
        <w:jc w:val="both"/>
      </w:pPr>
      <w:r w:rsidRPr="004C72C1">
        <w:t>- Portál finančnej správy (PFS)</w:t>
      </w:r>
      <w:r w:rsidRPr="004C72C1">
        <w:tab/>
      </w:r>
      <w:r w:rsidRPr="004C72C1">
        <w:tab/>
      </w:r>
      <w:r w:rsidRPr="004C72C1">
        <w:tab/>
      </w:r>
      <w:r w:rsidRPr="004C72C1">
        <w:tab/>
      </w:r>
      <w:r w:rsidRPr="004C72C1">
        <w:tab/>
        <w:t xml:space="preserve">  </w:t>
      </w:r>
      <w:r w:rsidRPr="00BF1604">
        <w:t xml:space="preserve">58 942 eur </w:t>
      </w:r>
      <w:r w:rsidRPr="004C72C1">
        <w:t>(2025)</w:t>
      </w:r>
    </w:p>
    <w:p w14:paraId="372C3736" w14:textId="77777777" w:rsidR="00746D3C" w:rsidRPr="004C72C1" w:rsidRDefault="00746D3C" w:rsidP="00746D3C">
      <w:pPr>
        <w:pBdr>
          <w:top w:val="single" w:sz="4" w:space="1" w:color="auto"/>
          <w:left w:val="single" w:sz="4" w:space="4" w:color="auto"/>
          <w:bottom w:val="single" w:sz="4" w:space="0" w:color="auto"/>
          <w:right w:val="single" w:sz="4" w:space="4" w:color="auto"/>
        </w:pBdr>
        <w:jc w:val="both"/>
      </w:pPr>
      <w:r w:rsidRPr="004C72C1">
        <w:t xml:space="preserve">- DR SCAN </w:t>
      </w:r>
      <w:r w:rsidRPr="004C72C1">
        <w:tab/>
      </w:r>
      <w:r w:rsidRPr="004C72C1">
        <w:tab/>
      </w:r>
      <w:r w:rsidRPr="004C72C1">
        <w:tab/>
      </w:r>
      <w:r w:rsidRPr="004C72C1">
        <w:tab/>
      </w:r>
      <w:r w:rsidRPr="004C72C1">
        <w:tab/>
      </w:r>
      <w:r w:rsidRPr="004C72C1">
        <w:tab/>
      </w:r>
      <w:r w:rsidRPr="004C72C1">
        <w:tab/>
      </w:r>
      <w:r w:rsidRPr="004C72C1">
        <w:tab/>
        <w:t xml:space="preserve">  </w:t>
      </w:r>
      <w:r w:rsidRPr="00BF1604">
        <w:t xml:space="preserve">21 439 eur </w:t>
      </w:r>
      <w:r w:rsidRPr="004C72C1">
        <w:t>(2025)</w:t>
      </w:r>
    </w:p>
    <w:p w14:paraId="364EDE39" w14:textId="77777777" w:rsidR="00746D3C" w:rsidRDefault="00746D3C" w:rsidP="00746D3C">
      <w:pPr>
        <w:pBdr>
          <w:top w:val="single" w:sz="4" w:space="1" w:color="auto"/>
          <w:left w:val="single" w:sz="4" w:space="4" w:color="auto"/>
          <w:bottom w:val="single" w:sz="4" w:space="0" w:color="auto"/>
          <w:right w:val="single" w:sz="4" w:space="4" w:color="auto"/>
        </w:pBdr>
        <w:jc w:val="both"/>
      </w:pPr>
      <w:r w:rsidRPr="004C72C1">
        <w:t>- VAT Information Exchange System (VIES)</w:t>
      </w:r>
      <w:r w:rsidRPr="004C72C1">
        <w:tab/>
      </w:r>
      <w:r w:rsidRPr="004C72C1">
        <w:tab/>
      </w:r>
      <w:r w:rsidRPr="004C72C1">
        <w:tab/>
      </w:r>
      <w:r w:rsidRPr="00BF1604">
        <w:t xml:space="preserve">123 000 eur </w:t>
      </w:r>
      <w:r w:rsidRPr="004C72C1">
        <w:t>(</w:t>
      </w:r>
      <w:r w:rsidRPr="00E82380">
        <w:t>2025)</w:t>
      </w:r>
    </w:p>
    <w:p w14:paraId="0AAFEEC0" w14:textId="77777777" w:rsidR="00746D3C" w:rsidRPr="00BF1604" w:rsidRDefault="00746D3C" w:rsidP="00746D3C">
      <w:pPr>
        <w:pBdr>
          <w:top w:val="single" w:sz="4" w:space="1" w:color="auto"/>
          <w:left w:val="single" w:sz="4" w:space="4" w:color="auto"/>
          <w:bottom w:val="single" w:sz="4" w:space="0" w:color="auto"/>
          <w:right w:val="single" w:sz="4" w:space="4" w:color="auto"/>
        </w:pBdr>
        <w:jc w:val="both"/>
        <w:rPr>
          <w:b/>
          <w:bCs/>
          <w:i/>
          <w:iCs/>
        </w:rPr>
      </w:pPr>
      <w:r>
        <w:tab/>
      </w:r>
      <w:r>
        <w:tab/>
      </w:r>
      <w:r>
        <w:tab/>
      </w:r>
      <w:r>
        <w:tab/>
      </w:r>
      <w:r>
        <w:tab/>
      </w:r>
      <w:r>
        <w:tab/>
      </w:r>
      <w:r>
        <w:tab/>
      </w:r>
      <w:r>
        <w:rPr>
          <w:b/>
          <w:bCs/>
          <w:i/>
          <w:iCs/>
        </w:rPr>
        <w:t>s</w:t>
      </w:r>
      <w:r w:rsidRPr="00BF1604">
        <w:rPr>
          <w:b/>
          <w:bCs/>
          <w:i/>
          <w:iCs/>
        </w:rPr>
        <w:t>polu</w:t>
      </w:r>
      <w:r w:rsidRPr="00BF1604">
        <w:rPr>
          <w:b/>
          <w:bCs/>
          <w:i/>
          <w:iCs/>
        </w:rPr>
        <w:tab/>
      </w:r>
      <w:r w:rsidRPr="00BF1604">
        <w:rPr>
          <w:b/>
          <w:bCs/>
          <w:i/>
          <w:iCs/>
        </w:rPr>
        <w:tab/>
      </w:r>
      <w:r>
        <w:rPr>
          <w:b/>
          <w:bCs/>
          <w:i/>
          <w:iCs/>
        </w:rPr>
        <w:t>386 719 eur</w:t>
      </w:r>
    </w:p>
    <w:p w14:paraId="1A66FE84" w14:textId="77777777" w:rsidR="00746D3C" w:rsidRDefault="00746D3C" w:rsidP="00746D3C">
      <w:pPr>
        <w:pBdr>
          <w:top w:val="single" w:sz="4" w:space="1" w:color="auto"/>
          <w:left w:val="single" w:sz="4" w:space="4" w:color="auto"/>
          <w:bottom w:val="single" w:sz="4" w:space="0" w:color="auto"/>
          <w:right w:val="single" w:sz="4" w:space="4" w:color="auto"/>
        </w:pBdr>
        <w:jc w:val="both"/>
      </w:pPr>
    </w:p>
    <w:p w14:paraId="7C3EBB5B" w14:textId="77777777" w:rsidR="00746D3C" w:rsidRPr="00237BB7" w:rsidRDefault="00746D3C" w:rsidP="00746D3C">
      <w:pPr>
        <w:pBdr>
          <w:top w:val="single" w:sz="4" w:space="1" w:color="auto"/>
          <w:left w:val="single" w:sz="4" w:space="4" w:color="auto"/>
          <w:bottom w:val="single" w:sz="4" w:space="0" w:color="auto"/>
          <w:right w:val="single" w:sz="4" w:space="4" w:color="auto"/>
        </w:pBdr>
        <w:jc w:val="both"/>
      </w:pPr>
      <w:r w:rsidRPr="00237BB7">
        <w:t xml:space="preserve">Finančné vplyvy na rozpočet verejnej správy vyčíslené na rozpočtový rok 2025 sú zabezpečené v rámci schváleného limitu výdavkov kapitoly MF SR na rok 2025 (org. FR SR). </w:t>
      </w:r>
    </w:p>
    <w:p w14:paraId="0DA6951D" w14:textId="77777777" w:rsidR="00746D3C" w:rsidRPr="00237BB7" w:rsidRDefault="00746D3C" w:rsidP="00746D3C">
      <w:pPr>
        <w:pBdr>
          <w:top w:val="single" w:sz="4" w:space="1" w:color="auto"/>
          <w:left w:val="single" w:sz="4" w:space="4" w:color="auto"/>
          <w:bottom w:val="single" w:sz="4" w:space="0" w:color="auto"/>
          <w:right w:val="single" w:sz="4" w:space="4" w:color="auto"/>
        </w:pBdr>
        <w:jc w:val="both"/>
      </w:pPr>
    </w:p>
    <w:p w14:paraId="4AB3212C" w14:textId="77777777" w:rsidR="00746D3C" w:rsidRPr="00237BB7" w:rsidRDefault="00746D3C" w:rsidP="00746D3C">
      <w:pPr>
        <w:pBdr>
          <w:top w:val="single" w:sz="4" w:space="1" w:color="auto"/>
          <w:left w:val="single" w:sz="4" w:space="4" w:color="auto"/>
          <w:bottom w:val="single" w:sz="4" w:space="0" w:color="auto"/>
          <w:right w:val="single" w:sz="4" w:space="4" w:color="auto"/>
        </w:pBdr>
        <w:jc w:val="both"/>
      </w:pPr>
      <w:r w:rsidRPr="00BC6443">
        <w:t xml:space="preserve">Finančné vplyvy na rozpočet verejnej správy v nasledujúcich rokoch počnúc rokom 2026 (okrem osobných výdavkov) budú </w:t>
      </w:r>
      <w:r>
        <w:t xml:space="preserve">spresnené a overené v príprave jednotlivých projektov a následne v potrebnej výške </w:t>
      </w:r>
      <w:r w:rsidRPr="00BC6443">
        <w:t>zabezpečené v rámci rozpočtu kapitoly MF SR pri tvorbe rozpočtu v rokoch 2026 až 2028.</w:t>
      </w:r>
      <w:r w:rsidRPr="009C77CC">
        <w:t xml:space="preserve"> </w:t>
      </w:r>
      <w:r>
        <w:t>MF SR a FR SR vyvinú v rámci prípravnej a implementačnej fázy maximálne úsilie spočívajúce v znížení odhadovaných nákladov potrebných na vytvorenie, úpravu a prevádzku predmetných informačných systémov.</w:t>
      </w:r>
    </w:p>
    <w:p w14:paraId="550C7232" w14:textId="77777777" w:rsidR="00746D3C" w:rsidRDefault="00746D3C" w:rsidP="00746D3C">
      <w:pPr>
        <w:rPr>
          <w:b/>
          <w:bCs/>
        </w:rPr>
      </w:pPr>
    </w:p>
    <w:p w14:paraId="5985C081" w14:textId="77777777" w:rsidR="00746D3C" w:rsidRPr="007B7470" w:rsidRDefault="00746D3C" w:rsidP="00746D3C">
      <w:pPr>
        <w:rPr>
          <w:b/>
          <w:bCs/>
        </w:rPr>
      </w:pPr>
      <w:r w:rsidRPr="007B7470">
        <w:rPr>
          <w:b/>
          <w:bCs/>
        </w:rPr>
        <w:t>2.2. Popis a charakteristika návrhu</w:t>
      </w:r>
    </w:p>
    <w:p w14:paraId="7B36F49E" w14:textId="77777777" w:rsidR="00746D3C" w:rsidRPr="007B7470" w:rsidRDefault="00746D3C" w:rsidP="00746D3C"/>
    <w:p w14:paraId="065356D9" w14:textId="77777777" w:rsidR="00746D3C" w:rsidRPr="007B7470" w:rsidRDefault="00746D3C" w:rsidP="00746D3C">
      <w:pPr>
        <w:jc w:val="both"/>
        <w:rPr>
          <w:b/>
          <w:bCs/>
        </w:rPr>
      </w:pPr>
      <w:r w:rsidRPr="007B7470">
        <w:rPr>
          <w:b/>
          <w:bCs/>
        </w:rPr>
        <w:t>2.2.1. Popis návrhu:</w:t>
      </w:r>
    </w:p>
    <w:p w14:paraId="463789A4" w14:textId="77777777" w:rsidR="00746D3C" w:rsidRPr="007B7470" w:rsidRDefault="00746D3C" w:rsidP="00746D3C">
      <w:pPr>
        <w:jc w:val="both"/>
        <w:rPr>
          <w:b/>
          <w:bCs/>
        </w:rPr>
      </w:pPr>
    </w:p>
    <w:p w14:paraId="5BA82501" w14:textId="77777777" w:rsidR="00746D3C" w:rsidRPr="007B7470" w:rsidRDefault="00746D3C" w:rsidP="00746D3C">
      <w:pPr>
        <w:ind w:firstLine="708"/>
        <w:jc w:val="both"/>
      </w:pPr>
      <w:r w:rsidRPr="007B7470">
        <w:t>Akú problematiku návrh rieši? Kto bude návrh implementovať? Kde sa budú služby poskytovať?</w:t>
      </w:r>
    </w:p>
    <w:p w14:paraId="5CA07BB1" w14:textId="77777777" w:rsidR="00746D3C" w:rsidRDefault="00746D3C" w:rsidP="00746D3C"/>
    <w:p w14:paraId="13B61776" w14:textId="77777777" w:rsidR="00746D3C" w:rsidRPr="00924977" w:rsidRDefault="00746D3C" w:rsidP="00746D3C">
      <w:pPr>
        <w:rPr>
          <w:i/>
          <w:sz w:val="20"/>
          <w:szCs w:val="20"/>
        </w:rPr>
      </w:pPr>
      <w:r w:rsidRPr="00924977">
        <w:rPr>
          <w:i/>
          <w:sz w:val="20"/>
          <w:szCs w:val="20"/>
        </w:rPr>
        <w:t>Uveďte hlavné ciele predkladaného materiálu (aký výsledný stav má byť prijatím materiálu dosiahnutý, pričom dosiahnutý stav musí byť odlišný od stavu popísaného v bode 2. Definovanie problému).</w:t>
      </w:r>
    </w:p>
    <w:p w14:paraId="4BAEBB65" w14:textId="77777777" w:rsidR="00746D3C" w:rsidRDefault="00746D3C" w:rsidP="00746D3C">
      <w:pPr>
        <w:jc w:val="both"/>
        <w:rPr>
          <w:color w:val="000000" w:themeColor="text1"/>
        </w:rPr>
      </w:pPr>
      <w:r w:rsidRPr="00D703CD">
        <w:t>Návrh zákona, ktorým sa mení a dopĺňa zákon č. 222/2004 Z. z. o dani z pridanej hodnoty v</w:t>
      </w:r>
      <w:r>
        <w:t> </w:t>
      </w:r>
      <w:r w:rsidRPr="00D703CD">
        <w:t>znení neskorších predpisov a ktorým sa menia a dopĺňajú niektoré zákony (ďalej len „návrh zákona“) sa prioritne zaoberá transpozíciou Smernic</w:t>
      </w:r>
      <w:r>
        <w:t>e</w:t>
      </w:r>
      <w:r w:rsidRPr="00D703CD">
        <w:t xml:space="preserve"> </w:t>
      </w:r>
      <w:r w:rsidRPr="00473434">
        <w:rPr>
          <w:color w:val="000000" w:themeColor="text1"/>
        </w:rPr>
        <w:t>Rady (EÚ) 2025/516 z 11. marca 2025, ktorou sa mení smernica 2006/112/ES o spoločnom systéme dane z pridanej hodnoty, pokiaľ ide o pravidlá DPH pre digitálny vek (ďalej len „smernica 2025/516“)</w:t>
      </w:r>
      <w:r>
        <w:rPr>
          <w:color w:val="000000" w:themeColor="text1"/>
        </w:rPr>
        <w:t xml:space="preserve">. </w:t>
      </w:r>
      <w:r w:rsidRPr="00473434">
        <w:rPr>
          <w:color w:val="000000" w:themeColor="text1"/>
        </w:rPr>
        <w:t>Smernica 2025/516, ktorá nadobudla účinnosť 14. apríla 2025, zavádza harmonizované pravidlá týkajúce sa</w:t>
      </w:r>
      <w:r>
        <w:rPr>
          <w:color w:val="000000" w:themeColor="text1"/>
        </w:rPr>
        <w:t> </w:t>
      </w:r>
      <w:r w:rsidRPr="00473434">
        <w:rPr>
          <w:color w:val="000000" w:themeColor="text1"/>
        </w:rPr>
        <w:t>digitálneho oznamovania údajov vyplývajúcich z nárastu digitálneho hospodárstva</w:t>
      </w:r>
      <w:r>
        <w:rPr>
          <w:color w:val="000000" w:themeColor="text1"/>
        </w:rPr>
        <w:t xml:space="preserve"> a u</w:t>
      </w:r>
      <w:r w:rsidRPr="00473434">
        <w:rPr>
          <w:color w:val="000000" w:themeColor="text1"/>
        </w:rPr>
        <w:t>stanovuje jednotné úniové požiadavky na digitálne oznamovanie spočívajúce v tom, že transakcie, ktoré sa majú daňovým správam oznamovať sa budú dokumentovať  elektronicky.</w:t>
      </w:r>
    </w:p>
    <w:p w14:paraId="0957EE02" w14:textId="77777777" w:rsidR="00746D3C" w:rsidRPr="00A26BB1" w:rsidRDefault="00746D3C" w:rsidP="00746D3C">
      <w:pPr>
        <w:jc w:val="both"/>
        <w:rPr>
          <w:color w:val="000000" w:themeColor="text1"/>
        </w:rPr>
      </w:pPr>
      <w:r w:rsidRPr="00473434">
        <w:rPr>
          <w:color w:val="000000" w:themeColor="text1"/>
        </w:rPr>
        <w:t>Cieľom harmonizačných pravidiel prijatých smernicou 2025/516 je zvýšiť výber</w:t>
      </w:r>
      <w:r w:rsidRPr="00A26BB1">
        <w:rPr>
          <w:color w:val="000000" w:themeColor="text1"/>
        </w:rPr>
        <w:t xml:space="preserve"> dane z</w:t>
      </w:r>
      <w:r>
        <w:rPr>
          <w:color w:val="000000" w:themeColor="text1"/>
        </w:rPr>
        <w:t> </w:t>
      </w:r>
      <w:r w:rsidRPr="00A26BB1">
        <w:rPr>
          <w:color w:val="000000" w:themeColor="text1"/>
        </w:rPr>
        <w:t>pridanej hodnoty najmä pri cezhraničných transakciách a ukončiť súčasnú fragmentáciu vyplývajúcu z toho, že členské štáty majú zavedené rozdielne systémy oznamovania faktúr, resp. údajov z vyhotovených a prijatých faktúr. Nové pravidlá a súvisiace procesy majú byť založené na elektronickej fakturácii a digitálnom oznamovaní údajov</w:t>
      </w:r>
      <w:r>
        <w:rPr>
          <w:color w:val="000000" w:themeColor="text1"/>
        </w:rPr>
        <w:t xml:space="preserve"> </w:t>
      </w:r>
      <w:r w:rsidRPr="00A26BB1">
        <w:rPr>
          <w:color w:val="000000" w:themeColor="text1"/>
        </w:rPr>
        <w:t>o</w:t>
      </w:r>
      <w:r>
        <w:rPr>
          <w:color w:val="000000" w:themeColor="text1"/>
        </w:rPr>
        <w:t> </w:t>
      </w:r>
      <w:r w:rsidRPr="00A26BB1">
        <w:rPr>
          <w:color w:val="000000" w:themeColor="text1"/>
        </w:rPr>
        <w:t>jednotlivých zdaniteľných obchodoch v reálnom čase, a to nielen pokiaľ ide o cezhraničné transakcie, ale aj o tuzemské transakcie. V záujme maximalizácie interoperability by elektronické faktúry mali v zásade dodržiavať európsku normu pre elektronickú fakturáciu a byť vyhotovené v štruktúre podľa súvisiaceho zoznamu syntaxí.</w:t>
      </w:r>
    </w:p>
    <w:p w14:paraId="0D526DD0" w14:textId="77777777" w:rsidR="00746D3C" w:rsidRPr="00A26BB1" w:rsidRDefault="00746D3C" w:rsidP="00746D3C">
      <w:pPr>
        <w:jc w:val="both"/>
      </w:pPr>
    </w:p>
    <w:p w14:paraId="2E4B890C" w14:textId="77777777" w:rsidR="00746D3C" w:rsidRPr="00A54ADC" w:rsidRDefault="00746D3C" w:rsidP="00746D3C">
      <w:pPr>
        <w:jc w:val="both"/>
      </w:pPr>
      <w:r w:rsidRPr="00A26BB1">
        <w:t>V nadväznosti na uvedené a na skutočnosť, že Slovenská republika</w:t>
      </w:r>
      <w:r>
        <w:t>,</w:t>
      </w:r>
      <w:r w:rsidRPr="00A26BB1">
        <w:t xml:space="preserve"> pokiaľ ide o zavedenie povinnej elektronickej fakturácie (B2B)</w:t>
      </w:r>
      <w:r>
        <w:t>, už</w:t>
      </w:r>
      <w:r w:rsidRPr="00A26BB1">
        <w:t xml:space="preserve"> nemusí od účinnosti smernice 2025/516 žiadať o</w:t>
      </w:r>
      <w:r>
        <w:t> </w:t>
      </w:r>
      <w:r w:rsidRPr="00A26BB1">
        <w:t>výnimku z bežného systému DPH (derogácia), ktorú na základe predloženého návrhu Európskej komisie schvaľuje Rada jednomyseľne</w:t>
      </w:r>
      <w:r>
        <w:t>, je</w:t>
      </w:r>
      <w:r w:rsidRPr="00A26BB1">
        <w:t xml:space="preserve"> </w:t>
      </w:r>
      <w:r>
        <w:t>p</w:t>
      </w:r>
      <w:r w:rsidRPr="00A26BB1">
        <w:t xml:space="preserve">rimárnym cieľom </w:t>
      </w:r>
      <w:r>
        <w:t>návrhu zákona</w:t>
      </w:r>
      <w:r w:rsidRPr="00A26BB1">
        <w:t xml:space="preserve"> transpozícia článku 1 a článku 5 smernice 2025/516, teda</w:t>
      </w:r>
      <w:r>
        <w:t xml:space="preserve"> </w:t>
      </w:r>
      <w:r w:rsidRPr="00A26BB1">
        <w:t xml:space="preserve">zavedenie povinnej elektronickej </w:t>
      </w:r>
      <w:r w:rsidRPr="00A54ADC">
        <w:t>fakturácie pre zdaniteľné osoby, ktoré sú platiteľmi dane z pridanej hodnoty, ako aj povinné oznamovanie súvisiacich fakturačných údajov finančnej správe v reálnom čase.</w:t>
      </w:r>
    </w:p>
    <w:p w14:paraId="22D56BF3" w14:textId="77777777" w:rsidR="00746D3C" w:rsidRPr="00A54ADC" w:rsidRDefault="00746D3C" w:rsidP="00746D3C">
      <w:pPr>
        <w:jc w:val="both"/>
      </w:pPr>
    </w:p>
    <w:p w14:paraId="709B13E7" w14:textId="77777777" w:rsidR="00746D3C" w:rsidRPr="00870284" w:rsidRDefault="00746D3C" w:rsidP="00746D3C">
      <w:pPr>
        <w:pStyle w:val="Bezriadkovania"/>
        <w:jc w:val="both"/>
        <w:rPr>
          <w:rFonts w:ascii="Times New Roman" w:hAnsi="Times New Roman"/>
          <w:sz w:val="24"/>
          <w:szCs w:val="24"/>
        </w:rPr>
      </w:pPr>
      <w:r w:rsidRPr="00A54ADC">
        <w:rPr>
          <w:rFonts w:ascii="Times New Roman" w:hAnsi="Times New Roman"/>
          <w:sz w:val="24"/>
          <w:szCs w:val="24"/>
        </w:rPr>
        <w:t>Zmenami a doplnením zákona</w:t>
      </w:r>
      <w:r>
        <w:rPr>
          <w:rFonts w:ascii="Times New Roman" w:hAnsi="Times New Roman"/>
          <w:sz w:val="24"/>
          <w:szCs w:val="24"/>
        </w:rPr>
        <w:t xml:space="preserve"> č. 222/2004 Z. z. o dani z pridanej hodnoty (ďalej len „zákon</w:t>
      </w:r>
      <w:r w:rsidRPr="00A54ADC">
        <w:rPr>
          <w:rFonts w:ascii="Times New Roman" w:hAnsi="Times New Roman"/>
          <w:sz w:val="24"/>
          <w:szCs w:val="24"/>
        </w:rPr>
        <w:t xml:space="preserve"> o</w:t>
      </w:r>
      <w:r>
        <w:rPr>
          <w:rFonts w:ascii="Times New Roman" w:hAnsi="Times New Roman"/>
          <w:sz w:val="24"/>
          <w:szCs w:val="24"/>
        </w:rPr>
        <w:t> </w:t>
      </w:r>
      <w:r w:rsidRPr="00A54ADC">
        <w:rPr>
          <w:rFonts w:ascii="Times New Roman" w:hAnsi="Times New Roman"/>
          <w:sz w:val="24"/>
          <w:szCs w:val="24"/>
        </w:rPr>
        <w:t>DPH</w:t>
      </w:r>
      <w:r>
        <w:rPr>
          <w:rFonts w:ascii="Times New Roman" w:hAnsi="Times New Roman"/>
          <w:sz w:val="24"/>
          <w:szCs w:val="24"/>
        </w:rPr>
        <w:t>“)</w:t>
      </w:r>
      <w:r w:rsidRPr="00A54ADC">
        <w:rPr>
          <w:rFonts w:ascii="Times New Roman" w:hAnsi="Times New Roman"/>
          <w:sz w:val="24"/>
          <w:szCs w:val="24"/>
        </w:rPr>
        <w:t xml:space="preserve"> bude s účinnosťou od 1. januára 2027 zavedená povinnosť pre platiteľov dane usadených v tuzemsku vyhotoviť a prijímať elektronické faktúry v ustanovenom formáte pri tuzemských zdaniteľných obchodoch. Povinnosť prijať takéto elektronické faktúry sa bude vzťahovať aj na v tuzemsku us</w:t>
      </w:r>
      <w:r>
        <w:rPr>
          <w:rFonts w:ascii="Times New Roman" w:hAnsi="Times New Roman"/>
          <w:sz w:val="24"/>
          <w:szCs w:val="24"/>
        </w:rPr>
        <w:t>a</w:t>
      </w:r>
      <w:r w:rsidRPr="00A54ADC">
        <w:rPr>
          <w:rFonts w:ascii="Times New Roman" w:hAnsi="Times New Roman"/>
          <w:sz w:val="24"/>
          <w:szCs w:val="24"/>
        </w:rPr>
        <w:t xml:space="preserve">dené zdaniteľné osoby, ktoré nie sú platiteľom dane a právnické </w:t>
      </w:r>
      <w:r w:rsidRPr="00A54ADC">
        <w:rPr>
          <w:rFonts w:ascii="Times New Roman" w:hAnsi="Times New Roman"/>
          <w:sz w:val="24"/>
          <w:szCs w:val="24"/>
        </w:rPr>
        <w:lastRenderedPageBreak/>
        <w:t>osoby, ktoré nie sú zdaniteľnými osobami. Za elektronickú faktúru sa bude považovať len taká faktúra, ktorá obsahuje informácie vyžadované zákonom o DPH, a ktorá bude vyhotovená, zaslaná a prijatá v </w:t>
      </w:r>
      <w:r w:rsidRPr="00870284">
        <w:rPr>
          <w:rFonts w:ascii="Times New Roman" w:hAnsi="Times New Roman"/>
          <w:sz w:val="24"/>
          <w:szCs w:val="24"/>
        </w:rPr>
        <w:t xml:space="preserve">štruktúrovanom elektronickom formáte, ktorý umožní jej automatické a elektronické spracovanie. Za účelom jednotnosti elektronických faktúr týkajúcich sa platiteľov </w:t>
      </w:r>
      <w:r>
        <w:rPr>
          <w:rFonts w:ascii="Times New Roman" w:hAnsi="Times New Roman"/>
          <w:sz w:val="24"/>
          <w:szCs w:val="24"/>
        </w:rPr>
        <w:t xml:space="preserve">dane </w:t>
      </w:r>
      <w:r w:rsidRPr="00870284">
        <w:rPr>
          <w:rFonts w:ascii="Times New Roman" w:hAnsi="Times New Roman"/>
          <w:sz w:val="24"/>
          <w:szCs w:val="24"/>
        </w:rPr>
        <w:t>sa ustanoví povinnosť vyhotoviť faktúry v štruktúrovanom formáte, ktorý je v súlade s európskym štandardom pre elektronickú fakturáciu a zoznamom jeho syntaxí ustanovených smernicou Európskeho parlamentu a Rady 2014/55/EÚ zo 16. apríla 2014 o elektronickej fakturácii vo verejnom obstarávaní</w:t>
      </w:r>
      <w:r>
        <w:rPr>
          <w:rFonts w:ascii="Times New Roman" w:hAnsi="Times New Roman"/>
          <w:sz w:val="24"/>
          <w:szCs w:val="24"/>
        </w:rPr>
        <w:t>.</w:t>
      </w:r>
    </w:p>
    <w:p w14:paraId="085781D4" w14:textId="77777777" w:rsidR="00746D3C" w:rsidRPr="00A26BB1" w:rsidRDefault="00746D3C" w:rsidP="00746D3C">
      <w:pPr>
        <w:jc w:val="both"/>
      </w:pPr>
      <w:r w:rsidRPr="00870284">
        <w:t xml:space="preserve">S účinnosťou od 1. januára 2027 sa zavedie aj </w:t>
      </w:r>
      <w:r>
        <w:t>oznamovanie</w:t>
      </w:r>
      <w:r w:rsidRPr="00870284">
        <w:t xml:space="preserve"> </w:t>
      </w:r>
      <w:r w:rsidRPr="00B00DC9">
        <w:t>údaj</w:t>
      </w:r>
      <w:r>
        <w:t>ov</w:t>
      </w:r>
      <w:r w:rsidRPr="00B00DC9">
        <w:t xml:space="preserve"> týkajúce sa tuzemských zdaniteľných obchodov medzi dotknutými osobami, pri ktorých bola vyhotovená elektronická faktúra</w:t>
      </w:r>
      <w:r>
        <w:t>.</w:t>
      </w:r>
      <w:r w:rsidRPr="00A26BB1">
        <w:t xml:space="preserve"> Údaje sa budú oznamovať elektronicky takým spôsobom, ktorý bude súladný so</w:t>
      </w:r>
      <w:r>
        <w:t> </w:t>
      </w:r>
      <w:r w:rsidRPr="00A26BB1">
        <w:t xml:space="preserve">spôsobom ustanoveným článkom </w:t>
      </w:r>
      <w:r>
        <w:t>5</w:t>
      </w:r>
      <w:r w:rsidRPr="00A26BB1">
        <w:t xml:space="preserve"> smernice 2025/516, ktorý upravuje predkladanie údajov z elektronických faktúr pre cezhraničné transakcie v rámci Európskej únie. </w:t>
      </w:r>
      <w:r>
        <w:t>Kontrolný výkaz sa ponecháva v zúženom rozsahu.</w:t>
      </w:r>
    </w:p>
    <w:p w14:paraId="201C4DB3" w14:textId="77777777" w:rsidR="00746D3C" w:rsidRPr="00A26BB1" w:rsidRDefault="00746D3C" w:rsidP="00746D3C">
      <w:pPr>
        <w:jc w:val="both"/>
      </w:pPr>
    </w:p>
    <w:p w14:paraId="78DDA1E4" w14:textId="77777777" w:rsidR="00746D3C" w:rsidRPr="00A26BB1" w:rsidRDefault="00746D3C" w:rsidP="00746D3C">
      <w:pPr>
        <w:jc w:val="both"/>
      </w:pPr>
      <w:r w:rsidRPr="00A26BB1">
        <w:t>Skoršie zavedenie systému elektronickej fakturácie a oznamovania údajov</w:t>
      </w:r>
      <w:r>
        <w:t xml:space="preserve"> v uvedenom rozsahu týkajúce sa</w:t>
      </w:r>
      <w:r w:rsidRPr="00A26BB1">
        <w:t xml:space="preserve"> tuzemsk</w:t>
      </w:r>
      <w:r>
        <w:t>ých</w:t>
      </w:r>
      <w:r w:rsidRPr="00A26BB1">
        <w:t xml:space="preserve"> </w:t>
      </w:r>
      <w:r>
        <w:t>zdaniteľných obchodov</w:t>
      </w:r>
      <w:r w:rsidRPr="00A26BB1">
        <w:t xml:space="preserve"> pripraví platiteľov</w:t>
      </w:r>
      <w:r>
        <w:t xml:space="preserve"> dane, zdaniteľné osoby, ktoré nie sú platiteľom dane a právnické osoby, ktoré nie sú zdaniteľnými osobami</w:t>
      </w:r>
      <w:r w:rsidRPr="00A26BB1">
        <w:t xml:space="preserve"> na </w:t>
      </w:r>
      <w:r>
        <w:t>povinnú elektronickú fakturáciu a</w:t>
      </w:r>
      <w:r w:rsidRPr="00A26BB1">
        <w:t xml:space="preserve"> povinné oznamovani</w:t>
      </w:r>
      <w:r>
        <w:t>e</w:t>
      </w:r>
      <w:r w:rsidRPr="00A26BB1">
        <w:t xml:space="preserve"> údajov o cezhraničných transakciách podľa spomínaného článku </w:t>
      </w:r>
      <w:r>
        <w:t>5</w:t>
      </w:r>
      <w:r w:rsidRPr="00A26BB1">
        <w:t xml:space="preserve"> smernice 2025/516, ktorý </w:t>
      </w:r>
      <w:r>
        <w:t>musí</w:t>
      </w:r>
      <w:r w:rsidRPr="00A26BB1">
        <w:t xml:space="preserve"> byť do zákona o DPH transponovaný do</w:t>
      </w:r>
      <w:r>
        <w:t> </w:t>
      </w:r>
      <w:r w:rsidRPr="00A26BB1">
        <w:t>30. júna 2030 a účinný k 1. júlu 2030.</w:t>
      </w:r>
    </w:p>
    <w:p w14:paraId="6998AE2C" w14:textId="77777777" w:rsidR="00746D3C" w:rsidRPr="00A26BB1" w:rsidRDefault="00746D3C" w:rsidP="00746D3C">
      <w:pPr>
        <w:jc w:val="both"/>
      </w:pPr>
    </w:p>
    <w:p w14:paraId="215EC20D" w14:textId="77777777" w:rsidR="00746D3C" w:rsidRPr="002A7D28" w:rsidRDefault="00746D3C" w:rsidP="00746D3C">
      <w:pPr>
        <w:jc w:val="both"/>
      </w:pPr>
      <w:r w:rsidRPr="00A26BB1">
        <w:t xml:space="preserve">Cieľom uvedených zmien je digitalizovať celý proces od vyhotovenia elektronickej faktúry u dodávateľa, až po spracovanie elektronickej faktúry u odberateľa, ako aj následného zaslania údajov finančnej správe tak, aby celý tento proces bol automatizovaný s minimom manuálnych zásahov, pričom výsledkom bude výrazné skrátenie procesov súvisiacich s prijatím faktúr a ich následným spracovaním (napr. eliminácia vpisovania údajov z papierových faktúr do systému). Sprístupnením údajov </w:t>
      </w:r>
      <w:r>
        <w:t>o zdaniteľných obchodoch</w:t>
      </w:r>
      <w:r w:rsidRPr="00A26BB1">
        <w:t xml:space="preserve"> v reálnom čase sa finančnej správe umožní včasné spracovanie vstupných dát potrebných pre identifikovanie plnenia daňových povinností, či nastavenie </w:t>
      </w:r>
      <w:r w:rsidRPr="002A7D28">
        <w:t>určitých kontrolných mechanizmov v rámci analýzy rizika na zamedzenie podvodných konaní.</w:t>
      </w:r>
    </w:p>
    <w:p w14:paraId="4B472E0F" w14:textId="77777777" w:rsidR="00746D3C" w:rsidRPr="002A7D28" w:rsidRDefault="00746D3C" w:rsidP="00746D3C">
      <w:pPr>
        <w:jc w:val="both"/>
      </w:pPr>
    </w:p>
    <w:p w14:paraId="04BEDE47" w14:textId="77777777" w:rsidR="00746D3C" w:rsidRPr="002A7D28" w:rsidRDefault="00746D3C" w:rsidP="00746D3C">
      <w:pPr>
        <w:jc w:val="both"/>
      </w:pPr>
      <w:r w:rsidRPr="002A7D28">
        <w:t>Prijaté opatrenia na strane štátu prispejú k efektívnemu boju proti daňovým podvodom, majú potenciál znížiť daňové medzery tak na dani z pridanej hodnoty, ako aj na dani z príjmov právnických osôb, a zlepšiť výber daní. Podľa správy Európskej komisie „VAT Gap in the EU – 2024 Report“ dosiahla daňová medzera na DPH v roku 2022 úroveň 14,6 %, čo predstavuje výpadok na dani vo výške viac ako 1,4 miliardy eur. Ak by sa podarilo pokračovať v trende znižovania tejto medzery, ako tomu bolo v predchádzajúcich rokoch, maximálny potenciálny prínos pre štátny rozpočet by za účasti aktívneho boji proti daňovým únikom, pokračujúcej digitalizácii platieb či faktúr a iných opatrení na elimináciu daňových únikov a efektívnejší výber daní a ich kontrolu mohol dosiahnuť niekoľko stoviek miliónov eur na strednodobom horizonte.</w:t>
      </w:r>
    </w:p>
    <w:p w14:paraId="296201B1" w14:textId="77777777" w:rsidR="00746D3C" w:rsidRPr="002A7D28" w:rsidRDefault="00746D3C" w:rsidP="00746D3C">
      <w:pPr>
        <w:jc w:val="both"/>
      </w:pPr>
    </w:p>
    <w:p w14:paraId="2FE7AA1C" w14:textId="77777777" w:rsidR="00746D3C" w:rsidRDefault="00746D3C" w:rsidP="00746D3C">
      <w:pPr>
        <w:jc w:val="both"/>
      </w:pPr>
      <w:r w:rsidRPr="002A7D28">
        <w:t>Na strane podnikateľských subjektov sa zjednodušia</w:t>
      </w:r>
      <w:r w:rsidRPr="00A26BB1">
        <w:t xml:space="preserve"> obchodné operácie a dôjde k zlepšeniu efektívnosti a kvality podnikateľského prostredia. Zároveň sa zvýši rýchlosť prenosu dát, garancia a dôveryhodnosť komunikácie tým, že z dôvodu aktuálnej diverzifikácie prostredia (rôzne úrovne používaných štandardov, prostredie citlivé na vznikajúce chyby atď.) sa zavedie štandardizácia v oblasti elektronickej fakturácie.</w:t>
      </w:r>
    </w:p>
    <w:p w14:paraId="6575C099" w14:textId="77777777" w:rsidR="00746D3C" w:rsidRDefault="00746D3C" w:rsidP="00746D3C">
      <w:pPr>
        <w:jc w:val="both"/>
      </w:pPr>
    </w:p>
    <w:p w14:paraId="716A91E9" w14:textId="77777777" w:rsidR="00746D3C" w:rsidRDefault="00746D3C" w:rsidP="00746D3C">
      <w:pPr>
        <w:jc w:val="both"/>
      </w:pPr>
      <w:r>
        <w:t xml:space="preserve">Transpozícia smernice 2025/516 vyvoláva aj zmeny doterajších fakturačných pravidiel a súvisiacich </w:t>
      </w:r>
      <w:r w:rsidRPr="00966869">
        <w:t>ustanovení v zákone o DPH.</w:t>
      </w:r>
    </w:p>
    <w:p w14:paraId="206C79CE" w14:textId="77777777" w:rsidR="00746D3C" w:rsidRDefault="00746D3C" w:rsidP="00746D3C">
      <w:pPr>
        <w:jc w:val="both"/>
      </w:pPr>
    </w:p>
    <w:p w14:paraId="7C898583" w14:textId="77777777" w:rsidR="00746D3C" w:rsidRPr="00966869" w:rsidRDefault="00746D3C" w:rsidP="00746D3C">
      <w:pPr>
        <w:jc w:val="both"/>
      </w:pPr>
      <w:r>
        <w:t xml:space="preserve">Dané má vplyv aj na </w:t>
      </w:r>
      <w:r w:rsidRPr="00C56797">
        <w:rPr>
          <w:iCs/>
        </w:rPr>
        <w:t>zákon č. 215/2019 Z. z. o zaručenej elektronickej fakturácií a centrálnom ekonomickom systéme a o zmene a doplnení niektorých zákonov (ďalej len „zákon č.</w:t>
      </w:r>
      <w:r>
        <w:rPr>
          <w:iCs/>
        </w:rPr>
        <w:t> </w:t>
      </w:r>
      <w:r w:rsidRPr="00C56797">
        <w:rPr>
          <w:iCs/>
        </w:rPr>
        <w:t>215/2019</w:t>
      </w:r>
      <w:r>
        <w:rPr>
          <w:iCs/>
        </w:rPr>
        <w:t> </w:t>
      </w:r>
      <w:r w:rsidRPr="00C56797">
        <w:rPr>
          <w:iCs/>
        </w:rPr>
        <w:t>Z. z.“)</w:t>
      </w:r>
      <w:r>
        <w:rPr>
          <w:iCs/>
        </w:rPr>
        <w:t>, čím</w:t>
      </w:r>
      <w:r w:rsidRPr="00C56797">
        <w:rPr>
          <w:iCs/>
        </w:rPr>
        <w:t xml:space="preserve"> </w:t>
      </w:r>
      <w:r w:rsidRPr="00EA7A92">
        <w:rPr>
          <w:iCs/>
        </w:rPr>
        <w:t>dôjde k zjednoteniu týchto pravidiel a nebude v právnom poriadku duplicitná právna úprava vo vzťahu k náležitostiam, vyhotovovaniu, vydávaniu a prijímaniu elektronickej faktúry.</w:t>
      </w:r>
      <w:r>
        <w:rPr>
          <w:iCs/>
        </w:rPr>
        <w:t xml:space="preserve"> Nad fakturačné náležitosti zákona o DPH, zákon č. 215/2019 Z. z. </w:t>
      </w:r>
      <w:r w:rsidRPr="00EA7A92">
        <w:rPr>
          <w:iCs/>
        </w:rPr>
        <w:t xml:space="preserve">spresňuje, že elektronická faktúra </w:t>
      </w:r>
      <w:r>
        <w:rPr>
          <w:iCs/>
        </w:rPr>
        <w:t xml:space="preserve">vo verejnom obstarávaní je (i) pre určitý okruh dotknutých osôb a (ii) </w:t>
      </w:r>
      <w:r w:rsidRPr="00EA7A92">
        <w:rPr>
          <w:iCs/>
        </w:rPr>
        <w:t>musí obsahovať identifikačné údaje o súvisiacej zákazke</w:t>
      </w:r>
      <w:r>
        <w:rPr>
          <w:iCs/>
        </w:rPr>
        <w:t>.</w:t>
      </w:r>
    </w:p>
    <w:p w14:paraId="42D3DCD7" w14:textId="77777777" w:rsidR="00746D3C" w:rsidRPr="00966869" w:rsidRDefault="00746D3C" w:rsidP="00746D3C">
      <w:pPr>
        <w:jc w:val="both"/>
      </w:pPr>
    </w:p>
    <w:p w14:paraId="54CBED76" w14:textId="77777777" w:rsidR="00746D3C" w:rsidRDefault="00746D3C" w:rsidP="00746D3C">
      <w:pPr>
        <w:jc w:val="both"/>
      </w:pPr>
      <w:r w:rsidRPr="00966869">
        <w:t>Okrem uvedeného, v súlade so spomínaným cieľom vlády Slovenskej republiky zefektívniť boj proti daňovým únikom, s účinnosťou od 1. januára 2026 nastanú zmeny v oblasti registrácie pre daň s cieľom eliminovať vyhýbanie sa registračnej povinnosti, ako aj v oblasti zrušenia registrácie s cieľom zamedziť opätovnému vstupu osôb, ktoré sa preukázateľne aktívne a</w:t>
      </w:r>
      <w:r>
        <w:t> </w:t>
      </w:r>
      <w:r w:rsidRPr="00966869">
        <w:t>vedome podieľali na podvodných transakciách, do systému DPH.</w:t>
      </w:r>
    </w:p>
    <w:p w14:paraId="2E619B0A" w14:textId="77777777" w:rsidR="00746D3C" w:rsidRPr="007B7470" w:rsidRDefault="00746D3C" w:rsidP="00746D3C"/>
    <w:p w14:paraId="718599EF" w14:textId="77777777" w:rsidR="00746D3C" w:rsidRPr="007B7470" w:rsidRDefault="00746D3C" w:rsidP="00746D3C">
      <w:r w:rsidRPr="007B7470">
        <w:t>.......................................................................................................................................................</w:t>
      </w:r>
    </w:p>
    <w:p w14:paraId="2D6F54B8" w14:textId="77777777" w:rsidR="00746D3C" w:rsidRPr="007B7470" w:rsidRDefault="00746D3C" w:rsidP="00746D3C"/>
    <w:p w14:paraId="2311EA17" w14:textId="77777777" w:rsidR="00746D3C" w:rsidRPr="007B7470" w:rsidRDefault="00746D3C" w:rsidP="00746D3C">
      <w:pPr>
        <w:rPr>
          <w:b/>
          <w:bCs/>
        </w:rPr>
      </w:pPr>
      <w:r w:rsidRPr="007B7470">
        <w:rPr>
          <w:b/>
          <w:bCs/>
        </w:rPr>
        <w:t>2.2.2. Charakteristika návrhu:</w:t>
      </w:r>
    </w:p>
    <w:p w14:paraId="014E46A2" w14:textId="77777777" w:rsidR="00746D3C" w:rsidRPr="007B7470" w:rsidRDefault="00746D3C" w:rsidP="00746D3C"/>
    <w:p w14:paraId="32F852E6" w14:textId="77777777" w:rsidR="00746D3C" w:rsidRPr="007B7470" w:rsidRDefault="00746D3C" w:rsidP="00746D3C">
      <w:r w:rsidRPr="007B7470">
        <w:rPr>
          <w:b/>
          <w:bdr w:val="single" w:sz="4" w:space="0" w:color="auto"/>
        </w:rPr>
        <w:t xml:space="preserve">     </w:t>
      </w:r>
      <w:r w:rsidRPr="007B7470">
        <w:rPr>
          <w:b/>
        </w:rPr>
        <w:t xml:space="preserve">  </w:t>
      </w:r>
      <w:r w:rsidRPr="007B7470">
        <w:t>zmena sadzby</w:t>
      </w:r>
    </w:p>
    <w:p w14:paraId="7B91152C" w14:textId="77777777" w:rsidR="00746D3C" w:rsidRPr="007B7470" w:rsidRDefault="00746D3C" w:rsidP="00746D3C">
      <w:r w:rsidRPr="007B7470">
        <w:rPr>
          <w:bdr w:val="single" w:sz="4" w:space="0" w:color="auto"/>
        </w:rPr>
        <w:t xml:space="preserve">     </w:t>
      </w:r>
      <w:r w:rsidRPr="007B7470">
        <w:t xml:space="preserve">  zmena v nároku</w:t>
      </w:r>
    </w:p>
    <w:p w14:paraId="07E6399A" w14:textId="77777777" w:rsidR="00746D3C" w:rsidRPr="007B7470" w:rsidRDefault="00746D3C" w:rsidP="00746D3C">
      <w:r w:rsidRPr="007B7470">
        <w:rPr>
          <w:bdr w:val="single" w:sz="4" w:space="0" w:color="auto"/>
        </w:rPr>
        <w:t xml:space="preserve">  </w:t>
      </w:r>
      <w:r>
        <w:rPr>
          <w:bdr w:val="single" w:sz="4" w:space="0" w:color="auto"/>
        </w:rPr>
        <w:t>x</w:t>
      </w:r>
      <w:r w:rsidRPr="007B7470">
        <w:rPr>
          <w:bdr w:val="single" w:sz="4" w:space="0" w:color="auto"/>
        </w:rPr>
        <w:t xml:space="preserve"> </w:t>
      </w:r>
      <w:r w:rsidRPr="007B7470">
        <w:t xml:space="preserve">  nová služba alebo nariadenie (alebo ich zrušenie)</w:t>
      </w:r>
    </w:p>
    <w:p w14:paraId="263C8783" w14:textId="77777777" w:rsidR="00746D3C" w:rsidRPr="007B7470" w:rsidRDefault="00746D3C" w:rsidP="00746D3C">
      <w:r w:rsidRPr="007B7470">
        <w:rPr>
          <w:bdr w:val="single" w:sz="4" w:space="0" w:color="auto"/>
        </w:rPr>
        <w:t xml:space="preserve">     </w:t>
      </w:r>
      <w:r w:rsidRPr="007B7470">
        <w:t xml:space="preserve">  kombinovaný návrh</w:t>
      </w:r>
    </w:p>
    <w:p w14:paraId="7B2779C3" w14:textId="77777777" w:rsidR="00746D3C" w:rsidRPr="007B7470" w:rsidRDefault="00746D3C" w:rsidP="00746D3C">
      <w:r w:rsidRPr="007B7470">
        <w:rPr>
          <w:bdr w:val="single" w:sz="4" w:space="0" w:color="auto"/>
        </w:rPr>
        <w:t xml:space="preserve"> </w:t>
      </w:r>
      <w:r>
        <w:rPr>
          <w:bdr w:val="single" w:sz="4" w:space="0" w:color="auto"/>
        </w:rPr>
        <w:t>x</w:t>
      </w:r>
      <w:r w:rsidRPr="007B7470">
        <w:rPr>
          <w:bdr w:val="single" w:sz="4" w:space="0" w:color="auto"/>
        </w:rPr>
        <w:t xml:space="preserve">  </w:t>
      </w:r>
      <w:r w:rsidRPr="007B7470">
        <w:t xml:space="preserve">  iné </w:t>
      </w:r>
    </w:p>
    <w:p w14:paraId="3477317D" w14:textId="77777777" w:rsidR="00746D3C" w:rsidRPr="007B7470" w:rsidRDefault="00746D3C" w:rsidP="00746D3C"/>
    <w:p w14:paraId="5BB267CB" w14:textId="77777777" w:rsidR="00746D3C" w:rsidRPr="007B7470" w:rsidRDefault="00746D3C" w:rsidP="00746D3C">
      <w:r w:rsidRPr="007B7470">
        <w:rPr>
          <w:b/>
          <w:bCs/>
        </w:rPr>
        <w:t>2.2.3. Predpoklady vývoja objemu aktivít:</w:t>
      </w:r>
    </w:p>
    <w:p w14:paraId="6644B95A" w14:textId="77777777" w:rsidR="00746D3C" w:rsidRPr="007B7470" w:rsidRDefault="00746D3C" w:rsidP="00746D3C"/>
    <w:p w14:paraId="75878D08" w14:textId="77777777" w:rsidR="00746D3C" w:rsidRPr="007B7470" w:rsidRDefault="00746D3C" w:rsidP="00746D3C">
      <w:pPr>
        <w:ind w:firstLine="708"/>
        <w:jc w:val="both"/>
      </w:pPr>
      <w:r w:rsidRPr="007B7470">
        <w:t>Jasne popíšte, v prípade potreby použite nižšie uvedenú tabuľku. Uveďte aj odhady základov daní a/alebo poplatkov, ak sa ich táto zmena týka.</w:t>
      </w:r>
    </w:p>
    <w:p w14:paraId="6C3A55DA" w14:textId="77777777" w:rsidR="00746D3C" w:rsidRPr="007B7470" w:rsidRDefault="00746D3C" w:rsidP="00746D3C">
      <w:pPr>
        <w:jc w:val="right"/>
        <w:rPr>
          <w:sz w:val="20"/>
          <w:szCs w:val="20"/>
        </w:rPr>
      </w:pPr>
      <w:r w:rsidRPr="007B7470">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46D3C" w:rsidRPr="007B7470" w14:paraId="0BE1DF95" w14:textId="77777777" w:rsidTr="007B3372">
        <w:trPr>
          <w:cantSplit/>
          <w:trHeight w:val="70"/>
        </w:trPr>
        <w:tc>
          <w:tcPr>
            <w:tcW w:w="4530" w:type="dxa"/>
            <w:vMerge w:val="restart"/>
            <w:shd w:val="clear" w:color="auto" w:fill="BFBFBF" w:themeFill="background1" w:themeFillShade="BF"/>
            <w:vAlign w:val="center"/>
          </w:tcPr>
          <w:p w14:paraId="14FC8668" w14:textId="77777777" w:rsidR="00746D3C" w:rsidRPr="007B7470" w:rsidRDefault="00746D3C" w:rsidP="007B3372">
            <w:pPr>
              <w:autoSpaceDE w:val="0"/>
              <w:autoSpaceDN w:val="0"/>
              <w:adjustRightInd w:val="0"/>
              <w:jc w:val="center"/>
              <w:rPr>
                <w:b/>
                <w:bCs/>
              </w:rPr>
            </w:pPr>
            <w:r w:rsidRPr="007B7470">
              <w:rPr>
                <w:b/>
                <w:bCs/>
              </w:rPr>
              <w:t>Objem aktivít</w:t>
            </w:r>
          </w:p>
        </w:tc>
        <w:tc>
          <w:tcPr>
            <w:tcW w:w="1134" w:type="dxa"/>
            <w:gridSpan w:val="4"/>
            <w:shd w:val="clear" w:color="auto" w:fill="BFBFBF" w:themeFill="background1" w:themeFillShade="BF"/>
            <w:vAlign w:val="center"/>
          </w:tcPr>
          <w:p w14:paraId="36BD0126" w14:textId="77777777" w:rsidR="00746D3C" w:rsidRPr="007B7470" w:rsidRDefault="00746D3C" w:rsidP="007B3372">
            <w:pPr>
              <w:autoSpaceDE w:val="0"/>
              <w:autoSpaceDN w:val="0"/>
              <w:adjustRightInd w:val="0"/>
              <w:jc w:val="center"/>
              <w:rPr>
                <w:b/>
                <w:bCs/>
              </w:rPr>
            </w:pPr>
            <w:r w:rsidRPr="007B7470">
              <w:rPr>
                <w:b/>
                <w:bCs/>
              </w:rPr>
              <w:t>Odhadované objemy</w:t>
            </w:r>
          </w:p>
        </w:tc>
      </w:tr>
      <w:tr w:rsidR="00746D3C" w:rsidRPr="007B7470" w14:paraId="0ED8BD7D" w14:textId="77777777" w:rsidTr="007B3372">
        <w:trPr>
          <w:cantSplit/>
          <w:trHeight w:val="70"/>
        </w:trPr>
        <w:tc>
          <w:tcPr>
            <w:tcW w:w="4530" w:type="dxa"/>
            <w:vMerge/>
            <w:shd w:val="clear" w:color="auto" w:fill="BFBFBF" w:themeFill="background1" w:themeFillShade="BF"/>
          </w:tcPr>
          <w:p w14:paraId="734B0342" w14:textId="77777777" w:rsidR="00746D3C" w:rsidRPr="007B7470" w:rsidRDefault="00746D3C" w:rsidP="007B3372">
            <w:pPr>
              <w:autoSpaceDE w:val="0"/>
              <w:autoSpaceDN w:val="0"/>
              <w:adjustRightInd w:val="0"/>
              <w:jc w:val="center"/>
              <w:rPr>
                <w:b/>
                <w:bCs/>
              </w:rPr>
            </w:pPr>
          </w:p>
        </w:tc>
        <w:tc>
          <w:tcPr>
            <w:tcW w:w="1134" w:type="dxa"/>
            <w:shd w:val="clear" w:color="auto" w:fill="BFBFBF" w:themeFill="background1" w:themeFillShade="BF"/>
            <w:vAlign w:val="center"/>
          </w:tcPr>
          <w:p w14:paraId="1FC8FAA8" w14:textId="77777777" w:rsidR="00746D3C" w:rsidRPr="007B7470" w:rsidRDefault="00746D3C" w:rsidP="007B3372">
            <w:pPr>
              <w:autoSpaceDE w:val="0"/>
              <w:autoSpaceDN w:val="0"/>
              <w:adjustRightInd w:val="0"/>
              <w:jc w:val="center"/>
              <w:rPr>
                <w:b/>
                <w:bCs/>
              </w:rPr>
            </w:pPr>
            <w:r w:rsidRPr="007B7470">
              <w:rPr>
                <w:b/>
                <w:bCs/>
              </w:rPr>
              <w:t>r</w:t>
            </w:r>
          </w:p>
        </w:tc>
        <w:tc>
          <w:tcPr>
            <w:tcW w:w="1134" w:type="dxa"/>
            <w:shd w:val="clear" w:color="auto" w:fill="BFBFBF" w:themeFill="background1" w:themeFillShade="BF"/>
            <w:vAlign w:val="center"/>
          </w:tcPr>
          <w:p w14:paraId="7C44C649" w14:textId="77777777" w:rsidR="00746D3C" w:rsidRPr="007B7470" w:rsidRDefault="00746D3C" w:rsidP="007B3372">
            <w:pPr>
              <w:autoSpaceDE w:val="0"/>
              <w:autoSpaceDN w:val="0"/>
              <w:adjustRightInd w:val="0"/>
              <w:jc w:val="center"/>
              <w:rPr>
                <w:b/>
                <w:bCs/>
              </w:rPr>
            </w:pPr>
            <w:r w:rsidRPr="007B7470">
              <w:rPr>
                <w:b/>
                <w:bCs/>
              </w:rPr>
              <w:t>r + 1</w:t>
            </w:r>
          </w:p>
        </w:tc>
        <w:tc>
          <w:tcPr>
            <w:tcW w:w="1134" w:type="dxa"/>
            <w:shd w:val="clear" w:color="auto" w:fill="BFBFBF" w:themeFill="background1" w:themeFillShade="BF"/>
            <w:vAlign w:val="center"/>
          </w:tcPr>
          <w:p w14:paraId="7577D4C1" w14:textId="77777777" w:rsidR="00746D3C" w:rsidRPr="007B7470" w:rsidRDefault="00746D3C" w:rsidP="007B3372">
            <w:pPr>
              <w:autoSpaceDE w:val="0"/>
              <w:autoSpaceDN w:val="0"/>
              <w:adjustRightInd w:val="0"/>
              <w:jc w:val="center"/>
              <w:rPr>
                <w:b/>
                <w:bCs/>
              </w:rPr>
            </w:pPr>
            <w:r w:rsidRPr="007B7470">
              <w:rPr>
                <w:b/>
                <w:bCs/>
              </w:rPr>
              <w:t>r + 2</w:t>
            </w:r>
          </w:p>
        </w:tc>
        <w:tc>
          <w:tcPr>
            <w:tcW w:w="1134" w:type="dxa"/>
            <w:shd w:val="clear" w:color="auto" w:fill="BFBFBF" w:themeFill="background1" w:themeFillShade="BF"/>
            <w:vAlign w:val="center"/>
          </w:tcPr>
          <w:p w14:paraId="1129E23B" w14:textId="77777777" w:rsidR="00746D3C" w:rsidRPr="007B7470" w:rsidRDefault="00746D3C" w:rsidP="007B3372">
            <w:pPr>
              <w:autoSpaceDE w:val="0"/>
              <w:autoSpaceDN w:val="0"/>
              <w:adjustRightInd w:val="0"/>
              <w:jc w:val="center"/>
              <w:rPr>
                <w:b/>
                <w:bCs/>
              </w:rPr>
            </w:pPr>
            <w:r w:rsidRPr="007B7470">
              <w:rPr>
                <w:b/>
                <w:bCs/>
              </w:rPr>
              <w:t>r + 3</w:t>
            </w:r>
          </w:p>
        </w:tc>
      </w:tr>
      <w:tr w:rsidR="00746D3C" w:rsidRPr="007B7470" w14:paraId="309E8589" w14:textId="77777777" w:rsidTr="007B3372">
        <w:trPr>
          <w:trHeight w:val="70"/>
        </w:trPr>
        <w:tc>
          <w:tcPr>
            <w:tcW w:w="4530" w:type="dxa"/>
          </w:tcPr>
          <w:p w14:paraId="2BEA25E6" w14:textId="77777777" w:rsidR="00746D3C" w:rsidRPr="007B7470" w:rsidRDefault="00746D3C" w:rsidP="007B3372">
            <w:pPr>
              <w:autoSpaceDE w:val="0"/>
              <w:autoSpaceDN w:val="0"/>
              <w:adjustRightInd w:val="0"/>
              <w:rPr>
                <w:color w:val="000000"/>
              </w:rPr>
            </w:pPr>
            <w:r w:rsidRPr="007B7470">
              <w:rPr>
                <w:color w:val="000000"/>
              </w:rPr>
              <w:t>Indikátor ABC</w:t>
            </w:r>
          </w:p>
        </w:tc>
        <w:tc>
          <w:tcPr>
            <w:tcW w:w="1134" w:type="dxa"/>
          </w:tcPr>
          <w:p w14:paraId="50BCB8F4" w14:textId="77777777" w:rsidR="00746D3C" w:rsidRPr="007B7470" w:rsidRDefault="00746D3C" w:rsidP="007B3372">
            <w:pPr>
              <w:autoSpaceDE w:val="0"/>
              <w:autoSpaceDN w:val="0"/>
              <w:adjustRightInd w:val="0"/>
              <w:jc w:val="right"/>
              <w:rPr>
                <w:color w:val="000000"/>
              </w:rPr>
            </w:pPr>
          </w:p>
        </w:tc>
        <w:tc>
          <w:tcPr>
            <w:tcW w:w="1134" w:type="dxa"/>
          </w:tcPr>
          <w:p w14:paraId="73103EA8" w14:textId="77777777" w:rsidR="00746D3C" w:rsidRPr="007B7470" w:rsidRDefault="00746D3C" w:rsidP="007B3372">
            <w:pPr>
              <w:autoSpaceDE w:val="0"/>
              <w:autoSpaceDN w:val="0"/>
              <w:adjustRightInd w:val="0"/>
              <w:jc w:val="right"/>
              <w:rPr>
                <w:color w:val="000000"/>
              </w:rPr>
            </w:pPr>
          </w:p>
        </w:tc>
        <w:tc>
          <w:tcPr>
            <w:tcW w:w="1134" w:type="dxa"/>
          </w:tcPr>
          <w:p w14:paraId="5140A0F3" w14:textId="77777777" w:rsidR="00746D3C" w:rsidRPr="007B7470" w:rsidRDefault="00746D3C" w:rsidP="007B3372">
            <w:pPr>
              <w:autoSpaceDE w:val="0"/>
              <w:autoSpaceDN w:val="0"/>
              <w:adjustRightInd w:val="0"/>
              <w:jc w:val="right"/>
              <w:rPr>
                <w:color w:val="000000"/>
              </w:rPr>
            </w:pPr>
          </w:p>
        </w:tc>
        <w:tc>
          <w:tcPr>
            <w:tcW w:w="1134" w:type="dxa"/>
          </w:tcPr>
          <w:p w14:paraId="376B761A" w14:textId="77777777" w:rsidR="00746D3C" w:rsidRPr="007B7470" w:rsidRDefault="00746D3C" w:rsidP="007B3372">
            <w:pPr>
              <w:autoSpaceDE w:val="0"/>
              <w:autoSpaceDN w:val="0"/>
              <w:adjustRightInd w:val="0"/>
              <w:jc w:val="right"/>
              <w:rPr>
                <w:color w:val="000000"/>
              </w:rPr>
            </w:pPr>
          </w:p>
        </w:tc>
      </w:tr>
      <w:tr w:rsidR="00746D3C" w:rsidRPr="007B7470" w14:paraId="4556C369" w14:textId="77777777" w:rsidTr="007B3372">
        <w:trPr>
          <w:trHeight w:val="70"/>
        </w:trPr>
        <w:tc>
          <w:tcPr>
            <w:tcW w:w="4530" w:type="dxa"/>
          </w:tcPr>
          <w:p w14:paraId="4C759430" w14:textId="77777777" w:rsidR="00746D3C" w:rsidRPr="007B7470" w:rsidRDefault="00746D3C" w:rsidP="007B3372">
            <w:pPr>
              <w:autoSpaceDE w:val="0"/>
              <w:autoSpaceDN w:val="0"/>
              <w:adjustRightInd w:val="0"/>
              <w:rPr>
                <w:color w:val="000000"/>
              </w:rPr>
            </w:pPr>
            <w:r w:rsidRPr="007B7470">
              <w:rPr>
                <w:color w:val="000000"/>
              </w:rPr>
              <w:t>Indikátor KLM</w:t>
            </w:r>
          </w:p>
        </w:tc>
        <w:tc>
          <w:tcPr>
            <w:tcW w:w="1134" w:type="dxa"/>
          </w:tcPr>
          <w:p w14:paraId="55C2D0D9" w14:textId="77777777" w:rsidR="00746D3C" w:rsidRPr="007B7470" w:rsidRDefault="00746D3C" w:rsidP="007B3372">
            <w:pPr>
              <w:autoSpaceDE w:val="0"/>
              <w:autoSpaceDN w:val="0"/>
              <w:adjustRightInd w:val="0"/>
              <w:jc w:val="right"/>
              <w:rPr>
                <w:color w:val="000000"/>
              </w:rPr>
            </w:pPr>
          </w:p>
        </w:tc>
        <w:tc>
          <w:tcPr>
            <w:tcW w:w="1134" w:type="dxa"/>
          </w:tcPr>
          <w:p w14:paraId="2DD305C0" w14:textId="77777777" w:rsidR="00746D3C" w:rsidRPr="007B7470" w:rsidRDefault="00746D3C" w:rsidP="007B3372">
            <w:pPr>
              <w:autoSpaceDE w:val="0"/>
              <w:autoSpaceDN w:val="0"/>
              <w:adjustRightInd w:val="0"/>
              <w:jc w:val="right"/>
              <w:rPr>
                <w:color w:val="000000"/>
              </w:rPr>
            </w:pPr>
          </w:p>
        </w:tc>
        <w:tc>
          <w:tcPr>
            <w:tcW w:w="1134" w:type="dxa"/>
          </w:tcPr>
          <w:p w14:paraId="13906654" w14:textId="77777777" w:rsidR="00746D3C" w:rsidRPr="007B7470" w:rsidRDefault="00746D3C" w:rsidP="007B3372">
            <w:pPr>
              <w:autoSpaceDE w:val="0"/>
              <w:autoSpaceDN w:val="0"/>
              <w:adjustRightInd w:val="0"/>
              <w:jc w:val="right"/>
              <w:rPr>
                <w:color w:val="000000"/>
              </w:rPr>
            </w:pPr>
          </w:p>
        </w:tc>
        <w:tc>
          <w:tcPr>
            <w:tcW w:w="1134" w:type="dxa"/>
          </w:tcPr>
          <w:p w14:paraId="25B2543F" w14:textId="77777777" w:rsidR="00746D3C" w:rsidRPr="007B7470" w:rsidRDefault="00746D3C" w:rsidP="007B3372">
            <w:pPr>
              <w:autoSpaceDE w:val="0"/>
              <w:autoSpaceDN w:val="0"/>
              <w:adjustRightInd w:val="0"/>
              <w:jc w:val="right"/>
              <w:rPr>
                <w:color w:val="000000"/>
              </w:rPr>
            </w:pPr>
          </w:p>
        </w:tc>
      </w:tr>
      <w:tr w:rsidR="00746D3C" w:rsidRPr="007B7470" w14:paraId="7EA90115" w14:textId="77777777" w:rsidTr="007B3372">
        <w:trPr>
          <w:trHeight w:val="70"/>
        </w:trPr>
        <w:tc>
          <w:tcPr>
            <w:tcW w:w="4530" w:type="dxa"/>
          </w:tcPr>
          <w:p w14:paraId="2C937AC6" w14:textId="77777777" w:rsidR="00746D3C" w:rsidRPr="007B7470" w:rsidRDefault="00746D3C" w:rsidP="007B3372">
            <w:pPr>
              <w:autoSpaceDE w:val="0"/>
              <w:autoSpaceDN w:val="0"/>
              <w:adjustRightInd w:val="0"/>
              <w:rPr>
                <w:color w:val="000000"/>
              </w:rPr>
            </w:pPr>
            <w:r w:rsidRPr="007B7470">
              <w:rPr>
                <w:color w:val="000000"/>
              </w:rPr>
              <w:t>Indikátor XYZ</w:t>
            </w:r>
          </w:p>
        </w:tc>
        <w:tc>
          <w:tcPr>
            <w:tcW w:w="1134" w:type="dxa"/>
          </w:tcPr>
          <w:p w14:paraId="30D9B96D" w14:textId="77777777" w:rsidR="00746D3C" w:rsidRPr="007B7470" w:rsidRDefault="00746D3C" w:rsidP="007B3372">
            <w:pPr>
              <w:autoSpaceDE w:val="0"/>
              <w:autoSpaceDN w:val="0"/>
              <w:adjustRightInd w:val="0"/>
              <w:jc w:val="right"/>
              <w:rPr>
                <w:color w:val="000000"/>
              </w:rPr>
            </w:pPr>
          </w:p>
        </w:tc>
        <w:tc>
          <w:tcPr>
            <w:tcW w:w="1134" w:type="dxa"/>
          </w:tcPr>
          <w:p w14:paraId="2BAB469E" w14:textId="77777777" w:rsidR="00746D3C" w:rsidRPr="007B7470" w:rsidRDefault="00746D3C" w:rsidP="007B3372">
            <w:pPr>
              <w:autoSpaceDE w:val="0"/>
              <w:autoSpaceDN w:val="0"/>
              <w:adjustRightInd w:val="0"/>
              <w:jc w:val="right"/>
              <w:rPr>
                <w:color w:val="000000"/>
              </w:rPr>
            </w:pPr>
          </w:p>
        </w:tc>
        <w:tc>
          <w:tcPr>
            <w:tcW w:w="1134" w:type="dxa"/>
          </w:tcPr>
          <w:p w14:paraId="64C0E1D4" w14:textId="77777777" w:rsidR="00746D3C" w:rsidRPr="007B7470" w:rsidRDefault="00746D3C" w:rsidP="007B3372">
            <w:pPr>
              <w:autoSpaceDE w:val="0"/>
              <w:autoSpaceDN w:val="0"/>
              <w:adjustRightInd w:val="0"/>
              <w:jc w:val="right"/>
              <w:rPr>
                <w:color w:val="000000"/>
              </w:rPr>
            </w:pPr>
          </w:p>
        </w:tc>
        <w:tc>
          <w:tcPr>
            <w:tcW w:w="1134" w:type="dxa"/>
          </w:tcPr>
          <w:p w14:paraId="56A47854" w14:textId="77777777" w:rsidR="00746D3C" w:rsidRPr="007B7470" w:rsidRDefault="00746D3C" w:rsidP="007B3372">
            <w:pPr>
              <w:autoSpaceDE w:val="0"/>
              <w:autoSpaceDN w:val="0"/>
              <w:adjustRightInd w:val="0"/>
              <w:jc w:val="right"/>
              <w:rPr>
                <w:color w:val="000000"/>
              </w:rPr>
            </w:pPr>
          </w:p>
        </w:tc>
      </w:tr>
    </w:tbl>
    <w:p w14:paraId="349B8947" w14:textId="77777777" w:rsidR="00746D3C" w:rsidRPr="007B7470" w:rsidRDefault="00746D3C" w:rsidP="00746D3C"/>
    <w:p w14:paraId="4DEE2C01" w14:textId="77777777" w:rsidR="00746D3C" w:rsidRPr="007B7470" w:rsidRDefault="00746D3C" w:rsidP="00746D3C"/>
    <w:p w14:paraId="451AF994" w14:textId="77777777" w:rsidR="00746D3C" w:rsidRPr="007B7470" w:rsidRDefault="00746D3C" w:rsidP="00746D3C">
      <w:pPr>
        <w:rPr>
          <w:b/>
          <w:bCs/>
        </w:rPr>
      </w:pPr>
      <w:r w:rsidRPr="007B7470">
        <w:rPr>
          <w:b/>
          <w:bCs/>
        </w:rPr>
        <w:t>2.2.4. Výpočty vplyvov na verejné financie</w:t>
      </w:r>
    </w:p>
    <w:p w14:paraId="36E58D17" w14:textId="77777777" w:rsidR="00746D3C" w:rsidRPr="007B7470" w:rsidRDefault="00746D3C" w:rsidP="00746D3C"/>
    <w:p w14:paraId="1F627B88" w14:textId="77777777" w:rsidR="00746D3C" w:rsidRPr="007B7470" w:rsidRDefault="00746D3C" w:rsidP="00746D3C">
      <w:pPr>
        <w:ind w:firstLine="708"/>
        <w:jc w:val="both"/>
      </w:pPr>
      <w:r w:rsidRPr="007B7470">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2029D185" w14:textId="77777777" w:rsidR="00746D3C" w:rsidRPr="007B7470" w:rsidRDefault="00746D3C" w:rsidP="00746D3C">
      <w:pPr>
        <w:jc w:val="both"/>
      </w:pPr>
    </w:p>
    <w:p w14:paraId="7F57AF3C" w14:textId="77777777" w:rsidR="00746D3C" w:rsidRDefault="00746D3C" w:rsidP="00746D3C">
      <w:pPr>
        <w:tabs>
          <w:tab w:val="num" w:pos="1080"/>
        </w:tabs>
        <w:jc w:val="both"/>
        <w:rPr>
          <w:b/>
        </w:rPr>
      </w:pPr>
      <w:r>
        <w:rPr>
          <w:b/>
        </w:rPr>
        <w:t>Pozitívny vplyv na rozpočet verejnej správy</w:t>
      </w:r>
    </w:p>
    <w:p w14:paraId="61EA7B6B" w14:textId="77777777" w:rsidR="00746D3C" w:rsidRDefault="00746D3C" w:rsidP="00746D3C">
      <w:pPr>
        <w:tabs>
          <w:tab w:val="num" w:pos="1080"/>
        </w:tabs>
        <w:jc w:val="both"/>
        <w:rPr>
          <w:b/>
        </w:rPr>
      </w:pPr>
    </w:p>
    <w:p w14:paraId="7B8DA3FD" w14:textId="77777777" w:rsidR="00746D3C" w:rsidRPr="00656BEB" w:rsidRDefault="00746D3C" w:rsidP="00746D3C">
      <w:pPr>
        <w:tabs>
          <w:tab w:val="num" w:pos="1080"/>
        </w:tabs>
        <w:jc w:val="both"/>
        <w:rPr>
          <w:bCs/>
        </w:rPr>
      </w:pPr>
      <w:r w:rsidRPr="00656BEB">
        <w:rPr>
          <w:bCs/>
        </w:rPr>
        <w:t>Zavedenie elektronickej fakturácie by malo mať významný pozitívny vplyv najmä v oblasti eliminácie vysokých nedoplatkov, ktoré vznikajú po kontrolách subjektov zapojených do</w:t>
      </w:r>
      <w:r>
        <w:rPr>
          <w:bCs/>
        </w:rPr>
        <w:t> </w:t>
      </w:r>
      <w:r w:rsidRPr="00656BEB">
        <w:rPr>
          <w:bCs/>
        </w:rPr>
        <w:t>podvodných schém. Vďaka dostupnosti informácií v reálnom čase sa výrazne skráti reakčný čas finančnej správy. Kontrolné tímy tak budú schopné zasiahnuť okamžite po identifikácii rizikovej transakcie, čo umožní zastaviť podvod už v počiatočnom štádiu a prijať opatrenia na</w:t>
      </w:r>
      <w:r>
        <w:rPr>
          <w:bCs/>
        </w:rPr>
        <w:t> </w:t>
      </w:r>
      <w:r w:rsidRPr="00656BEB">
        <w:rPr>
          <w:bCs/>
        </w:rPr>
        <w:t>predchádzanie daňovým únikom.</w:t>
      </w:r>
    </w:p>
    <w:p w14:paraId="03D9253D" w14:textId="77777777" w:rsidR="00746D3C" w:rsidRPr="00656BEB" w:rsidRDefault="00746D3C" w:rsidP="00746D3C">
      <w:pPr>
        <w:tabs>
          <w:tab w:val="num" w:pos="1080"/>
        </w:tabs>
        <w:jc w:val="both"/>
        <w:rPr>
          <w:bCs/>
        </w:rPr>
      </w:pPr>
    </w:p>
    <w:p w14:paraId="3C76403F" w14:textId="77777777" w:rsidR="00746D3C" w:rsidRDefault="00746D3C" w:rsidP="00746D3C">
      <w:pPr>
        <w:tabs>
          <w:tab w:val="num" w:pos="1080"/>
        </w:tabs>
        <w:jc w:val="both"/>
        <w:rPr>
          <w:b/>
        </w:rPr>
      </w:pPr>
      <w:r w:rsidRPr="00656BEB">
        <w:rPr>
          <w:bCs/>
        </w:rPr>
        <w:t>Implementáciou oznamovania transakcií v reálnom čase by bolo možné predísť vzniku značnej časti týchto nedoplatkov, čo by mohlo priniesť pozitívny fiškálny prínos na strednodobom horizonte. Okrem toho sa očakáva zlepšenie daňovej disciplíny (tax compliance) a zvýšenie efektivity kontrolnej činnosti. Kvalifikovaný nominálny odhad týchto prínosov je však vzhľadom na komplexnosť problematiky náročné stanoviť.</w:t>
      </w:r>
    </w:p>
    <w:p w14:paraId="1F8B7560" w14:textId="77777777" w:rsidR="00746D3C" w:rsidRPr="000F5E28" w:rsidRDefault="00746D3C" w:rsidP="00746D3C">
      <w:pPr>
        <w:tabs>
          <w:tab w:val="num" w:pos="1080"/>
        </w:tabs>
        <w:jc w:val="both"/>
        <w:rPr>
          <w:bCs/>
        </w:rPr>
      </w:pPr>
    </w:p>
    <w:p w14:paraId="4422981A" w14:textId="77777777" w:rsidR="00746D3C" w:rsidRPr="000F5E28" w:rsidRDefault="00746D3C" w:rsidP="00746D3C">
      <w:pPr>
        <w:tabs>
          <w:tab w:val="num" w:pos="1080"/>
        </w:tabs>
        <w:jc w:val="both"/>
        <w:rPr>
          <w:bCs/>
        </w:rPr>
      </w:pPr>
      <w:r w:rsidRPr="000F5E28">
        <w:rPr>
          <w:bCs/>
        </w:rPr>
        <w:t>Pozitívny</w:t>
      </w:r>
      <w:r>
        <w:rPr>
          <w:bCs/>
        </w:rPr>
        <w:t>, ale marginálny vplyv sa predpokladá aj v súvislosti s registráciou skupiny z úradnej moci.</w:t>
      </w:r>
    </w:p>
    <w:p w14:paraId="7E31E812" w14:textId="77777777" w:rsidR="00746D3C" w:rsidRPr="000F5E28" w:rsidRDefault="00746D3C" w:rsidP="00746D3C">
      <w:pPr>
        <w:tabs>
          <w:tab w:val="num" w:pos="1080"/>
        </w:tabs>
        <w:jc w:val="both"/>
        <w:rPr>
          <w:bCs/>
        </w:rPr>
      </w:pPr>
    </w:p>
    <w:p w14:paraId="5BA0F771" w14:textId="77777777" w:rsidR="00746D3C" w:rsidRDefault="00746D3C" w:rsidP="00746D3C">
      <w:pPr>
        <w:tabs>
          <w:tab w:val="num" w:pos="1080"/>
        </w:tabs>
        <w:jc w:val="both"/>
        <w:rPr>
          <w:b/>
        </w:rPr>
      </w:pPr>
      <w:r>
        <w:rPr>
          <w:b/>
        </w:rPr>
        <w:t>Negatívny vplyv na rozpočet verejnej správy</w:t>
      </w:r>
    </w:p>
    <w:p w14:paraId="4941A276" w14:textId="77777777" w:rsidR="00746D3C" w:rsidRDefault="00746D3C" w:rsidP="00746D3C">
      <w:pPr>
        <w:tabs>
          <w:tab w:val="num" w:pos="1080"/>
        </w:tabs>
        <w:jc w:val="both"/>
        <w:rPr>
          <w:b/>
        </w:rPr>
      </w:pPr>
    </w:p>
    <w:p w14:paraId="76025EBB" w14:textId="77777777" w:rsidR="00746D3C" w:rsidRPr="009300CA" w:rsidRDefault="00746D3C" w:rsidP="00746D3C">
      <w:pPr>
        <w:pStyle w:val="Bezriadkovania"/>
        <w:jc w:val="both"/>
        <w:rPr>
          <w:rFonts w:ascii="Times New Roman" w:hAnsi="Times New Roman"/>
          <w:sz w:val="24"/>
          <w:szCs w:val="24"/>
        </w:rPr>
      </w:pPr>
      <w:r w:rsidRPr="009300CA">
        <w:rPr>
          <w:rFonts w:ascii="Times New Roman" w:hAnsi="Times New Roman"/>
          <w:sz w:val="24"/>
          <w:szCs w:val="24"/>
        </w:rPr>
        <w:t>MF</w:t>
      </w:r>
      <w:r>
        <w:rPr>
          <w:rFonts w:ascii="Times New Roman" w:hAnsi="Times New Roman"/>
          <w:sz w:val="24"/>
          <w:szCs w:val="24"/>
        </w:rPr>
        <w:t xml:space="preserve"> </w:t>
      </w:r>
      <w:r w:rsidRPr="009300CA">
        <w:rPr>
          <w:rFonts w:ascii="Times New Roman" w:hAnsi="Times New Roman"/>
          <w:sz w:val="24"/>
          <w:szCs w:val="24"/>
        </w:rPr>
        <w:t>SR požiadalo FR</w:t>
      </w:r>
      <w:r>
        <w:rPr>
          <w:rFonts w:ascii="Times New Roman" w:hAnsi="Times New Roman"/>
          <w:sz w:val="24"/>
          <w:szCs w:val="24"/>
        </w:rPr>
        <w:t xml:space="preserve"> </w:t>
      </w:r>
      <w:r w:rsidRPr="009300CA">
        <w:rPr>
          <w:rFonts w:ascii="Times New Roman" w:hAnsi="Times New Roman"/>
          <w:sz w:val="24"/>
          <w:szCs w:val="24"/>
        </w:rPr>
        <w:t xml:space="preserve">SR o kvantifikáciu </w:t>
      </w:r>
      <w:r>
        <w:rPr>
          <w:rFonts w:ascii="Times New Roman" w:hAnsi="Times New Roman"/>
          <w:sz w:val="24"/>
          <w:szCs w:val="24"/>
        </w:rPr>
        <w:t xml:space="preserve">vplyvov </w:t>
      </w:r>
      <w:r w:rsidRPr="009300CA">
        <w:rPr>
          <w:rFonts w:ascii="Times New Roman" w:hAnsi="Times New Roman"/>
          <w:sz w:val="24"/>
          <w:szCs w:val="24"/>
        </w:rPr>
        <w:t xml:space="preserve"> na informačné systémy finančnej správy v súvislosti so zmenami vyplývajúcimi z jednotlivých ustanovení návrhu zákona, ktoré bude potrebné zapracovať. </w:t>
      </w:r>
    </w:p>
    <w:p w14:paraId="53F93247" w14:textId="77777777" w:rsidR="00746D3C" w:rsidRPr="009300CA" w:rsidRDefault="00746D3C" w:rsidP="00746D3C">
      <w:pPr>
        <w:pStyle w:val="Bezriadkovania"/>
        <w:jc w:val="both"/>
        <w:rPr>
          <w:rFonts w:ascii="Times New Roman" w:hAnsi="Times New Roman"/>
          <w:sz w:val="24"/>
          <w:szCs w:val="24"/>
        </w:rPr>
      </w:pPr>
    </w:p>
    <w:p w14:paraId="1A0AC1DC" w14:textId="77777777" w:rsidR="00746D3C" w:rsidRPr="009300CA" w:rsidRDefault="00746D3C" w:rsidP="00746D3C">
      <w:pPr>
        <w:pStyle w:val="Bezriadkovania"/>
        <w:jc w:val="both"/>
        <w:rPr>
          <w:rFonts w:ascii="Times New Roman" w:hAnsi="Times New Roman"/>
          <w:sz w:val="24"/>
          <w:szCs w:val="24"/>
        </w:rPr>
      </w:pPr>
      <w:r w:rsidRPr="009300CA">
        <w:rPr>
          <w:rFonts w:ascii="Times New Roman" w:hAnsi="Times New Roman"/>
          <w:sz w:val="24"/>
          <w:szCs w:val="24"/>
        </w:rPr>
        <w:t>Negatívny vplyv na rozpočet verejnej správy bude mať nevyhnutná transpozícia smernice</w:t>
      </w:r>
      <w:r>
        <w:rPr>
          <w:rFonts w:ascii="Times New Roman" w:hAnsi="Times New Roman"/>
          <w:sz w:val="24"/>
          <w:szCs w:val="24"/>
        </w:rPr>
        <w:t xml:space="preserve"> 2022/516, teda zavedenie povinnej elektronickej fakturácie a oznamovania údajov o cezhraničných zdaniteľných obchodoch s účinnosťou od 1. júla 2030 a zavedenie povinnej elektronickej fakturácie a oznamovania údajov o tuzemských </w:t>
      </w:r>
      <w:r w:rsidRPr="00562ED8">
        <w:rPr>
          <w:rFonts w:ascii="Times New Roman" w:hAnsi="Times New Roman"/>
          <w:sz w:val="24"/>
          <w:szCs w:val="24"/>
        </w:rPr>
        <w:t xml:space="preserve">zdaniteľných obchodoch s účinnosťou od 1. januára 2027 a na to nadväzujúce súvisiace zmeny fakturačných pravidiel. Navrhované zmeny vyvolávajú požiadavky </w:t>
      </w:r>
      <w:r w:rsidRPr="00B00DC9">
        <w:rPr>
          <w:rFonts w:ascii="Times New Roman" w:hAnsi="Times New Roman"/>
          <w:sz w:val="24"/>
          <w:szCs w:val="24"/>
        </w:rPr>
        <w:t>na informačné systémy MF SR a</w:t>
      </w:r>
      <w:r w:rsidRPr="00562ED8">
        <w:rPr>
          <w:rFonts w:ascii="Times New Roman" w:hAnsi="Times New Roman"/>
          <w:sz w:val="24"/>
          <w:szCs w:val="24"/>
        </w:rPr>
        <w:t xml:space="preserve"> </w:t>
      </w:r>
      <w:r>
        <w:rPr>
          <w:rFonts w:ascii="Times New Roman" w:hAnsi="Times New Roman"/>
          <w:sz w:val="24"/>
          <w:szCs w:val="24"/>
        </w:rPr>
        <w:t>FR SR</w:t>
      </w:r>
      <w:r w:rsidRPr="004F3A08">
        <w:rPr>
          <w:rFonts w:ascii="Times New Roman" w:hAnsi="Times New Roman"/>
          <w:sz w:val="24"/>
          <w:szCs w:val="24"/>
        </w:rPr>
        <w:t xml:space="preserve"> </w:t>
      </w:r>
      <w:r w:rsidRPr="00562ED8">
        <w:rPr>
          <w:rFonts w:ascii="Times New Roman" w:hAnsi="Times New Roman"/>
          <w:sz w:val="24"/>
          <w:szCs w:val="24"/>
        </w:rPr>
        <w:t>v</w:t>
      </w:r>
      <w:r>
        <w:rPr>
          <w:rFonts w:ascii="Times New Roman" w:hAnsi="Times New Roman"/>
          <w:sz w:val="24"/>
          <w:szCs w:val="24"/>
        </w:rPr>
        <w:t> predpokladanej celkovej sume do</w:t>
      </w:r>
      <w:r w:rsidRPr="00562ED8">
        <w:rPr>
          <w:rFonts w:ascii="Times New Roman" w:hAnsi="Times New Roman"/>
          <w:sz w:val="24"/>
          <w:szCs w:val="24"/>
        </w:rPr>
        <w:t xml:space="preserve"> </w:t>
      </w:r>
      <w:r>
        <w:rPr>
          <w:rFonts w:ascii="Times New Roman" w:hAnsi="Times New Roman"/>
          <w:b/>
          <w:bCs/>
          <w:sz w:val="24"/>
          <w:szCs w:val="24"/>
        </w:rPr>
        <w:t>15 739 862</w:t>
      </w:r>
      <w:r w:rsidRPr="00DF7D86">
        <w:rPr>
          <w:rFonts w:ascii="Times New Roman" w:hAnsi="Times New Roman"/>
          <w:b/>
          <w:sz w:val="24"/>
          <w:szCs w:val="24"/>
        </w:rPr>
        <w:t xml:space="preserve"> eur s DPH</w:t>
      </w:r>
      <w:r>
        <w:rPr>
          <w:rFonts w:ascii="Times New Roman" w:hAnsi="Times New Roman"/>
          <w:bCs/>
          <w:sz w:val="24"/>
          <w:szCs w:val="24"/>
        </w:rPr>
        <w:t>, z toho</w:t>
      </w:r>
      <w:r w:rsidRPr="00562ED8">
        <w:rPr>
          <w:rFonts w:ascii="Times New Roman" w:hAnsi="Times New Roman"/>
          <w:sz w:val="24"/>
          <w:szCs w:val="24"/>
        </w:rPr>
        <w:t>.</w:t>
      </w:r>
    </w:p>
    <w:p w14:paraId="29BBD643" w14:textId="77777777" w:rsidR="00746D3C" w:rsidRDefault="00746D3C" w:rsidP="00746D3C">
      <w:pPr>
        <w:jc w:val="both"/>
        <w:rPr>
          <w:highlight w:val="yellow"/>
        </w:rPr>
      </w:pPr>
    </w:p>
    <w:p w14:paraId="26178ACE" w14:textId="77777777" w:rsidR="00746D3C" w:rsidRPr="00254373" w:rsidRDefault="00746D3C" w:rsidP="00746D3C">
      <w:pPr>
        <w:jc w:val="both"/>
      </w:pPr>
      <w:r w:rsidRPr="00254373">
        <w:t xml:space="preserve">- Integrovaný systém </w:t>
      </w:r>
      <w:r>
        <w:t>f</w:t>
      </w:r>
      <w:r w:rsidRPr="00254373">
        <w:t>inančnej správy – správa daní (ISFS-SD)</w:t>
      </w:r>
      <w:r w:rsidRPr="00254373">
        <w:tab/>
        <w:t>150 148 eur (2025)</w:t>
      </w:r>
    </w:p>
    <w:p w14:paraId="7034B8BB" w14:textId="77777777" w:rsidR="00746D3C" w:rsidRPr="00254373" w:rsidRDefault="00746D3C" w:rsidP="00746D3C">
      <w:pPr>
        <w:jc w:val="both"/>
      </w:pPr>
      <w:r w:rsidRPr="00254373">
        <w:tab/>
      </w:r>
      <w:r w:rsidRPr="00254373">
        <w:tab/>
      </w:r>
      <w:r w:rsidRPr="00254373">
        <w:tab/>
      </w:r>
      <w:r w:rsidRPr="00254373">
        <w:tab/>
      </w:r>
      <w:r w:rsidRPr="00254373">
        <w:tab/>
      </w:r>
      <w:r w:rsidRPr="00254373">
        <w:tab/>
      </w:r>
      <w:r w:rsidRPr="00254373">
        <w:tab/>
      </w:r>
      <w:r w:rsidRPr="00254373">
        <w:tab/>
      </w:r>
      <w:r w:rsidRPr="00254373">
        <w:tab/>
        <w:t>504 180 eur (2026)</w:t>
      </w:r>
    </w:p>
    <w:p w14:paraId="319FCB1B" w14:textId="77777777" w:rsidR="00746D3C" w:rsidRPr="00254373" w:rsidRDefault="00746D3C" w:rsidP="00746D3C">
      <w:pPr>
        <w:jc w:val="both"/>
      </w:pPr>
      <w:r w:rsidRPr="00254373">
        <w:tab/>
      </w:r>
      <w:r w:rsidRPr="00254373">
        <w:tab/>
      </w:r>
      <w:r w:rsidRPr="00254373">
        <w:tab/>
      </w:r>
      <w:r w:rsidRPr="00254373">
        <w:tab/>
      </w:r>
      <w:r w:rsidRPr="00254373">
        <w:tab/>
      </w:r>
      <w:r w:rsidRPr="00254373">
        <w:tab/>
      </w:r>
      <w:r w:rsidRPr="00254373">
        <w:tab/>
      </w:r>
      <w:r w:rsidRPr="00254373">
        <w:tab/>
      </w:r>
      <w:r w:rsidRPr="00254373">
        <w:tab/>
      </w:r>
    </w:p>
    <w:p w14:paraId="5A3F974F" w14:textId="77777777" w:rsidR="00746D3C" w:rsidRPr="00254373" w:rsidRDefault="00746D3C" w:rsidP="00746D3C">
      <w:pPr>
        <w:spacing w:after="120"/>
        <w:jc w:val="both"/>
        <w:rPr>
          <w:i/>
          <w:iCs/>
        </w:rPr>
      </w:pPr>
      <w:r w:rsidRPr="00254373">
        <w:tab/>
      </w:r>
      <w:r w:rsidRPr="00254373">
        <w:tab/>
      </w:r>
      <w:r w:rsidRPr="00254373">
        <w:tab/>
      </w:r>
      <w:r w:rsidRPr="00254373">
        <w:tab/>
      </w:r>
      <w:r w:rsidRPr="00254373">
        <w:tab/>
      </w:r>
      <w:r w:rsidRPr="00254373">
        <w:tab/>
      </w:r>
      <w:r w:rsidRPr="00254373">
        <w:tab/>
      </w:r>
      <w:r w:rsidRPr="00C43417">
        <w:rPr>
          <w:b/>
          <w:bCs/>
          <w:i/>
          <w:iCs/>
        </w:rPr>
        <w:t>spolu</w:t>
      </w:r>
      <w:r w:rsidRPr="00C43417">
        <w:rPr>
          <w:b/>
          <w:bCs/>
          <w:i/>
          <w:iCs/>
        </w:rPr>
        <w:tab/>
      </w:r>
      <w:r w:rsidRPr="00254373">
        <w:rPr>
          <w:i/>
          <w:iCs/>
        </w:rPr>
        <w:tab/>
      </w:r>
      <w:r>
        <w:rPr>
          <w:b/>
          <w:bCs/>
          <w:i/>
          <w:iCs/>
        </w:rPr>
        <w:t>654 328</w:t>
      </w:r>
      <w:r w:rsidRPr="00C43417">
        <w:rPr>
          <w:b/>
          <w:bCs/>
          <w:i/>
          <w:iCs/>
        </w:rPr>
        <w:t xml:space="preserve"> eur </w:t>
      </w:r>
    </w:p>
    <w:p w14:paraId="549C9CFF" w14:textId="77777777" w:rsidR="00746D3C" w:rsidRPr="00254373" w:rsidRDefault="00746D3C" w:rsidP="00746D3C">
      <w:pPr>
        <w:jc w:val="both"/>
      </w:pPr>
      <w:r w:rsidRPr="00254373">
        <w:t>- Portál finančnej správy (PFS)</w:t>
      </w:r>
      <w:r w:rsidRPr="00254373">
        <w:tab/>
      </w:r>
      <w:r w:rsidRPr="00254373">
        <w:tab/>
      </w:r>
      <w:r w:rsidRPr="00254373">
        <w:tab/>
      </w:r>
      <w:r w:rsidRPr="00254373">
        <w:tab/>
      </w:r>
      <w:r w:rsidRPr="00254373">
        <w:tab/>
      </w:r>
      <w:r>
        <w:t xml:space="preserve">  </w:t>
      </w:r>
      <w:r w:rsidRPr="00254373">
        <w:t>29 471 eur (2025)</w:t>
      </w:r>
    </w:p>
    <w:p w14:paraId="173FC0AD" w14:textId="77777777" w:rsidR="00746D3C" w:rsidRPr="00254373" w:rsidRDefault="00746D3C" w:rsidP="00746D3C">
      <w:pPr>
        <w:jc w:val="both"/>
      </w:pPr>
      <w:r w:rsidRPr="00254373">
        <w:tab/>
      </w:r>
      <w:r w:rsidRPr="00254373">
        <w:tab/>
      </w:r>
      <w:r w:rsidRPr="00254373">
        <w:tab/>
      </w:r>
      <w:r w:rsidRPr="00254373">
        <w:tab/>
      </w:r>
      <w:r w:rsidRPr="00254373">
        <w:tab/>
      </w:r>
      <w:r w:rsidRPr="00254373">
        <w:tab/>
      </w:r>
      <w:r w:rsidRPr="00254373">
        <w:tab/>
      </w:r>
      <w:r w:rsidRPr="00254373">
        <w:tab/>
      </w:r>
      <w:r w:rsidRPr="00254373">
        <w:tab/>
        <w:t>508 372 eur (2026)</w:t>
      </w:r>
    </w:p>
    <w:p w14:paraId="03CF5EC1" w14:textId="77777777" w:rsidR="00746D3C" w:rsidRPr="00254373" w:rsidRDefault="00746D3C" w:rsidP="00746D3C">
      <w:pPr>
        <w:spacing w:after="120"/>
        <w:jc w:val="both"/>
        <w:rPr>
          <w:i/>
          <w:iCs/>
        </w:rPr>
      </w:pPr>
      <w:r w:rsidRPr="00254373">
        <w:tab/>
      </w:r>
      <w:r w:rsidRPr="00254373">
        <w:tab/>
      </w:r>
      <w:r w:rsidRPr="00254373">
        <w:tab/>
      </w:r>
      <w:r w:rsidRPr="00254373">
        <w:tab/>
      </w:r>
      <w:r w:rsidRPr="00254373">
        <w:tab/>
      </w:r>
      <w:r w:rsidRPr="00254373">
        <w:tab/>
      </w:r>
      <w:r w:rsidRPr="00254373">
        <w:tab/>
      </w:r>
      <w:r w:rsidRPr="00C43417">
        <w:rPr>
          <w:b/>
          <w:bCs/>
          <w:i/>
          <w:iCs/>
        </w:rPr>
        <w:t>spolu</w:t>
      </w:r>
      <w:r w:rsidRPr="00C43417">
        <w:rPr>
          <w:b/>
          <w:bCs/>
          <w:i/>
          <w:iCs/>
        </w:rPr>
        <w:tab/>
      </w:r>
      <w:r w:rsidRPr="00254373">
        <w:rPr>
          <w:i/>
          <w:iCs/>
        </w:rPr>
        <w:tab/>
      </w:r>
      <w:r w:rsidRPr="00C43417">
        <w:rPr>
          <w:b/>
          <w:bCs/>
          <w:i/>
          <w:iCs/>
        </w:rPr>
        <w:t xml:space="preserve">537 843 eur </w:t>
      </w:r>
    </w:p>
    <w:p w14:paraId="4572C48A" w14:textId="77777777" w:rsidR="00746D3C" w:rsidRPr="00254373" w:rsidRDefault="00746D3C" w:rsidP="00746D3C">
      <w:pPr>
        <w:jc w:val="both"/>
      </w:pPr>
      <w:r w:rsidRPr="00254373">
        <w:t xml:space="preserve">- </w:t>
      </w:r>
      <w:r>
        <w:t>DR SCAN</w:t>
      </w:r>
      <w:r>
        <w:tab/>
      </w:r>
      <w:r>
        <w:tab/>
      </w:r>
      <w:r>
        <w:tab/>
      </w:r>
      <w:r>
        <w:tab/>
      </w:r>
      <w:r>
        <w:tab/>
      </w:r>
      <w:r w:rsidRPr="00254373">
        <w:tab/>
      </w:r>
      <w:r w:rsidRPr="00254373">
        <w:tab/>
      </w:r>
      <w:r w:rsidRPr="00254373">
        <w:tab/>
      </w:r>
      <w:r>
        <w:t xml:space="preserve">     </w:t>
      </w:r>
      <w:r w:rsidRPr="00254373">
        <w:t>57 687 eur (2026)</w:t>
      </w:r>
    </w:p>
    <w:p w14:paraId="5EEAC556" w14:textId="77777777" w:rsidR="00746D3C" w:rsidRPr="00254373" w:rsidRDefault="00746D3C" w:rsidP="00746D3C">
      <w:pPr>
        <w:jc w:val="both"/>
      </w:pPr>
      <w:r w:rsidRPr="00254373">
        <w:t>- DATA WAREHOUSE (DWH)</w:t>
      </w:r>
      <w:r w:rsidRPr="00254373">
        <w:tab/>
      </w:r>
      <w:r w:rsidRPr="00254373">
        <w:tab/>
      </w:r>
      <w:r w:rsidRPr="00254373">
        <w:tab/>
      </w:r>
      <w:r w:rsidRPr="00254373">
        <w:tab/>
      </w:r>
      <w:r w:rsidRPr="00254373">
        <w:tab/>
      </w:r>
      <w:r>
        <w:t xml:space="preserve">   </w:t>
      </w:r>
      <w:r w:rsidRPr="00254373">
        <w:t>219 986 eur (2026)</w:t>
      </w:r>
    </w:p>
    <w:p w14:paraId="6FA160F6" w14:textId="77777777" w:rsidR="00746D3C" w:rsidRPr="00254373" w:rsidRDefault="00746D3C" w:rsidP="00746D3C">
      <w:pPr>
        <w:jc w:val="both"/>
      </w:pPr>
      <w:r w:rsidRPr="00254373">
        <w:t>- Kontrolný výkaz DPH (KV DPH)</w:t>
      </w:r>
      <w:r w:rsidRPr="00254373">
        <w:tab/>
      </w:r>
      <w:r w:rsidRPr="00254373">
        <w:tab/>
      </w:r>
      <w:r w:rsidRPr="00254373">
        <w:tab/>
      </w:r>
      <w:r w:rsidRPr="00254373">
        <w:tab/>
      </w:r>
      <w:r w:rsidRPr="00254373">
        <w:tab/>
        <w:t>5 412 000 eur (2026)</w:t>
      </w:r>
    </w:p>
    <w:p w14:paraId="1D11ACB7" w14:textId="77777777" w:rsidR="00746D3C" w:rsidRPr="00254373" w:rsidRDefault="00746D3C" w:rsidP="00746D3C">
      <w:pPr>
        <w:jc w:val="both"/>
      </w:pPr>
      <w:r w:rsidRPr="00254373">
        <w:tab/>
      </w:r>
      <w:r w:rsidRPr="00254373">
        <w:tab/>
      </w:r>
      <w:r w:rsidRPr="00254373">
        <w:tab/>
      </w:r>
      <w:r w:rsidRPr="00254373">
        <w:tab/>
      </w:r>
      <w:r w:rsidRPr="00254373">
        <w:tab/>
      </w:r>
      <w:r w:rsidRPr="00254373">
        <w:tab/>
      </w:r>
      <w:r w:rsidRPr="00254373">
        <w:tab/>
      </w:r>
      <w:r w:rsidRPr="00254373">
        <w:tab/>
      </w:r>
      <w:r w:rsidRPr="00254373">
        <w:tab/>
      </w:r>
    </w:p>
    <w:p w14:paraId="4A1B98F5" w14:textId="77777777" w:rsidR="00746D3C" w:rsidRPr="00C43417" w:rsidRDefault="00746D3C" w:rsidP="00746D3C">
      <w:pPr>
        <w:spacing w:after="120"/>
        <w:ind w:firstLine="709"/>
        <w:jc w:val="both"/>
        <w:rPr>
          <w:b/>
          <w:bCs/>
          <w:i/>
          <w:iCs/>
        </w:rPr>
      </w:pPr>
      <w:r w:rsidRPr="00254373">
        <w:tab/>
      </w:r>
      <w:r w:rsidRPr="00254373">
        <w:tab/>
      </w:r>
      <w:r w:rsidRPr="00254373">
        <w:tab/>
      </w:r>
      <w:r w:rsidRPr="00254373">
        <w:tab/>
      </w:r>
      <w:r w:rsidRPr="00254373">
        <w:tab/>
      </w:r>
      <w:r w:rsidRPr="00254373">
        <w:tab/>
      </w:r>
      <w:r w:rsidRPr="00C43417">
        <w:rPr>
          <w:b/>
          <w:bCs/>
          <w:i/>
          <w:iCs/>
        </w:rPr>
        <w:t>spolu</w:t>
      </w:r>
      <w:r w:rsidRPr="00C43417">
        <w:rPr>
          <w:b/>
          <w:bCs/>
          <w:i/>
          <w:iCs/>
        </w:rPr>
        <w:tab/>
      </w:r>
      <w:r w:rsidRPr="00C43417">
        <w:rPr>
          <w:b/>
          <w:bCs/>
          <w:i/>
          <w:iCs/>
        </w:rPr>
        <w:tab/>
      </w:r>
      <w:r>
        <w:rPr>
          <w:b/>
          <w:bCs/>
          <w:i/>
          <w:iCs/>
        </w:rPr>
        <w:t>5 689 673</w:t>
      </w:r>
      <w:r w:rsidRPr="00C43417">
        <w:rPr>
          <w:b/>
          <w:bCs/>
          <w:i/>
          <w:iCs/>
        </w:rPr>
        <w:t xml:space="preserve"> eur </w:t>
      </w:r>
    </w:p>
    <w:p w14:paraId="1FC7DCDA" w14:textId="77777777" w:rsidR="00746D3C" w:rsidRPr="00254373" w:rsidRDefault="00746D3C" w:rsidP="00746D3C">
      <w:pPr>
        <w:jc w:val="both"/>
      </w:pPr>
      <w:r w:rsidRPr="00254373">
        <w:t>- Rozšírenie analytických nástrojov (RAN)</w:t>
      </w:r>
      <w:r w:rsidRPr="00254373">
        <w:tab/>
      </w:r>
      <w:r w:rsidRPr="00254373">
        <w:tab/>
      </w:r>
      <w:r w:rsidRPr="00254373">
        <w:tab/>
      </w:r>
      <w:r w:rsidRPr="00254373">
        <w:tab/>
      </w:r>
      <w:r>
        <w:t xml:space="preserve">    </w:t>
      </w:r>
      <w:r w:rsidRPr="00254373">
        <w:t>98 400 eur (2026)</w:t>
      </w:r>
    </w:p>
    <w:p w14:paraId="5170559C" w14:textId="77777777" w:rsidR="00746D3C" w:rsidRDefault="00746D3C" w:rsidP="00746D3C">
      <w:pPr>
        <w:jc w:val="both"/>
      </w:pPr>
      <w:r w:rsidRPr="00254373">
        <w:tab/>
      </w:r>
      <w:r w:rsidRPr="00254373">
        <w:tab/>
      </w:r>
      <w:r w:rsidRPr="00254373">
        <w:tab/>
      </w:r>
      <w:r w:rsidRPr="00254373">
        <w:tab/>
      </w:r>
      <w:r w:rsidRPr="00254373">
        <w:tab/>
      </w:r>
      <w:r w:rsidRPr="00254373">
        <w:tab/>
      </w:r>
      <w:r w:rsidRPr="00254373">
        <w:tab/>
      </w:r>
      <w:r w:rsidRPr="00254373">
        <w:tab/>
      </w:r>
      <w:r w:rsidRPr="00254373">
        <w:tab/>
      </w:r>
      <w:r>
        <w:t xml:space="preserve">    </w:t>
      </w:r>
    </w:p>
    <w:p w14:paraId="5D912746" w14:textId="77777777" w:rsidR="00746D3C" w:rsidRPr="00254373" w:rsidRDefault="00746D3C" w:rsidP="00746D3C">
      <w:pPr>
        <w:spacing w:after="120"/>
        <w:jc w:val="both"/>
      </w:pPr>
      <w:r w:rsidRPr="00254373">
        <w:tab/>
      </w:r>
      <w:r w:rsidRPr="00254373">
        <w:tab/>
      </w:r>
      <w:r w:rsidRPr="00254373">
        <w:tab/>
      </w:r>
      <w:r w:rsidRPr="00254373">
        <w:tab/>
      </w:r>
      <w:r w:rsidRPr="00254373">
        <w:tab/>
      </w:r>
      <w:r w:rsidRPr="00254373">
        <w:tab/>
      </w:r>
      <w:r w:rsidRPr="00254373">
        <w:tab/>
      </w:r>
      <w:r w:rsidRPr="00C43417">
        <w:rPr>
          <w:b/>
          <w:bCs/>
          <w:i/>
          <w:iCs/>
        </w:rPr>
        <w:t>spolu</w:t>
      </w:r>
      <w:r w:rsidRPr="00C43417">
        <w:rPr>
          <w:b/>
          <w:bCs/>
          <w:i/>
          <w:iCs/>
        </w:rPr>
        <w:tab/>
      </w:r>
      <w:r w:rsidRPr="00C43417">
        <w:rPr>
          <w:b/>
          <w:bCs/>
          <w:i/>
          <w:iCs/>
        </w:rPr>
        <w:tab/>
      </w:r>
      <w:r>
        <w:rPr>
          <w:b/>
          <w:bCs/>
          <w:i/>
          <w:iCs/>
        </w:rPr>
        <w:t>98</w:t>
      </w:r>
      <w:r w:rsidRPr="00C43417">
        <w:rPr>
          <w:b/>
          <w:bCs/>
          <w:i/>
          <w:iCs/>
        </w:rPr>
        <w:t xml:space="preserve"> </w:t>
      </w:r>
      <w:r>
        <w:rPr>
          <w:b/>
          <w:bCs/>
          <w:i/>
          <w:iCs/>
        </w:rPr>
        <w:t>4</w:t>
      </w:r>
      <w:r w:rsidRPr="00C43417">
        <w:rPr>
          <w:b/>
          <w:bCs/>
          <w:i/>
          <w:iCs/>
        </w:rPr>
        <w:t xml:space="preserve">00 eur </w:t>
      </w:r>
    </w:p>
    <w:p w14:paraId="249C8DF6" w14:textId="77777777" w:rsidR="00746D3C" w:rsidRPr="00BE01E7" w:rsidRDefault="00746D3C" w:rsidP="00746D3C">
      <w:pPr>
        <w:spacing w:after="120"/>
        <w:ind w:left="6379" w:hanging="6379"/>
        <w:jc w:val="both"/>
      </w:pPr>
    </w:p>
    <w:p w14:paraId="24FECE91" w14:textId="77777777" w:rsidR="00746D3C" w:rsidRPr="0045717F" w:rsidRDefault="00746D3C" w:rsidP="00746D3C">
      <w:pPr>
        <w:ind w:left="6379" w:hanging="6379"/>
        <w:jc w:val="both"/>
      </w:pPr>
      <w:r w:rsidRPr="00254373">
        <w:t>- Nový IS eFaktúra</w:t>
      </w:r>
      <w:r>
        <w:t xml:space="preserve"> </w:t>
      </w:r>
      <w:r w:rsidRPr="0045717F">
        <w:t xml:space="preserve">[Service Metadata Provider (SMP), </w:t>
      </w:r>
    </w:p>
    <w:p w14:paraId="5E474CFE" w14:textId="77777777" w:rsidR="00746D3C" w:rsidRDefault="00746D3C" w:rsidP="00746D3C">
      <w:pPr>
        <w:ind w:left="6372" w:hanging="6372"/>
        <w:jc w:val="both"/>
      </w:pPr>
      <w:r w:rsidRPr="0045717F">
        <w:t>5-corner Access Point (C5) a Know your customer (KYC)]</w:t>
      </w:r>
      <w:r>
        <w:tab/>
      </w:r>
      <w:r w:rsidRPr="005A126B">
        <w:t>2 509 700</w:t>
      </w:r>
      <w:r>
        <w:t xml:space="preserve"> eur </w:t>
      </w:r>
      <w:r w:rsidRPr="0068725A">
        <w:t>(202</w:t>
      </w:r>
      <w:r>
        <w:t>6</w:t>
      </w:r>
      <w:r w:rsidRPr="0068725A">
        <w:t>)</w:t>
      </w:r>
    </w:p>
    <w:p w14:paraId="70618E94" w14:textId="77777777" w:rsidR="00746D3C" w:rsidRDefault="00746D3C" w:rsidP="00746D3C">
      <w:pPr>
        <w:ind w:left="6372" w:hanging="6372"/>
        <w:jc w:val="both"/>
      </w:pPr>
      <w:r>
        <w:tab/>
        <w:t xml:space="preserve">1 084 975 eur </w:t>
      </w:r>
      <w:r w:rsidRPr="0068725A">
        <w:t>(202</w:t>
      </w:r>
      <w:r>
        <w:t>7</w:t>
      </w:r>
      <w:r w:rsidRPr="0068725A">
        <w:t>)</w:t>
      </w:r>
    </w:p>
    <w:p w14:paraId="69A7A997" w14:textId="77777777" w:rsidR="00746D3C" w:rsidRDefault="00746D3C" w:rsidP="00746D3C">
      <w:pPr>
        <w:ind w:left="6372" w:hanging="6372"/>
        <w:jc w:val="both"/>
      </w:pPr>
      <w:r>
        <w:tab/>
        <w:t xml:space="preserve">1 084 975 eur </w:t>
      </w:r>
      <w:r w:rsidRPr="0068725A">
        <w:t>(202</w:t>
      </w:r>
      <w:r>
        <w:t>8</w:t>
      </w:r>
      <w:r w:rsidRPr="0068725A">
        <w:t>)</w:t>
      </w:r>
    </w:p>
    <w:p w14:paraId="6022005D" w14:textId="77777777" w:rsidR="00746D3C" w:rsidRDefault="00746D3C" w:rsidP="00746D3C">
      <w:pPr>
        <w:ind w:left="6372" w:hanging="6372"/>
        <w:jc w:val="both"/>
      </w:pPr>
      <w:r>
        <w:tab/>
      </w:r>
    </w:p>
    <w:p w14:paraId="1374C8F4" w14:textId="77777777" w:rsidR="00746D3C" w:rsidRDefault="00746D3C" w:rsidP="00746D3C">
      <w:pPr>
        <w:ind w:left="4248" w:firstLine="708"/>
        <w:jc w:val="both"/>
        <w:rPr>
          <w:i/>
          <w:iCs/>
        </w:rPr>
      </w:pPr>
      <w:r>
        <w:rPr>
          <w:b/>
          <w:bCs/>
          <w:i/>
          <w:iCs/>
        </w:rPr>
        <w:t>s</w:t>
      </w:r>
      <w:r w:rsidRPr="00D1444A">
        <w:rPr>
          <w:b/>
          <w:bCs/>
          <w:i/>
          <w:iCs/>
        </w:rPr>
        <w:t xml:space="preserve">polu </w:t>
      </w:r>
      <w:r>
        <w:rPr>
          <w:b/>
          <w:bCs/>
          <w:i/>
          <w:iCs/>
        </w:rPr>
        <w:tab/>
      </w:r>
      <w:r>
        <w:rPr>
          <w:b/>
          <w:bCs/>
          <w:i/>
          <w:iCs/>
        </w:rPr>
        <w:tab/>
        <w:t>4 679 650</w:t>
      </w:r>
      <w:r w:rsidRPr="00D1444A">
        <w:rPr>
          <w:b/>
          <w:bCs/>
          <w:i/>
          <w:iCs/>
        </w:rPr>
        <w:t xml:space="preserve"> eur</w:t>
      </w:r>
      <w:r w:rsidRPr="00D1444A">
        <w:rPr>
          <w:i/>
          <w:iCs/>
        </w:rPr>
        <w:t xml:space="preserve"> </w:t>
      </w:r>
    </w:p>
    <w:p w14:paraId="024DF1F7" w14:textId="77777777" w:rsidR="00746D3C" w:rsidRPr="00254373" w:rsidRDefault="00746D3C" w:rsidP="00746D3C">
      <w:pPr>
        <w:ind w:left="6379" w:hanging="6379"/>
        <w:jc w:val="both"/>
      </w:pPr>
    </w:p>
    <w:p w14:paraId="0348427D" w14:textId="77777777" w:rsidR="00746D3C" w:rsidRPr="00254373" w:rsidRDefault="00746D3C" w:rsidP="00746D3C">
      <w:pPr>
        <w:jc w:val="both"/>
      </w:pPr>
      <w:r w:rsidRPr="00254373">
        <w:t xml:space="preserve">- Analytický </w:t>
      </w:r>
      <w:r>
        <w:t>i</w:t>
      </w:r>
      <w:r w:rsidRPr="00254373">
        <w:t xml:space="preserve">nformačný </w:t>
      </w:r>
      <w:r>
        <w:t>s</w:t>
      </w:r>
      <w:r w:rsidRPr="00254373">
        <w:t xml:space="preserve">ystém </w:t>
      </w:r>
      <w:r>
        <w:t>r</w:t>
      </w:r>
      <w:r w:rsidRPr="00254373">
        <w:t xml:space="preserve">izík (AIS-R) a </w:t>
      </w:r>
    </w:p>
    <w:p w14:paraId="062B59E8" w14:textId="77777777" w:rsidR="00746D3C" w:rsidRDefault="00746D3C" w:rsidP="00746D3C">
      <w:pPr>
        <w:jc w:val="both"/>
        <w:rPr>
          <w:highlight w:val="yellow"/>
        </w:rPr>
      </w:pPr>
      <w:r w:rsidRPr="00254373">
        <w:t>Kontrolný výkaz DPH (KV DPH)</w:t>
      </w:r>
      <w:r w:rsidRPr="00254373">
        <w:tab/>
      </w:r>
      <w:r w:rsidRPr="00254373">
        <w:tab/>
      </w:r>
      <w:r w:rsidRPr="00254373">
        <w:tab/>
      </w:r>
      <w:r w:rsidRPr="00254373">
        <w:tab/>
      </w:r>
      <w:r>
        <w:tab/>
      </w:r>
      <w:r w:rsidRPr="00C43417">
        <w:rPr>
          <w:b/>
          <w:bCs/>
        </w:rPr>
        <w:t xml:space="preserve">488 249 eur </w:t>
      </w:r>
      <w:r w:rsidRPr="00254373">
        <w:t>(2026)</w:t>
      </w:r>
    </w:p>
    <w:p w14:paraId="4824CF00" w14:textId="77777777" w:rsidR="00746D3C" w:rsidRPr="009300CA" w:rsidRDefault="00746D3C" w:rsidP="00746D3C">
      <w:pPr>
        <w:jc w:val="both"/>
      </w:pPr>
    </w:p>
    <w:p w14:paraId="47260E47" w14:textId="77777777" w:rsidR="00746D3C" w:rsidRPr="009300CA" w:rsidRDefault="00746D3C" w:rsidP="00746D3C">
      <w:pPr>
        <w:jc w:val="both"/>
      </w:pPr>
    </w:p>
    <w:p w14:paraId="19FE8D44" w14:textId="77777777" w:rsidR="00746D3C" w:rsidRPr="009300CA" w:rsidRDefault="00746D3C" w:rsidP="00746D3C">
      <w:pPr>
        <w:jc w:val="both"/>
      </w:pPr>
      <w:r w:rsidRPr="009300CA">
        <w:t xml:space="preserve">Navrhované zmeny v súvislosti so zavedením </w:t>
      </w:r>
      <w:r>
        <w:t>registrácie skupiny z úradnej moci</w:t>
      </w:r>
      <w:r w:rsidRPr="009300CA">
        <w:t xml:space="preserve"> vyvolávajú požiadavky na </w:t>
      </w:r>
      <w:r>
        <w:t>informačné s</w:t>
      </w:r>
      <w:r w:rsidRPr="009300CA">
        <w:t>ystémy FR</w:t>
      </w:r>
      <w:r>
        <w:t xml:space="preserve"> </w:t>
      </w:r>
      <w:r w:rsidRPr="009300CA">
        <w:t>SR</w:t>
      </w:r>
      <w:r>
        <w:t xml:space="preserve"> v predpokladanej celkovej sume</w:t>
      </w:r>
      <w:r w:rsidRPr="009300CA">
        <w:t xml:space="preserve"> </w:t>
      </w:r>
      <w:r w:rsidRPr="00DF7D86">
        <w:rPr>
          <w:b/>
        </w:rPr>
        <w:t>386 719 eur</w:t>
      </w:r>
      <w:r w:rsidRPr="009300CA">
        <w:t>, z toho:</w:t>
      </w:r>
    </w:p>
    <w:p w14:paraId="557E2A84" w14:textId="77777777" w:rsidR="00746D3C" w:rsidRPr="009300CA" w:rsidRDefault="00746D3C" w:rsidP="00746D3C">
      <w:pPr>
        <w:jc w:val="both"/>
      </w:pPr>
    </w:p>
    <w:p w14:paraId="6431E85C" w14:textId="77777777" w:rsidR="00746D3C" w:rsidRPr="009300CA" w:rsidRDefault="00746D3C" w:rsidP="00746D3C">
      <w:pPr>
        <w:jc w:val="both"/>
      </w:pPr>
      <w:r w:rsidRPr="009300CA">
        <w:t xml:space="preserve">- Integrovaný systém </w:t>
      </w:r>
      <w:r>
        <w:t>f</w:t>
      </w:r>
      <w:r w:rsidRPr="009300CA">
        <w:t>inančnej správy – správa daní (ISFS-SD)</w:t>
      </w:r>
      <w:r w:rsidRPr="009300CA">
        <w:tab/>
      </w:r>
      <w:r>
        <w:t>183 338</w:t>
      </w:r>
      <w:r w:rsidRPr="009300CA">
        <w:t xml:space="preserve"> eur </w:t>
      </w:r>
      <w:r w:rsidRPr="0068725A">
        <w:t>(2025)</w:t>
      </w:r>
    </w:p>
    <w:p w14:paraId="69AC0C87" w14:textId="77777777" w:rsidR="00746D3C" w:rsidRDefault="00746D3C" w:rsidP="00746D3C">
      <w:pPr>
        <w:jc w:val="both"/>
      </w:pPr>
      <w:r w:rsidRPr="009300CA">
        <w:t>- Portál finančnej správy (PFS)</w:t>
      </w:r>
      <w:r w:rsidRPr="009300CA">
        <w:tab/>
      </w:r>
      <w:r w:rsidRPr="009300CA">
        <w:tab/>
      </w:r>
      <w:r w:rsidRPr="009300CA">
        <w:tab/>
      </w:r>
      <w:r w:rsidRPr="009300CA">
        <w:tab/>
      </w:r>
      <w:r w:rsidRPr="009300CA">
        <w:tab/>
      </w:r>
      <w:r>
        <w:t xml:space="preserve">  58 942</w:t>
      </w:r>
      <w:r w:rsidRPr="009300CA">
        <w:t xml:space="preserve"> eur </w:t>
      </w:r>
      <w:r w:rsidRPr="0068725A">
        <w:t>(2025)</w:t>
      </w:r>
    </w:p>
    <w:p w14:paraId="08698198" w14:textId="77777777" w:rsidR="00746D3C" w:rsidRPr="009300CA" w:rsidRDefault="00746D3C" w:rsidP="00746D3C">
      <w:pPr>
        <w:jc w:val="both"/>
      </w:pPr>
      <w:r w:rsidRPr="009300CA">
        <w:t xml:space="preserve">- DR SCAN </w:t>
      </w:r>
      <w:r w:rsidRPr="009300CA">
        <w:tab/>
      </w:r>
      <w:r w:rsidRPr="009300CA">
        <w:tab/>
      </w:r>
      <w:r w:rsidRPr="009300CA">
        <w:tab/>
      </w:r>
      <w:r w:rsidRPr="009300CA">
        <w:tab/>
      </w:r>
      <w:r w:rsidRPr="009300CA">
        <w:tab/>
      </w:r>
      <w:r w:rsidRPr="009300CA">
        <w:tab/>
      </w:r>
      <w:r w:rsidRPr="009300CA">
        <w:tab/>
      </w:r>
      <w:r w:rsidRPr="009300CA">
        <w:tab/>
      </w:r>
      <w:r>
        <w:t xml:space="preserve">  21 439</w:t>
      </w:r>
      <w:r w:rsidRPr="009300CA">
        <w:t xml:space="preserve"> eur </w:t>
      </w:r>
      <w:r w:rsidRPr="0068725A">
        <w:t>(2025)</w:t>
      </w:r>
    </w:p>
    <w:p w14:paraId="529D62EF" w14:textId="77777777" w:rsidR="00746D3C" w:rsidRPr="009300CA" w:rsidRDefault="00746D3C" w:rsidP="00746D3C">
      <w:pPr>
        <w:jc w:val="both"/>
      </w:pPr>
      <w:r w:rsidRPr="009300CA">
        <w:t>- VAT Information Exchange System (VIES)</w:t>
      </w:r>
      <w:r w:rsidRPr="009300CA">
        <w:tab/>
      </w:r>
      <w:r w:rsidRPr="009300CA">
        <w:tab/>
      </w:r>
      <w:r w:rsidRPr="009300CA">
        <w:tab/>
      </w:r>
      <w:r>
        <w:t>123</w:t>
      </w:r>
      <w:r w:rsidRPr="009300CA">
        <w:t xml:space="preserve"> 000 eur </w:t>
      </w:r>
      <w:r w:rsidRPr="0068725A">
        <w:t>(2025)</w:t>
      </w:r>
    </w:p>
    <w:p w14:paraId="7AE945EF" w14:textId="77777777" w:rsidR="00746D3C" w:rsidRDefault="00746D3C" w:rsidP="00746D3C">
      <w:pPr>
        <w:jc w:val="both"/>
      </w:pPr>
    </w:p>
    <w:p w14:paraId="622CDD3B" w14:textId="77777777" w:rsidR="00746D3C" w:rsidRPr="009300CA" w:rsidRDefault="00746D3C" w:rsidP="00746D3C">
      <w:pPr>
        <w:jc w:val="both"/>
      </w:pPr>
    </w:p>
    <w:p w14:paraId="6E300090" w14:textId="77777777" w:rsidR="00746D3C" w:rsidRPr="009300CA" w:rsidRDefault="00746D3C" w:rsidP="00746D3C">
      <w:pPr>
        <w:jc w:val="both"/>
      </w:pPr>
      <w:r w:rsidRPr="009300CA">
        <w:t xml:space="preserve">Navrhované zmeny v súvislosti so </w:t>
      </w:r>
      <w:r w:rsidRPr="00CE4FF8">
        <w:t>zaveden</w:t>
      </w:r>
      <w:r>
        <w:t>ím</w:t>
      </w:r>
      <w:r w:rsidRPr="00CE4FF8">
        <w:t xml:space="preserve"> nového systému e-faktúra v súvislosti s novelou zákona č. 215/2019 </w:t>
      </w:r>
      <w:r>
        <w:t xml:space="preserve">Z. z. </w:t>
      </w:r>
      <w:r w:rsidRPr="009300CA">
        <w:t xml:space="preserve">vyvolávajú požiadavky na </w:t>
      </w:r>
      <w:r>
        <w:t xml:space="preserve">informačné </w:t>
      </w:r>
      <w:r w:rsidRPr="009300CA">
        <w:t>systémy</w:t>
      </w:r>
      <w:r>
        <w:t xml:space="preserve"> MF SR a</w:t>
      </w:r>
      <w:r w:rsidRPr="009300CA">
        <w:t xml:space="preserve"> FR</w:t>
      </w:r>
      <w:r>
        <w:t xml:space="preserve"> </w:t>
      </w:r>
      <w:r w:rsidRPr="009300CA">
        <w:t>SR.</w:t>
      </w:r>
    </w:p>
    <w:p w14:paraId="4292963D" w14:textId="77777777" w:rsidR="00746D3C" w:rsidRPr="009300CA" w:rsidRDefault="00746D3C" w:rsidP="00746D3C">
      <w:pPr>
        <w:ind w:left="67"/>
        <w:jc w:val="both"/>
      </w:pPr>
    </w:p>
    <w:p w14:paraId="0C9A7ACE" w14:textId="77777777" w:rsidR="00746D3C" w:rsidRPr="009300CA" w:rsidRDefault="00746D3C" w:rsidP="00746D3C">
      <w:pPr>
        <w:jc w:val="both"/>
      </w:pPr>
      <w:r w:rsidRPr="009300CA">
        <w:t xml:space="preserve">Odhadovaný hrubý finančný </w:t>
      </w:r>
      <w:r>
        <w:t>vplyv</w:t>
      </w:r>
      <w:r w:rsidRPr="009300CA">
        <w:t xml:space="preserve"> na systémy</w:t>
      </w:r>
      <w:r>
        <w:t xml:space="preserve"> MF SR a </w:t>
      </w:r>
      <w:r w:rsidRPr="009300CA">
        <w:t>FR</w:t>
      </w:r>
      <w:r>
        <w:t xml:space="preserve"> </w:t>
      </w:r>
      <w:r w:rsidRPr="009300CA">
        <w:t>SR v tejto súvislosti je v</w:t>
      </w:r>
      <w:r>
        <w:t xml:space="preserve"> predpokladanej sume </w:t>
      </w:r>
      <w:r>
        <w:rPr>
          <w:b/>
        </w:rPr>
        <w:t>3 205 000</w:t>
      </w:r>
      <w:r w:rsidRPr="00DF7D86">
        <w:rPr>
          <w:b/>
        </w:rPr>
        <w:t> eur</w:t>
      </w:r>
      <w:r w:rsidRPr="009300CA">
        <w:t>, z toho:</w:t>
      </w:r>
    </w:p>
    <w:p w14:paraId="1D65DFBE" w14:textId="77777777" w:rsidR="00746D3C" w:rsidRPr="009300CA" w:rsidRDefault="00746D3C" w:rsidP="00746D3C">
      <w:pPr>
        <w:jc w:val="both"/>
      </w:pPr>
    </w:p>
    <w:p w14:paraId="68454A9F" w14:textId="77777777" w:rsidR="00746D3C" w:rsidRDefault="00746D3C" w:rsidP="00746D3C">
      <w:pPr>
        <w:ind w:left="6372" w:hanging="6372"/>
        <w:jc w:val="both"/>
      </w:pPr>
      <w:r w:rsidRPr="009300CA">
        <w:t xml:space="preserve">- </w:t>
      </w:r>
      <w:r>
        <w:t>Nový IS eFaktúra [</w:t>
      </w:r>
      <w:r w:rsidRPr="00076B78">
        <w:t>Access Point provider (GovAP)</w:t>
      </w:r>
      <w:r>
        <w:t xml:space="preserve">] </w:t>
      </w:r>
      <w:r>
        <w:tab/>
        <w:t xml:space="preserve">1 020 000 eur </w:t>
      </w:r>
      <w:r w:rsidRPr="0068725A">
        <w:t>(202</w:t>
      </w:r>
      <w:r>
        <w:t>6</w:t>
      </w:r>
      <w:r w:rsidRPr="0068725A">
        <w:t>)</w:t>
      </w:r>
    </w:p>
    <w:p w14:paraId="454CA45B" w14:textId="77777777" w:rsidR="00746D3C" w:rsidRDefault="00746D3C" w:rsidP="00746D3C">
      <w:pPr>
        <w:ind w:left="6372" w:hanging="6372"/>
        <w:jc w:val="both"/>
      </w:pPr>
      <w:r>
        <w:tab/>
        <w:t xml:space="preserve">1 020 000 eur </w:t>
      </w:r>
      <w:r w:rsidRPr="0068725A">
        <w:t>(202</w:t>
      </w:r>
      <w:r>
        <w:t>7</w:t>
      </w:r>
      <w:r w:rsidRPr="0068725A">
        <w:t>)</w:t>
      </w:r>
    </w:p>
    <w:p w14:paraId="284A14CC" w14:textId="77777777" w:rsidR="00746D3C" w:rsidRDefault="00746D3C" w:rsidP="00746D3C">
      <w:pPr>
        <w:ind w:left="6372" w:hanging="6372"/>
        <w:jc w:val="both"/>
      </w:pPr>
      <w:r>
        <w:tab/>
        <w:t xml:space="preserve">1 020 000 eur </w:t>
      </w:r>
      <w:r w:rsidRPr="0068725A">
        <w:t>(202</w:t>
      </w:r>
      <w:r>
        <w:t>8</w:t>
      </w:r>
      <w:r w:rsidRPr="0068725A">
        <w:t>)</w:t>
      </w:r>
    </w:p>
    <w:p w14:paraId="3D0C9281" w14:textId="77777777" w:rsidR="00746D3C" w:rsidRDefault="00746D3C" w:rsidP="00746D3C">
      <w:pPr>
        <w:ind w:left="6372" w:hanging="6372"/>
        <w:jc w:val="both"/>
      </w:pPr>
      <w:r>
        <w:tab/>
        <w:t xml:space="preserve">   </w:t>
      </w:r>
    </w:p>
    <w:p w14:paraId="265D21C7" w14:textId="77777777" w:rsidR="00746D3C" w:rsidRDefault="00746D3C" w:rsidP="00746D3C">
      <w:pPr>
        <w:ind w:left="4248" w:firstLine="708"/>
        <w:jc w:val="both"/>
        <w:rPr>
          <w:i/>
          <w:iCs/>
        </w:rPr>
      </w:pPr>
      <w:r>
        <w:rPr>
          <w:b/>
          <w:bCs/>
          <w:i/>
          <w:iCs/>
        </w:rPr>
        <w:t>s</w:t>
      </w:r>
      <w:r w:rsidRPr="005A126B">
        <w:rPr>
          <w:b/>
          <w:bCs/>
          <w:i/>
          <w:iCs/>
        </w:rPr>
        <w:t xml:space="preserve">polu </w:t>
      </w:r>
      <w:r>
        <w:rPr>
          <w:b/>
          <w:bCs/>
          <w:i/>
          <w:iCs/>
        </w:rPr>
        <w:tab/>
      </w:r>
      <w:r>
        <w:rPr>
          <w:b/>
          <w:bCs/>
          <w:i/>
          <w:iCs/>
        </w:rPr>
        <w:tab/>
        <w:t>3</w:t>
      </w:r>
      <w:r w:rsidRPr="005A126B">
        <w:rPr>
          <w:b/>
          <w:bCs/>
          <w:i/>
          <w:iCs/>
        </w:rPr>
        <w:t> </w:t>
      </w:r>
      <w:r>
        <w:rPr>
          <w:b/>
          <w:bCs/>
          <w:i/>
          <w:iCs/>
        </w:rPr>
        <w:t>06</w:t>
      </w:r>
      <w:r w:rsidRPr="005A126B">
        <w:rPr>
          <w:b/>
          <w:bCs/>
          <w:i/>
          <w:iCs/>
        </w:rPr>
        <w:t>0 000 eur</w:t>
      </w:r>
      <w:r w:rsidRPr="005A126B">
        <w:rPr>
          <w:i/>
          <w:iCs/>
        </w:rPr>
        <w:t xml:space="preserve"> </w:t>
      </w:r>
    </w:p>
    <w:p w14:paraId="5DE58AA2" w14:textId="77777777" w:rsidR="00746D3C" w:rsidRPr="005A126B" w:rsidRDefault="00746D3C" w:rsidP="00746D3C">
      <w:pPr>
        <w:ind w:left="4248" w:firstLine="708"/>
        <w:jc w:val="both"/>
        <w:rPr>
          <w:i/>
          <w:iCs/>
        </w:rPr>
      </w:pPr>
    </w:p>
    <w:p w14:paraId="4A0463A9" w14:textId="77777777" w:rsidR="00746D3C" w:rsidRDefault="00746D3C" w:rsidP="00746D3C">
      <w:pPr>
        <w:ind w:left="6372" w:hanging="6372"/>
        <w:jc w:val="both"/>
      </w:pPr>
      <w:r>
        <w:t>- I</w:t>
      </w:r>
      <w:r w:rsidRPr="00525892">
        <w:t>mplementáci</w:t>
      </w:r>
      <w:r>
        <w:t>a</w:t>
      </w:r>
      <w:r w:rsidRPr="00525892">
        <w:t xml:space="preserve"> CES na eFA</w:t>
      </w:r>
      <w:r>
        <w:t xml:space="preserve"> (DXC)</w:t>
      </w:r>
      <w:r>
        <w:tab/>
      </w:r>
      <w:r>
        <w:rPr>
          <w:b/>
          <w:bCs/>
        </w:rPr>
        <w:t>145 000</w:t>
      </w:r>
      <w:r w:rsidRPr="00525892">
        <w:rPr>
          <w:b/>
          <w:bCs/>
        </w:rPr>
        <w:t xml:space="preserve"> eur</w:t>
      </w:r>
      <w:r>
        <w:t xml:space="preserve"> (2026)</w:t>
      </w:r>
    </w:p>
    <w:p w14:paraId="25701912" w14:textId="77777777" w:rsidR="00746D3C" w:rsidRPr="009300CA" w:rsidRDefault="00746D3C" w:rsidP="00746D3C">
      <w:pPr>
        <w:jc w:val="both"/>
      </w:pPr>
    </w:p>
    <w:p w14:paraId="587E96BD" w14:textId="77777777" w:rsidR="00746D3C" w:rsidRDefault="00746D3C" w:rsidP="00746D3C">
      <w:pPr>
        <w:jc w:val="both"/>
        <w:rPr>
          <w:bCs/>
        </w:rPr>
      </w:pPr>
      <w:r w:rsidRPr="00D37C88">
        <w:rPr>
          <w:bCs/>
        </w:rPr>
        <w:t xml:space="preserve">Vyčíslené finančné </w:t>
      </w:r>
      <w:r>
        <w:rPr>
          <w:bCs/>
        </w:rPr>
        <w:t>vplyvy</w:t>
      </w:r>
      <w:r w:rsidRPr="00D37C88">
        <w:rPr>
          <w:bCs/>
        </w:rPr>
        <w:t xml:space="preserve"> na </w:t>
      </w:r>
      <w:r>
        <w:rPr>
          <w:bCs/>
        </w:rPr>
        <w:t>informačné systémy</w:t>
      </w:r>
      <w:r w:rsidRPr="00D37C88">
        <w:rPr>
          <w:bCs/>
        </w:rPr>
        <w:t xml:space="preserve"> sú vyčíslené v súčasnej miere poznania</w:t>
      </w:r>
      <w:r>
        <w:rPr>
          <w:bCs/>
        </w:rPr>
        <w:t xml:space="preserve">. </w:t>
      </w:r>
      <w:r w:rsidRPr="00FC6B02">
        <w:rPr>
          <w:bCs/>
        </w:rPr>
        <w:t>Skutočnú prácnosť bude možné určiť až vo fáze realizácie príslušnej požiadavky</w:t>
      </w:r>
      <w:r>
        <w:rPr>
          <w:bCs/>
        </w:rPr>
        <w:t xml:space="preserve"> v nadväznosti na schválené znenie návrhu zákona. </w:t>
      </w:r>
      <w:r w:rsidRPr="0088336B">
        <w:rPr>
          <w:bCs/>
        </w:rPr>
        <w:t>MF SR a FR SR vyvinú v rámci prípravnej a implementačnej fázy maximálne úsilie spočívajúce v znížení odhadovaných nákladov potrebných na vytvorenie, úpravu a prevádzku predmetných informačných systémov.</w:t>
      </w:r>
    </w:p>
    <w:p w14:paraId="0B69AA47" w14:textId="77777777" w:rsidR="00746D3C" w:rsidRPr="009300CA" w:rsidRDefault="00746D3C" w:rsidP="00746D3C">
      <w:pPr>
        <w:jc w:val="both"/>
        <w:rPr>
          <w:bCs/>
        </w:rPr>
      </w:pPr>
    </w:p>
    <w:p w14:paraId="6FB6228F" w14:textId="77777777" w:rsidR="00746D3C" w:rsidRDefault="00746D3C" w:rsidP="00746D3C">
      <w:pPr>
        <w:jc w:val="both"/>
        <w:rPr>
          <w:bCs/>
        </w:rPr>
      </w:pPr>
      <w:r w:rsidRPr="009300CA">
        <w:rPr>
          <w:bCs/>
        </w:rPr>
        <w:t>Zdroje vstupných hodnôt a prepočty, ktoré boli použité pri kvantifikácii vplyvov na rozpočet verejnej správy:</w:t>
      </w:r>
    </w:p>
    <w:p w14:paraId="3958ADB4" w14:textId="77777777" w:rsidR="00746D3C" w:rsidRDefault="00746D3C" w:rsidP="00746D3C">
      <w:pPr>
        <w:jc w:val="both"/>
        <w:rPr>
          <w:bCs/>
        </w:rPr>
      </w:pPr>
    </w:p>
    <w:p w14:paraId="1A0C9FA5" w14:textId="77777777" w:rsidR="00746D3C" w:rsidRDefault="00746D3C" w:rsidP="00746D3C">
      <w:pPr>
        <w:jc w:val="both"/>
        <w:rPr>
          <w:b/>
        </w:rPr>
      </w:pPr>
      <w:r w:rsidRPr="00F74DCF">
        <w:rPr>
          <w:b/>
        </w:rPr>
        <w:t xml:space="preserve">I. eFaktúra </w:t>
      </w:r>
      <w:r>
        <w:rPr>
          <w:b/>
        </w:rPr>
        <w:t>–</w:t>
      </w:r>
      <w:r w:rsidRPr="00F74DCF">
        <w:rPr>
          <w:b/>
        </w:rPr>
        <w:t xml:space="preserve"> </w:t>
      </w:r>
      <w:r>
        <w:rPr>
          <w:b/>
        </w:rPr>
        <w:t>DWH</w:t>
      </w:r>
    </w:p>
    <w:tbl>
      <w:tblPr>
        <w:tblStyle w:val="Mriekatabuky"/>
        <w:tblW w:w="0" w:type="auto"/>
        <w:tblLook w:val="04A0" w:firstRow="1" w:lastRow="0" w:firstColumn="1" w:lastColumn="0" w:noHBand="0" w:noVBand="1"/>
      </w:tblPr>
      <w:tblGrid>
        <w:gridCol w:w="9060"/>
      </w:tblGrid>
      <w:tr w:rsidR="00746D3C" w14:paraId="4D870EC3" w14:textId="77777777" w:rsidTr="007B3372">
        <w:tc>
          <w:tcPr>
            <w:tcW w:w="9062" w:type="dxa"/>
          </w:tcPr>
          <w:p w14:paraId="71553AD4" w14:textId="77777777" w:rsidR="00746D3C" w:rsidRPr="00F74DCF" w:rsidRDefault="00746D3C" w:rsidP="007B3372">
            <w:pPr>
              <w:pStyle w:val="Bezriadkovania"/>
              <w:rPr>
                <w:rFonts w:ascii="Times New Roman" w:hAnsi="Times New Roman"/>
                <w:sz w:val="24"/>
                <w:szCs w:val="24"/>
              </w:rPr>
            </w:pPr>
            <w:r w:rsidRPr="00F74DCF">
              <w:rPr>
                <w:rFonts w:ascii="Times New Roman" w:hAnsi="Times New Roman"/>
                <w:sz w:val="24"/>
                <w:szCs w:val="24"/>
              </w:rPr>
              <w:t>Zapracovanie nového vzoru DPH účinného od 1.</w:t>
            </w:r>
            <w:r>
              <w:rPr>
                <w:rFonts w:ascii="Times New Roman" w:hAnsi="Times New Roman"/>
                <w:sz w:val="24"/>
                <w:szCs w:val="24"/>
              </w:rPr>
              <w:t xml:space="preserve"> </w:t>
            </w:r>
            <w:r w:rsidRPr="00F74DCF">
              <w:rPr>
                <w:rFonts w:ascii="Times New Roman" w:hAnsi="Times New Roman"/>
                <w:sz w:val="24"/>
                <w:szCs w:val="24"/>
              </w:rPr>
              <w:t>1.</w:t>
            </w:r>
            <w:r>
              <w:rPr>
                <w:rFonts w:ascii="Times New Roman" w:hAnsi="Times New Roman"/>
                <w:sz w:val="24"/>
                <w:szCs w:val="24"/>
              </w:rPr>
              <w:t xml:space="preserve"> </w:t>
            </w:r>
            <w:r w:rsidRPr="00F74DCF">
              <w:rPr>
                <w:rFonts w:ascii="Times New Roman" w:hAnsi="Times New Roman"/>
                <w:sz w:val="24"/>
                <w:szCs w:val="24"/>
              </w:rPr>
              <w:t>2027.</w:t>
            </w:r>
          </w:p>
          <w:p w14:paraId="6DBED890" w14:textId="77777777" w:rsidR="00746D3C" w:rsidRPr="00F74DCF" w:rsidRDefault="00746D3C" w:rsidP="007B3372">
            <w:pPr>
              <w:pStyle w:val="Bezriadkovania"/>
            </w:pPr>
            <w:r w:rsidRPr="00F74DCF">
              <w:rPr>
                <w:rFonts w:ascii="Times New Roman" w:hAnsi="Times New Roman"/>
                <w:sz w:val="24"/>
                <w:szCs w:val="24"/>
              </w:rPr>
              <w:t>Zapracovanie dát z eFaktúry do DWH.</w:t>
            </w:r>
          </w:p>
        </w:tc>
      </w:tr>
    </w:tbl>
    <w:p w14:paraId="514E31D2" w14:textId="77777777" w:rsidR="00746D3C" w:rsidRDefault="00746D3C" w:rsidP="00746D3C">
      <w:pPr>
        <w:jc w:val="both"/>
        <w:rPr>
          <w:b/>
        </w:rPr>
      </w:pPr>
    </w:p>
    <w:p w14:paraId="3FDA1D1B" w14:textId="77777777" w:rsidR="00746D3C" w:rsidRDefault="00746D3C" w:rsidP="00746D3C">
      <w:pPr>
        <w:jc w:val="both"/>
        <w:rPr>
          <w:b/>
        </w:rPr>
      </w:pPr>
      <w:r w:rsidRPr="00C54198">
        <w:rPr>
          <w:b/>
        </w:rPr>
        <w:t xml:space="preserve">I. eFaktúra </w:t>
      </w:r>
      <w:r>
        <w:rPr>
          <w:b/>
        </w:rPr>
        <w:t>–</w:t>
      </w:r>
      <w:r w:rsidRPr="00C54198">
        <w:rPr>
          <w:b/>
        </w:rPr>
        <w:t xml:space="preserve"> </w:t>
      </w:r>
      <w:r>
        <w:rPr>
          <w:b/>
        </w:rPr>
        <w:t>PFS</w:t>
      </w:r>
    </w:p>
    <w:tbl>
      <w:tblPr>
        <w:tblStyle w:val="Mriekatabuky"/>
        <w:tblW w:w="0" w:type="auto"/>
        <w:tblLook w:val="04A0" w:firstRow="1" w:lastRow="0" w:firstColumn="1" w:lastColumn="0" w:noHBand="0" w:noVBand="1"/>
      </w:tblPr>
      <w:tblGrid>
        <w:gridCol w:w="9060"/>
      </w:tblGrid>
      <w:tr w:rsidR="00746D3C" w14:paraId="58E829C5" w14:textId="77777777" w:rsidTr="007B3372">
        <w:tc>
          <w:tcPr>
            <w:tcW w:w="9062" w:type="dxa"/>
          </w:tcPr>
          <w:p w14:paraId="2D9B6A27" w14:textId="77777777" w:rsidR="00746D3C" w:rsidRDefault="00746D3C" w:rsidP="007B3372">
            <w:pPr>
              <w:pStyle w:val="Bezriadkovania"/>
              <w:rPr>
                <w:rFonts w:ascii="Times New Roman" w:hAnsi="Times New Roman"/>
                <w:sz w:val="24"/>
                <w:szCs w:val="24"/>
              </w:rPr>
            </w:pPr>
            <w:r>
              <w:rPr>
                <w:rFonts w:ascii="Times New Roman" w:hAnsi="Times New Roman"/>
                <w:sz w:val="24"/>
                <w:szCs w:val="24"/>
              </w:rPr>
              <w:t>Zmeny v existujúcich eForm a funkčnostiach PFS.</w:t>
            </w:r>
          </w:p>
          <w:p w14:paraId="3E442FBD" w14:textId="77777777" w:rsidR="00746D3C" w:rsidRPr="00C54198" w:rsidRDefault="00746D3C" w:rsidP="007B3372">
            <w:pPr>
              <w:pStyle w:val="Bezriadkovania"/>
            </w:pPr>
            <w:r>
              <w:rPr>
                <w:rFonts w:ascii="Times New Roman" w:hAnsi="Times New Roman"/>
                <w:sz w:val="24"/>
                <w:szCs w:val="24"/>
              </w:rPr>
              <w:t>Vyvolané vplyvy z eFaktúry na PFS</w:t>
            </w:r>
            <w:r w:rsidRPr="00C54198">
              <w:rPr>
                <w:rFonts w:ascii="Times New Roman" w:hAnsi="Times New Roman"/>
                <w:sz w:val="24"/>
                <w:szCs w:val="24"/>
              </w:rPr>
              <w:t>.</w:t>
            </w:r>
          </w:p>
        </w:tc>
      </w:tr>
    </w:tbl>
    <w:p w14:paraId="5D9748AD" w14:textId="77777777" w:rsidR="00746D3C" w:rsidRDefault="00746D3C" w:rsidP="00746D3C">
      <w:pPr>
        <w:jc w:val="both"/>
        <w:rPr>
          <w:b/>
        </w:rPr>
      </w:pPr>
    </w:p>
    <w:p w14:paraId="0FCBF416" w14:textId="77777777" w:rsidR="00746D3C" w:rsidRDefault="00746D3C" w:rsidP="00746D3C">
      <w:pPr>
        <w:jc w:val="both"/>
        <w:rPr>
          <w:b/>
        </w:rPr>
      </w:pPr>
      <w:r w:rsidRPr="00C54198">
        <w:rPr>
          <w:b/>
        </w:rPr>
        <w:t xml:space="preserve">I. eFaktúra </w:t>
      </w:r>
      <w:r>
        <w:rPr>
          <w:b/>
        </w:rPr>
        <w:t>–</w:t>
      </w:r>
      <w:r w:rsidRPr="00C54198">
        <w:rPr>
          <w:b/>
        </w:rPr>
        <w:t xml:space="preserve"> </w:t>
      </w:r>
      <w:r>
        <w:rPr>
          <w:b/>
        </w:rPr>
        <w:t>DR SCAN</w:t>
      </w:r>
    </w:p>
    <w:tbl>
      <w:tblPr>
        <w:tblStyle w:val="Mriekatabuky"/>
        <w:tblW w:w="0" w:type="auto"/>
        <w:tblLook w:val="04A0" w:firstRow="1" w:lastRow="0" w:firstColumn="1" w:lastColumn="0" w:noHBand="0" w:noVBand="1"/>
      </w:tblPr>
      <w:tblGrid>
        <w:gridCol w:w="9060"/>
      </w:tblGrid>
      <w:tr w:rsidR="00746D3C" w14:paraId="1E178EF5" w14:textId="77777777" w:rsidTr="007B3372">
        <w:tc>
          <w:tcPr>
            <w:tcW w:w="9062" w:type="dxa"/>
          </w:tcPr>
          <w:p w14:paraId="1E5F9E4D" w14:textId="77777777" w:rsidR="00746D3C" w:rsidRPr="00114653" w:rsidRDefault="00746D3C" w:rsidP="007B3372">
            <w:pPr>
              <w:pStyle w:val="Bezriadkovania"/>
              <w:rPr>
                <w:rFonts w:ascii="Times New Roman" w:hAnsi="Times New Roman"/>
                <w:sz w:val="24"/>
                <w:szCs w:val="24"/>
              </w:rPr>
            </w:pPr>
            <w:r w:rsidRPr="00114653">
              <w:rPr>
                <w:rFonts w:ascii="Times New Roman" w:hAnsi="Times New Roman"/>
                <w:sz w:val="24"/>
                <w:szCs w:val="24"/>
              </w:rPr>
              <w:t>Dva nové formuláre.</w:t>
            </w:r>
          </w:p>
          <w:p w14:paraId="5548AD30" w14:textId="77777777" w:rsidR="00746D3C" w:rsidRPr="00F74DCF" w:rsidRDefault="00746D3C" w:rsidP="007B3372">
            <w:pPr>
              <w:pStyle w:val="Bezriadkovania"/>
              <w:rPr>
                <w:rFonts w:ascii="Times New Roman" w:hAnsi="Times New Roman"/>
                <w:sz w:val="24"/>
                <w:szCs w:val="24"/>
              </w:rPr>
            </w:pPr>
            <w:r w:rsidRPr="00F74DCF">
              <w:rPr>
                <w:rFonts w:ascii="Times New Roman" w:hAnsi="Times New Roman"/>
                <w:sz w:val="24"/>
                <w:szCs w:val="24"/>
              </w:rPr>
              <w:t>Dávkové skenovanie.</w:t>
            </w:r>
          </w:p>
          <w:p w14:paraId="6028F3A3" w14:textId="77777777" w:rsidR="00746D3C" w:rsidRPr="00C54198" w:rsidRDefault="00746D3C" w:rsidP="007B3372">
            <w:pPr>
              <w:pStyle w:val="Bezriadkovania"/>
            </w:pPr>
            <w:r w:rsidRPr="00F74DCF">
              <w:rPr>
                <w:rFonts w:ascii="Times New Roman" w:hAnsi="Times New Roman"/>
                <w:sz w:val="24"/>
                <w:szCs w:val="24"/>
              </w:rPr>
              <w:t>FDF/PD</w:t>
            </w:r>
            <w:r>
              <w:rPr>
                <w:rFonts w:ascii="Times New Roman" w:hAnsi="Times New Roman"/>
                <w:sz w:val="24"/>
                <w:szCs w:val="24"/>
              </w:rPr>
              <w:t>F</w:t>
            </w:r>
            <w:r w:rsidRPr="00F74DCF">
              <w:rPr>
                <w:rFonts w:ascii="Times New Roman" w:hAnsi="Times New Roman"/>
                <w:sz w:val="24"/>
                <w:szCs w:val="24"/>
              </w:rPr>
              <w:t xml:space="preserve"> podklady.</w:t>
            </w:r>
          </w:p>
        </w:tc>
      </w:tr>
    </w:tbl>
    <w:p w14:paraId="08D3FF36" w14:textId="77777777" w:rsidR="00746D3C" w:rsidRPr="00F74DCF" w:rsidRDefault="00746D3C" w:rsidP="00746D3C">
      <w:pPr>
        <w:jc w:val="both"/>
        <w:rPr>
          <w:b/>
        </w:rPr>
      </w:pPr>
    </w:p>
    <w:p w14:paraId="47F2628E" w14:textId="77777777" w:rsidR="00746D3C" w:rsidRPr="004A276E" w:rsidRDefault="00746D3C" w:rsidP="00746D3C">
      <w:pPr>
        <w:jc w:val="both"/>
        <w:rPr>
          <w:b/>
        </w:rPr>
      </w:pPr>
      <w:r>
        <w:rPr>
          <w:b/>
        </w:rPr>
        <w:t>I. eFaktúra a oznamovanie údajov - KV DPH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3402"/>
        <w:gridCol w:w="3402"/>
      </w:tblGrid>
      <w:tr w:rsidR="00746D3C" w:rsidRPr="00745D8F" w14:paraId="79CA4977" w14:textId="77777777" w:rsidTr="007B3372">
        <w:trPr>
          <w:trHeight w:val="829"/>
        </w:trPr>
        <w:tc>
          <w:tcPr>
            <w:tcW w:w="1134" w:type="dxa"/>
            <w:shd w:val="clear" w:color="auto" w:fill="auto"/>
            <w:noWrap/>
            <w:tcMar>
              <w:top w:w="0" w:type="dxa"/>
              <w:left w:w="108" w:type="dxa"/>
              <w:bottom w:w="0" w:type="dxa"/>
              <w:right w:w="108" w:type="dxa"/>
            </w:tcMar>
            <w:vAlign w:val="center"/>
            <w:hideMark/>
          </w:tcPr>
          <w:p w14:paraId="38BBB44F" w14:textId="77777777" w:rsidR="00746D3C" w:rsidRPr="00745D8F" w:rsidRDefault="00746D3C" w:rsidP="007B3372">
            <w:pPr>
              <w:spacing w:after="160" w:line="259" w:lineRule="auto"/>
              <w:rPr>
                <w:sz w:val="20"/>
                <w:szCs w:val="20"/>
              </w:rPr>
            </w:pPr>
            <w:r>
              <w:rPr>
                <w:b/>
                <w:bCs/>
                <w:sz w:val="20"/>
                <w:szCs w:val="20"/>
              </w:rPr>
              <w:lastRenderedPageBreak/>
              <w:t>Systém</w:t>
            </w:r>
          </w:p>
        </w:tc>
        <w:tc>
          <w:tcPr>
            <w:tcW w:w="3402" w:type="dxa"/>
            <w:shd w:val="clear" w:color="auto" w:fill="auto"/>
            <w:noWrap/>
            <w:tcMar>
              <w:top w:w="0" w:type="dxa"/>
              <w:left w:w="108" w:type="dxa"/>
              <w:bottom w:w="0" w:type="dxa"/>
              <w:right w:w="108" w:type="dxa"/>
            </w:tcMar>
            <w:vAlign w:val="center"/>
            <w:hideMark/>
          </w:tcPr>
          <w:p w14:paraId="1401028F" w14:textId="77777777" w:rsidR="00746D3C" w:rsidRPr="00745D8F" w:rsidRDefault="00746D3C" w:rsidP="007B3372">
            <w:pPr>
              <w:spacing w:after="160" w:line="259" w:lineRule="auto"/>
              <w:rPr>
                <w:sz w:val="20"/>
                <w:szCs w:val="20"/>
              </w:rPr>
            </w:pPr>
            <w:r w:rsidRPr="00745D8F">
              <w:rPr>
                <w:b/>
                <w:bCs/>
                <w:sz w:val="20"/>
                <w:szCs w:val="20"/>
              </w:rPr>
              <w:t>Popis systémovej zmeny k 1.1.2027</w:t>
            </w:r>
          </w:p>
        </w:tc>
        <w:tc>
          <w:tcPr>
            <w:tcW w:w="3402" w:type="dxa"/>
            <w:shd w:val="clear" w:color="auto" w:fill="auto"/>
            <w:noWrap/>
            <w:tcMar>
              <w:top w:w="0" w:type="dxa"/>
              <w:left w:w="108" w:type="dxa"/>
              <w:bottom w:w="0" w:type="dxa"/>
              <w:right w:w="108" w:type="dxa"/>
            </w:tcMar>
            <w:vAlign w:val="center"/>
            <w:hideMark/>
          </w:tcPr>
          <w:p w14:paraId="05CBE2D9" w14:textId="77777777" w:rsidR="00746D3C" w:rsidRPr="00745D8F" w:rsidRDefault="00746D3C" w:rsidP="007B3372">
            <w:pPr>
              <w:spacing w:after="160" w:line="259" w:lineRule="auto"/>
              <w:rPr>
                <w:sz w:val="20"/>
                <w:szCs w:val="20"/>
              </w:rPr>
            </w:pPr>
            <w:r w:rsidRPr="00745D8F">
              <w:rPr>
                <w:b/>
                <w:bCs/>
                <w:sz w:val="20"/>
                <w:szCs w:val="20"/>
              </w:rPr>
              <w:t>Popis systémovej zmeny k 30.7.2030</w:t>
            </w:r>
          </w:p>
        </w:tc>
      </w:tr>
      <w:tr w:rsidR="00746D3C" w:rsidRPr="00745D8F" w14:paraId="40DC04CD" w14:textId="77777777" w:rsidTr="007B3372">
        <w:trPr>
          <w:trHeight w:val="1800"/>
        </w:trPr>
        <w:tc>
          <w:tcPr>
            <w:tcW w:w="1134" w:type="dxa"/>
            <w:shd w:val="clear" w:color="auto" w:fill="auto"/>
            <w:tcMar>
              <w:top w:w="0" w:type="dxa"/>
              <w:left w:w="108" w:type="dxa"/>
              <w:bottom w:w="0" w:type="dxa"/>
              <w:right w:w="108" w:type="dxa"/>
            </w:tcMar>
            <w:vAlign w:val="center"/>
            <w:hideMark/>
          </w:tcPr>
          <w:p w14:paraId="607141A1" w14:textId="77777777" w:rsidR="00746D3C" w:rsidRPr="00745D8F" w:rsidRDefault="00746D3C" w:rsidP="007B3372">
            <w:pPr>
              <w:spacing w:after="160" w:line="259" w:lineRule="auto"/>
              <w:jc w:val="center"/>
              <w:rPr>
                <w:sz w:val="20"/>
                <w:szCs w:val="20"/>
              </w:rPr>
            </w:pPr>
            <w:r w:rsidRPr="00745D8F">
              <w:rPr>
                <w:sz w:val="20"/>
                <w:szCs w:val="20"/>
              </w:rPr>
              <w:t>Analytika "Realtime" rozšírenie</w:t>
            </w:r>
          </w:p>
        </w:tc>
        <w:tc>
          <w:tcPr>
            <w:tcW w:w="3402" w:type="dxa"/>
            <w:shd w:val="clear" w:color="auto" w:fill="auto"/>
            <w:tcMar>
              <w:top w:w="0" w:type="dxa"/>
              <w:left w:w="108" w:type="dxa"/>
              <w:bottom w:w="0" w:type="dxa"/>
              <w:right w:w="108" w:type="dxa"/>
            </w:tcMar>
            <w:vAlign w:val="center"/>
            <w:hideMark/>
          </w:tcPr>
          <w:p w14:paraId="73EFB0CD" w14:textId="77777777" w:rsidR="00746D3C" w:rsidRPr="00745D8F" w:rsidRDefault="00746D3C" w:rsidP="007B3372">
            <w:pPr>
              <w:spacing w:after="160" w:line="259" w:lineRule="auto"/>
              <w:rPr>
                <w:sz w:val="20"/>
                <w:szCs w:val="20"/>
              </w:rPr>
            </w:pPr>
            <w:r w:rsidRPr="00745D8F">
              <w:rPr>
                <w:sz w:val="20"/>
                <w:szCs w:val="20"/>
              </w:rPr>
              <w:t xml:space="preserve">Rozšírenie analytiky o Realtime vyhodnocovanie eFaktúr (bez </w:t>
            </w:r>
            <w:r>
              <w:rPr>
                <w:sz w:val="20"/>
                <w:szCs w:val="20"/>
              </w:rPr>
              <w:t>„</w:t>
            </w:r>
            <w:r w:rsidRPr="00745D8F">
              <w:rPr>
                <w:sz w:val="20"/>
                <w:szCs w:val="20"/>
              </w:rPr>
              <w:t>úložiska eFaktúr</w:t>
            </w:r>
            <w:r>
              <w:rPr>
                <w:sz w:val="20"/>
                <w:szCs w:val="20"/>
              </w:rPr>
              <w:t>“</w:t>
            </w:r>
            <w:r w:rsidRPr="00745D8F">
              <w:rPr>
                <w:sz w:val="20"/>
                <w:szCs w:val="20"/>
              </w:rPr>
              <w:t>).</w:t>
            </w:r>
            <w:r w:rsidRPr="00745D8F">
              <w:rPr>
                <w:sz w:val="20"/>
                <w:szCs w:val="20"/>
              </w:rPr>
              <w:br/>
              <w:t>Spracovanie histórie subjektov, rizikové profily subjektov, rizikové profily obchodných vzťahov.</w:t>
            </w:r>
            <w:r w:rsidRPr="00745D8F">
              <w:rPr>
                <w:sz w:val="20"/>
                <w:szCs w:val="20"/>
              </w:rPr>
              <w:br/>
              <w:t xml:space="preserve">Vyhodnotenie pre Softwarning, Split payment, Kontrolnú činnosť. </w:t>
            </w:r>
          </w:p>
        </w:tc>
        <w:tc>
          <w:tcPr>
            <w:tcW w:w="3402" w:type="dxa"/>
            <w:shd w:val="clear" w:color="auto" w:fill="auto"/>
            <w:tcMar>
              <w:top w:w="0" w:type="dxa"/>
              <w:left w:w="108" w:type="dxa"/>
              <w:bottom w:w="0" w:type="dxa"/>
              <w:right w:w="108" w:type="dxa"/>
            </w:tcMar>
            <w:vAlign w:val="center"/>
            <w:hideMark/>
          </w:tcPr>
          <w:p w14:paraId="4D5E9737" w14:textId="77777777" w:rsidR="00746D3C" w:rsidRPr="00745D8F" w:rsidRDefault="00746D3C" w:rsidP="007B3372">
            <w:pPr>
              <w:spacing w:after="160" w:line="259" w:lineRule="auto"/>
              <w:rPr>
                <w:sz w:val="20"/>
                <w:szCs w:val="20"/>
              </w:rPr>
            </w:pPr>
            <w:r w:rsidRPr="00745D8F">
              <w:rPr>
                <w:sz w:val="20"/>
                <w:szCs w:val="20"/>
              </w:rPr>
              <w:t>Rozšírenie o vyhodnotenie cezhraničných eFaktúr.</w:t>
            </w:r>
            <w:r w:rsidRPr="00745D8F">
              <w:rPr>
                <w:sz w:val="20"/>
                <w:szCs w:val="20"/>
              </w:rPr>
              <w:br/>
              <w:t>Rozšírenie o profily pre zahraničné subjekty a cezhraničné obchodné vzťahy. Rozšírenie softwarningového vyhodnocovania.</w:t>
            </w:r>
          </w:p>
        </w:tc>
      </w:tr>
      <w:tr w:rsidR="00746D3C" w:rsidRPr="00745D8F" w14:paraId="3CA1F2B4" w14:textId="77777777" w:rsidTr="007B3372">
        <w:trPr>
          <w:trHeight w:val="2400"/>
        </w:trPr>
        <w:tc>
          <w:tcPr>
            <w:tcW w:w="1134" w:type="dxa"/>
            <w:shd w:val="clear" w:color="auto" w:fill="auto"/>
            <w:noWrap/>
            <w:tcMar>
              <w:top w:w="0" w:type="dxa"/>
              <w:left w:w="108" w:type="dxa"/>
              <w:bottom w:w="0" w:type="dxa"/>
              <w:right w:w="108" w:type="dxa"/>
            </w:tcMar>
            <w:vAlign w:val="center"/>
            <w:hideMark/>
          </w:tcPr>
          <w:p w14:paraId="53B114EC" w14:textId="77777777" w:rsidR="00746D3C" w:rsidRPr="00745D8F" w:rsidRDefault="00746D3C" w:rsidP="007B3372">
            <w:pPr>
              <w:spacing w:after="160" w:line="259" w:lineRule="auto"/>
              <w:jc w:val="center"/>
              <w:rPr>
                <w:sz w:val="20"/>
                <w:szCs w:val="20"/>
              </w:rPr>
            </w:pPr>
            <w:r w:rsidRPr="00745D8F">
              <w:rPr>
                <w:sz w:val="20"/>
                <w:szCs w:val="20"/>
              </w:rPr>
              <w:t>AKV</w:t>
            </w:r>
          </w:p>
        </w:tc>
        <w:tc>
          <w:tcPr>
            <w:tcW w:w="3402" w:type="dxa"/>
            <w:shd w:val="clear" w:color="auto" w:fill="auto"/>
            <w:tcMar>
              <w:top w:w="0" w:type="dxa"/>
              <w:left w:w="108" w:type="dxa"/>
              <w:bottom w:w="0" w:type="dxa"/>
              <w:right w:w="108" w:type="dxa"/>
            </w:tcMar>
            <w:vAlign w:val="center"/>
            <w:hideMark/>
          </w:tcPr>
          <w:p w14:paraId="4B7C8384" w14:textId="77777777" w:rsidR="00746D3C" w:rsidRPr="00745D8F" w:rsidRDefault="00746D3C" w:rsidP="007B3372">
            <w:pPr>
              <w:spacing w:after="160" w:line="259" w:lineRule="auto"/>
              <w:rPr>
                <w:sz w:val="20"/>
                <w:szCs w:val="20"/>
              </w:rPr>
            </w:pPr>
            <w:r w:rsidRPr="00745D8F">
              <w:rPr>
                <w:sz w:val="20"/>
                <w:szCs w:val="20"/>
              </w:rPr>
              <w:t>Zapracovanie spracovávania dát z eFaktúr. Zapracovanie nového vzoru DP DPH a aktualizácia existujúceho vyhodnotenia DP DPH. Úprava generovania obchodných vzťahov bez údajov z B2. Zapracovanie duálneho vyhodnocovania dát (KV</w:t>
            </w:r>
            <w:r>
              <w:rPr>
                <w:sz w:val="20"/>
                <w:szCs w:val="20"/>
              </w:rPr>
              <w:t xml:space="preserve"> </w:t>
            </w:r>
            <w:r w:rsidRPr="00745D8F">
              <w:rPr>
                <w:sz w:val="20"/>
                <w:szCs w:val="20"/>
              </w:rPr>
              <w:t xml:space="preserve">DPH +  eFaktúry) voči novému vzoru DP DPH. Prispôsobenie existujúceho používateľského rozhrania. Prehodnotenie a úprava generovaných exportov. </w:t>
            </w:r>
          </w:p>
        </w:tc>
        <w:tc>
          <w:tcPr>
            <w:tcW w:w="3402" w:type="dxa"/>
            <w:shd w:val="clear" w:color="auto" w:fill="auto"/>
            <w:tcMar>
              <w:top w:w="0" w:type="dxa"/>
              <w:left w:w="108" w:type="dxa"/>
              <w:bottom w:w="0" w:type="dxa"/>
              <w:right w:w="108" w:type="dxa"/>
            </w:tcMar>
            <w:vAlign w:val="center"/>
            <w:hideMark/>
          </w:tcPr>
          <w:p w14:paraId="02CE3A5F" w14:textId="77777777" w:rsidR="00746D3C" w:rsidRPr="00745D8F" w:rsidRDefault="00746D3C" w:rsidP="007B3372">
            <w:pPr>
              <w:spacing w:after="160" w:line="259" w:lineRule="auto"/>
              <w:rPr>
                <w:sz w:val="20"/>
                <w:szCs w:val="20"/>
              </w:rPr>
            </w:pPr>
            <w:r w:rsidRPr="00745D8F">
              <w:rPr>
                <w:sz w:val="20"/>
                <w:szCs w:val="20"/>
              </w:rPr>
              <w:t>Zapracovanie spracovávania dát z cezhraničných eFaktúr. Zmena vytvárania obchodných vzťahov, sietí, sumárnych obchodov len z eFaktúr. Zobrazovanie a exportovanie údajov z eFaktúr  (+ duálne zobrazenie údajov z historického KV DPH). Zapracovanie nového vzoru DP DPH. Aktualizácia vyhodnocovania na základe nového vzoru DP DPH. Úprava exportov.</w:t>
            </w:r>
          </w:p>
        </w:tc>
      </w:tr>
      <w:tr w:rsidR="00746D3C" w:rsidRPr="00745D8F" w14:paraId="3BCA1668" w14:textId="77777777" w:rsidTr="007B3372">
        <w:trPr>
          <w:trHeight w:val="1800"/>
        </w:trPr>
        <w:tc>
          <w:tcPr>
            <w:tcW w:w="1134" w:type="dxa"/>
            <w:shd w:val="clear" w:color="auto" w:fill="auto"/>
            <w:noWrap/>
            <w:tcMar>
              <w:top w:w="0" w:type="dxa"/>
              <w:left w:w="108" w:type="dxa"/>
              <w:bottom w:w="0" w:type="dxa"/>
              <w:right w:w="108" w:type="dxa"/>
            </w:tcMar>
            <w:vAlign w:val="center"/>
            <w:hideMark/>
          </w:tcPr>
          <w:p w14:paraId="2BE8B2F8" w14:textId="77777777" w:rsidR="00746D3C" w:rsidRPr="00745D8F" w:rsidRDefault="00746D3C" w:rsidP="007B3372">
            <w:pPr>
              <w:spacing w:after="160" w:line="259" w:lineRule="auto"/>
              <w:jc w:val="center"/>
              <w:rPr>
                <w:sz w:val="20"/>
                <w:szCs w:val="20"/>
              </w:rPr>
            </w:pPr>
            <w:r w:rsidRPr="00745D8F">
              <w:rPr>
                <w:sz w:val="20"/>
                <w:szCs w:val="20"/>
              </w:rPr>
              <w:t>SEP</w:t>
            </w:r>
          </w:p>
        </w:tc>
        <w:tc>
          <w:tcPr>
            <w:tcW w:w="3402" w:type="dxa"/>
            <w:shd w:val="clear" w:color="auto" w:fill="auto"/>
            <w:tcMar>
              <w:top w:w="0" w:type="dxa"/>
              <w:left w:w="108" w:type="dxa"/>
              <w:bottom w:w="0" w:type="dxa"/>
              <w:right w:w="108" w:type="dxa"/>
            </w:tcMar>
            <w:vAlign w:val="center"/>
            <w:hideMark/>
          </w:tcPr>
          <w:p w14:paraId="19269AD4" w14:textId="77777777" w:rsidR="00746D3C" w:rsidRPr="00745D8F" w:rsidRDefault="00746D3C" w:rsidP="007B3372">
            <w:pPr>
              <w:spacing w:after="160" w:line="259" w:lineRule="auto"/>
              <w:rPr>
                <w:sz w:val="20"/>
                <w:szCs w:val="20"/>
              </w:rPr>
            </w:pPr>
            <w:r w:rsidRPr="00745D8F">
              <w:rPr>
                <w:sz w:val="20"/>
                <w:szCs w:val="20"/>
              </w:rPr>
              <w:t xml:space="preserve">Vytvorenie webservisu  pre spracovanie podnetov na kontrolnú činnosť </w:t>
            </w:r>
            <w:r>
              <w:rPr>
                <w:sz w:val="20"/>
                <w:szCs w:val="20"/>
              </w:rPr>
              <w:t>„</w:t>
            </w:r>
            <w:r w:rsidRPr="00745D8F">
              <w:rPr>
                <w:sz w:val="20"/>
                <w:szCs w:val="20"/>
              </w:rPr>
              <w:t>z Realtime</w:t>
            </w:r>
            <w:r>
              <w:rPr>
                <w:sz w:val="20"/>
                <w:szCs w:val="20"/>
              </w:rPr>
              <w:t>“</w:t>
            </w:r>
            <w:r w:rsidRPr="00745D8F">
              <w:rPr>
                <w:sz w:val="20"/>
                <w:szCs w:val="20"/>
              </w:rPr>
              <w:t xml:space="preserve"> analytiky. Nový procesný model kontrolnej činnosti na základe podnetu z Realtime vyhodnotenia eFaktúry. Nové manažérske a štatistické prehľady.</w:t>
            </w:r>
          </w:p>
        </w:tc>
        <w:tc>
          <w:tcPr>
            <w:tcW w:w="3402" w:type="dxa"/>
            <w:shd w:val="clear" w:color="auto" w:fill="auto"/>
            <w:tcMar>
              <w:top w:w="0" w:type="dxa"/>
              <w:left w:w="108" w:type="dxa"/>
              <w:bottom w:w="0" w:type="dxa"/>
              <w:right w:w="108" w:type="dxa"/>
            </w:tcMar>
            <w:vAlign w:val="center"/>
            <w:hideMark/>
          </w:tcPr>
          <w:p w14:paraId="790E7C79" w14:textId="77777777" w:rsidR="00746D3C" w:rsidRPr="00745D8F" w:rsidRDefault="00746D3C" w:rsidP="007B3372">
            <w:pPr>
              <w:spacing w:after="160" w:line="259" w:lineRule="auto"/>
              <w:rPr>
                <w:sz w:val="20"/>
                <w:szCs w:val="20"/>
              </w:rPr>
            </w:pPr>
            <w:r w:rsidRPr="00745D8F">
              <w:rPr>
                <w:sz w:val="20"/>
                <w:szCs w:val="20"/>
              </w:rPr>
              <w:t xml:space="preserve">Rozšírenie webservisu  pre spracovanie podnetov na kontrolnú činnosť </w:t>
            </w:r>
            <w:r>
              <w:rPr>
                <w:sz w:val="20"/>
                <w:szCs w:val="20"/>
              </w:rPr>
              <w:t>„</w:t>
            </w:r>
            <w:r w:rsidRPr="00745D8F">
              <w:rPr>
                <w:sz w:val="20"/>
                <w:szCs w:val="20"/>
              </w:rPr>
              <w:t>z Realtime</w:t>
            </w:r>
            <w:r>
              <w:rPr>
                <w:sz w:val="20"/>
                <w:szCs w:val="20"/>
              </w:rPr>
              <w:t>“</w:t>
            </w:r>
            <w:r w:rsidRPr="00745D8F">
              <w:rPr>
                <w:sz w:val="20"/>
                <w:szCs w:val="20"/>
              </w:rPr>
              <w:t xml:space="preserve"> analytiky.  Nový procesný model kontrolnej činnosti na základe podnetu z Realtime vyhodnotenia eFaktúry pre cezhraničné faktúry, trojstranný obchod. Úprava manažérskych a štatistických prehľadov.</w:t>
            </w:r>
          </w:p>
        </w:tc>
      </w:tr>
      <w:tr w:rsidR="00746D3C" w:rsidRPr="00745D8F" w14:paraId="4C046D9B" w14:textId="77777777" w:rsidTr="007B3372">
        <w:trPr>
          <w:trHeight w:val="600"/>
        </w:trPr>
        <w:tc>
          <w:tcPr>
            <w:tcW w:w="1134" w:type="dxa"/>
            <w:shd w:val="clear" w:color="auto" w:fill="auto"/>
            <w:noWrap/>
            <w:tcMar>
              <w:top w:w="0" w:type="dxa"/>
              <w:left w:w="108" w:type="dxa"/>
              <w:bottom w:w="0" w:type="dxa"/>
              <w:right w:w="108" w:type="dxa"/>
            </w:tcMar>
            <w:vAlign w:val="center"/>
            <w:hideMark/>
          </w:tcPr>
          <w:p w14:paraId="52CA75B6" w14:textId="77777777" w:rsidR="00746D3C" w:rsidRPr="00745D8F" w:rsidRDefault="00746D3C" w:rsidP="007B3372">
            <w:pPr>
              <w:spacing w:after="160" w:line="259" w:lineRule="auto"/>
              <w:jc w:val="center"/>
              <w:rPr>
                <w:sz w:val="20"/>
                <w:szCs w:val="20"/>
              </w:rPr>
            </w:pPr>
            <w:r w:rsidRPr="00745D8F">
              <w:rPr>
                <w:sz w:val="20"/>
                <w:szCs w:val="20"/>
              </w:rPr>
              <w:t>IDS</w:t>
            </w:r>
          </w:p>
        </w:tc>
        <w:tc>
          <w:tcPr>
            <w:tcW w:w="3402" w:type="dxa"/>
            <w:shd w:val="clear" w:color="auto" w:fill="auto"/>
            <w:tcMar>
              <w:top w:w="0" w:type="dxa"/>
              <w:left w:w="108" w:type="dxa"/>
              <w:bottom w:w="0" w:type="dxa"/>
              <w:right w:w="108" w:type="dxa"/>
            </w:tcMar>
            <w:vAlign w:val="center"/>
            <w:hideMark/>
          </w:tcPr>
          <w:p w14:paraId="3C12B078" w14:textId="77777777" w:rsidR="00746D3C" w:rsidRPr="00745D8F" w:rsidRDefault="00746D3C" w:rsidP="007B3372">
            <w:pPr>
              <w:spacing w:after="160" w:line="259" w:lineRule="auto"/>
              <w:rPr>
                <w:sz w:val="20"/>
                <w:szCs w:val="20"/>
              </w:rPr>
            </w:pPr>
            <w:r w:rsidRPr="00745D8F">
              <w:rPr>
                <w:sz w:val="20"/>
                <w:szCs w:val="20"/>
              </w:rPr>
              <w:t>Zrušenie vyhodnocovania pre podania KV DPH.</w:t>
            </w:r>
            <w:r w:rsidRPr="00745D8F">
              <w:rPr>
                <w:sz w:val="20"/>
                <w:szCs w:val="20"/>
              </w:rPr>
              <w:br/>
              <w:t>Zapracovanie zmien pre nový vzor DP DPH.</w:t>
            </w:r>
          </w:p>
        </w:tc>
        <w:tc>
          <w:tcPr>
            <w:tcW w:w="3402" w:type="dxa"/>
            <w:shd w:val="clear" w:color="auto" w:fill="auto"/>
            <w:tcMar>
              <w:top w:w="0" w:type="dxa"/>
              <w:left w:w="108" w:type="dxa"/>
              <w:bottom w:w="0" w:type="dxa"/>
              <w:right w:w="108" w:type="dxa"/>
            </w:tcMar>
            <w:vAlign w:val="center"/>
            <w:hideMark/>
          </w:tcPr>
          <w:p w14:paraId="3408ADE8" w14:textId="77777777" w:rsidR="00746D3C" w:rsidRPr="00745D8F" w:rsidRDefault="00746D3C" w:rsidP="007B3372">
            <w:pPr>
              <w:spacing w:after="160" w:line="259" w:lineRule="auto"/>
              <w:rPr>
                <w:sz w:val="20"/>
                <w:szCs w:val="20"/>
              </w:rPr>
            </w:pPr>
            <w:r w:rsidRPr="00745D8F">
              <w:rPr>
                <w:sz w:val="20"/>
                <w:szCs w:val="20"/>
              </w:rPr>
              <w:t>Zrušenie vyhodnocovania pre podania SV DPH.</w:t>
            </w:r>
            <w:r w:rsidRPr="00745D8F">
              <w:rPr>
                <w:sz w:val="20"/>
                <w:szCs w:val="20"/>
              </w:rPr>
              <w:br/>
              <w:t>Zapracovanie zmien pre nový vzor DP DPH.</w:t>
            </w:r>
          </w:p>
        </w:tc>
      </w:tr>
    </w:tbl>
    <w:p w14:paraId="60EDA25B" w14:textId="77777777" w:rsidR="00746D3C" w:rsidRDefault="00746D3C" w:rsidP="00746D3C">
      <w:pPr>
        <w:jc w:val="both"/>
        <w:rPr>
          <w:bCs/>
        </w:rPr>
      </w:pPr>
      <w:r>
        <w:rPr>
          <w:bCs/>
        </w:rPr>
        <w:t>Zdroje vstupných hodnôt a prepočty pri vyčíslení vplyvu na IS eFaktúra vychádzajú z CBA analýzy.</w:t>
      </w:r>
    </w:p>
    <w:p w14:paraId="177A6F1A" w14:textId="77777777" w:rsidR="00746D3C" w:rsidRDefault="00746D3C" w:rsidP="00746D3C">
      <w:pPr>
        <w:jc w:val="both"/>
        <w:rPr>
          <w:bCs/>
        </w:rPr>
      </w:pPr>
    </w:p>
    <w:p w14:paraId="4F04FD74" w14:textId="77777777" w:rsidR="00746D3C" w:rsidRDefault="00746D3C" w:rsidP="00746D3C">
      <w:pPr>
        <w:jc w:val="both"/>
        <w:rPr>
          <w:b/>
        </w:rPr>
      </w:pPr>
      <w:r>
        <w:rPr>
          <w:b/>
        </w:rPr>
        <w:t xml:space="preserve">II. Zákon č. 215/2019 Z. z. - </w:t>
      </w:r>
      <w:r w:rsidRPr="00CB076D">
        <w:rPr>
          <w:b/>
        </w:rPr>
        <w:t>Access Point provider (GovAP)</w:t>
      </w:r>
    </w:p>
    <w:tbl>
      <w:tblPr>
        <w:tblStyle w:val="Mriekatabuky"/>
        <w:tblW w:w="0" w:type="auto"/>
        <w:tblLook w:val="04A0" w:firstRow="1" w:lastRow="0" w:firstColumn="1" w:lastColumn="0" w:noHBand="0" w:noVBand="1"/>
      </w:tblPr>
      <w:tblGrid>
        <w:gridCol w:w="9060"/>
      </w:tblGrid>
      <w:tr w:rsidR="00746D3C" w14:paraId="704FCF95" w14:textId="77777777" w:rsidTr="007B3372">
        <w:tc>
          <w:tcPr>
            <w:tcW w:w="9062" w:type="dxa"/>
          </w:tcPr>
          <w:p w14:paraId="0D7C3026" w14:textId="77777777" w:rsidR="00746D3C" w:rsidRDefault="00746D3C" w:rsidP="007B3372">
            <w:pPr>
              <w:spacing w:after="200" w:line="276" w:lineRule="auto"/>
              <w:jc w:val="both"/>
              <w:rPr>
                <w:b/>
              </w:rPr>
            </w:pPr>
            <w:r w:rsidRPr="00CC5D71">
              <w:rPr>
                <w:bCs/>
              </w:rPr>
              <w:t xml:space="preserve">Finančný </w:t>
            </w:r>
            <w:r>
              <w:rPr>
                <w:bCs/>
              </w:rPr>
              <w:t xml:space="preserve">vplyv </w:t>
            </w:r>
            <w:r w:rsidRPr="00CC5D71">
              <w:rPr>
                <w:bCs/>
              </w:rPr>
              <w:t xml:space="preserve"> je vyčíslený počnúc rokom 2026. Zdrojom vstupných hodnôt a prepočty pri vyčíslení </w:t>
            </w:r>
            <w:r>
              <w:rPr>
                <w:bCs/>
              </w:rPr>
              <w:t>vplyvu</w:t>
            </w:r>
            <w:r w:rsidRPr="00CC5D71">
              <w:rPr>
                <w:bCs/>
              </w:rPr>
              <w:t xml:space="preserve"> na IS eFaktúra</w:t>
            </w:r>
            <w:r>
              <w:rPr>
                <w:bCs/>
              </w:rPr>
              <w:t xml:space="preserve"> - </w:t>
            </w:r>
            <w:r w:rsidRPr="00C15A54">
              <w:rPr>
                <w:bCs/>
              </w:rPr>
              <w:t>Access Point provider (GovAP)</w:t>
            </w:r>
            <w:r w:rsidRPr="00CC5D71">
              <w:rPr>
                <w:bCs/>
              </w:rPr>
              <w:t xml:space="preserve"> vychádzajú z CBA analýzy.</w:t>
            </w:r>
          </w:p>
        </w:tc>
      </w:tr>
    </w:tbl>
    <w:p w14:paraId="40DB86A8" w14:textId="77777777" w:rsidR="00746D3C" w:rsidRDefault="00746D3C" w:rsidP="00746D3C">
      <w:pPr>
        <w:jc w:val="both"/>
        <w:rPr>
          <w:b/>
        </w:rPr>
      </w:pPr>
    </w:p>
    <w:p w14:paraId="40C9BADD" w14:textId="77777777" w:rsidR="00746D3C" w:rsidRDefault="00746D3C" w:rsidP="00746D3C">
      <w:pPr>
        <w:jc w:val="both"/>
        <w:rPr>
          <w:b/>
        </w:rPr>
      </w:pPr>
      <w:r>
        <w:rPr>
          <w:b/>
        </w:rPr>
        <w:t>II. Zákon č. 215/2019 Z. z. – DXC</w:t>
      </w:r>
    </w:p>
    <w:tbl>
      <w:tblPr>
        <w:tblStyle w:val="Mriekatabuky"/>
        <w:tblW w:w="0" w:type="auto"/>
        <w:tblLook w:val="04A0" w:firstRow="1" w:lastRow="0" w:firstColumn="1" w:lastColumn="0" w:noHBand="0" w:noVBand="1"/>
      </w:tblPr>
      <w:tblGrid>
        <w:gridCol w:w="9060"/>
      </w:tblGrid>
      <w:tr w:rsidR="00746D3C" w14:paraId="3269FF47" w14:textId="77777777" w:rsidTr="007B3372">
        <w:tc>
          <w:tcPr>
            <w:tcW w:w="9062" w:type="dxa"/>
          </w:tcPr>
          <w:p w14:paraId="16129657" w14:textId="77777777" w:rsidR="00746D3C" w:rsidRPr="00CB076D" w:rsidRDefault="00746D3C" w:rsidP="007B3372">
            <w:pPr>
              <w:jc w:val="both"/>
              <w:rPr>
                <w:bCs/>
              </w:rPr>
            </w:pPr>
            <w:r w:rsidRPr="00CB076D">
              <w:rPr>
                <w:bCs/>
              </w:rPr>
              <w:t xml:space="preserve">Predkladaný hrubý odhad nákladov bol spracovaný ako informačný podklad k očakávaným nákladom na integráciu IS CES systémom elektronickej fakturácie (EFA). </w:t>
            </w:r>
          </w:p>
          <w:p w14:paraId="621E4A37" w14:textId="77777777" w:rsidR="00746D3C" w:rsidRPr="00CB076D" w:rsidRDefault="00746D3C" w:rsidP="007B3372">
            <w:pPr>
              <w:jc w:val="both"/>
              <w:rPr>
                <w:bCs/>
              </w:rPr>
            </w:pPr>
            <w:r w:rsidRPr="00CB076D">
              <w:rPr>
                <w:bCs/>
              </w:rPr>
              <w:t>Keďže v čase spracovania odhadu neboli dostupné potrebné technické informácie a špecifikácia požiadaviek MF SR pre spracovanie kvalifikovaného odhadu nákladov, odhad bol spracovaný na základe skúseností dodávateľa na podobných projektoch.</w:t>
            </w:r>
          </w:p>
          <w:p w14:paraId="3F120C2D" w14:textId="77777777" w:rsidR="00746D3C" w:rsidRDefault="00746D3C" w:rsidP="007B3372">
            <w:pPr>
              <w:jc w:val="both"/>
              <w:rPr>
                <w:b/>
              </w:rPr>
            </w:pPr>
            <w:r w:rsidRPr="00CB076D">
              <w:rPr>
                <w:bCs/>
              </w:rPr>
              <w:lastRenderedPageBreak/>
              <w:t>Vzhľadom na uvedené skutočnosti zdôrazňujeme, že odhad je hrubý, a môže byť upresnený až na základe sprístupnenia chýbajúcich informácií o projekte EFA</w:t>
            </w:r>
            <w:r>
              <w:rPr>
                <w:bCs/>
              </w:rPr>
              <w:t xml:space="preserve"> </w:t>
            </w:r>
            <w:r w:rsidRPr="00CB076D">
              <w:rPr>
                <w:bCs/>
              </w:rPr>
              <w:t xml:space="preserve">(popis služieb, integračných rozhraní atď.) a tiež na základe požiadaviek </w:t>
            </w:r>
            <w:r>
              <w:rPr>
                <w:bCs/>
              </w:rPr>
              <w:t>MF SR</w:t>
            </w:r>
            <w:r w:rsidRPr="00CB076D">
              <w:rPr>
                <w:bCs/>
              </w:rPr>
              <w:t xml:space="preserve"> ohľadom riešenia integrácie IS CES na EFA.</w:t>
            </w:r>
          </w:p>
        </w:tc>
      </w:tr>
    </w:tbl>
    <w:p w14:paraId="277313F9" w14:textId="77777777" w:rsidR="00746D3C" w:rsidRDefault="00746D3C" w:rsidP="00746D3C">
      <w:pPr>
        <w:jc w:val="both"/>
        <w:rPr>
          <w:b/>
        </w:rPr>
      </w:pPr>
    </w:p>
    <w:p w14:paraId="04D1EE62" w14:textId="77777777" w:rsidR="00746D3C" w:rsidRPr="009300CA" w:rsidRDefault="00746D3C" w:rsidP="00746D3C">
      <w:pPr>
        <w:jc w:val="both"/>
        <w:rPr>
          <w:b/>
        </w:rPr>
      </w:pPr>
      <w:r>
        <w:rPr>
          <w:b/>
        </w:rPr>
        <w:t xml:space="preserve">III. Registrácia skupiny ex </w:t>
      </w:r>
      <w:r w:rsidRPr="004F65F3">
        <w:rPr>
          <w:b/>
        </w:rPr>
        <w:t>offo -</w:t>
      </w:r>
      <w:r w:rsidRPr="004F65F3">
        <w:t xml:space="preserve"> </w:t>
      </w:r>
      <w:r w:rsidRPr="004F65F3">
        <w:rPr>
          <w:b/>
        </w:rPr>
        <w:t>ISFS–SD</w:t>
      </w:r>
    </w:p>
    <w:tbl>
      <w:tblPr>
        <w:tblStyle w:val="Mriekatabuky"/>
        <w:tblW w:w="0" w:type="auto"/>
        <w:tblLook w:val="04A0" w:firstRow="1" w:lastRow="0" w:firstColumn="1" w:lastColumn="0" w:noHBand="0" w:noVBand="1"/>
      </w:tblPr>
      <w:tblGrid>
        <w:gridCol w:w="9060"/>
      </w:tblGrid>
      <w:tr w:rsidR="00746D3C" w14:paraId="5C2766E9" w14:textId="77777777" w:rsidTr="007B3372">
        <w:tc>
          <w:tcPr>
            <w:tcW w:w="9062" w:type="dxa"/>
          </w:tcPr>
          <w:p w14:paraId="04B2DE8D" w14:textId="77777777" w:rsidR="00746D3C" w:rsidRPr="00FF0513" w:rsidRDefault="00746D3C" w:rsidP="007B3372">
            <w:pPr>
              <w:jc w:val="both"/>
              <w:rPr>
                <w:rFonts w:eastAsia="Aptos"/>
              </w:rPr>
            </w:pPr>
            <w:r w:rsidRPr="00FF0513">
              <w:rPr>
                <w:rFonts w:eastAsia="Aptos"/>
              </w:rPr>
              <w:t>Novelou zákona sa zavádza nový inštitút registrácie skupiny DPH, a to registrácia skupiny z úradnej moci.</w:t>
            </w:r>
          </w:p>
          <w:p w14:paraId="5D107C7F" w14:textId="77777777" w:rsidR="00746D3C" w:rsidRPr="00FF0513" w:rsidRDefault="00746D3C" w:rsidP="007B3372">
            <w:pPr>
              <w:jc w:val="both"/>
              <w:rPr>
                <w:rFonts w:eastAsia="Aptos"/>
              </w:rPr>
            </w:pPr>
          </w:p>
          <w:p w14:paraId="5C84F398" w14:textId="77777777" w:rsidR="00746D3C" w:rsidRPr="00FF0513" w:rsidRDefault="00746D3C" w:rsidP="007B3372">
            <w:pPr>
              <w:jc w:val="both"/>
              <w:rPr>
                <w:rFonts w:eastAsia="Aptos"/>
                <w:i/>
                <w:iCs/>
              </w:rPr>
            </w:pPr>
            <w:r w:rsidRPr="00FF0513">
              <w:rPr>
                <w:rFonts w:eastAsia="Aptos"/>
                <w:i/>
                <w:iCs/>
              </w:rPr>
              <w:t>Návrh legislatívy znie (nový § 4c):</w:t>
            </w:r>
          </w:p>
          <w:p w14:paraId="7381F7CA" w14:textId="77777777" w:rsidR="00746D3C" w:rsidRPr="00FF0513" w:rsidRDefault="00746D3C" w:rsidP="007B3372">
            <w:pPr>
              <w:jc w:val="both"/>
              <w:rPr>
                <w:rFonts w:eastAsia="Aptos"/>
                <w:i/>
                <w:iCs/>
              </w:rPr>
            </w:pPr>
          </w:p>
          <w:p w14:paraId="5C0BFDF6" w14:textId="77777777" w:rsidR="00746D3C" w:rsidRPr="00FF0513" w:rsidRDefault="00746D3C" w:rsidP="007B3372">
            <w:pPr>
              <w:jc w:val="both"/>
              <w:rPr>
                <w:rFonts w:eastAsia="Aptos"/>
                <w:i/>
                <w:iCs/>
              </w:rPr>
            </w:pPr>
            <w:r w:rsidRPr="00FF0513">
              <w:rPr>
                <w:rFonts w:eastAsia="Aptos"/>
                <w:i/>
                <w:iCs/>
              </w:rPr>
              <w:t>(1) Na účely tohto zákona sa dôvodmi na registráciu skupiny z úradnej moci rozumie vykonávanie podnikania viacerými členmi skupiny s hlavným cieľom obchádzať platenie dane.</w:t>
            </w:r>
          </w:p>
          <w:p w14:paraId="531AB0B1" w14:textId="77777777" w:rsidR="00746D3C" w:rsidRPr="00FF0513" w:rsidRDefault="00746D3C" w:rsidP="007B3372">
            <w:pPr>
              <w:jc w:val="both"/>
              <w:rPr>
                <w:rFonts w:eastAsia="Aptos"/>
                <w:i/>
                <w:iCs/>
              </w:rPr>
            </w:pPr>
            <w:r w:rsidRPr="00FF0513">
              <w:rPr>
                <w:rFonts w:eastAsia="Aptos"/>
                <w:i/>
                <w:iCs/>
              </w:rPr>
              <w:t>(2) Ak z podkladov získaných pri výkone správy daní alebo na základe výsledkov ...</w:t>
            </w:r>
          </w:p>
          <w:p w14:paraId="41F94679" w14:textId="77777777" w:rsidR="00746D3C" w:rsidRPr="00FF0513" w:rsidRDefault="00746D3C" w:rsidP="007B3372">
            <w:pPr>
              <w:jc w:val="both"/>
              <w:rPr>
                <w:rFonts w:eastAsia="Aptos"/>
              </w:rPr>
            </w:pPr>
            <w:r w:rsidRPr="00FF0513">
              <w:rPr>
                <w:rFonts w:eastAsia="Aptos"/>
              </w:rPr>
              <w:t xml:space="preserve">- </w:t>
            </w:r>
            <w:r>
              <w:rPr>
                <w:rFonts w:eastAsia="Aptos"/>
              </w:rPr>
              <w:t>n</w:t>
            </w:r>
            <w:r w:rsidRPr="00FF0513">
              <w:rPr>
                <w:rFonts w:eastAsia="Aptos"/>
              </w:rPr>
              <w:t>ová SBL výzvy na určenie spoločného zástupcu</w:t>
            </w:r>
            <w:r>
              <w:rPr>
                <w:rFonts w:eastAsia="Aptos"/>
              </w:rPr>
              <w:t>,</w:t>
            </w:r>
          </w:p>
          <w:p w14:paraId="13117770" w14:textId="77777777" w:rsidR="00746D3C" w:rsidRPr="00FF0513" w:rsidRDefault="00746D3C" w:rsidP="007B3372">
            <w:pPr>
              <w:jc w:val="both"/>
              <w:rPr>
                <w:rFonts w:eastAsia="Aptos"/>
              </w:rPr>
            </w:pPr>
            <w:r w:rsidRPr="00FF0513">
              <w:rPr>
                <w:rFonts w:eastAsia="Aptos"/>
              </w:rPr>
              <w:t xml:space="preserve">- </w:t>
            </w:r>
            <w:r>
              <w:rPr>
                <w:rFonts w:eastAsia="Aptos"/>
              </w:rPr>
              <w:t>n</w:t>
            </w:r>
            <w:r w:rsidRPr="00FF0513">
              <w:rPr>
                <w:rFonts w:eastAsia="Aptos"/>
              </w:rPr>
              <w:t>ová SBL rozhodnutia o určení spoločného zástupcu</w:t>
            </w:r>
            <w:r>
              <w:rPr>
                <w:rFonts w:eastAsia="Aptos"/>
              </w:rPr>
              <w:t>,</w:t>
            </w:r>
          </w:p>
          <w:p w14:paraId="201FB13F" w14:textId="77777777" w:rsidR="00746D3C" w:rsidRPr="00FF0513" w:rsidRDefault="00746D3C" w:rsidP="007B3372">
            <w:pPr>
              <w:jc w:val="both"/>
              <w:rPr>
                <w:rFonts w:eastAsia="Aptos"/>
              </w:rPr>
            </w:pPr>
            <w:r w:rsidRPr="00FF0513">
              <w:rPr>
                <w:rFonts w:eastAsia="Aptos"/>
              </w:rPr>
              <w:t xml:space="preserve">- </w:t>
            </w:r>
            <w:r>
              <w:rPr>
                <w:rFonts w:eastAsia="Aptos"/>
              </w:rPr>
              <w:t>n</w:t>
            </w:r>
            <w:r w:rsidRPr="00FF0513">
              <w:rPr>
                <w:rFonts w:eastAsia="Aptos"/>
              </w:rPr>
              <w:t xml:space="preserve">ové SBL (výzva aj rozhodnutie) sa bude zasielať všetkým </w:t>
            </w:r>
            <w:r>
              <w:rPr>
                <w:rFonts w:eastAsia="Aptos"/>
              </w:rPr>
              <w:t>predpokladaným</w:t>
            </w:r>
            <w:r w:rsidRPr="00FF0513">
              <w:rPr>
                <w:rFonts w:eastAsia="Aptos"/>
              </w:rPr>
              <w:t xml:space="preserve"> členom skupiny, uvedené je potrebné zohľadniť pri nastav</w:t>
            </w:r>
            <w:r>
              <w:rPr>
                <w:rFonts w:eastAsia="Aptos"/>
              </w:rPr>
              <w:t>ova</w:t>
            </w:r>
            <w:r w:rsidRPr="00FF0513">
              <w:rPr>
                <w:rFonts w:eastAsia="Aptos"/>
              </w:rPr>
              <w:t>ní procesu vydávania dokumentov</w:t>
            </w:r>
            <w:r>
              <w:rPr>
                <w:rFonts w:eastAsia="Aptos"/>
              </w:rPr>
              <w:t>,</w:t>
            </w:r>
          </w:p>
          <w:p w14:paraId="7ADF8225" w14:textId="77777777" w:rsidR="00746D3C" w:rsidRPr="00FF0513" w:rsidRDefault="00746D3C" w:rsidP="007B3372">
            <w:pPr>
              <w:jc w:val="both"/>
              <w:rPr>
                <w:rFonts w:eastAsia="Aptos"/>
              </w:rPr>
            </w:pPr>
            <w:r w:rsidRPr="00FF0513">
              <w:rPr>
                <w:rFonts w:eastAsia="Aptos"/>
              </w:rPr>
              <w:t>- prístupy pre DÚ BB potrebné pre predregistračný a registračný proces</w:t>
            </w:r>
            <w:r>
              <w:rPr>
                <w:rFonts w:eastAsia="Aptos"/>
              </w:rPr>
              <w:t>,</w:t>
            </w:r>
          </w:p>
          <w:p w14:paraId="6B90B17C" w14:textId="77777777" w:rsidR="00746D3C" w:rsidRPr="00FF0513" w:rsidRDefault="00746D3C" w:rsidP="007B3372">
            <w:pPr>
              <w:jc w:val="both"/>
              <w:rPr>
                <w:rFonts w:eastAsia="Aptos"/>
              </w:rPr>
            </w:pPr>
            <w:r w:rsidRPr="00FF0513">
              <w:rPr>
                <w:rFonts w:eastAsia="Aptos"/>
              </w:rPr>
              <w:t>- potreba úpravy inf</w:t>
            </w:r>
            <w:r>
              <w:rPr>
                <w:rFonts w:eastAsia="Aptos"/>
              </w:rPr>
              <w:t xml:space="preserve">ormačného </w:t>
            </w:r>
            <w:r w:rsidRPr="00FF0513">
              <w:rPr>
                <w:rFonts w:eastAsia="Aptos"/>
              </w:rPr>
              <w:t>systému z</w:t>
            </w:r>
            <w:r>
              <w:rPr>
                <w:rFonts w:eastAsia="Aptos"/>
              </w:rPr>
              <w:t> </w:t>
            </w:r>
            <w:r w:rsidRPr="00FF0513">
              <w:rPr>
                <w:rFonts w:eastAsia="Aptos"/>
              </w:rPr>
              <w:t>dôvodu</w:t>
            </w:r>
            <w:r>
              <w:rPr>
                <w:rFonts w:eastAsia="Aptos"/>
              </w:rPr>
              <w:t>,</w:t>
            </w:r>
            <w:r w:rsidRPr="00FF0513">
              <w:rPr>
                <w:rFonts w:eastAsia="Aptos"/>
              </w:rPr>
              <w:t xml:space="preserve"> že DÚ BB bude konať aj s osobami, ktoré nie sú v jeho miestnej príslušnosti, t.</w:t>
            </w:r>
            <w:r>
              <w:rPr>
                <w:rFonts w:eastAsia="Aptos"/>
              </w:rPr>
              <w:t xml:space="preserve"> </w:t>
            </w:r>
            <w:r w:rsidRPr="00FF0513">
              <w:rPr>
                <w:rFonts w:eastAsia="Aptos"/>
              </w:rPr>
              <w:t>j. pre konanie vo veci ex-offo registrácie skupiny je potrebné zapracovať  úpravy v  RPA (riadenie prideľovania agendy) a vo funkčnosti určovania miestnej príslušnosti</w:t>
            </w:r>
            <w:r>
              <w:rPr>
                <w:rFonts w:eastAsia="Aptos"/>
              </w:rPr>
              <w:t>,</w:t>
            </w:r>
          </w:p>
          <w:p w14:paraId="28F5DF8E" w14:textId="77777777" w:rsidR="00746D3C" w:rsidRPr="00FF0513" w:rsidRDefault="00746D3C" w:rsidP="007B3372">
            <w:pPr>
              <w:jc w:val="both"/>
              <w:rPr>
                <w:rFonts w:eastAsia="Aptos"/>
              </w:rPr>
            </w:pPr>
            <w:r w:rsidRPr="00FF0513">
              <w:rPr>
                <w:rFonts w:eastAsia="Aptos"/>
              </w:rPr>
              <w:t>- zapracovanie kontroly v ISFS-SD v prípade začatia konania o registrácii skupiny z úradnej moci na podanú žiadosť o registráciu podľa § 4b</w:t>
            </w:r>
            <w:r>
              <w:rPr>
                <w:rFonts w:eastAsia="Aptos"/>
              </w:rPr>
              <w:t>,</w:t>
            </w:r>
          </w:p>
          <w:p w14:paraId="7B8E07A6" w14:textId="77777777" w:rsidR="00746D3C" w:rsidRPr="00FF0513" w:rsidRDefault="00746D3C" w:rsidP="007B3372">
            <w:pPr>
              <w:jc w:val="both"/>
              <w:rPr>
                <w:rFonts w:eastAsia="Aptos"/>
              </w:rPr>
            </w:pPr>
            <w:r w:rsidRPr="00FF0513">
              <w:rPr>
                <w:rFonts w:eastAsia="Aptos"/>
              </w:rPr>
              <w:t>- zapracovanie procesov v súvislosti s opravnými prostriedkami</w:t>
            </w:r>
            <w:r>
              <w:rPr>
                <w:rFonts w:eastAsia="Aptos"/>
              </w:rPr>
              <w:t>.</w:t>
            </w:r>
          </w:p>
          <w:p w14:paraId="12C86CEF" w14:textId="77777777" w:rsidR="00746D3C" w:rsidRPr="00FF0513" w:rsidRDefault="00746D3C" w:rsidP="007B3372">
            <w:pPr>
              <w:jc w:val="both"/>
              <w:rPr>
                <w:rFonts w:eastAsia="Aptos"/>
              </w:rPr>
            </w:pPr>
          </w:p>
          <w:p w14:paraId="2E07C998" w14:textId="77777777" w:rsidR="00746D3C" w:rsidRPr="00FF0513" w:rsidRDefault="00746D3C" w:rsidP="007B3372">
            <w:pPr>
              <w:jc w:val="both"/>
              <w:rPr>
                <w:rFonts w:eastAsia="Aptos"/>
                <w:i/>
                <w:iCs/>
              </w:rPr>
            </w:pPr>
            <w:r w:rsidRPr="00FF0513">
              <w:rPr>
                <w:rFonts w:eastAsia="Aptos"/>
                <w:i/>
                <w:iCs/>
              </w:rPr>
              <w:t xml:space="preserve">(3) Daňový úrad Banská Bystrica vyzve spoločného zástupcu podľa odseku 2, aby sa k dôvodom na registráciu skupiny z úradnej moci v určenej lehote, ktorá nesmie byť kratšia ako 15 dní, vyjadril. </w:t>
            </w:r>
          </w:p>
          <w:p w14:paraId="7BCD8B9B" w14:textId="77777777" w:rsidR="00746D3C" w:rsidRPr="00FF0513" w:rsidRDefault="00746D3C" w:rsidP="007B3372">
            <w:pPr>
              <w:jc w:val="both"/>
              <w:rPr>
                <w:rFonts w:eastAsia="Aptos"/>
              </w:rPr>
            </w:pPr>
            <w:r w:rsidRPr="00FF0513">
              <w:rPr>
                <w:rFonts w:eastAsia="Aptos"/>
              </w:rPr>
              <w:t xml:space="preserve">- nová SBL výzvy na vyjadrenie spoločného zástupcu k dôvodom reg. </w:t>
            </w:r>
            <w:r>
              <w:rPr>
                <w:rFonts w:eastAsia="Aptos"/>
              </w:rPr>
              <w:t>s</w:t>
            </w:r>
            <w:r w:rsidRPr="00FF0513">
              <w:rPr>
                <w:rFonts w:eastAsia="Aptos"/>
              </w:rPr>
              <w:t>kupiny</w:t>
            </w:r>
            <w:r>
              <w:rPr>
                <w:rFonts w:eastAsia="Aptos"/>
              </w:rPr>
              <w:t>,</w:t>
            </w:r>
          </w:p>
          <w:p w14:paraId="1771ACC7" w14:textId="77777777" w:rsidR="00746D3C" w:rsidRPr="00FF0513" w:rsidRDefault="00746D3C" w:rsidP="007B3372">
            <w:pPr>
              <w:jc w:val="both"/>
              <w:rPr>
                <w:rFonts w:eastAsia="Aptos"/>
              </w:rPr>
            </w:pPr>
            <w:r w:rsidRPr="00FF0513">
              <w:rPr>
                <w:rFonts w:eastAsia="Aptos"/>
              </w:rPr>
              <w:t>- potreba úpravy inf</w:t>
            </w:r>
            <w:r>
              <w:rPr>
                <w:rFonts w:eastAsia="Aptos"/>
              </w:rPr>
              <w:t xml:space="preserve">ormačného </w:t>
            </w:r>
            <w:r w:rsidRPr="00FF0513">
              <w:rPr>
                <w:rFonts w:eastAsia="Aptos"/>
              </w:rPr>
              <w:t>systému z</w:t>
            </w:r>
            <w:r>
              <w:rPr>
                <w:rFonts w:eastAsia="Aptos"/>
              </w:rPr>
              <w:t> </w:t>
            </w:r>
            <w:r w:rsidRPr="00FF0513">
              <w:rPr>
                <w:rFonts w:eastAsia="Aptos"/>
              </w:rPr>
              <w:t>dôvodu</w:t>
            </w:r>
            <w:r>
              <w:rPr>
                <w:rFonts w:eastAsia="Aptos"/>
              </w:rPr>
              <w:t>,</w:t>
            </w:r>
            <w:r w:rsidRPr="00FF0513">
              <w:rPr>
                <w:rFonts w:eastAsia="Aptos"/>
              </w:rPr>
              <w:t xml:space="preserve"> že DÚ BB bude konať s osobou, ktorá nemusí byť v jeho miestnej príslušnosti, t</w:t>
            </w:r>
            <w:r>
              <w:rPr>
                <w:rFonts w:eastAsia="Aptos"/>
              </w:rPr>
              <w:t xml:space="preserve"> </w:t>
            </w:r>
            <w:r w:rsidRPr="00FF0513">
              <w:rPr>
                <w:rFonts w:eastAsia="Aptos"/>
              </w:rPr>
              <w:t>.j. pre konanie vo veci ex-offo registrácie skupiny je potrebné zapracovať  úpravy v  RPA (riadenie prideľovania agendy) a vo funkčnosti určovania miestnej príslušnosti.</w:t>
            </w:r>
          </w:p>
          <w:p w14:paraId="7EFDFE52" w14:textId="77777777" w:rsidR="00746D3C" w:rsidRPr="00FF0513" w:rsidRDefault="00746D3C" w:rsidP="007B3372">
            <w:pPr>
              <w:jc w:val="both"/>
              <w:rPr>
                <w:rFonts w:eastAsia="Aptos"/>
              </w:rPr>
            </w:pPr>
          </w:p>
          <w:p w14:paraId="71127A2F" w14:textId="77777777" w:rsidR="00746D3C" w:rsidRPr="00FF0513" w:rsidRDefault="00746D3C" w:rsidP="007B3372">
            <w:pPr>
              <w:jc w:val="both"/>
              <w:rPr>
                <w:rFonts w:eastAsia="Aptos"/>
                <w:i/>
                <w:iCs/>
              </w:rPr>
            </w:pPr>
            <w:r w:rsidRPr="00FF0513">
              <w:rPr>
                <w:rFonts w:eastAsia="Aptos"/>
                <w:i/>
                <w:iCs/>
              </w:rPr>
              <w:t>(4) Ak na základe vyjadrenia podľa odseku 3 nedôjde k vyvráteniu dôvodov na registráciu skupiny ...</w:t>
            </w:r>
          </w:p>
          <w:p w14:paraId="6CE65A94" w14:textId="77777777" w:rsidR="00746D3C" w:rsidRPr="00FF0513" w:rsidRDefault="00746D3C" w:rsidP="007B3372">
            <w:pPr>
              <w:jc w:val="both"/>
              <w:rPr>
                <w:rFonts w:eastAsia="Aptos"/>
              </w:rPr>
            </w:pPr>
            <w:r w:rsidRPr="00FF0513">
              <w:rPr>
                <w:rFonts w:eastAsia="Aptos"/>
              </w:rPr>
              <w:t>- nastavenie registračného procesu pre registráciu skupiny DPH z úradnej moci</w:t>
            </w:r>
            <w:r>
              <w:rPr>
                <w:rFonts w:eastAsia="Aptos"/>
              </w:rPr>
              <w:t>,</w:t>
            </w:r>
          </w:p>
          <w:p w14:paraId="5C2DC332" w14:textId="77777777" w:rsidR="00746D3C" w:rsidRPr="00FF0513" w:rsidRDefault="00746D3C" w:rsidP="007B3372">
            <w:pPr>
              <w:jc w:val="both"/>
              <w:rPr>
                <w:rFonts w:eastAsia="Aptos"/>
              </w:rPr>
            </w:pPr>
            <w:r w:rsidRPr="00FF0513">
              <w:rPr>
                <w:rFonts w:eastAsia="Aptos"/>
              </w:rPr>
              <w:t>- zavedenie nového ustanovenia pre registráciu skupiny DPH z úradnej moci</w:t>
            </w:r>
            <w:r>
              <w:rPr>
                <w:rFonts w:eastAsia="Aptos"/>
              </w:rPr>
              <w:t>,</w:t>
            </w:r>
          </w:p>
          <w:p w14:paraId="62A63080" w14:textId="77777777" w:rsidR="00746D3C" w:rsidRPr="00FF0513" w:rsidRDefault="00746D3C" w:rsidP="007B3372">
            <w:pPr>
              <w:jc w:val="both"/>
              <w:rPr>
                <w:rFonts w:eastAsia="Aptos"/>
              </w:rPr>
            </w:pPr>
            <w:r w:rsidRPr="00FF0513">
              <w:rPr>
                <w:rFonts w:eastAsia="Aptos"/>
              </w:rPr>
              <w:t>- nová SBL – rozhodnutie o registrácii skupiny z úradnej moci</w:t>
            </w:r>
            <w:r>
              <w:rPr>
                <w:rFonts w:eastAsia="Aptos"/>
              </w:rPr>
              <w:t>,</w:t>
            </w:r>
            <w:r w:rsidRPr="00FF0513">
              <w:rPr>
                <w:rFonts w:eastAsia="Aptos"/>
              </w:rPr>
              <w:t xml:space="preserve"> </w:t>
            </w:r>
          </w:p>
          <w:p w14:paraId="1C9F8873" w14:textId="77777777" w:rsidR="00746D3C" w:rsidRPr="00FF0513" w:rsidRDefault="00746D3C" w:rsidP="007B3372">
            <w:pPr>
              <w:jc w:val="both"/>
              <w:rPr>
                <w:rFonts w:eastAsia="Aptos"/>
              </w:rPr>
            </w:pPr>
            <w:r w:rsidRPr="00FF0513">
              <w:rPr>
                <w:rFonts w:eastAsia="Aptos"/>
              </w:rPr>
              <w:t>-</w:t>
            </w:r>
            <w:r>
              <w:rPr>
                <w:rFonts w:eastAsia="Aptos"/>
              </w:rPr>
              <w:t> </w:t>
            </w:r>
            <w:r w:rsidRPr="00FF0513">
              <w:rPr>
                <w:rFonts w:eastAsia="Aptos"/>
              </w:rPr>
              <w:t>nová SBL – oznámenie k nezaregistrovaní skupiny z dôvodu vyvrátenia dôvodov na</w:t>
            </w:r>
            <w:r>
              <w:rPr>
                <w:rFonts w:eastAsia="Aptos"/>
              </w:rPr>
              <w:t> </w:t>
            </w:r>
            <w:r w:rsidRPr="00FF0513">
              <w:rPr>
                <w:rFonts w:eastAsia="Aptos"/>
              </w:rPr>
              <w:t>registráciu skupiny z úradnej moci</w:t>
            </w:r>
            <w:r>
              <w:rPr>
                <w:rFonts w:eastAsia="Aptos"/>
              </w:rPr>
              <w:t>,</w:t>
            </w:r>
          </w:p>
          <w:p w14:paraId="2F427779" w14:textId="77777777" w:rsidR="00746D3C" w:rsidRPr="00FF0513" w:rsidRDefault="00746D3C" w:rsidP="007B3372">
            <w:pPr>
              <w:jc w:val="both"/>
              <w:rPr>
                <w:rFonts w:eastAsia="Aptos"/>
              </w:rPr>
            </w:pPr>
            <w:r w:rsidRPr="00FF0513">
              <w:rPr>
                <w:rFonts w:eastAsia="Aptos"/>
              </w:rPr>
              <w:t>- nové SBL (rozhodnutie aj oznámenie) sa bude zasielať všetkým domnelým/reálnym členom skupiny, uvedené je potrebné zohľadniť pri nastav</w:t>
            </w:r>
            <w:r>
              <w:rPr>
                <w:rFonts w:eastAsia="Aptos"/>
              </w:rPr>
              <w:t>ova</w:t>
            </w:r>
            <w:r w:rsidRPr="00FF0513">
              <w:rPr>
                <w:rFonts w:eastAsia="Aptos"/>
              </w:rPr>
              <w:t>ní procesu vydávania dokumentov</w:t>
            </w:r>
          </w:p>
          <w:p w14:paraId="23EE32AD" w14:textId="77777777" w:rsidR="00746D3C" w:rsidRPr="00FF0513" w:rsidRDefault="00746D3C" w:rsidP="007B3372">
            <w:pPr>
              <w:jc w:val="both"/>
              <w:rPr>
                <w:rFonts w:eastAsia="Aptos"/>
              </w:rPr>
            </w:pPr>
            <w:r w:rsidRPr="00FF0513">
              <w:rPr>
                <w:rFonts w:eastAsia="Aptos"/>
              </w:rPr>
              <w:t>- prístupy pre DÚ BB potrebné pre registračný proces</w:t>
            </w:r>
            <w:r>
              <w:rPr>
                <w:rFonts w:eastAsia="Aptos"/>
              </w:rPr>
              <w:t>,</w:t>
            </w:r>
          </w:p>
          <w:p w14:paraId="041AE8E6" w14:textId="77777777" w:rsidR="00746D3C" w:rsidRPr="00FF0513" w:rsidRDefault="00746D3C" w:rsidP="007B3372">
            <w:pPr>
              <w:jc w:val="both"/>
              <w:rPr>
                <w:rFonts w:eastAsia="Aptos"/>
              </w:rPr>
            </w:pPr>
            <w:r w:rsidRPr="00FF0513">
              <w:rPr>
                <w:rFonts w:eastAsia="Aptos"/>
              </w:rPr>
              <w:t>- potreba úpravy inf</w:t>
            </w:r>
            <w:r>
              <w:rPr>
                <w:rFonts w:eastAsia="Aptos"/>
              </w:rPr>
              <w:t xml:space="preserve">ormačného </w:t>
            </w:r>
            <w:r w:rsidRPr="00FF0513">
              <w:rPr>
                <w:rFonts w:eastAsia="Aptos"/>
              </w:rPr>
              <w:t>systému z dôvodu že DÚ BB bude konať aj s osobami, ktoré nie sú v jeho miestnej príslušnosti, t.</w:t>
            </w:r>
            <w:r>
              <w:rPr>
                <w:rFonts w:eastAsia="Aptos"/>
              </w:rPr>
              <w:t xml:space="preserve"> </w:t>
            </w:r>
            <w:r w:rsidRPr="00FF0513">
              <w:rPr>
                <w:rFonts w:eastAsia="Aptos"/>
              </w:rPr>
              <w:t>j. pre konanie vo veci ex-offo registrácie skupiny je potrebné zapracovať  úpravy v  RPA (riadenie prideľovania agendy) a vo funkčnosti určovania miestnej príslušnosti</w:t>
            </w:r>
            <w:r>
              <w:rPr>
                <w:rFonts w:eastAsia="Aptos"/>
              </w:rPr>
              <w:t>,</w:t>
            </w:r>
          </w:p>
          <w:p w14:paraId="17656F10" w14:textId="77777777" w:rsidR="00746D3C" w:rsidRPr="00FF0513" w:rsidRDefault="00746D3C" w:rsidP="007B3372">
            <w:pPr>
              <w:jc w:val="both"/>
              <w:rPr>
                <w:rFonts w:eastAsia="Aptos"/>
              </w:rPr>
            </w:pPr>
            <w:r w:rsidRPr="00FF0513">
              <w:rPr>
                <w:rFonts w:eastAsia="Aptos"/>
              </w:rPr>
              <w:lastRenderedPageBreak/>
              <w:t>- zapracovanie procesov v súvislosti s opravnými prostriedkami</w:t>
            </w:r>
            <w:r>
              <w:rPr>
                <w:rFonts w:eastAsia="Aptos"/>
              </w:rPr>
              <w:t>.</w:t>
            </w:r>
          </w:p>
          <w:p w14:paraId="2962726F" w14:textId="77777777" w:rsidR="00746D3C" w:rsidRPr="00FF0513" w:rsidRDefault="00746D3C" w:rsidP="007B3372">
            <w:pPr>
              <w:jc w:val="both"/>
              <w:rPr>
                <w:rFonts w:eastAsia="Aptos"/>
              </w:rPr>
            </w:pPr>
          </w:p>
          <w:p w14:paraId="40CCD9F3" w14:textId="77777777" w:rsidR="00746D3C" w:rsidRPr="00FF0513" w:rsidRDefault="00746D3C" w:rsidP="007B3372">
            <w:pPr>
              <w:jc w:val="both"/>
              <w:rPr>
                <w:rFonts w:eastAsia="Aptos"/>
                <w:i/>
                <w:iCs/>
              </w:rPr>
            </w:pPr>
            <w:r w:rsidRPr="00FF0513">
              <w:rPr>
                <w:rFonts w:eastAsia="Aptos"/>
                <w:i/>
                <w:iCs/>
              </w:rPr>
              <w:t>(5) Skupina podľa odseku 4 sa stáva platiteľom dňom nasledujúcim po dni ...</w:t>
            </w:r>
          </w:p>
          <w:p w14:paraId="0DD22003" w14:textId="77777777" w:rsidR="00746D3C" w:rsidRPr="00FF0513" w:rsidRDefault="00746D3C" w:rsidP="007B3372">
            <w:pPr>
              <w:jc w:val="both"/>
              <w:rPr>
                <w:rFonts w:eastAsia="Aptos"/>
              </w:rPr>
            </w:pPr>
            <w:r w:rsidRPr="00FF0513">
              <w:rPr>
                <w:rFonts w:eastAsia="Aptos"/>
              </w:rPr>
              <w:t xml:space="preserve">- </w:t>
            </w:r>
            <w:r>
              <w:rPr>
                <w:rFonts w:eastAsia="Aptos"/>
              </w:rPr>
              <w:t>vplyv</w:t>
            </w:r>
            <w:r w:rsidRPr="00FF0513">
              <w:rPr>
                <w:rFonts w:eastAsia="Aptos"/>
              </w:rPr>
              <w:t xml:space="preserve"> na zmeny ISFS-SD – v súvislosti s registráciou skupiny z úradnej moci podľa  § 4c</w:t>
            </w:r>
            <w:r>
              <w:rPr>
                <w:rFonts w:eastAsia="Aptos"/>
              </w:rPr>
              <w:t>,</w:t>
            </w:r>
            <w:r w:rsidRPr="00FF0513">
              <w:rPr>
                <w:rFonts w:eastAsia="Aptos"/>
              </w:rPr>
              <w:t xml:space="preserve"> </w:t>
            </w:r>
            <w:r>
              <w:rPr>
                <w:rFonts w:eastAsia="Aptos"/>
              </w:rPr>
              <w:t xml:space="preserve">- </w:t>
            </w:r>
            <w:r w:rsidRPr="00FF0513">
              <w:rPr>
                <w:rFonts w:eastAsia="Aptos"/>
              </w:rPr>
              <w:t>ukončenie dôvodu evidencie DPH členom skupiny DPH, ak boli platiteľmi DPH pred registráciou skupiny DPH z úradnej moci, zavedenie nového typu ukončenia registrácie (§</w:t>
            </w:r>
            <w:r>
              <w:rPr>
                <w:rFonts w:eastAsia="Aptos"/>
              </w:rPr>
              <w:t> </w:t>
            </w:r>
            <w:r w:rsidRPr="00FF0513">
              <w:rPr>
                <w:rFonts w:eastAsia="Aptos"/>
              </w:rPr>
              <w:t>4c), zavedenie dôvodu evidencie Skupina DPH s novým ustanovením registrácie</w:t>
            </w:r>
            <w:r>
              <w:rPr>
                <w:rFonts w:eastAsia="Aptos"/>
              </w:rPr>
              <w:t>,</w:t>
            </w:r>
          </w:p>
          <w:p w14:paraId="5122D9AC" w14:textId="77777777" w:rsidR="00746D3C" w:rsidRPr="00FF0513" w:rsidRDefault="00746D3C" w:rsidP="007B3372">
            <w:pPr>
              <w:jc w:val="both"/>
              <w:rPr>
                <w:rFonts w:eastAsia="Aptos"/>
              </w:rPr>
            </w:pPr>
            <w:r w:rsidRPr="00FF0513">
              <w:rPr>
                <w:rFonts w:eastAsia="Aptos"/>
              </w:rPr>
              <w:t>- zapracovanie úpravy v ISFS-SD v súvislosti so zverejňovaným zoznamom podľa § 52 daňového poriadku</w:t>
            </w:r>
            <w:r>
              <w:rPr>
                <w:rFonts w:eastAsia="Aptos"/>
              </w:rPr>
              <w:t>,</w:t>
            </w:r>
          </w:p>
          <w:p w14:paraId="4105795F" w14:textId="77777777" w:rsidR="00746D3C" w:rsidRPr="00FF0513" w:rsidRDefault="00746D3C" w:rsidP="007B3372">
            <w:pPr>
              <w:jc w:val="both"/>
              <w:rPr>
                <w:rFonts w:eastAsia="Aptos"/>
              </w:rPr>
            </w:pPr>
            <w:r w:rsidRPr="00FF0513">
              <w:rPr>
                <w:rFonts w:eastAsia="Aptos"/>
              </w:rPr>
              <w:t xml:space="preserve">- PFS - </w:t>
            </w:r>
            <w:r>
              <w:rPr>
                <w:rFonts w:eastAsia="Aptos"/>
              </w:rPr>
              <w:t>vplyv</w:t>
            </w:r>
            <w:r w:rsidRPr="00FF0513">
              <w:rPr>
                <w:rFonts w:eastAsia="Aptos"/>
              </w:rPr>
              <w:t xml:space="preserve"> na zapracovanie nového druhu registrácie v zverejňovanom zozname DS registrovaných pre DPH</w:t>
            </w:r>
            <w:r>
              <w:rPr>
                <w:rFonts w:eastAsia="Aptos"/>
              </w:rPr>
              <w:t>.</w:t>
            </w:r>
          </w:p>
          <w:p w14:paraId="0A0DFBD8" w14:textId="77777777" w:rsidR="00746D3C" w:rsidRPr="00FF0513" w:rsidRDefault="00746D3C" w:rsidP="007B3372">
            <w:pPr>
              <w:jc w:val="both"/>
              <w:rPr>
                <w:rFonts w:eastAsia="Aptos"/>
                <w:b/>
              </w:rPr>
            </w:pPr>
          </w:p>
          <w:p w14:paraId="55834823" w14:textId="77777777" w:rsidR="00746D3C" w:rsidRPr="00FF0513" w:rsidRDefault="00746D3C" w:rsidP="007B3372">
            <w:pPr>
              <w:jc w:val="both"/>
              <w:rPr>
                <w:bCs/>
              </w:rPr>
            </w:pPr>
            <w:r w:rsidRPr="00FF0513">
              <w:rPr>
                <w:rFonts w:eastAsia="Aptos"/>
                <w:bCs/>
              </w:rPr>
              <w:t>Vyjadrenie OVSD:</w:t>
            </w:r>
            <w:r w:rsidRPr="00FF0513">
              <w:rPr>
                <w:bCs/>
              </w:rPr>
              <w:t xml:space="preserve"> </w:t>
            </w:r>
          </w:p>
          <w:p w14:paraId="2873492C" w14:textId="77777777" w:rsidR="00746D3C" w:rsidRPr="00FF0513" w:rsidRDefault="00746D3C" w:rsidP="007B3372">
            <w:pPr>
              <w:jc w:val="both"/>
            </w:pPr>
            <w:r w:rsidRPr="00FF0513">
              <w:t xml:space="preserve">Uvedené má </w:t>
            </w:r>
            <w:r>
              <w:t>vplyv</w:t>
            </w:r>
            <w:r w:rsidRPr="00FF0513">
              <w:t xml:space="preserve"> na ISFS-SD:</w:t>
            </w:r>
          </w:p>
          <w:p w14:paraId="69CAEA62" w14:textId="77777777" w:rsidR="00746D3C" w:rsidRPr="00FF0513" w:rsidRDefault="00746D3C" w:rsidP="007B3372">
            <w:pPr>
              <w:jc w:val="both"/>
            </w:pPr>
            <w:r w:rsidRPr="00FF0513">
              <w:t>Spracovanie a  podávanie daňových priznaní DPH pri vzniku - člen skupiny, skupina DPH, pravidlá spoločné - obdobie zániku aj vzniku, kontroly, väzby člen – skupina DPH, hlášky, preúčtovanie, vykazovanie nedoplatkov</w:t>
            </w:r>
            <w:r>
              <w:t>.</w:t>
            </w:r>
          </w:p>
          <w:p w14:paraId="288EA3CB" w14:textId="77777777" w:rsidR="00746D3C" w:rsidRPr="00FF0513" w:rsidRDefault="00746D3C" w:rsidP="007B3372">
            <w:pPr>
              <w:jc w:val="both"/>
            </w:pPr>
            <w:r w:rsidRPr="00FF0513">
              <w:t>Predpokladáme nové ustanovenie v ISFS-SD – toto bude mať</w:t>
            </w:r>
            <w:r>
              <w:t xml:space="preserve"> vplyv </w:t>
            </w:r>
            <w:r w:rsidRPr="00FF0513">
              <w:t>na nastavenie hromadného behu na výzvy na podanie DP DPH v ISFS-SD – pridanie nového ustanovenia do behu</w:t>
            </w:r>
            <w:r>
              <w:t>.</w:t>
            </w:r>
          </w:p>
          <w:p w14:paraId="032E75B2" w14:textId="77777777" w:rsidR="00746D3C" w:rsidRPr="00FF0513" w:rsidRDefault="00746D3C" w:rsidP="007B3372">
            <w:pPr>
              <w:jc w:val="both"/>
              <w:rPr>
                <w:rFonts w:eastAsia="Aptos"/>
              </w:rPr>
            </w:pPr>
          </w:p>
          <w:p w14:paraId="2865E410" w14:textId="77777777" w:rsidR="00746D3C" w:rsidRPr="00FF0513" w:rsidRDefault="00746D3C" w:rsidP="007B3372">
            <w:pPr>
              <w:jc w:val="both"/>
              <w:rPr>
                <w:rFonts w:eastAsia="Aptos"/>
                <w:i/>
                <w:iCs/>
              </w:rPr>
            </w:pPr>
            <w:r w:rsidRPr="00FF0513">
              <w:rPr>
                <w:rFonts w:eastAsia="Aptos"/>
                <w:i/>
                <w:iCs/>
              </w:rPr>
              <w:t>(6) Pre skupinu je príslušný daňový úrad, ktorý je príslušný pre zástupcu skupiny.</w:t>
            </w:r>
          </w:p>
          <w:p w14:paraId="67EB0EB5" w14:textId="77777777" w:rsidR="00746D3C" w:rsidRPr="00FF0513" w:rsidRDefault="00746D3C" w:rsidP="007B3372">
            <w:pPr>
              <w:jc w:val="both"/>
              <w:rPr>
                <w:rFonts w:eastAsia="Aptos"/>
              </w:rPr>
            </w:pPr>
            <w:r w:rsidRPr="00FF0513">
              <w:rPr>
                <w:rFonts w:eastAsia="Aptos"/>
              </w:rPr>
              <w:t>- v systéme bude potrebné zabezpečiť, že ex-offo registrácia (zápis príslušného dôvodu evidencie), ktorú vykoná DÚ BB, bude resp. môže byť vedená pre iný daňový úrad (miestne príslušný zástupcovi skupiny);</w:t>
            </w:r>
          </w:p>
          <w:p w14:paraId="3FA01EE1" w14:textId="77777777" w:rsidR="00746D3C" w:rsidRPr="00FF0513" w:rsidRDefault="00746D3C" w:rsidP="007B3372">
            <w:pPr>
              <w:jc w:val="both"/>
              <w:rPr>
                <w:rFonts w:eastAsia="Aptos"/>
              </w:rPr>
            </w:pPr>
            <w:r w:rsidRPr="00FF0513">
              <w:rPr>
                <w:rFonts w:eastAsia="Aptos"/>
              </w:rPr>
              <w:t>- miestne príslušnému DÚ by mala prísť notifikácia alebo upozornenie, že sa stal správcom dane pre skupinu DPH zaregistrovanú ex-offo</w:t>
            </w:r>
            <w:r>
              <w:rPr>
                <w:rFonts w:eastAsia="Aptos"/>
              </w:rPr>
              <w:t>.</w:t>
            </w:r>
          </w:p>
          <w:p w14:paraId="7CCD7181" w14:textId="77777777" w:rsidR="00746D3C" w:rsidRPr="00FF0513" w:rsidRDefault="00746D3C" w:rsidP="007B3372">
            <w:pPr>
              <w:jc w:val="both"/>
              <w:rPr>
                <w:rFonts w:eastAsia="Aptos"/>
              </w:rPr>
            </w:pPr>
          </w:p>
          <w:p w14:paraId="708864E9" w14:textId="77777777" w:rsidR="00746D3C" w:rsidRPr="00FF0513" w:rsidRDefault="00746D3C" w:rsidP="007B3372">
            <w:pPr>
              <w:jc w:val="both"/>
              <w:rPr>
                <w:rFonts w:eastAsia="Aptos"/>
                <w:i/>
                <w:iCs/>
              </w:rPr>
            </w:pPr>
            <w:r w:rsidRPr="00FF0513">
              <w:rPr>
                <w:rFonts w:eastAsia="Aptos"/>
                <w:i/>
                <w:iCs/>
              </w:rPr>
              <w:t>(7) Na konanie zástupcu skupiny, práva a povinnosti a zodpovednosť jednotlivých členov skupiny sa primerane vzťahuje § 4b ods. 4.</w:t>
            </w:r>
          </w:p>
          <w:p w14:paraId="3B943302" w14:textId="77777777" w:rsidR="00746D3C" w:rsidRPr="00FF0513" w:rsidRDefault="00746D3C" w:rsidP="007B3372">
            <w:pPr>
              <w:jc w:val="both"/>
              <w:rPr>
                <w:rFonts w:eastAsia="Aptos"/>
                <w:i/>
                <w:iCs/>
              </w:rPr>
            </w:pPr>
          </w:p>
          <w:p w14:paraId="3F75B103" w14:textId="77777777" w:rsidR="00746D3C" w:rsidRPr="00FF0513" w:rsidRDefault="00746D3C" w:rsidP="007B3372">
            <w:pPr>
              <w:jc w:val="both"/>
              <w:rPr>
                <w:rFonts w:eastAsia="Aptos"/>
                <w:i/>
                <w:iCs/>
              </w:rPr>
            </w:pPr>
            <w:r w:rsidRPr="00FF0513">
              <w:rPr>
                <w:rFonts w:eastAsia="Aptos"/>
                <w:i/>
                <w:iCs/>
              </w:rPr>
              <w:t>(8) Zástupca skupiny je povinný bezodkladne oznámiť zmenu registrácie skupiny, ak ...</w:t>
            </w:r>
          </w:p>
          <w:p w14:paraId="21149F67" w14:textId="77777777" w:rsidR="00746D3C" w:rsidRPr="00FF0513" w:rsidRDefault="00746D3C" w:rsidP="007B3372">
            <w:pPr>
              <w:jc w:val="both"/>
              <w:rPr>
                <w:rFonts w:eastAsia="Aptos"/>
              </w:rPr>
            </w:pPr>
            <w:r w:rsidRPr="00FF0513">
              <w:rPr>
                <w:rFonts w:eastAsia="Aptos"/>
              </w:rPr>
              <w:t>- nová SBL – rozhodnutie o zmene registrácie skupiny – vyhovenie</w:t>
            </w:r>
            <w:r>
              <w:rPr>
                <w:rFonts w:eastAsia="Aptos"/>
              </w:rPr>
              <w:t>,</w:t>
            </w:r>
            <w:r w:rsidRPr="00FF0513">
              <w:rPr>
                <w:rFonts w:eastAsia="Aptos"/>
              </w:rPr>
              <w:t xml:space="preserve"> </w:t>
            </w:r>
          </w:p>
          <w:p w14:paraId="2F33E7B1" w14:textId="77777777" w:rsidR="00746D3C" w:rsidRPr="00FF0513" w:rsidRDefault="00746D3C" w:rsidP="007B3372">
            <w:pPr>
              <w:jc w:val="both"/>
              <w:rPr>
                <w:rFonts w:eastAsia="Aptos"/>
              </w:rPr>
            </w:pPr>
            <w:r w:rsidRPr="00FF0513">
              <w:rPr>
                <w:rFonts w:eastAsia="Aptos"/>
              </w:rPr>
              <w:t>- nová SBL - rozhodnutie o zmene registrácie skupiny DPH ex offo</w:t>
            </w:r>
            <w:r>
              <w:rPr>
                <w:rFonts w:eastAsia="Aptos"/>
              </w:rPr>
              <w:t>,</w:t>
            </w:r>
          </w:p>
          <w:p w14:paraId="754C50C2" w14:textId="77777777" w:rsidR="00746D3C" w:rsidRPr="00FF0513" w:rsidRDefault="00746D3C" w:rsidP="007B3372">
            <w:pPr>
              <w:jc w:val="both"/>
              <w:rPr>
                <w:rFonts w:eastAsia="Aptos"/>
              </w:rPr>
            </w:pPr>
            <w:r w:rsidRPr="00FF0513">
              <w:rPr>
                <w:rFonts w:eastAsia="Aptos"/>
              </w:rPr>
              <w:t>- úprava SBL-628 - rozhodnutie o zmene registrácie skupiny – nevyhovenie</w:t>
            </w:r>
            <w:r>
              <w:rPr>
                <w:rFonts w:eastAsia="Aptos"/>
              </w:rPr>
              <w:t>,</w:t>
            </w:r>
          </w:p>
          <w:p w14:paraId="0BC30C0E" w14:textId="77777777" w:rsidR="00746D3C" w:rsidRPr="00FF0513" w:rsidRDefault="00746D3C" w:rsidP="007B3372">
            <w:pPr>
              <w:jc w:val="both"/>
              <w:rPr>
                <w:rFonts w:eastAsia="Aptos"/>
              </w:rPr>
            </w:pPr>
            <w:r w:rsidRPr="00FF0513">
              <w:rPr>
                <w:rFonts w:eastAsia="Aptos"/>
              </w:rPr>
              <w:t>- rozhodnutia o zmene registrácie skupiny DPH sa budú zasielať príslušnému členovi skupiny a zástupcovi skupiny DPH</w:t>
            </w:r>
            <w:r>
              <w:rPr>
                <w:rFonts w:eastAsia="Aptos"/>
              </w:rPr>
              <w:t>,</w:t>
            </w:r>
          </w:p>
          <w:p w14:paraId="54B22603" w14:textId="77777777" w:rsidR="00746D3C" w:rsidRPr="00FF0513" w:rsidRDefault="00746D3C" w:rsidP="007B3372">
            <w:pPr>
              <w:jc w:val="both"/>
              <w:rPr>
                <w:rFonts w:eastAsia="Aptos"/>
              </w:rPr>
            </w:pPr>
            <w:r w:rsidRPr="00FF0513">
              <w:rPr>
                <w:rFonts w:eastAsia="Aptos"/>
              </w:rPr>
              <w:t>- zapracovanie procesov v súvislosti s opravnými prostriedkami</w:t>
            </w:r>
            <w:r>
              <w:rPr>
                <w:rFonts w:eastAsia="Aptos"/>
              </w:rPr>
              <w:t>,</w:t>
            </w:r>
          </w:p>
          <w:p w14:paraId="51693261" w14:textId="77777777" w:rsidR="00746D3C" w:rsidRPr="00FF0513" w:rsidRDefault="00746D3C" w:rsidP="007B3372">
            <w:pPr>
              <w:jc w:val="both"/>
              <w:rPr>
                <w:rFonts w:eastAsia="Aptos"/>
              </w:rPr>
            </w:pPr>
            <w:r w:rsidRPr="00FF0513">
              <w:rPr>
                <w:rFonts w:eastAsia="Aptos"/>
              </w:rPr>
              <w:t>- ukončenie dôvodu evidencie DPH pristupujúcemu členovi skupiny DPH, ak bol platiteľom DPH pred pristúpením do skupiny DPH, zavedenie nového typu ukončenia registrácie, zavedenie dôvodu evidencie Skupina DPH s novým ustanovením registrácie</w:t>
            </w:r>
            <w:r>
              <w:rPr>
                <w:rFonts w:eastAsia="Aptos"/>
              </w:rPr>
              <w:t>.</w:t>
            </w:r>
          </w:p>
          <w:p w14:paraId="4BBEA5A7" w14:textId="77777777" w:rsidR="00746D3C" w:rsidRPr="00FF0513" w:rsidRDefault="00746D3C" w:rsidP="007B3372">
            <w:pPr>
              <w:jc w:val="both"/>
              <w:rPr>
                <w:rFonts w:eastAsia="Aptos"/>
              </w:rPr>
            </w:pPr>
          </w:p>
          <w:p w14:paraId="6BE5DF84" w14:textId="77777777" w:rsidR="00746D3C" w:rsidRPr="00FF0513" w:rsidRDefault="00746D3C" w:rsidP="007B3372">
            <w:pPr>
              <w:jc w:val="both"/>
              <w:rPr>
                <w:rFonts w:eastAsia="Aptos"/>
                <w:i/>
                <w:iCs/>
              </w:rPr>
            </w:pPr>
            <w:r w:rsidRPr="00FF0513">
              <w:rPr>
                <w:rFonts w:eastAsia="Aptos"/>
                <w:i/>
                <w:iCs/>
              </w:rPr>
              <w:t>(9) Ak člen skupiny prestane spĺňať podmienky podľa § 4a, zástupca skupiny je povinný bezodkladne ...</w:t>
            </w:r>
          </w:p>
          <w:p w14:paraId="6CBCC1B6" w14:textId="77777777" w:rsidR="00746D3C" w:rsidRPr="00FF0513" w:rsidRDefault="00746D3C" w:rsidP="007B3372">
            <w:pPr>
              <w:jc w:val="both"/>
              <w:rPr>
                <w:rFonts w:eastAsia="Aptos"/>
              </w:rPr>
            </w:pPr>
            <w:r w:rsidRPr="00FF0513">
              <w:rPr>
                <w:rFonts w:eastAsia="Aptos"/>
              </w:rPr>
              <w:t>- možné úpravy vzoru tlačiva žiadosti o registráciu.... (príloha č. 2), ak nebude možné pod položku „pristúpenie člena“ subsumovať prípad podľa ods. 8 (</w:t>
            </w:r>
            <w:r>
              <w:rPr>
                <w:rFonts w:eastAsia="Aptos"/>
              </w:rPr>
              <w:t>vplyv</w:t>
            </w:r>
            <w:r w:rsidRPr="00FF0513">
              <w:rPr>
                <w:rFonts w:eastAsia="Aptos"/>
              </w:rPr>
              <w:t xml:space="preserve"> aj na  PFS)</w:t>
            </w:r>
            <w:r>
              <w:rPr>
                <w:rFonts w:eastAsia="Aptos"/>
              </w:rPr>
              <w:t>,</w:t>
            </w:r>
          </w:p>
          <w:p w14:paraId="20605F93" w14:textId="77777777" w:rsidR="00746D3C" w:rsidRPr="00FF0513" w:rsidRDefault="00746D3C" w:rsidP="007B3372">
            <w:pPr>
              <w:jc w:val="both"/>
              <w:rPr>
                <w:rFonts w:eastAsia="Aptos"/>
              </w:rPr>
            </w:pPr>
            <w:r w:rsidRPr="00FF0513">
              <w:rPr>
                <w:rFonts w:eastAsia="Aptos"/>
              </w:rPr>
              <w:t>- nová SBL – Rozhodnutie o vykonaní zmeny skupiny podľa ods. 9</w:t>
            </w:r>
            <w:r>
              <w:rPr>
                <w:rFonts w:eastAsia="Aptos"/>
              </w:rPr>
              <w:t>,</w:t>
            </w:r>
          </w:p>
          <w:p w14:paraId="2C3F5901" w14:textId="77777777" w:rsidR="00746D3C" w:rsidRPr="00FF0513" w:rsidRDefault="00746D3C" w:rsidP="007B3372">
            <w:pPr>
              <w:jc w:val="both"/>
              <w:rPr>
                <w:rFonts w:eastAsia="Aptos"/>
              </w:rPr>
            </w:pPr>
            <w:r w:rsidRPr="00FF0513">
              <w:rPr>
                <w:rFonts w:eastAsia="Aptos"/>
              </w:rPr>
              <w:t>- nová SBL – Rozhodnutie o registrácií vylúčeného člena skupiny za samostatného platiteľa</w:t>
            </w:r>
            <w:r>
              <w:rPr>
                <w:rFonts w:eastAsia="Aptos"/>
              </w:rPr>
              <w:t>,</w:t>
            </w:r>
          </w:p>
          <w:p w14:paraId="15464399" w14:textId="77777777" w:rsidR="00746D3C" w:rsidRPr="00FF0513" w:rsidRDefault="00746D3C" w:rsidP="007B3372">
            <w:pPr>
              <w:jc w:val="both"/>
              <w:rPr>
                <w:rFonts w:eastAsia="Aptos"/>
              </w:rPr>
            </w:pPr>
            <w:r w:rsidRPr="00FF0513">
              <w:rPr>
                <w:rFonts w:eastAsia="Aptos"/>
              </w:rPr>
              <w:t>- nová SBL Rozhodnutie o určení nového zástupcu skupiny</w:t>
            </w:r>
            <w:r>
              <w:rPr>
                <w:rFonts w:eastAsia="Aptos"/>
              </w:rPr>
              <w:t>,</w:t>
            </w:r>
          </w:p>
          <w:p w14:paraId="439BFBF4" w14:textId="77777777" w:rsidR="00746D3C" w:rsidRPr="00FF0513" w:rsidRDefault="00746D3C" w:rsidP="007B3372">
            <w:pPr>
              <w:jc w:val="both"/>
              <w:rPr>
                <w:rFonts w:eastAsia="Aptos"/>
              </w:rPr>
            </w:pPr>
            <w:r w:rsidRPr="00FF0513">
              <w:rPr>
                <w:rFonts w:eastAsia="Aptos"/>
              </w:rPr>
              <w:t>- nová SBL – Rozhodnutie o vykonaní zmeny skupiny DPH ex offo podľa ods. 9</w:t>
            </w:r>
            <w:r>
              <w:rPr>
                <w:rFonts w:eastAsia="Aptos"/>
              </w:rPr>
              <w:t>,</w:t>
            </w:r>
          </w:p>
          <w:p w14:paraId="521DA265" w14:textId="77777777" w:rsidR="00746D3C" w:rsidRPr="00FF0513" w:rsidRDefault="00746D3C" w:rsidP="007B3372">
            <w:pPr>
              <w:jc w:val="both"/>
              <w:rPr>
                <w:rFonts w:eastAsia="Aptos"/>
              </w:rPr>
            </w:pPr>
            <w:r w:rsidRPr="00FF0513">
              <w:rPr>
                <w:rFonts w:eastAsia="Aptos"/>
              </w:rPr>
              <w:lastRenderedPageBreak/>
              <w:t>-</w:t>
            </w:r>
            <w:r>
              <w:rPr>
                <w:rFonts w:eastAsia="Aptos"/>
              </w:rPr>
              <w:t> </w:t>
            </w:r>
            <w:r w:rsidRPr="00FF0513">
              <w:rPr>
                <w:rFonts w:eastAsia="Aptos"/>
              </w:rPr>
              <w:t>ukončenie dôvodu evidencie Skupina DPH vystupujúcemu členovi skupiny DPH, zavedenie nového typu ukončenia registrácie, zavedenie dôvodu evidencie DPH s novým ustanovením registrácie</w:t>
            </w:r>
            <w:r>
              <w:rPr>
                <w:rFonts w:eastAsia="Aptos"/>
              </w:rPr>
              <w:t>,</w:t>
            </w:r>
          </w:p>
          <w:p w14:paraId="55EBE5F7" w14:textId="77777777" w:rsidR="00746D3C" w:rsidRPr="00FF0513" w:rsidRDefault="00746D3C" w:rsidP="007B3372">
            <w:pPr>
              <w:jc w:val="both"/>
              <w:rPr>
                <w:rFonts w:eastAsia="Aptos"/>
              </w:rPr>
            </w:pPr>
            <w:r w:rsidRPr="00FF0513">
              <w:rPr>
                <w:rFonts w:eastAsia="Aptos"/>
              </w:rPr>
              <w:t>- zapracovanie procesov v súvislosti s opravnými prostriedkami</w:t>
            </w:r>
            <w:r>
              <w:rPr>
                <w:rFonts w:eastAsia="Aptos"/>
              </w:rPr>
              <w:t>,</w:t>
            </w:r>
          </w:p>
          <w:p w14:paraId="55E21670" w14:textId="77777777" w:rsidR="00746D3C" w:rsidRPr="00FF0513" w:rsidRDefault="00746D3C" w:rsidP="007B3372">
            <w:pPr>
              <w:jc w:val="both"/>
              <w:rPr>
                <w:rFonts w:eastAsia="Aptos"/>
              </w:rPr>
            </w:pPr>
            <w:r w:rsidRPr="00FF0513">
              <w:rPr>
                <w:rFonts w:eastAsia="Aptos"/>
              </w:rPr>
              <w:t>- zapracovanie úpravy v ISFS-SD v súvislosti so zverejňovaným zoznamom na PFS podľa §</w:t>
            </w:r>
            <w:r>
              <w:rPr>
                <w:rFonts w:eastAsia="Aptos"/>
              </w:rPr>
              <w:t> </w:t>
            </w:r>
            <w:r w:rsidRPr="00FF0513">
              <w:rPr>
                <w:rFonts w:eastAsia="Aptos"/>
              </w:rPr>
              <w:t>52 daňového poriadku</w:t>
            </w:r>
            <w:r>
              <w:rPr>
                <w:rFonts w:eastAsia="Aptos"/>
              </w:rPr>
              <w:t>.</w:t>
            </w:r>
          </w:p>
          <w:p w14:paraId="5D839B21" w14:textId="77777777" w:rsidR="00746D3C" w:rsidRPr="00FF0513" w:rsidRDefault="00746D3C" w:rsidP="007B3372">
            <w:pPr>
              <w:jc w:val="both"/>
              <w:rPr>
                <w:rFonts w:eastAsia="Aptos"/>
              </w:rPr>
            </w:pPr>
          </w:p>
          <w:p w14:paraId="1CE33607" w14:textId="77777777" w:rsidR="00746D3C" w:rsidRPr="00FF0513" w:rsidRDefault="00746D3C" w:rsidP="007B3372">
            <w:pPr>
              <w:jc w:val="both"/>
              <w:rPr>
                <w:bCs/>
              </w:rPr>
            </w:pPr>
            <w:r w:rsidRPr="00FF0513">
              <w:rPr>
                <w:rFonts w:eastAsia="Aptos"/>
                <w:bCs/>
              </w:rPr>
              <w:t>Vyjadrenie OVSD:</w:t>
            </w:r>
            <w:r w:rsidRPr="00FF0513">
              <w:rPr>
                <w:bCs/>
              </w:rPr>
              <w:t xml:space="preserve"> </w:t>
            </w:r>
          </w:p>
          <w:p w14:paraId="539C79BE" w14:textId="77777777" w:rsidR="00746D3C" w:rsidRPr="00FF0513" w:rsidRDefault="00746D3C" w:rsidP="007B3372">
            <w:pPr>
              <w:jc w:val="both"/>
            </w:pPr>
            <w:r w:rsidRPr="00FF0513">
              <w:t xml:space="preserve">Uvedené má </w:t>
            </w:r>
            <w:r>
              <w:t>vplyv</w:t>
            </w:r>
            <w:r w:rsidRPr="00FF0513">
              <w:t xml:space="preserve"> na ISFS-SD:</w:t>
            </w:r>
          </w:p>
          <w:p w14:paraId="34F747A4" w14:textId="77777777" w:rsidR="00746D3C" w:rsidRPr="00FF0513" w:rsidRDefault="00746D3C" w:rsidP="007B3372">
            <w:pPr>
              <w:jc w:val="both"/>
            </w:pPr>
            <w:r w:rsidRPr="00FF0513">
              <w:t xml:space="preserve">Spracovanie a podávanie daňových priznaní DPH pri zániku- vystúpení člena, </w:t>
            </w:r>
          </w:p>
          <w:p w14:paraId="0D841B59" w14:textId="77777777" w:rsidR="00746D3C" w:rsidRPr="00FF0513" w:rsidRDefault="00746D3C" w:rsidP="007B3372">
            <w:pPr>
              <w:jc w:val="both"/>
            </w:pPr>
            <w:r w:rsidRPr="00FF0513">
              <w:t xml:space="preserve">Táto časť </w:t>
            </w:r>
            <w:r>
              <w:t>v</w:t>
            </w:r>
            <w:r w:rsidRPr="00FF0513">
              <w:t xml:space="preserve"> podstate už funguje teraz v ISFS-SD – to znamená, len pridanie nejakej hlášky novej pri spracovaní DP DPH v rozdielnom období</w:t>
            </w:r>
            <w:r>
              <w:t>.</w:t>
            </w:r>
          </w:p>
          <w:p w14:paraId="2019E4B9" w14:textId="77777777" w:rsidR="00746D3C" w:rsidRPr="00FF0513" w:rsidRDefault="00746D3C" w:rsidP="007B3372">
            <w:pPr>
              <w:jc w:val="both"/>
              <w:rPr>
                <w:rFonts w:eastAsia="Aptos"/>
              </w:rPr>
            </w:pPr>
          </w:p>
          <w:p w14:paraId="1C685A50" w14:textId="77777777" w:rsidR="00746D3C" w:rsidRPr="00FF0513" w:rsidRDefault="00746D3C" w:rsidP="007B3372">
            <w:pPr>
              <w:jc w:val="both"/>
              <w:rPr>
                <w:rFonts w:eastAsia="Aptos"/>
                <w:i/>
                <w:iCs/>
              </w:rPr>
            </w:pPr>
            <w:r w:rsidRPr="00FF0513">
              <w:rPr>
                <w:rFonts w:eastAsia="Aptos"/>
                <w:i/>
                <w:iCs/>
              </w:rPr>
              <w:t>(10) Ak niektorý z členov skupiny zanikne bez likvidácie a na právneho nástupcu prechádza majetok ...</w:t>
            </w:r>
          </w:p>
          <w:p w14:paraId="6A5D5F04" w14:textId="77777777" w:rsidR="00746D3C" w:rsidRPr="00FF0513" w:rsidRDefault="00746D3C" w:rsidP="007B3372">
            <w:pPr>
              <w:jc w:val="both"/>
              <w:rPr>
                <w:rFonts w:eastAsia="Aptos"/>
              </w:rPr>
            </w:pPr>
            <w:r w:rsidRPr="00FF0513">
              <w:rPr>
                <w:rFonts w:eastAsia="Aptos"/>
              </w:rPr>
              <w:t>- nová SBL – Rozhodnutie o vykonaní zmeny skupiny podľa ods. 10</w:t>
            </w:r>
            <w:r>
              <w:rPr>
                <w:rFonts w:eastAsia="Aptos"/>
              </w:rPr>
              <w:t>,</w:t>
            </w:r>
          </w:p>
          <w:p w14:paraId="1B12FFE3" w14:textId="77777777" w:rsidR="00746D3C" w:rsidRPr="00FF0513" w:rsidRDefault="00746D3C" w:rsidP="007B3372">
            <w:pPr>
              <w:jc w:val="both"/>
              <w:rPr>
                <w:rFonts w:eastAsia="Aptos"/>
              </w:rPr>
            </w:pPr>
            <w:r w:rsidRPr="00FF0513">
              <w:rPr>
                <w:rFonts w:eastAsia="Aptos"/>
              </w:rPr>
              <w:t>- nová SBL – Rozhodnutie o nevykonaní zmeny skupiny podľa ods. 10</w:t>
            </w:r>
            <w:r>
              <w:rPr>
                <w:rFonts w:eastAsia="Aptos"/>
              </w:rPr>
              <w:t>,</w:t>
            </w:r>
          </w:p>
          <w:p w14:paraId="42EF5C5D" w14:textId="77777777" w:rsidR="00746D3C" w:rsidRPr="00FF0513" w:rsidRDefault="00746D3C" w:rsidP="007B3372">
            <w:pPr>
              <w:jc w:val="both"/>
              <w:rPr>
                <w:rFonts w:eastAsia="Aptos"/>
              </w:rPr>
            </w:pPr>
            <w:r w:rsidRPr="00FF0513">
              <w:rPr>
                <w:rFonts w:eastAsia="Aptos"/>
              </w:rPr>
              <w:t>-</w:t>
            </w:r>
            <w:r>
              <w:rPr>
                <w:rFonts w:eastAsia="Aptos"/>
              </w:rPr>
              <w:t> </w:t>
            </w:r>
            <w:r w:rsidRPr="00FF0513">
              <w:rPr>
                <w:rFonts w:eastAsia="Aptos"/>
              </w:rPr>
              <w:t>nová SBL – Rozhodnutie o registrácií právneho nástupcu člena skupiny, ktorý nespĺňa podmienky podľa § 4a zákona o DPH, za samostatného platiteľa</w:t>
            </w:r>
            <w:r>
              <w:rPr>
                <w:rFonts w:eastAsia="Aptos"/>
              </w:rPr>
              <w:t>,</w:t>
            </w:r>
          </w:p>
          <w:p w14:paraId="73B73EC3" w14:textId="77777777" w:rsidR="00746D3C" w:rsidRPr="00FF0513" w:rsidRDefault="00746D3C" w:rsidP="007B3372">
            <w:pPr>
              <w:jc w:val="both"/>
              <w:rPr>
                <w:rFonts w:eastAsia="Aptos"/>
              </w:rPr>
            </w:pPr>
            <w:r w:rsidRPr="00FF0513">
              <w:rPr>
                <w:rFonts w:eastAsia="Aptos"/>
              </w:rPr>
              <w:t>- nová SBL - Rozhodnutie o určení nového zástupcu skupiny</w:t>
            </w:r>
            <w:r>
              <w:rPr>
                <w:rFonts w:eastAsia="Aptos"/>
              </w:rPr>
              <w:t>,</w:t>
            </w:r>
          </w:p>
          <w:p w14:paraId="57EFBD05" w14:textId="77777777" w:rsidR="00746D3C" w:rsidRPr="00FF0513" w:rsidRDefault="00746D3C" w:rsidP="007B3372">
            <w:pPr>
              <w:jc w:val="both"/>
              <w:rPr>
                <w:rFonts w:eastAsia="Aptos"/>
              </w:rPr>
            </w:pPr>
            <w:r w:rsidRPr="00FF0513">
              <w:rPr>
                <w:rFonts w:eastAsia="Aptos"/>
              </w:rPr>
              <w:t>- zavedenie nového ustanovenia pre registráciu na dôvode evidencie DPH</w:t>
            </w:r>
            <w:r>
              <w:rPr>
                <w:rFonts w:eastAsia="Aptos"/>
              </w:rPr>
              <w:t>,</w:t>
            </w:r>
          </w:p>
          <w:p w14:paraId="23333E29" w14:textId="77777777" w:rsidR="00746D3C" w:rsidRPr="00FF0513" w:rsidRDefault="00746D3C" w:rsidP="007B3372">
            <w:pPr>
              <w:jc w:val="both"/>
              <w:rPr>
                <w:rFonts w:eastAsia="Aptos"/>
              </w:rPr>
            </w:pPr>
            <w:r w:rsidRPr="00FF0513">
              <w:rPr>
                <w:rFonts w:eastAsia="Aptos"/>
              </w:rPr>
              <w:t>- zavedenie nového typu ukončenia registrácie zaniknutému členovi skupiny DPH</w:t>
            </w:r>
            <w:r>
              <w:rPr>
                <w:rFonts w:eastAsia="Aptos"/>
              </w:rPr>
              <w:t>,</w:t>
            </w:r>
          </w:p>
          <w:p w14:paraId="7FE48076" w14:textId="77777777" w:rsidR="00746D3C" w:rsidRPr="00FF0513" w:rsidRDefault="00746D3C" w:rsidP="007B3372">
            <w:pPr>
              <w:jc w:val="both"/>
              <w:rPr>
                <w:rFonts w:eastAsia="Aptos"/>
              </w:rPr>
            </w:pPr>
            <w:r w:rsidRPr="00FF0513">
              <w:rPr>
                <w:rFonts w:eastAsia="Aptos"/>
              </w:rPr>
              <w:t>- zapracovanie procesov v súvislosti s opravnými prostriedkami</w:t>
            </w:r>
            <w:r>
              <w:rPr>
                <w:rFonts w:eastAsia="Aptos"/>
              </w:rPr>
              <w:t>,</w:t>
            </w:r>
          </w:p>
          <w:p w14:paraId="7C211956" w14:textId="77777777" w:rsidR="00746D3C" w:rsidRPr="00FF0513" w:rsidRDefault="00746D3C" w:rsidP="007B3372">
            <w:pPr>
              <w:jc w:val="both"/>
              <w:rPr>
                <w:rFonts w:eastAsia="Aptos"/>
              </w:rPr>
            </w:pPr>
            <w:r w:rsidRPr="00FF0513">
              <w:rPr>
                <w:rFonts w:eastAsia="Aptos"/>
              </w:rPr>
              <w:t>- zapracovanie úpravy v ISFS-SD v súvislosti so zverejňovaným zoznamom na PFS podľa §</w:t>
            </w:r>
            <w:r>
              <w:rPr>
                <w:rFonts w:eastAsia="Aptos"/>
              </w:rPr>
              <w:t> </w:t>
            </w:r>
            <w:r w:rsidRPr="00FF0513">
              <w:rPr>
                <w:rFonts w:eastAsia="Aptos"/>
              </w:rPr>
              <w:t>52 daňového poriadku</w:t>
            </w:r>
            <w:r>
              <w:rPr>
                <w:rFonts w:eastAsia="Aptos"/>
              </w:rPr>
              <w:t>.</w:t>
            </w:r>
          </w:p>
          <w:p w14:paraId="1CD5FCCB" w14:textId="77777777" w:rsidR="00746D3C" w:rsidRPr="00FF0513" w:rsidRDefault="00746D3C" w:rsidP="007B3372">
            <w:pPr>
              <w:jc w:val="both"/>
              <w:rPr>
                <w:rFonts w:eastAsia="Aptos"/>
              </w:rPr>
            </w:pPr>
          </w:p>
          <w:p w14:paraId="584FB7A9" w14:textId="77777777" w:rsidR="00746D3C" w:rsidRPr="00FF0513" w:rsidRDefault="00746D3C" w:rsidP="007B3372">
            <w:pPr>
              <w:jc w:val="both"/>
              <w:rPr>
                <w:rFonts w:eastAsia="Aptos"/>
                <w:i/>
                <w:iCs/>
              </w:rPr>
            </w:pPr>
            <w:r w:rsidRPr="00FF0513">
              <w:rPr>
                <w:rFonts w:eastAsia="Aptos"/>
                <w:i/>
                <w:iCs/>
              </w:rPr>
              <w:t>(11) Odsek 10 sa primerane uplatní aj v prípade, ak člen skupiny, ktorý zanikol bez likvidácie, nemá právneho nástupcu; v prípade, že zanikol zástupca skupiny, žiadosť o zmenu registrácie skupiny môže podať ktorýkoľvek z členov skupiny.</w:t>
            </w:r>
          </w:p>
          <w:p w14:paraId="0545A5EA" w14:textId="77777777" w:rsidR="00746D3C" w:rsidRPr="00FF0513" w:rsidRDefault="00746D3C" w:rsidP="007B3372">
            <w:pPr>
              <w:jc w:val="both"/>
              <w:rPr>
                <w:rFonts w:eastAsia="Aptos"/>
              </w:rPr>
            </w:pPr>
            <w:r w:rsidRPr="00FF0513">
              <w:rPr>
                <w:rFonts w:eastAsia="Aptos"/>
              </w:rPr>
              <w:t xml:space="preserve">- možné </w:t>
            </w:r>
            <w:r>
              <w:rPr>
                <w:rFonts w:eastAsia="Aptos"/>
              </w:rPr>
              <w:t xml:space="preserve">vplyvy </w:t>
            </w:r>
            <w:r w:rsidRPr="00FF0513">
              <w:rPr>
                <w:rFonts w:eastAsia="Aptos"/>
              </w:rPr>
              <w:t xml:space="preserve"> na úpravu existujúcej šablóny, alebo zapracovanie novej SBL</w:t>
            </w:r>
            <w:r>
              <w:rPr>
                <w:rFonts w:eastAsia="Aptos"/>
              </w:rPr>
              <w:t>,</w:t>
            </w:r>
          </w:p>
          <w:p w14:paraId="5BFABB7A" w14:textId="77777777" w:rsidR="00746D3C" w:rsidRPr="00FF0513" w:rsidRDefault="00746D3C" w:rsidP="007B3372">
            <w:pPr>
              <w:jc w:val="both"/>
              <w:rPr>
                <w:rFonts w:eastAsia="Aptos"/>
              </w:rPr>
            </w:pPr>
            <w:r w:rsidRPr="00FF0513">
              <w:rPr>
                <w:rFonts w:eastAsia="Aptos"/>
              </w:rPr>
              <w:t>- v prípade novej SBL - zapracovanie procesov v súvislosti s opravnými prostriedkami</w:t>
            </w:r>
            <w:r>
              <w:rPr>
                <w:rFonts w:eastAsia="Aptos"/>
              </w:rPr>
              <w:t>.</w:t>
            </w:r>
          </w:p>
          <w:p w14:paraId="3CF71D60" w14:textId="77777777" w:rsidR="00746D3C" w:rsidRPr="00FF0513" w:rsidRDefault="00746D3C" w:rsidP="007B3372">
            <w:pPr>
              <w:jc w:val="both"/>
              <w:rPr>
                <w:rFonts w:eastAsia="Aptos"/>
              </w:rPr>
            </w:pPr>
          </w:p>
          <w:p w14:paraId="6F2EAE7C" w14:textId="77777777" w:rsidR="00746D3C" w:rsidRPr="00FF0513" w:rsidRDefault="00746D3C" w:rsidP="007B3372">
            <w:pPr>
              <w:jc w:val="both"/>
              <w:rPr>
                <w:rFonts w:eastAsia="Aptos"/>
                <w:i/>
                <w:iCs/>
              </w:rPr>
            </w:pPr>
            <w:r w:rsidRPr="00FF0513">
              <w:rPr>
                <w:rFonts w:eastAsia="Aptos"/>
                <w:i/>
                <w:iCs/>
              </w:rPr>
              <w:t>(12) Ak zástupca skupiny nesplní povinnosť podľa odseku 8 alebo odseku 9, daňový úrad príslušný pre skupinu uloží skupine pokutu do výšky 10 000 eur. Pri určení výšky pokuty prihliadne daňový úrad na závažnosť, trvanie  a následky protiprávneho stavu.</w:t>
            </w:r>
          </w:p>
          <w:p w14:paraId="6CE8B73E" w14:textId="77777777" w:rsidR="00746D3C" w:rsidRPr="00FF0513" w:rsidRDefault="00746D3C" w:rsidP="007B3372">
            <w:pPr>
              <w:jc w:val="both"/>
              <w:rPr>
                <w:rFonts w:eastAsia="Aptos"/>
              </w:rPr>
            </w:pPr>
            <w:r w:rsidRPr="00FF0513">
              <w:rPr>
                <w:rFonts w:eastAsia="Aptos"/>
              </w:rPr>
              <w:t>- nová SBL pokuta</w:t>
            </w:r>
            <w:r>
              <w:rPr>
                <w:rFonts w:eastAsia="Aptos"/>
              </w:rPr>
              <w:t>,</w:t>
            </w:r>
          </w:p>
          <w:p w14:paraId="36CAAA74" w14:textId="77777777" w:rsidR="00746D3C" w:rsidRPr="00FF0513" w:rsidRDefault="00746D3C" w:rsidP="007B3372">
            <w:pPr>
              <w:jc w:val="both"/>
              <w:rPr>
                <w:rFonts w:eastAsia="Aptos"/>
              </w:rPr>
            </w:pPr>
            <w:r w:rsidRPr="00FF0513">
              <w:rPr>
                <w:rFonts w:eastAsia="Aptos"/>
              </w:rPr>
              <w:t>- zapracovanie procesov v súvislosti s opravnými prostriedkami</w:t>
            </w:r>
            <w:r>
              <w:rPr>
                <w:rFonts w:eastAsia="Aptos"/>
              </w:rPr>
              <w:t>.</w:t>
            </w:r>
          </w:p>
          <w:p w14:paraId="17F9F165" w14:textId="77777777" w:rsidR="00746D3C" w:rsidRPr="00FF0513" w:rsidRDefault="00746D3C" w:rsidP="007B3372">
            <w:pPr>
              <w:jc w:val="both"/>
              <w:rPr>
                <w:rFonts w:eastAsia="Aptos"/>
              </w:rPr>
            </w:pPr>
          </w:p>
          <w:p w14:paraId="6AAE6D94" w14:textId="77777777" w:rsidR="00746D3C" w:rsidRPr="006737D1" w:rsidRDefault="00746D3C" w:rsidP="007B3372">
            <w:pPr>
              <w:jc w:val="both"/>
              <w:rPr>
                <w:bCs/>
              </w:rPr>
            </w:pPr>
            <w:r w:rsidRPr="006737D1">
              <w:rPr>
                <w:rFonts w:eastAsia="Aptos"/>
                <w:bCs/>
              </w:rPr>
              <w:t>Vyjadrenie OVSD:</w:t>
            </w:r>
            <w:r w:rsidRPr="006737D1">
              <w:rPr>
                <w:bCs/>
              </w:rPr>
              <w:t xml:space="preserve"> </w:t>
            </w:r>
          </w:p>
          <w:p w14:paraId="40AEC851" w14:textId="77777777" w:rsidR="00746D3C" w:rsidRPr="00FF0513" w:rsidRDefault="00746D3C" w:rsidP="007B3372">
            <w:pPr>
              <w:jc w:val="both"/>
            </w:pPr>
            <w:r w:rsidRPr="00FF0513">
              <w:t xml:space="preserve">Uvedené má </w:t>
            </w:r>
            <w:r>
              <w:t>vplyv</w:t>
            </w:r>
            <w:r w:rsidRPr="00FF0513">
              <w:t xml:space="preserve"> na ISFS-SD:</w:t>
            </w:r>
          </w:p>
          <w:p w14:paraId="0C47A771" w14:textId="77777777" w:rsidR="00746D3C" w:rsidRPr="00FF0513" w:rsidRDefault="00746D3C" w:rsidP="007B3372">
            <w:pPr>
              <w:jc w:val="both"/>
              <w:rPr>
                <w:rFonts w:eastAsia="Aptos"/>
              </w:rPr>
            </w:pPr>
            <w:r w:rsidRPr="00FF0513">
              <w:rPr>
                <w:rFonts w:eastAsia="Aptos"/>
              </w:rPr>
              <w:t xml:space="preserve">Len dopĺňame – doplnenie pokuty do úhrnnej pokuty </w:t>
            </w:r>
            <w:r>
              <w:rPr>
                <w:rFonts w:eastAsia="Aptos"/>
              </w:rPr>
              <w:t>–</w:t>
            </w:r>
            <w:r w:rsidRPr="00FF0513">
              <w:rPr>
                <w:rFonts w:eastAsia="Aptos"/>
              </w:rPr>
              <w:t xml:space="preserve"> proces</w:t>
            </w:r>
            <w:r>
              <w:rPr>
                <w:rFonts w:eastAsia="Aptos"/>
              </w:rPr>
              <w:t>.</w:t>
            </w:r>
          </w:p>
          <w:p w14:paraId="33EF4FA0" w14:textId="77777777" w:rsidR="00746D3C" w:rsidRPr="00FF0513" w:rsidRDefault="00746D3C" w:rsidP="007B3372">
            <w:pPr>
              <w:jc w:val="both"/>
              <w:rPr>
                <w:rFonts w:eastAsia="Aptos"/>
              </w:rPr>
            </w:pPr>
          </w:p>
          <w:p w14:paraId="7ECE8217" w14:textId="77777777" w:rsidR="00746D3C" w:rsidRPr="00FF0513" w:rsidRDefault="00746D3C" w:rsidP="007B3372">
            <w:pPr>
              <w:spacing w:after="160"/>
              <w:jc w:val="both"/>
              <w:rPr>
                <w:rFonts w:eastAsia="Aptos"/>
                <w:i/>
                <w:iCs/>
              </w:rPr>
            </w:pPr>
            <w:r w:rsidRPr="00FF0513">
              <w:rPr>
                <w:rFonts w:eastAsia="Aptos"/>
                <w:i/>
                <w:iCs/>
              </w:rPr>
              <w:t>(13) Ak sú dôvody na registráciu skupiny z úradnej moci podľa odseku 1 v prípade zdaniteľných osôb ...</w:t>
            </w:r>
          </w:p>
          <w:p w14:paraId="5361ABCF" w14:textId="77777777" w:rsidR="00746D3C" w:rsidRPr="00FF0513" w:rsidRDefault="00746D3C" w:rsidP="007B3372">
            <w:pPr>
              <w:jc w:val="both"/>
              <w:rPr>
                <w:rFonts w:eastAsia="Aptos"/>
              </w:rPr>
            </w:pPr>
            <w:r w:rsidRPr="00FF0513">
              <w:rPr>
                <w:rFonts w:eastAsia="Aptos"/>
              </w:rPr>
              <w:t>-</w:t>
            </w:r>
            <w:r>
              <w:rPr>
                <w:rFonts w:eastAsia="Aptos"/>
              </w:rPr>
              <w:t> </w:t>
            </w:r>
            <w:r w:rsidRPr="00FF0513">
              <w:rPr>
                <w:rFonts w:eastAsia="Aptos"/>
              </w:rPr>
              <w:t>nová SBL</w:t>
            </w:r>
            <w:r>
              <w:rPr>
                <w:rFonts w:eastAsia="Aptos"/>
              </w:rPr>
              <w:t xml:space="preserve"> </w:t>
            </w:r>
            <w:r w:rsidRPr="00FF0513">
              <w:rPr>
                <w:rFonts w:eastAsia="Aptos"/>
              </w:rPr>
              <w:t>- rozhodnutie o registrácii skupiny DPH podľa § 4c, ktorým sa zrušuje rozhodnutie o registrácii skupiny DPH podľa § 4b</w:t>
            </w:r>
            <w:r>
              <w:rPr>
                <w:rFonts w:eastAsia="Aptos"/>
              </w:rPr>
              <w:t>,</w:t>
            </w:r>
          </w:p>
          <w:p w14:paraId="6508FCFD" w14:textId="77777777" w:rsidR="00746D3C" w:rsidRPr="00FF0513" w:rsidRDefault="00746D3C" w:rsidP="007B3372">
            <w:pPr>
              <w:jc w:val="both"/>
              <w:rPr>
                <w:rFonts w:eastAsia="Aptos"/>
              </w:rPr>
            </w:pPr>
            <w:r w:rsidRPr="00FF0513">
              <w:rPr>
                <w:rFonts w:eastAsia="Aptos"/>
              </w:rPr>
              <w:t>- potrebné zapracovať celý proces registrácie skupiny DPH z § 4b na § 4c</w:t>
            </w:r>
            <w:r>
              <w:rPr>
                <w:rFonts w:eastAsia="Aptos"/>
              </w:rPr>
              <w:t>,</w:t>
            </w:r>
          </w:p>
          <w:p w14:paraId="24DE591E" w14:textId="77777777" w:rsidR="00746D3C" w:rsidRPr="00FF0513" w:rsidRDefault="00746D3C" w:rsidP="007B3372">
            <w:pPr>
              <w:jc w:val="both"/>
              <w:rPr>
                <w:rFonts w:eastAsia="Aptos"/>
              </w:rPr>
            </w:pPr>
            <w:r w:rsidRPr="00FF0513">
              <w:rPr>
                <w:rFonts w:eastAsia="Aptos"/>
              </w:rPr>
              <w:t>- prístupy pre DÚ BB potrebné pre registračný proces</w:t>
            </w:r>
            <w:r>
              <w:rPr>
                <w:rFonts w:eastAsia="Aptos"/>
              </w:rPr>
              <w:t>,</w:t>
            </w:r>
          </w:p>
          <w:p w14:paraId="010D9A43" w14:textId="77777777" w:rsidR="00746D3C" w:rsidRPr="00FF0513" w:rsidRDefault="00746D3C" w:rsidP="007B3372">
            <w:pPr>
              <w:jc w:val="both"/>
              <w:rPr>
                <w:rFonts w:eastAsia="Aptos"/>
              </w:rPr>
            </w:pPr>
            <w:r w:rsidRPr="00FF0513">
              <w:rPr>
                <w:rFonts w:eastAsia="Aptos"/>
              </w:rPr>
              <w:t>- potreba úpravy inf. systému z dôvodu že DÚ BB bude konať aj s osobami, ktoré nie sú v jeho miestnej príslušnosti, t.</w:t>
            </w:r>
            <w:r>
              <w:rPr>
                <w:rFonts w:eastAsia="Aptos"/>
              </w:rPr>
              <w:t xml:space="preserve"> </w:t>
            </w:r>
            <w:r w:rsidRPr="00FF0513">
              <w:rPr>
                <w:rFonts w:eastAsia="Aptos"/>
              </w:rPr>
              <w:t xml:space="preserve">j. pre konanie vo veci ex-offo registrácie skupiny je potrebné </w:t>
            </w:r>
            <w:r w:rsidRPr="00FF0513">
              <w:rPr>
                <w:rFonts w:eastAsia="Aptos"/>
              </w:rPr>
              <w:lastRenderedPageBreak/>
              <w:t>zapracovať úpravy v RPA (riadenie prideľovania agendy) a vo funkčnosti určovania miestnej príslušnosti</w:t>
            </w:r>
            <w:r>
              <w:rPr>
                <w:rFonts w:eastAsia="Aptos"/>
              </w:rPr>
              <w:t>,</w:t>
            </w:r>
          </w:p>
          <w:p w14:paraId="01E39EF6" w14:textId="77777777" w:rsidR="00746D3C" w:rsidRPr="00FF0513" w:rsidRDefault="00746D3C" w:rsidP="007B3372">
            <w:pPr>
              <w:jc w:val="both"/>
              <w:rPr>
                <w:rFonts w:eastAsia="Aptos"/>
              </w:rPr>
            </w:pPr>
            <w:r w:rsidRPr="00FF0513">
              <w:rPr>
                <w:rFonts w:eastAsia="Aptos"/>
              </w:rPr>
              <w:t>- predpokladáme zavedenie nového dôvodu evidencie</w:t>
            </w:r>
            <w:r>
              <w:rPr>
                <w:rFonts w:eastAsia="Aptos"/>
              </w:rPr>
              <w:t>,</w:t>
            </w:r>
          </w:p>
          <w:p w14:paraId="1455F3B3" w14:textId="77777777" w:rsidR="00746D3C" w:rsidRPr="00FF0513" w:rsidRDefault="00746D3C" w:rsidP="007B3372">
            <w:pPr>
              <w:jc w:val="both"/>
              <w:rPr>
                <w:rFonts w:eastAsia="Aptos"/>
              </w:rPr>
            </w:pPr>
            <w:r w:rsidRPr="00FF0513">
              <w:rPr>
                <w:rFonts w:eastAsia="Aptos"/>
              </w:rPr>
              <w:t>- zavedenie nového ustanovenia pre registráciu</w:t>
            </w:r>
            <w:r>
              <w:rPr>
                <w:rFonts w:eastAsia="Aptos"/>
              </w:rPr>
              <w:t>,</w:t>
            </w:r>
            <w:r w:rsidRPr="00FF0513">
              <w:rPr>
                <w:rFonts w:eastAsia="Aptos"/>
              </w:rPr>
              <w:t xml:space="preserve"> </w:t>
            </w:r>
          </w:p>
          <w:p w14:paraId="4072DF12" w14:textId="77777777" w:rsidR="00746D3C" w:rsidRPr="00FF0513" w:rsidRDefault="00746D3C" w:rsidP="007B3372">
            <w:pPr>
              <w:jc w:val="both"/>
              <w:rPr>
                <w:rFonts w:eastAsia="Aptos"/>
              </w:rPr>
            </w:pPr>
            <w:r w:rsidRPr="00FF0513">
              <w:rPr>
                <w:rFonts w:eastAsia="Aptos"/>
              </w:rPr>
              <w:t>- zavedenie nového typu ukončenia registrácie členom skupiny registrovaným podľa § 4b</w:t>
            </w:r>
            <w:r>
              <w:rPr>
                <w:rFonts w:eastAsia="Aptos"/>
              </w:rPr>
              <w:t>,</w:t>
            </w:r>
          </w:p>
          <w:p w14:paraId="11E49A35" w14:textId="77777777" w:rsidR="00746D3C" w:rsidRPr="00FF0513" w:rsidRDefault="00746D3C" w:rsidP="007B3372">
            <w:pPr>
              <w:jc w:val="both"/>
              <w:rPr>
                <w:rFonts w:eastAsia="Aptos"/>
              </w:rPr>
            </w:pPr>
            <w:r w:rsidRPr="00FF0513">
              <w:rPr>
                <w:rFonts w:eastAsia="Aptos"/>
              </w:rPr>
              <w:t>- zapracovanie procesov v súvislosti s opravnými prostriedkami</w:t>
            </w:r>
            <w:r>
              <w:rPr>
                <w:rFonts w:eastAsia="Aptos"/>
              </w:rPr>
              <w:t>.</w:t>
            </w:r>
          </w:p>
          <w:p w14:paraId="09FCAB30" w14:textId="77777777" w:rsidR="00746D3C" w:rsidRPr="00FF0513" w:rsidRDefault="00746D3C" w:rsidP="007B3372">
            <w:pPr>
              <w:jc w:val="both"/>
              <w:rPr>
                <w:rFonts w:eastAsia="Aptos"/>
              </w:rPr>
            </w:pPr>
          </w:p>
          <w:p w14:paraId="3D40124D" w14:textId="77777777" w:rsidR="00746D3C" w:rsidRPr="00FF0513" w:rsidRDefault="00746D3C" w:rsidP="007B3372">
            <w:pPr>
              <w:jc w:val="both"/>
              <w:rPr>
                <w:rFonts w:eastAsia="Aptos"/>
                <w:i/>
                <w:iCs/>
              </w:rPr>
            </w:pPr>
            <w:r w:rsidRPr="00FF0513">
              <w:rPr>
                <w:rFonts w:eastAsia="Aptos"/>
                <w:i/>
                <w:iCs/>
              </w:rPr>
              <w:t xml:space="preserve">Poznámka </w:t>
            </w:r>
            <w:r w:rsidRPr="00B00DC9">
              <w:rPr>
                <w:rFonts w:eastAsia="Aptos"/>
                <w:i/>
                <w:iCs/>
              </w:rPr>
              <w:t>pod čiarou</w:t>
            </w:r>
            <w:r w:rsidRPr="00FF0513">
              <w:rPr>
                <w:rFonts w:eastAsia="Aptos"/>
                <w:i/>
                <w:iCs/>
              </w:rPr>
              <w:t xml:space="preserve"> k odkazu 4f znie:</w:t>
            </w:r>
          </w:p>
          <w:p w14:paraId="5E0AE0D9" w14:textId="77777777" w:rsidR="00746D3C" w:rsidRPr="00FF0513" w:rsidRDefault="00746D3C" w:rsidP="007B3372">
            <w:pPr>
              <w:jc w:val="both"/>
              <w:rPr>
                <w:rFonts w:eastAsia="Aptos"/>
                <w:i/>
                <w:iCs/>
              </w:rPr>
            </w:pPr>
            <w:r w:rsidRPr="00FF0513">
              <w:rPr>
                <w:rFonts w:eastAsia="Aptos"/>
                <w:i/>
                <w:iCs/>
              </w:rPr>
              <w:t>„</w:t>
            </w:r>
            <w:r w:rsidRPr="00FF0513">
              <w:rPr>
                <w:rFonts w:eastAsia="Aptos"/>
                <w:i/>
                <w:iCs/>
                <w:vertAlign w:val="superscript"/>
              </w:rPr>
              <w:t>4f</w:t>
            </w:r>
            <w:r w:rsidRPr="00FF0513">
              <w:rPr>
                <w:rFonts w:eastAsia="Aptos"/>
                <w:i/>
                <w:iCs/>
              </w:rPr>
              <w:t>) § 4 ods. 3 písm. x) zákona č. 35/2019 Z. z. o finančnej správe a o zmene a doplnení niektorých zákonov.“.</w:t>
            </w:r>
          </w:p>
          <w:p w14:paraId="6260CC9B" w14:textId="77777777" w:rsidR="00746D3C" w:rsidRPr="00FF0513" w:rsidRDefault="00746D3C" w:rsidP="007B3372">
            <w:pPr>
              <w:jc w:val="both"/>
              <w:rPr>
                <w:rFonts w:eastAsia="Aptos"/>
              </w:rPr>
            </w:pPr>
          </w:p>
          <w:p w14:paraId="3696461A" w14:textId="77777777" w:rsidR="00746D3C" w:rsidRPr="00FF0513" w:rsidRDefault="00746D3C" w:rsidP="007B3372">
            <w:pPr>
              <w:jc w:val="both"/>
              <w:rPr>
                <w:rFonts w:eastAsia="Aptos"/>
                <w:b/>
              </w:rPr>
            </w:pPr>
            <w:r w:rsidRPr="00FF0513">
              <w:rPr>
                <w:rFonts w:eastAsia="Aptos"/>
              </w:rPr>
              <w:t xml:space="preserve">- </w:t>
            </w:r>
            <w:r>
              <w:rPr>
                <w:rFonts w:eastAsia="Aptos"/>
              </w:rPr>
              <w:t>p</w:t>
            </w:r>
            <w:r w:rsidRPr="00FF0513">
              <w:rPr>
                <w:rFonts w:eastAsia="Aptos"/>
              </w:rPr>
              <w:t>redpokladá sa vplyv na IS ISFS</w:t>
            </w:r>
            <w:r>
              <w:rPr>
                <w:rFonts w:eastAsia="Aptos"/>
              </w:rPr>
              <w:t>-</w:t>
            </w:r>
            <w:r w:rsidRPr="00FF0513">
              <w:rPr>
                <w:rFonts w:eastAsia="Aptos"/>
              </w:rPr>
              <w:t>SD, ADMIS, PFS, DWH a iné systémy (napr. DR</w:t>
            </w:r>
            <w:r>
              <w:rPr>
                <w:rFonts w:eastAsia="Aptos"/>
              </w:rPr>
              <w:t xml:space="preserve"> </w:t>
            </w:r>
            <w:r w:rsidRPr="00FF0513">
              <w:rPr>
                <w:rFonts w:eastAsia="Aptos"/>
              </w:rPr>
              <w:t>SCAN, VIES)</w:t>
            </w:r>
            <w:r>
              <w:rPr>
                <w:rFonts w:eastAsia="Aptos"/>
              </w:rPr>
              <w:t>,</w:t>
            </w:r>
          </w:p>
          <w:p w14:paraId="3E0C2D96" w14:textId="77777777" w:rsidR="00746D3C" w:rsidRPr="00FF0513" w:rsidRDefault="00746D3C" w:rsidP="007B3372">
            <w:pPr>
              <w:jc w:val="both"/>
              <w:rPr>
                <w:rFonts w:eastAsia="Aptos"/>
              </w:rPr>
            </w:pPr>
            <w:r w:rsidRPr="00FF0513">
              <w:rPr>
                <w:rFonts w:eastAsia="Aptos"/>
              </w:rPr>
              <w:t>-</w:t>
            </w:r>
            <w:r>
              <w:rPr>
                <w:rFonts w:eastAsia="Aptos"/>
              </w:rPr>
              <w:t> </w:t>
            </w:r>
            <w:r w:rsidRPr="00FF0513">
              <w:rPr>
                <w:rFonts w:eastAsia="Aptos"/>
              </w:rPr>
              <w:t>predpokladá sa nastavenie nových procesov v súvislosti s registráciou skupiny DPH ex</w:t>
            </w:r>
            <w:r>
              <w:rPr>
                <w:rFonts w:eastAsia="Aptos"/>
              </w:rPr>
              <w:t> </w:t>
            </w:r>
            <w:r w:rsidRPr="00FF0513">
              <w:rPr>
                <w:rFonts w:eastAsia="Aptos"/>
              </w:rPr>
              <w:t>offo</w:t>
            </w:r>
            <w:r>
              <w:rPr>
                <w:rFonts w:eastAsia="Aptos"/>
              </w:rPr>
              <w:t>,</w:t>
            </w:r>
          </w:p>
          <w:p w14:paraId="743D9AAC" w14:textId="77777777" w:rsidR="00746D3C" w:rsidRPr="00FF0513" w:rsidRDefault="00746D3C" w:rsidP="007B3372">
            <w:pPr>
              <w:jc w:val="both"/>
              <w:rPr>
                <w:rFonts w:eastAsia="Aptos"/>
              </w:rPr>
            </w:pPr>
            <w:r w:rsidRPr="00FF0513">
              <w:rPr>
                <w:rFonts w:eastAsia="Aptos"/>
              </w:rPr>
              <w:t>-</w:t>
            </w:r>
            <w:r>
              <w:rPr>
                <w:rFonts w:eastAsia="Aptos"/>
              </w:rPr>
              <w:t> </w:t>
            </w:r>
            <w:r w:rsidRPr="00FF0513">
              <w:rPr>
                <w:rFonts w:eastAsia="Aptos"/>
              </w:rPr>
              <w:t xml:space="preserve">predpokladá sa potreba čerpania informácií z iných zdrojov verejnej správy </w:t>
            </w:r>
            <w:r>
              <w:rPr>
                <w:rFonts w:eastAsia="Aptos"/>
              </w:rPr>
              <w:t>na</w:t>
            </w:r>
            <w:r w:rsidRPr="00FF0513">
              <w:rPr>
                <w:rFonts w:eastAsia="Aptos"/>
              </w:rPr>
              <w:t xml:space="preserve"> účely zistenia podmienok pre registráciu skupiny z úradnej moci</w:t>
            </w:r>
            <w:r>
              <w:rPr>
                <w:rFonts w:eastAsia="Aptos"/>
              </w:rPr>
              <w:t>,</w:t>
            </w:r>
          </w:p>
          <w:p w14:paraId="7A63A7C0" w14:textId="77777777" w:rsidR="00746D3C" w:rsidRDefault="00746D3C" w:rsidP="007B3372">
            <w:pPr>
              <w:jc w:val="both"/>
              <w:rPr>
                <w:bCs/>
              </w:rPr>
            </w:pPr>
            <w:r w:rsidRPr="00FF0513">
              <w:rPr>
                <w:rFonts w:eastAsia="Aptos"/>
              </w:rPr>
              <w:t>- pre vypracovanie analýzy sú dôležité aj informácie z OR SR a ZR SR</w:t>
            </w:r>
            <w:r>
              <w:rPr>
                <w:rFonts w:eastAsia="Aptos"/>
              </w:rPr>
              <w:t>.</w:t>
            </w:r>
            <w:r w:rsidRPr="00FF0513">
              <w:rPr>
                <w:rFonts w:ascii="Arial Narrow" w:eastAsia="Aptos" w:hAnsi="Arial Narrow"/>
              </w:rPr>
              <w:t xml:space="preserve"> </w:t>
            </w:r>
          </w:p>
        </w:tc>
      </w:tr>
    </w:tbl>
    <w:p w14:paraId="6EA3E3B7" w14:textId="77777777" w:rsidR="00746D3C" w:rsidRPr="009300CA" w:rsidRDefault="00746D3C" w:rsidP="00746D3C">
      <w:pPr>
        <w:jc w:val="both"/>
        <w:rPr>
          <w:bCs/>
        </w:rPr>
      </w:pPr>
    </w:p>
    <w:p w14:paraId="2063D2FA" w14:textId="77777777" w:rsidR="00746D3C" w:rsidRPr="004F65F3" w:rsidRDefault="00746D3C" w:rsidP="00746D3C">
      <w:pPr>
        <w:tabs>
          <w:tab w:val="num" w:pos="1080"/>
        </w:tabs>
        <w:jc w:val="both"/>
        <w:rPr>
          <w:b/>
        </w:rPr>
      </w:pPr>
      <w:r>
        <w:rPr>
          <w:b/>
        </w:rPr>
        <w:t xml:space="preserve">III. </w:t>
      </w:r>
      <w:r w:rsidRPr="004F65F3">
        <w:rPr>
          <w:b/>
        </w:rPr>
        <w:t>Registrácia skupiny ex offo -</w:t>
      </w:r>
      <w:r w:rsidRPr="004F65F3">
        <w:t xml:space="preserve"> </w:t>
      </w:r>
      <w:r w:rsidRPr="004F65F3">
        <w:rPr>
          <w:b/>
        </w:rPr>
        <w:t>PFS</w:t>
      </w:r>
    </w:p>
    <w:tbl>
      <w:tblPr>
        <w:tblStyle w:val="Mriekatabuky"/>
        <w:tblW w:w="0" w:type="auto"/>
        <w:tblLook w:val="04A0" w:firstRow="1" w:lastRow="0" w:firstColumn="1" w:lastColumn="0" w:noHBand="0" w:noVBand="1"/>
      </w:tblPr>
      <w:tblGrid>
        <w:gridCol w:w="9060"/>
      </w:tblGrid>
      <w:tr w:rsidR="00746D3C" w:rsidRPr="004F65F3" w14:paraId="3E9546A9" w14:textId="77777777" w:rsidTr="007B3372">
        <w:tc>
          <w:tcPr>
            <w:tcW w:w="9062" w:type="dxa"/>
          </w:tcPr>
          <w:p w14:paraId="30A17F16" w14:textId="77777777" w:rsidR="00746D3C" w:rsidRPr="004F65F3" w:rsidRDefault="00746D3C" w:rsidP="007B3372">
            <w:pPr>
              <w:tabs>
                <w:tab w:val="num" w:pos="1080"/>
              </w:tabs>
              <w:jc w:val="both"/>
              <w:rPr>
                <w:bCs/>
              </w:rPr>
            </w:pPr>
            <w:r w:rsidRPr="004F65F3">
              <w:rPr>
                <w:bCs/>
              </w:rPr>
              <w:t>Odhad zahŕňa prácnosť podľa povahy navrhovaných zmien.</w:t>
            </w:r>
          </w:p>
        </w:tc>
      </w:tr>
    </w:tbl>
    <w:p w14:paraId="7FC488CC" w14:textId="77777777" w:rsidR="00746D3C" w:rsidRPr="004F65F3" w:rsidRDefault="00746D3C" w:rsidP="00746D3C">
      <w:pPr>
        <w:tabs>
          <w:tab w:val="num" w:pos="1080"/>
        </w:tabs>
        <w:jc w:val="both"/>
        <w:rPr>
          <w:bCs/>
        </w:rPr>
      </w:pPr>
    </w:p>
    <w:p w14:paraId="31C0FE49" w14:textId="77777777" w:rsidR="00746D3C" w:rsidRPr="004F65F3" w:rsidRDefault="00746D3C" w:rsidP="00746D3C">
      <w:pPr>
        <w:tabs>
          <w:tab w:val="num" w:pos="1080"/>
        </w:tabs>
        <w:jc w:val="both"/>
        <w:rPr>
          <w:b/>
        </w:rPr>
      </w:pPr>
      <w:r>
        <w:rPr>
          <w:b/>
        </w:rPr>
        <w:t xml:space="preserve">III. </w:t>
      </w:r>
      <w:r w:rsidRPr="004F65F3">
        <w:rPr>
          <w:b/>
        </w:rPr>
        <w:t>Registrácia skupiny ex offo -</w:t>
      </w:r>
      <w:r w:rsidRPr="004F65F3">
        <w:t xml:space="preserve"> </w:t>
      </w:r>
      <w:r w:rsidRPr="004F65F3">
        <w:rPr>
          <w:b/>
        </w:rPr>
        <w:t>DRSCAN</w:t>
      </w:r>
    </w:p>
    <w:tbl>
      <w:tblPr>
        <w:tblStyle w:val="Mriekatabuky"/>
        <w:tblW w:w="0" w:type="auto"/>
        <w:tblLook w:val="04A0" w:firstRow="1" w:lastRow="0" w:firstColumn="1" w:lastColumn="0" w:noHBand="0" w:noVBand="1"/>
      </w:tblPr>
      <w:tblGrid>
        <w:gridCol w:w="9060"/>
      </w:tblGrid>
      <w:tr w:rsidR="00746D3C" w:rsidRPr="004F65F3" w14:paraId="056A11E5" w14:textId="77777777" w:rsidTr="007B3372">
        <w:tc>
          <w:tcPr>
            <w:tcW w:w="9062" w:type="dxa"/>
          </w:tcPr>
          <w:p w14:paraId="53E7F9E1" w14:textId="77777777" w:rsidR="00746D3C" w:rsidRPr="004F65F3" w:rsidRDefault="00746D3C" w:rsidP="007B3372">
            <w:pPr>
              <w:tabs>
                <w:tab w:val="num" w:pos="1080"/>
              </w:tabs>
              <w:jc w:val="both"/>
              <w:rPr>
                <w:bCs/>
              </w:rPr>
            </w:pPr>
            <w:r w:rsidRPr="004F65F3">
              <w:rPr>
                <w:bCs/>
              </w:rPr>
              <w:t>Dávkové skenovanie, PDF súbory</w:t>
            </w:r>
          </w:p>
        </w:tc>
      </w:tr>
    </w:tbl>
    <w:p w14:paraId="513D39E9" w14:textId="77777777" w:rsidR="00746D3C" w:rsidRPr="004F65F3" w:rsidRDefault="00746D3C" w:rsidP="00746D3C">
      <w:pPr>
        <w:tabs>
          <w:tab w:val="num" w:pos="1080"/>
        </w:tabs>
        <w:jc w:val="both"/>
        <w:rPr>
          <w:b/>
        </w:rPr>
      </w:pPr>
    </w:p>
    <w:p w14:paraId="34E37091" w14:textId="77777777" w:rsidR="00746D3C" w:rsidRDefault="00746D3C" w:rsidP="00746D3C">
      <w:pPr>
        <w:tabs>
          <w:tab w:val="num" w:pos="1080"/>
        </w:tabs>
        <w:jc w:val="both"/>
        <w:rPr>
          <w:b/>
        </w:rPr>
      </w:pPr>
      <w:r>
        <w:rPr>
          <w:b/>
        </w:rPr>
        <w:t xml:space="preserve">III. </w:t>
      </w:r>
      <w:r w:rsidRPr="004F65F3">
        <w:rPr>
          <w:b/>
        </w:rPr>
        <w:t>Registrácia skupiny ex offo -</w:t>
      </w:r>
      <w:r w:rsidRPr="004F65F3">
        <w:t xml:space="preserve"> </w:t>
      </w:r>
      <w:r w:rsidRPr="004F65F3">
        <w:rPr>
          <w:b/>
        </w:rPr>
        <w:t>VIES</w:t>
      </w:r>
    </w:p>
    <w:tbl>
      <w:tblPr>
        <w:tblStyle w:val="Mriekatabuky"/>
        <w:tblW w:w="0" w:type="auto"/>
        <w:tblLook w:val="04A0" w:firstRow="1" w:lastRow="0" w:firstColumn="1" w:lastColumn="0" w:noHBand="0" w:noVBand="1"/>
      </w:tblPr>
      <w:tblGrid>
        <w:gridCol w:w="9060"/>
      </w:tblGrid>
      <w:tr w:rsidR="00746D3C" w14:paraId="19E8423F" w14:textId="77777777" w:rsidTr="007B3372">
        <w:tc>
          <w:tcPr>
            <w:tcW w:w="9062" w:type="dxa"/>
          </w:tcPr>
          <w:p w14:paraId="14624B1D" w14:textId="77777777" w:rsidR="00746D3C" w:rsidRDefault="00746D3C" w:rsidP="007B3372">
            <w:pPr>
              <w:tabs>
                <w:tab w:val="num" w:pos="1080"/>
              </w:tabs>
              <w:jc w:val="both"/>
              <w:rPr>
                <w:b/>
              </w:rPr>
            </w:pPr>
            <w:r>
              <w:rPr>
                <w:bCs/>
              </w:rPr>
              <w:t xml:space="preserve">Absencia dodávateľa pre VIES neumožňuje popísať </w:t>
            </w:r>
            <w:r w:rsidRPr="001735BF">
              <w:rPr>
                <w:bCs/>
              </w:rPr>
              <w:t>v dostatočne podrobnej miere povahu navrhovaných zmien</w:t>
            </w:r>
            <w:r>
              <w:rPr>
                <w:bCs/>
              </w:rPr>
              <w:t>. Ide o veľmi hrubý odhad</w:t>
            </w:r>
            <w:r w:rsidRPr="00375960">
              <w:rPr>
                <w:bCs/>
              </w:rPr>
              <w:t>, ktorý sa môže výrazne líšiť od skutočnosti</w:t>
            </w:r>
            <w:r>
              <w:rPr>
                <w:bCs/>
              </w:rPr>
              <w:t>.</w:t>
            </w:r>
          </w:p>
        </w:tc>
      </w:tr>
    </w:tbl>
    <w:p w14:paraId="7E4232E4" w14:textId="77777777" w:rsidR="00746D3C" w:rsidRDefault="00746D3C" w:rsidP="00746D3C">
      <w:pPr>
        <w:tabs>
          <w:tab w:val="num" w:pos="1080"/>
        </w:tabs>
        <w:jc w:val="both"/>
        <w:rPr>
          <w:b/>
        </w:rPr>
      </w:pPr>
    </w:p>
    <w:p w14:paraId="4CA74405" w14:textId="77777777" w:rsidR="00746D3C" w:rsidRDefault="00746D3C" w:rsidP="00746D3C">
      <w:pPr>
        <w:tabs>
          <w:tab w:val="num" w:pos="1080"/>
        </w:tabs>
        <w:spacing w:after="120"/>
        <w:jc w:val="both"/>
      </w:pPr>
      <w:r w:rsidRPr="001E76AD">
        <w:t xml:space="preserve">Negatívny vplyv na rozpočet verejnej správy súvisí aj s požiadavkami na </w:t>
      </w:r>
      <w:r>
        <w:t>personálne</w:t>
      </w:r>
      <w:r w:rsidRPr="001E76AD">
        <w:t xml:space="preserve"> kapacity finančnej správy. Navrhované legislatívne zmeny</w:t>
      </w:r>
      <w:r>
        <w:t xml:space="preserve"> (zákon č. 215/2019 Z. z.)</w:t>
      </w:r>
      <w:r w:rsidRPr="001E76AD">
        <w:t xml:space="preserve"> vyvolávajú požiadavku na </w:t>
      </w:r>
      <w:r>
        <w:t xml:space="preserve">navýšenie limitu počtu zamestnancov </w:t>
      </w:r>
      <w:r w:rsidRPr="001E76AD">
        <w:t>o</w:t>
      </w:r>
      <w:r>
        <w:t> 6 osôb neozbrojených príslušníkov finančnej správy, z dôvodov:</w:t>
      </w:r>
    </w:p>
    <w:p w14:paraId="47E962EF" w14:textId="77777777" w:rsidR="00746D3C" w:rsidRPr="004F1724" w:rsidRDefault="00746D3C" w:rsidP="00746D3C">
      <w:pPr>
        <w:tabs>
          <w:tab w:val="num" w:pos="1080"/>
        </w:tabs>
        <w:ind w:left="284" w:hanging="284"/>
        <w:jc w:val="both"/>
      </w:pPr>
      <w:r w:rsidRPr="004F1724">
        <w:t>-</w:t>
      </w:r>
      <w:r>
        <w:tab/>
      </w:r>
      <w:r w:rsidRPr="004F1724">
        <w:t>zvýšená administratívna záťaž - implementácia e-faktúry vyžaduje dôkladnú správu a</w:t>
      </w:r>
      <w:r>
        <w:t> </w:t>
      </w:r>
      <w:r w:rsidRPr="004F1724">
        <w:t>kontrolu elektronických faktúr, čo znamená viac práce pre administratívnych pracovníkov,</w:t>
      </w:r>
    </w:p>
    <w:p w14:paraId="5F8552F9" w14:textId="77777777" w:rsidR="00746D3C" w:rsidRPr="004F1724" w:rsidRDefault="00746D3C" w:rsidP="00746D3C">
      <w:pPr>
        <w:tabs>
          <w:tab w:val="num" w:pos="1080"/>
        </w:tabs>
        <w:ind w:left="284" w:hanging="284"/>
        <w:jc w:val="both"/>
      </w:pPr>
      <w:r w:rsidRPr="004F1724">
        <w:t>-</w:t>
      </w:r>
      <w:r>
        <w:tab/>
      </w:r>
      <w:r w:rsidRPr="004F1724">
        <w:t xml:space="preserve">technická podpora - nový systém bude potrebovať technickú podporu na riešenie problémov a zabezpečenie plynulého fungovania. To zahŕňa IT špecialistov a technikov, </w:t>
      </w:r>
    </w:p>
    <w:p w14:paraId="18CD06BB" w14:textId="77777777" w:rsidR="00746D3C" w:rsidRDefault="00746D3C" w:rsidP="00746D3C">
      <w:pPr>
        <w:tabs>
          <w:tab w:val="num" w:pos="1080"/>
        </w:tabs>
        <w:ind w:left="284" w:hanging="284"/>
        <w:jc w:val="both"/>
      </w:pPr>
      <w:r w:rsidRPr="004F1724">
        <w:t>-</w:t>
      </w:r>
      <w:r>
        <w:tab/>
      </w:r>
      <w:r w:rsidRPr="004F1724">
        <w:t>zlepšenie efektivity a transparentnosti - cieľom e-faktúry je zvýšiť efektivitu výberu daní a</w:t>
      </w:r>
      <w:r>
        <w:t> </w:t>
      </w:r>
      <w:r w:rsidRPr="004F1724">
        <w:t>znížiť daňové úniky, čo si vyžaduje viac zamestnancov na monitorovanie a analýzu transakcií.</w:t>
      </w:r>
    </w:p>
    <w:p w14:paraId="0C87F978" w14:textId="77777777" w:rsidR="00746D3C" w:rsidRDefault="00746D3C" w:rsidP="00746D3C">
      <w:pPr>
        <w:tabs>
          <w:tab w:val="num" w:pos="1080"/>
        </w:tabs>
        <w:jc w:val="both"/>
      </w:pPr>
    </w:p>
    <w:p w14:paraId="577A39A6" w14:textId="77777777" w:rsidR="00746D3C" w:rsidRDefault="00746D3C" w:rsidP="00746D3C">
      <w:pPr>
        <w:tabs>
          <w:tab w:val="num" w:pos="1080"/>
        </w:tabs>
        <w:jc w:val="both"/>
      </w:pPr>
      <w:r>
        <w:t xml:space="preserve">Celkový ročný vplyv na štátny rozpočet v oblasti osobných výdavkov predstavuje </w:t>
      </w:r>
      <w:r>
        <w:rPr>
          <w:bCs/>
        </w:rPr>
        <w:t>264 287</w:t>
      </w:r>
      <w:r w:rsidRPr="001E76AD">
        <w:rPr>
          <w:bCs/>
        </w:rPr>
        <w:t xml:space="preserve"> </w:t>
      </w:r>
      <w:r>
        <w:rPr>
          <w:bCs/>
        </w:rPr>
        <w:t>eur, z toho mzdové výdavky 194 400 eur</w:t>
      </w:r>
      <w:r w:rsidRPr="001E76AD">
        <w:t>.</w:t>
      </w:r>
    </w:p>
    <w:p w14:paraId="070272F8" w14:textId="77777777" w:rsidR="00746D3C" w:rsidRDefault="00746D3C" w:rsidP="00746D3C">
      <w:pPr>
        <w:tabs>
          <w:tab w:val="num" w:pos="1080"/>
        </w:tabs>
        <w:jc w:val="both"/>
      </w:pPr>
    </w:p>
    <w:tbl>
      <w:tblPr>
        <w:tblW w:w="7020" w:type="dxa"/>
        <w:jc w:val="center"/>
        <w:tblCellMar>
          <w:left w:w="0" w:type="dxa"/>
          <w:right w:w="0" w:type="dxa"/>
        </w:tblCellMar>
        <w:tblLook w:val="04A0" w:firstRow="1" w:lastRow="0" w:firstColumn="1" w:lastColumn="0" w:noHBand="0" w:noVBand="1"/>
      </w:tblPr>
      <w:tblGrid>
        <w:gridCol w:w="2627"/>
        <w:gridCol w:w="1567"/>
        <w:gridCol w:w="1619"/>
        <w:gridCol w:w="1207"/>
      </w:tblGrid>
      <w:tr w:rsidR="00746D3C" w14:paraId="00C15A7E" w14:textId="77777777" w:rsidTr="007B3372">
        <w:trPr>
          <w:trHeight w:val="397"/>
          <w:jc w:val="center"/>
        </w:trPr>
        <w:tc>
          <w:tcPr>
            <w:tcW w:w="262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4014986" w14:textId="77777777" w:rsidR="00746D3C" w:rsidRPr="00F27145" w:rsidRDefault="00746D3C" w:rsidP="007B3372">
            <w:pPr>
              <w:jc w:val="center"/>
              <w:rPr>
                <w:b/>
                <w:bCs/>
                <w:color w:val="000000"/>
                <w:sz w:val="20"/>
                <w:szCs w:val="20"/>
              </w:rPr>
            </w:pPr>
            <w:r>
              <w:rPr>
                <w:b/>
                <w:bCs/>
                <w:color w:val="000000"/>
                <w:sz w:val="20"/>
                <w:szCs w:val="20"/>
              </w:rPr>
              <w:t>Počet zamestnancov</w:t>
            </w:r>
          </w:p>
        </w:tc>
        <w:tc>
          <w:tcPr>
            <w:tcW w:w="1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06E3A59" w14:textId="77777777" w:rsidR="00746D3C" w:rsidRPr="00F27145" w:rsidRDefault="00746D3C" w:rsidP="007B3372">
            <w:pPr>
              <w:jc w:val="center"/>
              <w:rPr>
                <w:b/>
                <w:bCs/>
                <w:color w:val="000000"/>
                <w:sz w:val="20"/>
                <w:szCs w:val="20"/>
              </w:rPr>
            </w:pPr>
            <w:r w:rsidRPr="00F27145">
              <w:rPr>
                <w:b/>
                <w:bCs/>
                <w:color w:val="000000"/>
                <w:sz w:val="20"/>
                <w:szCs w:val="20"/>
              </w:rPr>
              <w:t>Mzd</w:t>
            </w:r>
            <w:r>
              <w:rPr>
                <w:b/>
                <w:bCs/>
                <w:color w:val="000000"/>
                <w:sz w:val="20"/>
                <w:szCs w:val="20"/>
              </w:rPr>
              <w:t xml:space="preserve">y, platy, služobné príjmy a OOV </w:t>
            </w:r>
            <w:r w:rsidRPr="00F27145">
              <w:rPr>
                <w:b/>
                <w:bCs/>
                <w:color w:val="000000"/>
                <w:sz w:val="20"/>
                <w:szCs w:val="20"/>
              </w:rPr>
              <w:t>v</w:t>
            </w:r>
            <w:r>
              <w:rPr>
                <w:b/>
                <w:bCs/>
                <w:color w:val="000000"/>
                <w:sz w:val="20"/>
                <w:szCs w:val="20"/>
              </w:rPr>
              <w:t> </w:t>
            </w:r>
            <w:r w:rsidRPr="00F27145">
              <w:rPr>
                <w:b/>
                <w:bCs/>
                <w:color w:val="000000"/>
                <w:sz w:val="20"/>
                <w:szCs w:val="20"/>
              </w:rPr>
              <w:t xml:space="preserve">ročnom vyjadrení </w:t>
            </w:r>
            <w:r>
              <w:rPr>
                <w:b/>
                <w:bCs/>
                <w:color w:val="000000"/>
                <w:sz w:val="20"/>
                <w:szCs w:val="20"/>
              </w:rPr>
              <w:t xml:space="preserve">v </w:t>
            </w:r>
            <w:r w:rsidRPr="00F27145">
              <w:rPr>
                <w:b/>
                <w:bCs/>
                <w:color w:val="000000"/>
                <w:sz w:val="20"/>
                <w:szCs w:val="20"/>
              </w:rPr>
              <w:t>€</w:t>
            </w:r>
          </w:p>
        </w:tc>
        <w:tc>
          <w:tcPr>
            <w:tcW w:w="161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FC149AA" w14:textId="77777777" w:rsidR="00746D3C" w:rsidRPr="00F27145" w:rsidRDefault="00746D3C" w:rsidP="007B3372">
            <w:pPr>
              <w:jc w:val="center"/>
              <w:rPr>
                <w:b/>
                <w:bCs/>
                <w:color w:val="000000"/>
                <w:sz w:val="20"/>
                <w:szCs w:val="20"/>
              </w:rPr>
            </w:pPr>
            <w:r>
              <w:rPr>
                <w:b/>
                <w:bCs/>
                <w:color w:val="000000"/>
                <w:sz w:val="20"/>
                <w:szCs w:val="20"/>
              </w:rPr>
              <w:t>P</w:t>
            </w:r>
            <w:r w:rsidRPr="00F27145">
              <w:rPr>
                <w:b/>
                <w:bCs/>
                <w:color w:val="000000"/>
                <w:sz w:val="20"/>
                <w:szCs w:val="20"/>
              </w:rPr>
              <w:t>oistné</w:t>
            </w:r>
            <w:r>
              <w:rPr>
                <w:b/>
                <w:bCs/>
                <w:color w:val="000000"/>
                <w:sz w:val="20"/>
                <w:szCs w:val="20"/>
              </w:rPr>
              <w:t xml:space="preserve"> a príspevok do poisťovní </w:t>
            </w:r>
            <w:r w:rsidRPr="00F27145">
              <w:rPr>
                <w:b/>
                <w:bCs/>
                <w:color w:val="000000"/>
                <w:sz w:val="20"/>
                <w:szCs w:val="20"/>
              </w:rPr>
              <w:t>v</w:t>
            </w:r>
            <w:r>
              <w:rPr>
                <w:b/>
                <w:bCs/>
                <w:color w:val="000000"/>
                <w:sz w:val="20"/>
                <w:szCs w:val="20"/>
              </w:rPr>
              <w:t> </w:t>
            </w:r>
            <w:r w:rsidRPr="00F27145">
              <w:rPr>
                <w:b/>
                <w:bCs/>
                <w:color w:val="000000"/>
                <w:sz w:val="20"/>
                <w:szCs w:val="20"/>
              </w:rPr>
              <w:t>ročnom vyjadrení</w:t>
            </w:r>
            <w:r>
              <w:rPr>
                <w:b/>
                <w:bCs/>
                <w:color w:val="000000"/>
                <w:sz w:val="20"/>
                <w:szCs w:val="20"/>
              </w:rPr>
              <w:t xml:space="preserve"> v</w:t>
            </w:r>
            <w:r w:rsidRPr="00F27145">
              <w:rPr>
                <w:b/>
                <w:bCs/>
                <w:color w:val="000000"/>
                <w:sz w:val="20"/>
                <w:szCs w:val="20"/>
              </w:rPr>
              <w:t xml:space="preserve"> €</w:t>
            </w:r>
          </w:p>
        </w:tc>
        <w:tc>
          <w:tcPr>
            <w:tcW w:w="120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533D6BA" w14:textId="77777777" w:rsidR="00746D3C" w:rsidRPr="00393572" w:rsidRDefault="00746D3C" w:rsidP="007B3372">
            <w:pPr>
              <w:jc w:val="center"/>
              <w:rPr>
                <w:b/>
                <w:bCs/>
                <w:color w:val="000000"/>
                <w:sz w:val="20"/>
                <w:szCs w:val="20"/>
              </w:rPr>
            </w:pPr>
            <w:r>
              <w:rPr>
                <w:b/>
                <w:bCs/>
                <w:color w:val="000000"/>
                <w:sz w:val="20"/>
                <w:szCs w:val="20"/>
              </w:rPr>
              <w:t xml:space="preserve">Osobné výdavky </w:t>
            </w:r>
            <w:r w:rsidRPr="00393572">
              <w:rPr>
                <w:b/>
                <w:bCs/>
                <w:color w:val="000000"/>
                <w:sz w:val="20"/>
                <w:szCs w:val="20"/>
              </w:rPr>
              <w:t>spolu</w:t>
            </w:r>
          </w:p>
        </w:tc>
      </w:tr>
      <w:tr w:rsidR="00746D3C" w14:paraId="6B8E3994" w14:textId="77777777" w:rsidTr="007B3372">
        <w:trPr>
          <w:trHeight w:val="402"/>
          <w:jc w:val="center"/>
        </w:trPr>
        <w:tc>
          <w:tcPr>
            <w:tcW w:w="26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4B93ABD" w14:textId="77777777" w:rsidR="00746D3C" w:rsidRPr="00F27145" w:rsidRDefault="00746D3C" w:rsidP="007B3372">
            <w:pPr>
              <w:rPr>
                <w:color w:val="000000"/>
                <w:sz w:val="20"/>
                <w:szCs w:val="20"/>
              </w:rPr>
            </w:pPr>
            <w:r w:rsidRPr="00F27145">
              <w:rPr>
                <w:color w:val="000000"/>
                <w:sz w:val="20"/>
                <w:szCs w:val="20"/>
              </w:rPr>
              <w:t xml:space="preserve">Spolu </w:t>
            </w:r>
            <w:r>
              <w:rPr>
                <w:color w:val="000000"/>
                <w:sz w:val="20"/>
                <w:szCs w:val="20"/>
              </w:rPr>
              <w:t xml:space="preserve">+ </w:t>
            </w:r>
            <w:r w:rsidRPr="00F27145">
              <w:rPr>
                <w:color w:val="000000"/>
                <w:sz w:val="20"/>
                <w:szCs w:val="20"/>
              </w:rPr>
              <w:t xml:space="preserve">6 </w:t>
            </w:r>
            <w:r>
              <w:rPr>
                <w:color w:val="000000"/>
                <w:sz w:val="20"/>
                <w:szCs w:val="20"/>
              </w:rPr>
              <w:t>osôb (NPFS)</w:t>
            </w:r>
          </w:p>
        </w:tc>
        <w:tc>
          <w:tcPr>
            <w:tcW w:w="1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0F2986" w14:textId="77777777" w:rsidR="00746D3C" w:rsidRPr="00F27145" w:rsidRDefault="00746D3C" w:rsidP="007B3372">
            <w:pPr>
              <w:jc w:val="right"/>
              <w:rPr>
                <w:color w:val="000000"/>
                <w:sz w:val="20"/>
                <w:szCs w:val="20"/>
              </w:rPr>
            </w:pPr>
            <w:r>
              <w:rPr>
                <w:color w:val="000000"/>
                <w:sz w:val="20"/>
                <w:szCs w:val="20"/>
              </w:rPr>
              <w:t>194 400</w:t>
            </w:r>
            <w:r w:rsidRPr="00F27145">
              <w:rPr>
                <w:color w:val="000000"/>
                <w:sz w:val="20"/>
                <w:szCs w:val="20"/>
              </w:rPr>
              <w:t>,00</w:t>
            </w:r>
          </w:p>
        </w:tc>
        <w:tc>
          <w:tcPr>
            <w:tcW w:w="16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B8B5E2" w14:textId="77777777" w:rsidR="00746D3C" w:rsidRPr="00F27145" w:rsidRDefault="00746D3C" w:rsidP="007B3372">
            <w:pPr>
              <w:jc w:val="right"/>
              <w:rPr>
                <w:color w:val="000000"/>
                <w:sz w:val="20"/>
                <w:szCs w:val="20"/>
              </w:rPr>
            </w:pPr>
            <w:r>
              <w:rPr>
                <w:color w:val="000000"/>
                <w:sz w:val="20"/>
                <w:szCs w:val="20"/>
              </w:rPr>
              <w:t>69 887</w:t>
            </w:r>
            <w:r w:rsidRPr="00F27145">
              <w:rPr>
                <w:color w:val="000000"/>
                <w:sz w:val="20"/>
                <w:szCs w:val="20"/>
              </w:rPr>
              <w:t>,</w:t>
            </w:r>
            <w:r>
              <w:rPr>
                <w:color w:val="000000"/>
                <w:sz w:val="20"/>
                <w:szCs w:val="20"/>
              </w:rPr>
              <w:t>00</w:t>
            </w:r>
          </w:p>
        </w:tc>
        <w:tc>
          <w:tcPr>
            <w:tcW w:w="120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12268A24" w14:textId="77777777" w:rsidR="00746D3C" w:rsidRPr="00F27145" w:rsidRDefault="00746D3C" w:rsidP="007B3372">
            <w:pPr>
              <w:jc w:val="right"/>
              <w:rPr>
                <w:color w:val="000000"/>
                <w:sz w:val="20"/>
                <w:szCs w:val="20"/>
              </w:rPr>
            </w:pPr>
            <w:r>
              <w:rPr>
                <w:color w:val="000000"/>
                <w:sz w:val="20"/>
                <w:szCs w:val="20"/>
              </w:rPr>
              <w:t>264 287,00</w:t>
            </w:r>
          </w:p>
        </w:tc>
      </w:tr>
    </w:tbl>
    <w:p w14:paraId="4A43CCF0" w14:textId="77777777" w:rsidR="00746D3C" w:rsidRPr="00D0769B" w:rsidRDefault="00746D3C" w:rsidP="00746D3C">
      <w:pPr>
        <w:tabs>
          <w:tab w:val="num" w:pos="1080"/>
        </w:tabs>
        <w:jc w:val="both"/>
        <w:rPr>
          <w:bCs/>
        </w:rPr>
      </w:pPr>
    </w:p>
    <w:p w14:paraId="2619FBDD" w14:textId="77777777" w:rsidR="00746D3C" w:rsidRPr="00375960" w:rsidRDefault="00746D3C" w:rsidP="00746D3C">
      <w:pPr>
        <w:tabs>
          <w:tab w:val="num" w:pos="1080"/>
        </w:tabs>
        <w:jc w:val="both"/>
        <w:rPr>
          <w:b/>
        </w:rPr>
        <w:sectPr w:rsidR="00746D3C" w:rsidRPr="00375960" w:rsidSect="006D7621">
          <w:headerReference w:type="even" r:id="rId10"/>
          <w:footerReference w:type="even" r:id="rId11"/>
          <w:footerReference w:type="default" r:id="rId12"/>
          <w:headerReference w:type="first" r:id="rId13"/>
          <w:footerReference w:type="first" r:id="rId14"/>
          <w:pgSz w:w="11906" w:h="16838"/>
          <w:pgMar w:top="1247" w:right="1418" w:bottom="1134" w:left="1418" w:header="709" w:footer="709" w:gutter="0"/>
          <w:pgNumType w:start="1"/>
          <w:cols w:space="708"/>
          <w:docGrid w:linePitch="360"/>
        </w:sectPr>
      </w:pPr>
    </w:p>
    <w:p w14:paraId="4DE01D9C" w14:textId="77777777" w:rsidR="00746D3C" w:rsidRPr="007B7470" w:rsidRDefault="00746D3C" w:rsidP="00746D3C">
      <w:pPr>
        <w:tabs>
          <w:tab w:val="num" w:pos="1080"/>
        </w:tabs>
        <w:jc w:val="center"/>
        <w:rPr>
          <w:bCs/>
          <w:sz w:val="20"/>
          <w:szCs w:val="20"/>
        </w:rPr>
      </w:pPr>
      <w:r w:rsidRPr="007B7470">
        <w:rPr>
          <w:bCs/>
          <w:sz w:val="20"/>
          <w:szCs w:val="20"/>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46D3C" w:rsidRPr="007B7470" w14:paraId="0E4747F7" w14:textId="77777777" w:rsidTr="007B3372">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DCB8B9" w14:textId="77777777" w:rsidR="00746D3C" w:rsidRPr="007B7470" w:rsidRDefault="00746D3C" w:rsidP="007B3372">
            <w:pPr>
              <w:jc w:val="center"/>
              <w:rPr>
                <w:b/>
                <w:bCs/>
              </w:rPr>
            </w:pPr>
            <w:r w:rsidRPr="007B7470">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3A75CE3" w14:textId="77777777" w:rsidR="00746D3C" w:rsidRPr="007B7470" w:rsidRDefault="00746D3C" w:rsidP="007B3372">
            <w:pPr>
              <w:jc w:val="center"/>
              <w:rPr>
                <w:b/>
                <w:bCs/>
              </w:rPr>
            </w:pPr>
            <w:r w:rsidRPr="007B7470">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6A3357A" w14:textId="77777777" w:rsidR="00746D3C" w:rsidRPr="007B7470" w:rsidRDefault="00746D3C" w:rsidP="007B3372">
            <w:pPr>
              <w:jc w:val="center"/>
              <w:rPr>
                <w:b/>
                <w:bCs/>
              </w:rPr>
            </w:pPr>
            <w:r w:rsidRPr="007B7470">
              <w:rPr>
                <w:b/>
                <w:bCs/>
              </w:rPr>
              <w:t>poznámka</w:t>
            </w:r>
          </w:p>
        </w:tc>
      </w:tr>
      <w:tr w:rsidR="00746D3C" w:rsidRPr="007B7470" w14:paraId="43ADA38E" w14:textId="77777777" w:rsidTr="007B3372">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5FA07C83" w14:textId="77777777" w:rsidR="00746D3C" w:rsidRPr="007B7470" w:rsidRDefault="00746D3C" w:rsidP="007B3372">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14:paraId="2AD586C2" w14:textId="77777777" w:rsidR="00746D3C" w:rsidRPr="007B7470" w:rsidRDefault="00746D3C" w:rsidP="007B3372">
            <w:pPr>
              <w:jc w:val="center"/>
              <w:rPr>
                <w:b/>
                <w:bCs/>
              </w:rPr>
            </w:pPr>
            <w:r>
              <w:rPr>
                <w:b/>
                <w:bCs/>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5C9F79CC" w14:textId="77777777" w:rsidR="00746D3C" w:rsidRPr="007B7470" w:rsidRDefault="00746D3C" w:rsidP="007B3372">
            <w:pPr>
              <w:jc w:val="center"/>
              <w:rPr>
                <w:b/>
                <w:bCs/>
              </w:rPr>
            </w:pPr>
            <w:r>
              <w:rPr>
                <w:b/>
                <w:bCs/>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6D105F39" w14:textId="77777777" w:rsidR="00746D3C" w:rsidRPr="007B7470" w:rsidRDefault="00746D3C" w:rsidP="007B3372">
            <w:pPr>
              <w:jc w:val="center"/>
              <w:rPr>
                <w:b/>
                <w:bCs/>
              </w:rPr>
            </w:pPr>
            <w:r>
              <w:rPr>
                <w:b/>
                <w:bCs/>
              </w:rPr>
              <w:t>2027</w:t>
            </w:r>
          </w:p>
        </w:tc>
        <w:tc>
          <w:tcPr>
            <w:tcW w:w="1500" w:type="dxa"/>
            <w:tcBorders>
              <w:top w:val="nil"/>
              <w:left w:val="nil"/>
              <w:bottom w:val="single" w:sz="4" w:space="0" w:color="auto"/>
              <w:right w:val="single" w:sz="4" w:space="0" w:color="auto"/>
            </w:tcBorders>
            <w:shd w:val="clear" w:color="auto" w:fill="BFBFBF" w:themeFill="background1" w:themeFillShade="BF"/>
          </w:tcPr>
          <w:p w14:paraId="2821FEED" w14:textId="77777777" w:rsidR="00746D3C" w:rsidRPr="007B7470" w:rsidRDefault="00746D3C" w:rsidP="007B3372">
            <w:pPr>
              <w:jc w:val="center"/>
              <w:rPr>
                <w:b/>
                <w:bCs/>
              </w:rPr>
            </w:pPr>
            <w:r>
              <w:rPr>
                <w:b/>
                <w:bCs/>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3B3D8F42" w14:textId="77777777" w:rsidR="00746D3C" w:rsidRPr="007B7470" w:rsidRDefault="00746D3C" w:rsidP="007B3372">
            <w:pPr>
              <w:rPr>
                <w:b/>
                <w:bCs/>
                <w:color w:val="FFFFFF"/>
              </w:rPr>
            </w:pPr>
          </w:p>
        </w:tc>
      </w:tr>
      <w:tr w:rsidR="00746D3C" w:rsidRPr="007B7470" w14:paraId="7FB5EE5C" w14:textId="77777777" w:rsidTr="007B3372">
        <w:trPr>
          <w:trHeight w:val="255"/>
        </w:trPr>
        <w:tc>
          <w:tcPr>
            <w:tcW w:w="4950" w:type="dxa"/>
            <w:tcBorders>
              <w:top w:val="nil"/>
              <w:left w:val="single" w:sz="4" w:space="0" w:color="auto"/>
              <w:bottom w:val="single" w:sz="4" w:space="0" w:color="auto"/>
              <w:right w:val="single" w:sz="4" w:space="0" w:color="auto"/>
            </w:tcBorders>
          </w:tcPr>
          <w:p w14:paraId="77684A7C" w14:textId="77777777" w:rsidR="00746D3C" w:rsidRPr="007B7470" w:rsidRDefault="00746D3C" w:rsidP="007B3372">
            <w:pPr>
              <w:rPr>
                <w:b/>
                <w:bCs/>
                <w:vertAlign w:val="superscript"/>
              </w:rPr>
            </w:pPr>
            <w:r w:rsidRPr="007B7470">
              <w:rPr>
                <w:b/>
                <w:bCs/>
              </w:rPr>
              <w:t>Daňové príjmy (100)</w:t>
            </w:r>
            <w:r w:rsidRPr="007B7470">
              <w:rPr>
                <w:b/>
                <w:bCs/>
                <w:vertAlign w:val="superscript"/>
              </w:rPr>
              <w:t>1</w:t>
            </w:r>
          </w:p>
        </w:tc>
        <w:tc>
          <w:tcPr>
            <w:tcW w:w="1500" w:type="dxa"/>
            <w:tcBorders>
              <w:top w:val="nil"/>
              <w:left w:val="nil"/>
              <w:bottom w:val="single" w:sz="4" w:space="0" w:color="auto"/>
              <w:right w:val="single" w:sz="4" w:space="0" w:color="auto"/>
            </w:tcBorders>
          </w:tcPr>
          <w:p w14:paraId="76FE7752" w14:textId="77777777" w:rsidR="00746D3C" w:rsidRPr="007B7470" w:rsidRDefault="00746D3C" w:rsidP="007B3372">
            <w:pPr>
              <w:jc w:val="center"/>
              <w:rPr>
                <w:b/>
                <w:bCs/>
              </w:rPr>
            </w:pPr>
          </w:p>
        </w:tc>
        <w:tc>
          <w:tcPr>
            <w:tcW w:w="1500" w:type="dxa"/>
            <w:tcBorders>
              <w:top w:val="nil"/>
              <w:left w:val="nil"/>
              <w:bottom w:val="single" w:sz="4" w:space="0" w:color="auto"/>
              <w:right w:val="single" w:sz="4" w:space="0" w:color="auto"/>
            </w:tcBorders>
          </w:tcPr>
          <w:p w14:paraId="1B3483CC" w14:textId="77777777" w:rsidR="00746D3C" w:rsidRPr="007B7470" w:rsidRDefault="00746D3C" w:rsidP="007B3372">
            <w:pPr>
              <w:jc w:val="center"/>
              <w:rPr>
                <w:b/>
                <w:bCs/>
              </w:rPr>
            </w:pPr>
          </w:p>
        </w:tc>
        <w:tc>
          <w:tcPr>
            <w:tcW w:w="1500" w:type="dxa"/>
            <w:tcBorders>
              <w:top w:val="nil"/>
              <w:left w:val="nil"/>
              <w:bottom w:val="single" w:sz="4" w:space="0" w:color="auto"/>
              <w:right w:val="single" w:sz="4" w:space="0" w:color="auto"/>
            </w:tcBorders>
          </w:tcPr>
          <w:p w14:paraId="48B0D817" w14:textId="77777777" w:rsidR="00746D3C" w:rsidRPr="007B7470" w:rsidRDefault="00746D3C" w:rsidP="007B3372">
            <w:pPr>
              <w:jc w:val="center"/>
              <w:rPr>
                <w:b/>
                <w:bCs/>
              </w:rPr>
            </w:pPr>
          </w:p>
        </w:tc>
        <w:tc>
          <w:tcPr>
            <w:tcW w:w="1500" w:type="dxa"/>
            <w:tcBorders>
              <w:top w:val="nil"/>
              <w:left w:val="nil"/>
              <w:bottom w:val="single" w:sz="4" w:space="0" w:color="auto"/>
              <w:right w:val="single" w:sz="4" w:space="0" w:color="auto"/>
            </w:tcBorders>
          </w:tcPr>
          <w:p w14:paraId="435EBFEC" w14:textId="77777777" w:rsidR="00746D3C" w:rsidRPr="007B7470" w:rsidRDefault="00746D3C" w:rsidP="007B3372">
            <w:pPr>
              <w:jc w:val="center"/>
              <w:rPr>
                <w:b/>
                <w:bCs/>
              </w:rPr>
            </w:pPr>
          </w:p>
        </w:tc>
        <w:tc>
          <w:tcPr>
            <w:tcW w:w="3000" w:type="dxa"/>
            <w:tcBorders>
              <w:top w:val="nil"/>
              <w:left w:val="nil"/>
              <w:bottom w:val="single" w:sz="4" w:space="0" w:color="auto"/>
              <w:right w:val="single" w:sz="4" w:space="0" w:color="auto"/>
            </w:tcBorders>
            <w:noWrap/>
            <w:vAlign w:val="bottom"/>
          </w:tcPr>
          <w:p w14:paraId="24F5AB36" w14:textId="77777777" w:rsidR="00746D3C" w:rsidRPr="007B7470" w:rsidRDefault="00746D3C" w:rsidP="007B3372">
            <w:r w:rsidRPr="007B7470">
              <w:t> </w:t>
            </w:r>
          </w:p>
        </w:tc>
      </w:tr>
      <w:tr w:rsidR="00746D3C" w:rsidRPr="007B7470" w14:paraId="4B62D8F8" w14:textId="77777777" w:rsidTr="007B3372">
        <w:trPr>
          <w:trHeight w:val="255"/>
        </w:trPr>
        <w:tc>
          <w:tcPr>
            <w:tcW w:w="4950" w:type="dxa"/>
            <w:tcBorders>
              <w:top w:val="nil"/>
              <w:left w:val="single" w:sz="4" w:space="0" w:color="auto"/>
              <w:bottom w:val="single" w:sz="4" w:space="0" w:color="auto"/>
              <w:right w:val="single" w:sz="4" w:space="0" w:color="auto"/>
            </w:tcBorders>
          </w:tcPr>
          <w:p w14:paraId="01864506" w14:textId="77777777" w:rsidR="00746D3C" w:rsidRPr="007B7470" w:rsidRDefault="00746D3C" w:rsidP="007B3372">
            <w:pPr>
              <w:rPr>
                <w:b/>
                <w:bCs/>
              </w:rPr>
            </w:pPr>
            <w:r w:rsidRPr="007B7470">
              <w:rPr>
                <w:b/>
                <w:bCs/>
              </w:rPr>
              <w:t>Nedaňové príjmy (200)</w:t>
            </w:r>
            <w:r w:rsidRPr="007B7470">
              <w:rPr>
                <w:b/>
                <w:bCs/>
                <w:vertAlign w:val="superscript"/>
              </w:rPr>
              <w:t>1</w:t>
            </w:r>
          </w:p>
        </w:tc>
        <w:tc>
          <w:tcPr>
            <w:tcW w:w="1500" w:type="dxa"/>
            <w:tcBorders>
              <w:top w:val="nil"/>
              <w:left w:val="nil"/>
              <w:bottom w:val="single" w:sz="4" w:space="0" w:color="auto"/>
              <w:right w:val="single" w:sz="4" w:space="0" w:color="auto"/>
            </w:tcBorders>
          </w:tcPr>
          <w:p w14:paraId="1712A590" w14:textId="77777777" w:rsidR="00746D3C" w:rsidRPr="007B7470" w:rsidRDefault="00746D3C" w:rsidP="007B3372">
            <w:pPr>
              <w:jc w:val="center"/>
              <w:rPr>
                <w:b/>
                <w:bCs/>
              </w:rPr>
            </w:pPr>
          </w:p>
        </w:tc>
        <w:tc>
          <w:tcPr>
            <w:tcW w:w="1500" w:type="dxa"/>
            <w:tcBorders>
              <w:top w:val="nil"/>
              <w:left w:val="nil"/>
              <w:bottom w:val="single" w:sz="4" w:space="0" w:color="auto"/>
              <w:right w:val="single" w:sz="4" w:space="0" w:color="auto"/>
            </w:tcBorders>
          </w:tcPr>
          <w:p w14:paraId="41664980" w14:textId="77777777" w:rsidR="00746D3C" w:rsidRPr="007B7470" w:rsidRDefault="00746D3C" w:rsidP="007B3372">
            <w:pPr>
              <w:jc w:val="center"/>
              <w:rPr>
                <w:b/>
                <w:bCs/>
              </w:rPr>
            </w:pPr>
          </w:p>
        </w:tc>
        <w:tc>
          <w:tcPr>
            <w:tcW w:w="1500" w:type="dxa"/>
            <w:tcBorders>
              <w:top w:val="nil"/>
              <w:left w:val="nil"/>
              <w:bottom w:val="single" w:sz="4" w:space="0" w:color="auto"/>
              <w:right w:val="single" w:sz="4" w:space="0" w:color="auto"/>
            </w:tcBorders>
          </w:tcPr>
          <w:p w14:paraId="0C1E7DB8" w14:textId="77777777" w:rsidR="00746D3C" w:rsidRPr="007B7470" w:rsidRDefault="00746D3C" w:rsidP="007B3372">
            <w:pPr>
              <w:jc w:val="center"/>
              <w:rPr>
                <w:b/>
                <w:bCs/>
              </w:rPr>
            </w:pPr>
          </w:p>
        </w:tc>
        <w:tc>
          <w:tcPr>
            <w:tcW w:w="1500" w:type="dxa"/>
            <w:tcBorders>
              <w:top w:val="nil"/>
              <w:left w:val="nil"/>
              <w:bottom w:val="single" w:sz="4" w:space="0" w:color="auto"/>
              <w:right w:val="single" w:sz="4" w:space="0" w:color="auto"/>
            </w:tcBorders>
          </w:tcPr>
          <w:p w14:paraId="08C9BF48" w14:textId="77777777" w:rsidR="00746D3C" w:rsidRPr="007B7470" w:rsidRDefault="00746D3C" w:rsidP="007B3372">
            <w:pPr>
              <w:jc w:val="center"/>
              <w:rPr>
                <w:b/>
                <w:bCs/>
              </w:rPr>
            </w:pPr>
          </w:p>
        </w:tc>
        <w:tc>
          <w:tcPr>
            <w:tcW w:w="3000" w:type="dxa"/>
            <w:tcBorders>
              <w:top w:val="nil"/>
              <w:left w:val="nil"/>
              <w:bottom w:val="single" w:sz="4" w:space="0" w:color="auto"/>
              <w:right w:val="single" w:sz="4" w:space="0" w:color="auto"/>
            </w:tcBorders>
            <w:noWrap/>
            <w:vAlign w:val="bottom"/>
          </w:tcPr>
          <w:p w14:paraId="3EBBF2EA" w14:textId="77777777" w:rsidR="00746D3C" w:rsidRPr="007B7470" w:rsidRDefault="00746D3C" w:rsidP="007B3372">
            <w:r w:rsidRPr="007B7470">
              <w:t> </w:t>
            </w:r>
          </w:p>
        </w:tc>
      </w:tr>
      <w:tr w:rsidR="00746D3C" w:rsidRPr="007B7470" w14:paraId="5698C0FA" w14:textId="77777777" w:rsidTr="007B3372">
        <w:trPr>
          <w:trHeight w:val="255"/>
        </w:trPr>
        <w:tc>
          <w:tcPr>
            <w:tcW w:w="4950" w:type="dxa"/>
            <w:tcBorders>
              <w:top w:val="nil"/>
              <w:left w:val="single" w:sz="4" w:space="0" w:color="auto"/>
              <w:bottom w:val="single" w:sz="4" w:space="0" w:color="auto"/>
              <w:right w:val="single" w:sz="4" w:space="0" w:color="auto"/>
            </w:tcBorders>
          </w:tcPr>
          <w:p w14:paraId="2A2A7365" w14:textId="77777777" w:rsidR="00746D3C" w:rsidRPr="007B7470" w:rsidRDefault="00746D3C" w:rsidP="007B3372">
            <w:pPr>
              <w:rPr>
                <w:b/>
                <w:bCs/>
              </w:rPr>
            </w:pPr>
            <w:r w:rsidRPr="007B7470">
              <w:rPr>
                <w:b/>
                <w:bCs/>
              </w:rPr>
              <w:t>Granty a transfery (300)</w:t>
            </w:r>
            <w:r w:rsidRPr="007B7470">
              <w:rPr>
                <w:b/>
                <w:bCs/>
                <w:vertAlign w:val="superscript"/>
              </w:rPr>
              <w:t>1</w:t>
            </w:r>
          </w:p>
        </w:tc>
        <w:tc>
          <w:tcPr>
            <w:tcW w:w="1500" w:type="dxa"/>
            <w:tcBorders>
              <w:top w:val="nil"/>
              <w:left w:val="nil"/>
              <w:bottom w:val="single" w:sz="4" w:space="0" w:color="auto"/>
              <w:right w:val="single" w:sz="4" w:space="0" w:color="auto"/>
            </w:tcBorders>
          </w:tcPr>
          <w:p w14:paraId="3999A03D" w14:textId="77777777" w:rsidR="00746D3C" w:rsidRPr="007B7470" w:rsidRDefault="00746D3C" w:rsidP="007B3372">
            <w:pPr>
              <w:jc w:val="center"/>
              <w:rPr>
                <w:b/>
                <w:bCs/>
              </w:rPr>
            </w:pPr>
          </w:p>
        </w:tc>
        <w:tc>
          <w:tcPr>
            <w:tcW w:w="1500" w:type="dxa"/>
            <w:tcBorders>
              <w:top w:val="nil"/>
              <w:left w:val="nil"/>
              <w:bottom w:val="single" w:sz="4" w:space="0" w:color="auto"/>
              <w:right w:val="single" w:sz="4" w:space="0" w:color="auto"/>
            </w:tcBorders>
          </w:tcPr>
          <w:p w14:paraId="55A526FD" w14:textId="77777777" w:rsidR="00746D3C" w:rsidRPr="007B7470" w:rsidRDefault="00746D3C" w:rsidP="007B3372">
            <w:pPr>
              <w:jc w:val="center"/>
              <w:rPr>
                <w:b/>
                <w:bCs/>
              </w:rPr>
            </w:pPr>
          </w:p>
        </w:tc>
        <w:tc>
          <w:tcPr>
            <w:tcW w:w="1500" w:type="dxa"/>
            <w:tcBorders>
              <w:top w:val="nil"/>
              <w:left w:val="nil"/>
              <w:bottom w:val="single" w:sz="4" w:space="0" w:color="auto"/>
              <w:right w:val="single" w:sz="4" w:space="0" w:color="auto"/>
            </w:tcBorders>
          </w:tcPr>
          <w:p w14:paraId="3BD5A827" w14:textId="77777777" w:rsidR="00746D3C" w:rsidRPr="007B7470" w:rsidRDefault="00746D3C" w:rsidP="007B3372">
            <w:pPr>
              <w:jc w:val="center"/>
              <w:rPr>
                <w:b/>
                <w:bCs/>
              </w:rPr>
            </w:pPr>
          </w:p>
        </w:tc>
        <w:tc>
          <w:tcPr>
            <w:tcW w:w="1500" w:type="dxa"/>
            <w:tcBorders>
              <w:top w:val="nil"/>
              <w:left w:val="nil"/>
              <w:bottom w:val="single" w:sz="4" w:space="0" w:color="auto"/>
              <w:right w:val="single" w:sz="4" w:space="0" w:color="auto"/>
            </w:tcBorders>
          </w:tcPr>
          <w:p w14:paraId="0EA0BDC2" w14:textId="77777777" w:rsidR="00746D3C" w:rsidRPr="007B7470" w:rsidRDefault="00746D3C" w:rsidP="007B3372">
            <w:pPr>
              <w:jc w:val="center"/>
              <w:rPr>
                <w:b/>
                <w:bCs/>
              </w:rPr>
            </w:pPr>
          </w:p>
        </w:tc>
        <w:tc>
          <w:tcPr>
            <w:tcW w:w="3000" w:type="dxa"/>
            <w:tcBorders>
              <w:top w:val="nil"/>
              <w:left w:val="nil"/>
              <w:bottom w:val="single" w:sz="4" w:space="0" w:color="auto"/>
              <w:right w:val="single" w:sz="4" w:space="0" w:color="auto"/>
            </w:tcBorders>
            <w:noWrap/>
            <w:vAlign w:val="bottom"/>
          </w:tcPr>
          <w:p w14:paraId="479C69EF" w14:textId="77777777" w:rsidR="00746D3C" w:rsidRPr="007B7470" w:rsidRDefault="00746D3C" w:rsidP="007B3372">
            <w:r w:rsidRPr="007B7470">
              <w:t> </w:t>
            </w:r>
          </w:p>
        </w:tc>
      </w:tr>
      <w:tr w:rsidR="00746D3C" w:rsidRPr="007B7470" w14:paraId="3394072A" w14:textId="77777777" w:rsidTr="007B3372">
        <w:trPr>
          <w:trHeight w:val="255"/>
        </w:trPr>
        <w:tc>
          <w:tcPr>
            <w:tcW w:w="4950" w:type="dxa"/>
            <w:tcBorders>
              <w:top w:val="nil"/>
              <w:left w:val="single" w:sz="4" w:space="0" w:color="auto"/>
              <w:bottom w:val="single" w:sz="4" w:space="0" w:color="auto"/>
              <w:right w:val="single" w:sz="4" w:space="0" w:color="auto"/>
            </w:tcBorders>
          </w:tcPr>
          <w:p w14:paraId="3D3017C7" w14:textId="77777777" w:rsidR="00746D3C" w:rsidRPr="007B7470" w:rsidRDefault="00746D3C" w:rsidP="007B3372">
            <w:pPr>
              <w:rPr>
                <w:b/>
                <w:bCs/>
              </w:rPr>
            </w:pPr>
            <w:r w:rsidRPr="007B7470">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790D08C7" w14:textId="77777777" w:rsidR="00746D3C" w:rsidRPr="007B7470" w:rsidRDefault="00746D3C" w:rsidP="007B3372">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14:paraId="0416B22F" w14:textId="77777777" w:rsidR="00746D3C" w:rsidRPr="007B7470" w:rsidRDefault="00746D3C" w:rsidP="007B3372">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14:paraId="75BE5A29" w14:textId="77777777" w:rsidR="00746D3C" w:rsidRPr="007B7470" w:rsidRDefault="00746D3C" w:rsidP="007B3372">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14:paraId="2295D3BA" w14:textId="77777777" w:rsidR="00746D3C" w:rsidRPr="007B7470" w:rsidRDefault="00746D3C" w:rsidP="007B3372">
            <w:pPr>
              <w:jc w:val="center"/>
              <w:rPr>
                <w:b/>
                <w:bCs/>
              </w:rPr>
            </w:pPr>
            <w:r w:rsidRPr="007B7470">
              <w:rPr>
                <w:b/>
                <w:bCs/>
              </w:rPr>
              <w:t> </w:t>
            </w:r>
          </w:p>
        </w:tc>
        <w:tc>
          <w:tcPr>
            <w:tcW w:w="3000" w:type="dxa"/>
            <w:tcBorders>
              <w:top w:val="nil"/>
              <w:left w:val="nil"/>
              <w:bottom w:val="single" w:sz="4" w:space="0" w:color="auto"/>
              <w:right w:val="single" w:sz="4" w:space="0" w:color="auto"/>
            </w:tcBorders>
            <w:noWrap/>
            <w:vAlign w:val="bottom"/>
          </w:tcPr>
          <w:p w14:paraId="68E851B9" w14:textId="77777777" w:rsidR="00746D3C" w:rsidRPr="007B7470" w:rsidRDefault="00746D3C" w:rsidP="007B3372">
            <w:r w:rsidRPr="007B7470">
              <w:t> </w:t>
            </w:r>
          </w:p>
        </w:tc>
      </w:tr>
      <w:tr w:rsidR="00746D3C" w:rsidRPr="007B7470" w14:paraId="0DE90E17" w14:textId="77777777" w:rsidTr="007B3372">
        <w:trPr>
          <w:trHeight w:val="255"/>
        </w:trPr>
        <w:tc>
          <w:tcPr>
            <w:tcW w:w="4950" w:type="dxa"/>
            <w:tcBorders>
              <w:top w:val="nil"/>
              <w:left w:val="single" w:sz="4" w:space="0" w:color="auto"/>
              <w:bottom w:val="single" w:sz="4" w:space="0" w:color="auto"/>
              <w:right w:val="single" w:sz="4" w:space="0" w:color="auto"/>
            </w:tcBorders>
          </w:tcPr>
          <w:p w14:paraId="50E3B1BF" w14:textId="77777777" w:rsidR="00746D3C" w:rsidRPr="007B7470" w:rsidRDefault="00746D3C" w:rsidP="007B3372">
            <w:pPr>
              <w:rPr>
                <w:b/>
                <w:bCs/>
              </w:rPr>
            </w:pPr>
            <w:r w:rsidRPr="007B7470">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4A26BDE9" w14:textId="77777777" w:rsidR="00746D3C" w:rsidRPr="007B7470" w:rsidRDefault="00746D3C" w:rsidP="007B3372">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14:paraId="4B505F19" w14:textId="77777777" w:rsidR="00746D3C" w:rsidRPr="007B7470" w:rsidRDefault="00746D3C" w:rsidP="007B3372">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14:paraId="655D188C" w14:textId="77777777" w:rsidR="00746D3C" w:rsidRPr="007B7470" w:rsidRDefault="00746D3C" w:rsidP="007B3372">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14:paraId="3F83A43A" w14:textId="77777777" w:rsidR="00746D3C" w:rsidRPr="007B7470" w:rsidRDefault="00746D3C" w:rsidP="007B3372">
            <w:pPr>
              <w:jc w:val="center"/>
              <w:rPr>
                <w:b/>
                <w:bCs/>
              </w:rPr>
            </w:pPr>
            <w:r w:rsidRPr="007B7470">
              <w:rPr>
                <w:b/>
                <w:bCs/>
              </w:rPr>
              <w:t> </w:t>
            </w:r>
          </w:p>
        </w:tc>
        <w:tc>
          <w:tcPr>
            <w:tcW w:w="3000" w:type="dxa"/>
            <w:tcBorders>
              <w:top w:val="nil"/>
              <w:left w:val="nil"/>
              <w:bottom w:val="single" w:sz="4" w:space="0" w:color="auto"/>
              <w:right w:val="single" w:sz="4" w:space="0" w:color="auto"/>
            </w:tcBorders>
            <w:noWrap/>
            <w:vAlign w:val="bottom"/>
          </w:tcPr>
          <w:p w14:paraId="38401817" w14:textId="77777777" w:rsidR="00746D3C" w:rsidRPr="007B7470" w:rsidRDefault="00746D3C" w:rsidP="007B3372">
            <w:r w:rsidRPr="007B7470">
              <w:t> </w:t>
            </w:r>
          </w:p>
        </w:tc>
      </w:tr>
      <w:tr w:rsidR="00746D3C" w:rsidRPr="007B7470" w14:paraId="3573DD19" w14:textId="77777777" w:rsidTr="007B3372">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40CE32C4" w14:textId="77777777" w:rsidR="00746D3C" w:rsidRPr="007B7470" w:rsidRDefault="00746D3C" w:rsidP="007B3372">
            <w:pPr>
              <w:rPr>
                <w:b/>
                <w:bCs/>
              </w:rPr>
            </w:pPr>
            <w:r w:rsidRPr="007B7470">
              <w:rPr>
                <w:b/>
                <w:bCs/>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417E5BB3" w14:textId="77777777" w:rsidR="00746D3C" w:rsidRPr="007B7470" w:rsidRDefault="00746D3C" w:rsidP="007B3372">
            <w:pPr>
              <w:jc w:val="center"/>
              <w:rPr>
                <w:b/>
                <w:bCs/>
              </w:rPr>
            </w:pPr>
            <w:r w:rsidRPr="007B747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790BB58" w14:textId="77777777" w:rsidR="00746D3C" w:rsidRPr="007B7470" w:rsidRDefault="00746D3C" w:rsidP="007B3372">
            <w:pPr>
              <w:jc w:val="center"/>
              <w:rPr>
                <w:b/>
                <w:bCs/>
              </w:rPr>
            </w:pPr>
            <w:r w:rsidRPr="007B747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766FE639" w14:textId="77777777" w:rsidR="00746D3C" w:rsidRPr="007B7470" w:rsidRDefault="00746D3C" w:rsidP="007B3372">
            <w:pPr>
              <w:jc w:val="center"/>
              <w:rPr>
                <w:b/>
                <w:bCs/>
              </w:rPr>
            </w:pPr>
            <w:r w:rsidRPr="007B747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DE00EF2" w14:textId="77777777" w:rsidR="00746D3C" w:rsidRPr="007B7470" w:rsidRDefault="00746D3C" w:rsidP="007B3372">
            <w:pPr>
              <w:jc w:val="center"/>
              <w:rPr>
                <w:b/>
                <w:bCs/>
              </w:rPr>
            </w:pPr>
            <w:r w:rsidRPr="007B7470">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57AA25AA" w14:textId="77777777" w:rsidR="00746D3C" w:rsidRPr="007B7470" w:rsidRDefault="00746D3C" w:rsidP="007B3372">
            <w:r w:rsidRPr="007B7470">
              <w:t> </w:t>
            </w:r>
          </w:p>
        </w:tc>
      </w:tr>
    </w:tbl>
    <w:p w14:paraId="38F5E8F7" w14:textId="77777777" w:rsidR="00746D3C" w:rsidRPr="007B7470" w:rsidRDefault="00746D3C" w:rsidP="00746D3C">
      <w:pPr>
        <w:tabs>
          <w:tab w:val="num" w:pos="1080"/>
        </w:tabs>
        <w:jc w:val="both"/>
        <w:rPr>
          <w:bCs/>
          <w:sz w:val="20"/>
          <w:szCs w:val="20"/>
        </w:rPr>
      </w:pPr>
      <w:r w:rsidRPr="007B7470">
        <w:rPr>
          <w:bCs/>
          <w:sz w:val="20"/>
          <w:szCs w:val="20"/>
        </w:rPr>
        <w:t>1 –  príjmy rozpísať až do položiek platnej ekonomickej klasifikácie</w:t>
      </w:r>
    </w:p>
    <w:p w14:paraId="4CF72040" w14:textId="77777777" w:rsidR="00746D3C" w:rsidRPr="007B7470" w:rsidRDefault="00746D3C" w:rsidP="00746D3C">
      <w:pPr>
        <w:tabs>
          <w:tab w:val="num" w:pos="1080"/>
        </w:tabs>
        <w:jc w:val="both"/>
        <w:rPr>
          <w:bCs/>
          <w:szCs w:val="20"/>
        </w:rPr>
      </w:pPr>
    </w:p>
    <w:p w14:paraId="3F9D0CE5" w14:textId="77777777" w:rsidR="00746D3C" w:rsidRPr="007B7470" w:rsidRDefault="00746D3C" w:rsidP="00746D3C">
      <w:pPr>
        <w:tabs>
          <w:tab w:val="num" w:pos="1080"/>
        </w:tabs>
        <w:jc w:val="both"/>
        <w:rPr>
          <w:b/>
          <w:bCs/>
          <w:szCs w:val="20"/>
        </w:rPr>
      </w:pPr>
      <w:r w:rsidRPr="007B7470">
        <w:rPr>
          <w:b/>
          <w:bCs/>
          <w:szCs w:val="20"/>
        </w:rPr>
        <w:t>Poznámka:</w:t>
      </w:r>
    </w:p>
    <w:p w14:paraId="07047846" w14:textId="77777777" w:rsidR="00746D3C" w:rsidRPr="007B7470" w:rsidRDefault="00746D3C" w:rsidP="00746D3C">
      <w:pPr>
        <w:tabs>
          <w:tab w:val="num" w:pos="1080"/>
        </w:tabs>
        <w:jc w:val="both"/>
        <w:rPr>
          <w:bCs/>
          <w:szCs w:val="20"/>
        </w:rPr>
      </w:pPr>
      <w:r w:rsidRPr="007B7470">
        <w:rPr>
          <w:bCs/>
          <w:szCs w:val="20"/>
        </w:rPr>
        <w:t>Ak sa vplyv týka viacerých subjektov verejnej správy, vypĺňa sa samostatná tabuľka za každý subjekt.</w:t>
      </w:r>
    </w:p>
    <w:p w14:paraId="5186C90E" w14:textId="77777777" w:rsidR="00746D3C" w:rsidRPr="007B7470" w:rsidRDefault="00746D3C" w:rsidP="00746D3C">
      <w:pPr>
        <w:tabs>
          <w:tab w:val="num" w:pos="1080"/>
        </w:tabs>
        <w:ind w:right="-578"/>
        <w:jc w:val="right"/>
        <w:rPr>
          <w:bCs/>
        </w:rPr>
      </w:pPr>
    </w:p>
    <w:p w14:paraId="3ADBFDB2" w14:textId="77777777" w:rsidR="00746D3C" w:rsidRPr="007B7470" w:rsidRDefault="00746D3C" w:rsidP="00746D3C">
      <w:pPr>
        <w:tabs>
          <w:tab w:val="num" w:pos="1080"/>
        </w:tabs>
        <w:ind w:right="-578"/>
        <w:jc w:val="right"/>
        <w:rPr>
          <w:bCs/>
        </w:rPr>
      </w:pPr>
    </w:p>
    <w:p w14:paraId="24A066D0" w14:textId="77777777" w:rsidR="00746D3C" w:rsidRPr="007B7470" w:rsidRDefault="00746D3C" w:rsidP="00746D3C">
      <w:pPr>
        <w:tabs>
          <w:tab w:val="num" w:pos="1080"/>
        </w:tabs>
        <w:ind w:right="-578"/>
        <w:jc w:val="right"/>
        <w:rPr>
          <w:bCs/>
        </w:rPr>
      </w:pPr>
    </w:p>
    <w:p w14:paraId="3895088A" w14:textId="77777777" w:rsidR="00746D3C" w:rsidRPr="007B7470" w:rsidRDefault="00746D3C" w:rsidP="00746D3C">
      <w:pPr>
        <w:tabs>
          <w:tab w:val="num" w:pos="1080"/>
        </w:tabs>
        <w:ind w:right="-578"/>
        <w:jc w:val="right"/>
        <w:rPr>
          <w:bCs/>
        </w:rPr>
      </w:pPr>
    </w:p>
    <w:p w14:paraId="48755AD8" w14:textId="77777777" w:rsidR="00746D3C" w:rsidRPr="007B7470" w:rsidRDefault="00746D3C" w:rsidP="00746D3C">
      <w:pPr>
        <w:tabs>
          <w:tab w:val="num" w:pos="1080"/>
        </w:tabs>
        <w:ind w:right="-578"/>
        <w:jc w:val="right"/>
        <w:rPr>
          <w:bCs/>
        </w:rPr>
      </w:pPr>
    </w:p>
    <w:p w14:paraId="592AD999" w14:textId="77777777" w:rsidR="00746D3C" w:rsidRPr="007B7470" w:rsidRDefault="00746D3C" w:rsidP="00746D3C">
      <w:pPr>
        <w:tabs>
          <w:tab w:val="num" w:pos="1080"/>
        </w:tabs>
        <w:ind w:right="-578"/>
        <w:jc w:val="right"/>
        <w:rPr>
          <w:bCs/>
        </w:rPr>
      </w:pPr>
    </w:p>
    <w:p w14:paraId="5BEAA736" w14:textId="77777777" w:rsidR="00746D3C" w:rsidRPr="007B7470" w:rsidRDefault="00746D3C" w:rsidP="00746D3C">
      <w:pPr>
        <w:tabs>
          <w:tab w:val="num" w:pos="1080"/>
        </w:tabs>
        <w:ind w:right="-578"/>
        <w:jc w:val="right"/>
        <w:rPr>
          <w:bCs/>
        </w:rPr>
      </w:pPr>
    </w:p>
    <w:p w14:paraId="541D9A48" w14:textId="77777777" w:rsidR="00746D3C" w:rsidRPr="007B7470" w:rsidRDefault="00746D3C" w:rsidP="00746D3C">
      <w:pPr>
        <w:tabs>
          <w:tab w:val="num" w:pos="1080"/>
        </w:tabs>
        <w:ind w:right="-578"/>
        <w:jc w:val="right"/>
        <w:rPr>
          <w:bCs/>
        </w:rPr>
      </w:pPr>
    </w:p>
    <w:p w14:paraId="0EB4A9EE" w14:textId="77777777" w:rsidR="00746D3C" w:rsidRPr="007B7470" w:rsidRDefault="00746D3C" w:rsidP="00746D3C">
      <w:pPr>
        <w:tabs>
          <w:tab w:val="num" w:pos="1080"/>
        </w:tabs>
        <w:ind w:right="-578"/>
        <w:jc w:val="right"/>
        <w:rPr>
          <w:bCs/>
        </w:rPr>
      </w:pPr>
    </w:p>
    <w:p w14:paraId="43E7C6E8" w14:textId="77777777" w:rsidR="00746D3C" w:rsidRPr="007B7470" w:rsidRDefault="00746D3C" w:rsidP="00746D3C">
      <w:pPr>
        <w:tabs>
          <w:tab w:val="num" w:pos="1080"/>
        </w:tabs>
        <w:ind w:right="-578"/>
        <w:jc w:val="right"/>
        <w:rPr>
          <w:bCs/>
        </w:rPr>
      </w:pPr>
    </w:p>
    <w:p w14:paraId="2DC69C02" w14:textId="77777777" w:rsidR="00746D3C" w:rsidRPr="007B7470" w:rsidRDefault="00746D3C" w:rsidP="00746D3C">
      <w:pPr>
        <w:tabs>
          <w:tab w:val="num" w:pos="1080"/>
        </w:tabs>
        <w:ind w:right="-578"/>
        <w:jc w:val="right"/>
        <w:rPr>
          <w:bCs/>
        </w:rPr>
      </w:pPr>
    </w:p>
    <w:p w14:paraId="375BB784" w14:textId="77777777" w:rsidR="00746D3C" w:rsidRPr="007B7470" w:rsidRDefault="00746D3C" w:rsidP="00746D3C">
      <w:pPr>
        <w:tabs>
          <w:tab w:val="num" w:pos="1080"/>
        </w:tabs>
        <w:ind w:right="-578"/>
        <w:jc w:val="right"/>
        <w:rPr>
          <w:bCs/>
        </w:rPr>
      </w:pPr>
    </w:p>
    <w:p w14:paraId="549C2509" w14:textId="77777777" w:rsidR="00746D3C" w:rsidRPr="007B7470" w:rsidRDefault="00746D3C" w:rsidP="00746D3C">
      <w:pPr>
        <w:tabs>
          <w:tab w:val="num" w:pos="1080"/>
        </w:tabs>
        <w:ind w:right="-578"/>
        <w:jc w:val="right"/>
        <w:rPr>
          <w:bCs/>
        </w:rPr>
      </w:pPr>
    </w:p>
    <w:p w14:paraId="05459B32" w14:textId="77777777" w:rsidR="00746D3C" w:rsidRPr="007B7470" w:rsidRDefault="00746D3C" w:rsidP="00746D3C">
      <w:pPr>
        <w:tabs>
          <w:tab w:val="num" w:pos="1080"/>
        </w:tabs>
        <w:ind w:right="-578"/>
        <w:jc w:val="right"/>
        <w:rPr>
          <w:bCs/>
        </w:rPr>
      </w:pPr>
    </w:p>
    <w:p w14:paraId="5A5F873B" w14:textId="77777777" w:rsidR="00746D3C" w:rsidRPr="007B7470" w:rsidRDefault="00746D3C" w:rsidP="00746D3C">
      <w:pPr>
        <w:tabs>
          <w:tab w:val="num" w:pos="1080"/>
        </w:tabs>
        <w:ind w:right="-578"/>
        <w:jc w:val="right"/>
        <w:rPr>
          <w:bCs/>
        </w:rPr>
      </w:pPr>
    </w:p>
    <w:p w14:paraId="1DD3D9DF" w14:textId="77777777" w:rsidR="00746D3C" w:rsidRPr="007B7470" w:rsidRDefault="00746D3C" w:rsidP="00746D3C">
      <w:pPr>
        <w:tabs>
          <w:tab w:val="num" w:pos="1080"/>
        </w:tabs>
        <w:ind w:right="-578"/>
        <w:jc w:val="right"/>
        <w:rPr>
          <w:bCs/>
        </w:rPr>
      </w:pPr>
    </w:p>
    <w:p w14:paraId="635A0804" w14:textId="77777777" w:rsidR="00746D3C" w:rsidRPr="007B7470" w:rsidRDefault="00746D3C" w:rsidP="00746D3C">
      <w:pPr>
        <w:tabs>
          <w:tab w:val="num" w:pos="1080"/>
        </w:tabs>
        <w:ind w:right="-578"/>
        <w:jc w:val="right"/>
        <w:rPr>
          <w:bCs/>
        </w:rPr>
      </w:pPr>
    </w:p>
    <w:p w14:paraId="0FF270A6" w14:textId="77777777" w:rsidR="00746D3C" w:rsidRPr="007B7470" w:rsidRDefault="00746D3C" w:rsidP="00746D3C">
      <w:pPr>
        <w:tabs>
          <w:tab w:val="num" w:pos="1080"/>
        </w:tabs>
        <w:jc w:val="both"/>
        <w:rPr>
          <w:bCs/>
          <w:sz w:val="20"/>
          <w:szCs w:val="20"/>
        </w:rPr>
      </w:pPr>
      <w:r w:rsidRPr="007B7470">
        <w:rPr>
          <w:bCs/>
          <w:sz w:val="20"/>
          <w:szCs w:val="20"/>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46D3C" w:rsidRPr="007B7470" w14:paraId="1FDBC818" w14:textId="77777777" w:rsidTr="007B3372">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2D8590F" w14:textId="77777777" w:rsidR="00746D3C" w:rsidRPr="007B7470" w:rsidRDefault="00746D3C" w:rsidP="007B3372">
            <w:pPr>
              <w:jc w:val="center"/>
              <w:rPr>
                <w:b/>
                <w:bCs/>
                <w:sz w:val="20"/>
                <w:szCs w:val="20"/>
              </w:rPr>
            </w:pPr>
            <w:r w:rsidRPr="007B7470">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0DD7C9A" w14:textId="77777777" w:rsidR="00746D3C" w:rsidRPr="007B7470" w:rsidRDefault="00746D3C" w:rsidP="007B3372">
            <w:pPr>
              <w:jc w:val="center"/>
              <w:rPr>
                <w:b/>
                <w:bCs/>
                <w:sz w:val="20"/>
                <w:szCs w:val="20"/>
              </w:rPr>
            </w:pPr>
            <w:r w:rsidRPr="007B7470">
              <w:rPr>
                <w:b/>
                <w:bCs/>
                <w:sz w:val="20"/>
                <w:szCs w:val="20"/>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C01E5DA" w14:textId="77777777" w:rsidR="00746D3C" w:rsidRPr="007B7470" w:rsidRDefault="00746D3C" w:rsidP="007B3372">
            <w:pPr>
              <w:jc w:val="center"/>
              <w:rPr>
                <w:b/>
                <w:bCs/>
              </w:rPr>
            </w:pPr>
            <w:r w:rsidRPr="007B7470">
              <w:rPr>
                <w:b/>
                <w:bCs/>
              </w:rPr>
              <w:t>poznámka</w:t>
            </w:r>
          </w:p>
        </w:tc>
      </w:tr>
      <w:tr w:rsidR="00746D3C" w:rsidRPr="007B7470" w14:paraId="6364AD9C" w14:textId="77777777" w:rsidTr="007B3372">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D9809C6" w14:textId="77777777" w:rsidR="00746D3C" w:rsidRPr="007B7470" w:rsidRDefault="00746D3C" w:rsidP="007B3372">
            <w:pPr>
              <w:rPr>
                <w:b/>
                <w:bCs/>
                <w:color w:val="FFFFFF"/>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tcPr>
          <w:p w14:paraId="5CBBCE97" w14:textId="77777777" w:rsidR="00746D3C" w:rsidRPr="00DB6A66" w:rsidRDefault="00746D3C" w:rsidP="007B3372">
            <w:pPr>
              <w:jc w:val="center"/>
              <w:rPr>
                <w:b/>
                <w:bCs/>
                <w:sz w:val="20"/>
                <w:szCs w:val="20"/>
              </w:rPr>
            </w:pPr>
            <w:r w:rsidRPr="00DB6A66">
              <w:rPr>
                <w:b/>
                <w:bCs/>
                <w:sz w:val="20"/>
                <w:szCs w:val="20"/>
              </w:rPr>
              <w:t>2025</w:t>
            </w:r>
          </w:p>
        </w:tc>
        <w:tc>
          <w:tcPr>
            <w:tcW w:w="1650" w:type="dxa"/>
            <w:tcBorders>
              <w:top w:val="nil"/>
              <w:left w:val="nil"/>
              <w:bottom w:val="single" w:sz="4" w:space="0" w:color="auto"/>
              <w:right w:val="single" w:sz="4" w:space="0" w:color="auto"/>
            </w:tcBorders>
            <w:shd w:val="clear" w:color="auto" w:fill="BFBFBF" w:themeFill="background1" w:themeFillShade="BF"/>
          </w:tcPr>
          <w:p w14:paraId="2BF152A5" w14:textId="77777777" w:rsidR="00746D3C" w:rsidRPr="00DB6A66" w:rsidRDefault="00746D3C" w:rsidP="007B3372">
            <w:pPr>
              <w:jc w:val="center"/>
              <w:rPr>
                <w:b/>
                <w:bCs/>
                <w:sz w:val="20"/>
                <w:szCs w:val="20"/>
              </w:rPr>
            </w:pPr>
            <w:r w:rsidRPr="00DB6A66">
              <w:rPr>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63FC4AF9" w14:textId="77777777" w:rsidR="00746D3C" w:rsidRPr="00DB6A66" w:rsidRDefault="00746D3C" w:rsidP="007B3372">
            <w:pPr>
              <w:jc w:val="center"/>
              <w:rPr>
                <w:b/>
                <w:bCs/>
                <w:sz w:val="20"/>
                <w:szCs w:val="20"/>
              </w:rPr>
            </w:pPr>
            <w:r w:rsidRPr="00DB6A66">
              <w:rPr>
                <w:b/>
                <w:bCs/>
                <w:sz w:val="20"/>
                <w:szCs w:val="20"/>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60D513CA" w14:textId="77777777" w:rsidR="00746D3C" w:rsidRPr="00F74DCF" w:rsidRDefault="00746D3C" w:rsidP="007B3372">
            <w:pPr>
              <w:jc w:val="center"/>
              <w:rPr>
                <w:b/>
                <w:bCs/>
                <w:sz w:val="20"/>
                <w:szCs w:val="20"/>
              </w:rPr>
            </w:pPr>
            <w:r w:rsidRPr="00F74DCF">
              <w:rPr>
                <w:b/>
                <w:bCs/>
                <w:sz w:val="20"/>
                <w:szCs w:val="20"/>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69650459" w14:textId="77777777" w:rsidR="00746D3C" w:rsidRPr="007B7470" w:rsidRDefault="00746D3C" w:rsidP="007B3372">
            <w:pPr>
              <w:rPr>
                <w:b/>
                <w:bCs/>
                <w:color w:val="FFFFFF"/>
              </w:rPr>
            </w:pPr>
          </w:p>
        </w:tc>
      </w:tr>
      <w:tr w:rsidR="00746D3C" w:rsidRPr="007B7470" w14:paraId="23925554" w14:textId="77777777" w:rsidTr="007B3372">
        <w:trPr>
          <w:trHeight w:val="255"/>
        </w:trPr>
        <w:tc>
          <w:tcPr>
            <w:tcW w:w="7070" w:type="dxa"/>
            <w:tcBorders>
              <w:top w:val="nil"/>
              <w:left w:val="single" w:sz="4" w:space="0" w:color="auto"/>
              <w:bottom w:val="single" w:sz="4" w:space="0" w:color="auto"/>
              <w:right w:val="single" w:sz="4" w:space="0" w:color="auto"/>
            </w:tcBorders>
          </w:tcPr>
          <w:p w14:paraId="28652D5D" w14:textId="77777777" w:rsidR="00746D3C" w:rsidRPr="007B7470" w:rsidRDefault="00746D3C" w:rsidP="007B3372">
            <w:pPr>
              <w:rPr>
                <w:b/>
                <w:bCs/>
                <w:sz w:val="20"/>
                <w:szCs w:val="20"/>
              </w:rPr>
            </w:pPr>
            <w:r w:rsidRPr="007B7470">
              <w:rPr>
                <w:b/>
                <w:bCs/>
                <w:sz w:val="20"/>
                <w:szCs w:val="20"/>
              </w:rPr>
              <w:t>Bežné výdavky (600)</w:t>
            </w:r>
          </w:p>
        </w:tc>
        <w:tc>
          <w:tcPr>
            <w:tcW w:w="1430" w:type="dxa"/>
            <w:tcBorders>
              <w:top w:val="nil"/>
              <w:left w:val="nil"/>
              <w:bottom w:val="single" w:sz="4" w:space="0" w:color="auto"/>
              <w:right w:val="single" w:sz="4" w:space="0" w:color="auto"/>
            </w:tcBorders>
            <w:vAlign w:val="center"/>
          </w:tcPr>
          <w:p w14:paraId="4C8A0DA5" w14:textId="77777777" w:rsidR="00746D3C" w:rsidRPr="007B7470" w:rsidRDefault="00746D3C" w:rsidP="007B3372">
            <w:pPr>
              <w:jc w:val="right"/>
              <w:rPr>
                <w:b/>
                <w:bCs/>
                <w:sz w:val="20"/>
                <w:szCs w:val="20"/>
              </w:rPr>
            </w:pPr>
          </w:p>
        </w:tc>
        <w:tc>
          <w:tcPr>
            <w:tcW w:w="1650" w:type="dxa"/>
            <w:tcBorders>
              <w:top w:val="nil"/>
              <w:left w:val="nil"/>
              <w:bottom w:val="single" w:sz="4" w:space="0" w:color="auto"/>
              <w:right w:val="single" w:sz="4" w:space="0" w:color="auto"/>
            </w:tcBorders>
            <w:vAlign w:val="center"/>
          </w:tcPr>
          <w:p w14:paraId="673A4A02" w14:textId="77777777" w:rsidR="00746D3C" w:rsidRPr="007F4971" w:rsidRDefault="00746D3C" w:rsidP="007B3372">
            <w:pPr>
              <w:jc w:val="right"/>
              <w:rPr>
                <w:b/>
                <w:bCs/>
                <w:sz w:val="20"/>
                <w:szCs w:val="20"/>
              </w:rPr>
            </w:pPr>
            <w:r w:rsidRPr="007F4971">
              <w:rPr>
                <w:b/>
                <w:bCs/>
                <w:sz w:val="20"/>
                <w:szCs w:val="20"/>
              </w:rPr>
              <w:t xml:space="preserve">1 </w:t>
            </w:r>
            <w:r>
              <w:rPr>
                <w:b/>
                <w:bCs/>
                <w:sz w:val="20"/>
                <w:szCs w:val="20"/>
              </w:rPr>
              <w:t>756</w:t>
            </w:r>
            <w:r w:rsidRPr="007F4971">
              <w:rPr>
                <w:b/>
                <w:bCs/>
                <w:sz w:val="20"/>
                <w:szCs w:val="20"/>
              </w:rPr>
              <w:t xml:space="preserve"> 762</w:t>
            </w:r>
          </w:p>
        </w:tc>
        <w:tc>
          <w:tcPr>
            <w:tcW w:w="1540" w:type="dxa"/>
            <w:tcBorders>
              <w:top w:val="nil"/>
              <w:left w:val="nil"/>
              <w:bottom w:val="single" w:sz="4" w:space="0" w:color="auto"/>
              <w:right w:val="single" w:sz="4" w:space="0" w:color="auto"/>
            </w:tcBorders>
            <w:vAlign w:val="center"/>
          </w:tcPr>
          <w:p w14:paraId="42360B1D" w14:textId="77777777" w:rsidR="00746D3C" w:rsidRPr="007F4971" w:rsidRDefault="00746D3C" w:rsidP="007B3372">
            <w:pPr>
              <w:jc w:val="right"/>
              <w:rPr>
                <w:b/>
                <w:bCs/>
                <w:sz w:val="20"/>
                <w:szCs w:val="20"/>
              </w:rPr>
            </w:pPr>
            <w:r w:rsidRPr="007F4971">
              <w:rPr>
                <w:b/>
                <w:bCs/>
                <w:sz w:val="20"/>
                <w:szCs w:val="20"/>
              </w:rPr>
              <w:t>2 3</w:t>
            </w:r>
            <w:r>
              <w:rPr>
                <w:b/>
                <w:bCs/>
                <w:sz w:val="20"/>
                <w:szCs w:val="20"/>
              </w:rPr>
              <w:t>6</w:t>
            </w:r>
            <w:r w:rsidRPr="007F4971">
              <w:rPr>
                <w:b/>
                <w:bCs/>
                <w:sz w:val="20"/>
                <w:szCs w:val="20"/>
              </w:rPr>
              <w:t>9 262</w:t>
            </w:r>
          </w:p>
        </w:tc>
        <w:tc>
          <w:tcPr>
            <w:tcW w:w="1540" w:type="dxa"/>
            <w:tcBorders>
              <w:top w:val="nil"/>
              <w:left w:val="nil"/>
              <w:bottom w:val="single" w:sz="4" w:space="0" w:color="auto"/>
              <w:right w:val="single" w:sz="4" w:space="0" w:color="auto"/>
            </w:tcBorders>
            <w:vAlign w:val="center"/>
          </w:tcPr>
          <w:p w14:paraId="2E552FF4" w14:textId="77777777" w:rsidR="00746D3C" w:rsidRPr="007F4971" w:rsidRDefault="00746D3C" w:rsidP="007B3372">
            <w:pPr>
              <w:jc w:val="right"/>
              <w:rPr>
                <w:b/>
                <w:bCs/>
                <w:sz w:val="20"/>
                <w:szCs w:val="20"/>
              </w:rPr>
            </w:pPr>
            <w:r w:rsidRPr="007F4971">
              <w:rPr>
                <w:b/>
                <w:bCs/>
                <w:sz w:val="20"/>
                <w:szCs w:val="20"/>
              </w:rPr>
              <w:t>2 3</w:t>
            </w:r>
            <w:r>
              <w:rPr>
                <w:b/>
                <w:bCs/>
                <w:sz w:val="20"/>
                <w:szCs w:val="20"/>
              </w:rPr>
              <w:t>6</w:t>
            </w:r>
            <w:r w:rsidRPr="007F4971">
              <w:rPr>
                <w:b/>
                <w:bCs/>
                <w:sz w:val="20"/>
                <w:szCs w:val="20"/>
              </w:rPr>
              <w:t>9 262</w:t>
            </w:r>
          </w:p>
        </w:tc>
        <w:tc>
          <w:tcPr>
            <w:tcW w:w="1649" w:type="dxa"/>
            <w:tcBorders>
              <w:top w:val="nil"/>
              <w:left w:val="nil"/>
              <w:bottom w:val="single" w:sz="4" w:space="0" w:color="auto"/>
              <w:right w:val="single" w:sz="4" w:space="0" w:color="auto"/>
            </w:tcBorders>
            <w:noWrap/>
            <w:vAlign w:val="bottom"/>
          </w:tcPr>
          <w:p w14:paraId="151D6402" w14:textId="77777777" w:rsidR="00746D3C" w:rsidRPr="005A477C" w:rsidRDefault="00746D3C" w:rsidP="007B3372">
            <w:pPr>
              <w:rPr>
                <w:b/>
                <w:bCs/>
                <w:sz w:val="20"/>
                <w:szCs w:val="20"/>
              </w:rPr>
            </w:pPr>
          </w:p>
        </w:tc>
      </w:tr>
      <w:tr w:rsidR="00746D3C" w:rsidRPr="007B7470" w14:paraId="40DB2377" w14:textId="77777777" w:rsidTr="007B3372">
        <w:trPr>
          <w:trHeight w:val="255"/>
        </w:trPr>
        <w:tc>
          <w:tcPr>
            <w:tcW w:w="7070" w:type="dxa"/>
            <w:tcBorders>
              <w:top w:val="nil"/>
              <w:left w:val="single" w:sz="4" w:space="0" w:color="auto"/>
              <w:bottom w:val="single" w:sz="4" w:space="0" w:color="auto"/>
              <w:right w:val="single" w:sz="4" w:space="0" w:color="auto"/>
            </w:tcBorders>
          </w:tcPr>
          <w:p w14:paraId="3FE03E9F" w14:textId="77777777" w:rsidR="00746D3C" w:rsidRPr="007B7470" w:rsidRDefault="00746D3C" w:rsidP="007B3372">
            <w:pPr>
              <w:rPr>
                <w:sz w:val="20"/>
                <w:szCs w:val="20"/>
              </w:rPr>
            </w:pPr>
            <w:r w:rsidRPr="007B7470">
              <w:rPr>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18CF4211" w14:textId="77777777" w:rsidR="00746D3C" w:rsidRPr="007B7470" w:rsidRDefault="00746D3C" w:rsidP="007B3372">
            <w:pPr>
              <w:jc w:val="right"/>
              <w:rPr>
                <w:sz w:val="20"/>
                <w:szCs w:val="20"/>
              </w:rPr>
            </w:pPr>
          </w:p>
        </w:tc>
        <w:tc>
          <w:tcPr>
            <w:tcW w:w="1650" w:type="dxa"/>
            <w:tcBorders>
              <w:top w:val="nil"/>
              <w:left w:val="nil"/>
              <w:bottom w:val="single" w:sz="4" w:space="0" w:color="auto"/>
              <w:right w:val="single" w:sz="4" w:space="0" w:color="auto"/>
            </w:tcBorders>
            <w:vAlign w:val="center"/>
          </w:tcPr>
          <w:p w14:paraId="622633A8" w14:textId="77777777" w:rsidR="00746D3C" w:rsidRPr="007F4971" w:rsidRDefault="00746D3C" w:rsidP="007B3372">
            <w:pPr>
              <w:jc w:val="right"/>
              <w:rPr>
                <w:sz w:val="20"/>
                <w:szCs w:val="20"/>
              </w:rPr>
            </w:pPr>
            <w:r w:rsidRPr="007F4971">
              <w:rPr>
                <w:sz w:val="20"/>
                <w:szCs w:val="20"/>
              </w:rPr>
              <w:t>194 400</w:t>
            </w:r>
          </w:p>
        </w:tc>
        <w:tc>
          <w:tcPr>
            <w:tcW w:w="1540" w:type="dxa"/>
            <w:tcBorders>
              <w:top w:val="nil"/>
              <w:left w:val="nil"/>
              <w:bottom w:val="single" w:sz="4" w:space="0" w:color="auto"/>
              <w:right w:val="single" w:sz="4" w:space="0" w:color="auto"/>
            </w:tcBorders>
            <w:vAlign w:val="center"/>
          </w:tcPr>
          <w:p w14:paraId="6E9897AF" w14:textId="77777777" w:rsidR="00746D3C" w:rsidRPr="007F4971" w:rsidRDefault="00746D3C" w:rsidP="007B3372">
            <w:pPr>
              <w:jc w:val="right"/>
              <w:rPr>
                <w:sz w:val="20"/>
                <w:szCs w:val="20"/>
              </w:rPr>
            </w:pPr>
            <w:r w:rsidRPr="007F4971">
              <w:rPr>
                <w:sz w:val="20"/>
                <w:szCs w:val="20"/>
              </w:rPr>
              <w:t>194 400</w:t>
            </w:r>
          </w:p>
        </w:tc>
        <w:tc>
          <w:tcPr>
            <w:tcW w:w="1540" w:type="dxa"/>
            <w:tcBorders>
              <w:top w:val="nil"/>
              <w:left w:val="nil"/>
              <w:bottom w:val="single" w:sz="4" w:space="0" w:color="auto"/>
              <w:right w:val="single" w:sz="4" w:space="0" w:color="auto"/>
            </w:tcBorders>
            <w:vAlign w:val="center"/>
          </w:tcPr>
          <w:p w14:paraId="6F0004BD" w14:textId="77777777" w:rsidR="00746D3C" w:rsidRPr="007F4971" w:rsidRDefault="00746D3C" w:rsidP="007B3372">
            <w:pPr>
              <w:jc w:val="right"/>
              <w:rPr>
                <w:sz w:val="20"/>
                <w:szCs w:val="20"/>
              </w:rPr>
            </w:pPr>
            <w:r w:rsidRPr="007F4971">
              <w:rPr>
                <w:sz w:val="20"/>
                <w:szCs w:val="20"/>
              </w:rPr>
              <w:t>194 400</w:t>
            </w:r>
          </w:p>
        </w:tc>
        <w:tc>
          <w:tcPr>
            <w:tcW w:w="1649" w:type="dxa"/>
            <w:tcBorders>
              <w:top w:val="nil"/>
              <w:left w:val="nil"/>
              <w:bottom w:val="single" w:sz="4" w:space="0" w:color="auto"/>
              <w:right w:val="single" w:sz="4" w:space="0" w:color="auto"/>
            </w:tcBorders>
            <w:noWrap/>
            <w:vAlign w:val="bottom"/>
          </w:tcPr>
          <w:p w14:paraId="6EC2C3B7" w14:textId="77777777" w:rsidR="00746D3C" w:rsidRPr="007B7470" w:rsidRDefault="00746D3C" w:rsidP="007B3372">
            <w:r w:rsidRPr="007B7470">
              <w:t> </w:t>
            </w:r>
          </w:p>
        </w:tc>
      </w:tr>
      <w:tr w:rsidR="00746D3C" w:rsidRPr="007B7470" w14:paraId="1B1006FC" w14:textId="77777777" w:rsidTr="007B3372">
        <w:trPr>
          <w:trHeight w:val="255"/>
        </w:trPr>
        <w:tc>
          <w:tcPr>
            <w:tcW w:w="7070" w:type="dxa"/>
            <w:tcBorders>
              <w:top w:val="nil"/>
              <w:left w:val="single" w:sz="4" w:space="0" w:color="auto"/>
              <w:bottom w:val="single" w:sz="4" w:space="0" w:color="auto"/>
              <w:right w:val="single" w:sz="4" w:space="0" w:color="auto"/>
            </w:tcBorders>
          </w:tcPr>
          <w:p w14:paraId="31EC59EF" w14:textId="77777777" w:rsidR="00746D3C" w:rsidRPr="007B7470" w:rsidRDefault="00746D3C" w:rsidP="007B3372">
            <w:pPr>
              <w:rPr>
                <w:sz w:val="20"/>
                <w:szCs w:val="20"/>
                <w:vertAlign w:val="superscript"/>
              </w:rPr>
            </w:pPr>
            <w:r w:rsidRPr="007B7470">
              <w:rPr>
                <w:sz w:val="20"/>
                <w:szCs w:val="20"/>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5342E729" w14:textId="77777777" w:rsidR="00746D3C" w:rsidRPr="007B7470" w:rsidRDefault="00746D3C" w:rsidP="007B3372">
            <w:pPr>
              <w:jc w:val="right"/>
              <w:rPr>
                <w:sz w:val="20"/>
                <w:szCs w:val="20"/>
              </w:rPr>
            </w:pPr>
          </w:p>
        </w:tc>
        <w:tc>
          <w:tcPr>
            <w:tcW w:w="1650" w:type="dxa"/>
            <w:tcBorders>
              <w:top w:val="nil"/>
              <w:left w:val="nil"/>
              <w:bottom w:val="single" w:sz="4" w:space="0" w:color="auto"/>
              <w:right w:val="single" w:sz="4" w:space="0" w:color="auto"/>
            </w:tcBorders>
            <w:vAlign w:val="center"/>
          </w:tcPr>
          <w:p w14:paraId="48AAF8B8" w14:textId="77777777" w:rsidR="00746D3C" w:rsidRPr="007F4971" w:rsidRDefault="00746D3C" w:rsidP="007B3372">
            <w:pPr>
              <w:jc w:val="right"/>
              <w:rPr>
                <w:sz w:val="20"/>
                <w:szCs w:val="20"/>
              </w:rPr>
            </w:pPr>
            <w:r w:rsidRPr="007F4971">
              <w:rPr>
                <w:sz w:val="20"/>
                <w:szCs w:val="20"/>
              </w:rPr>
              <w:t>69 887</w:t>
            </w:r>
          </w:p>
        </w:tc>
        <w:tc>
          <w:tcPr>
            <w:tcW w:w="1540" w:type="dxa"/>
            <w:tcBorders>
              <w:top w:val="nil"/>
              <w:left w:val="nil"/>
              <w:bottom w:val="single" w:sz="4" w:space="0" w:color="auto"/>
              <w:right w:val="single" w:sz="4" w:space="0" w:color="auto"/>
            </w:tcBorders>
            <w:vAlign w:val="center"/>
          </w:tcPr>
          <w:p w14:paraId="6214891A" w14:textId="77777777" w:rsidR="00746D3C" w:rsidRPr="007F4971" w:rsidRDefault="00746D3C" w:rsidP="007B3372">
            <w:pPr>
              <w:jc w:val="right"/>
              <w:rPr>
                <w:sz w:val="20"/>
                <w:szCs w:val="20"/>
              </w:rPr>
            </w:pPr>
            <w:r w:rsidRPr="007F4971">
              <w:rPr>
                <w:sz w:val="20"/>
                <w:szCs w:val="20"/>
              </w:rPr>
              <w:t>69 887</w:t>
            </w:r>
          </w:p>
        </w:tc>
        <w:tc>
          <w:tcPr>
            <w:tcW w:w="1540" w:type="dxa"/>
            <w:tcBorders>
              <w:top w:val="nil"/>
              <w:left w:val="nil"/>
              <w:bottom w:val="single" w:sz="4" w:space="0" w:color="auto"/>
              <w:right w:val="single" w:sz="4" w:space="0" w:color="auto"/>
            </w:tcBorders>
            <w:vAlign w:val="center"/>
          </w:tcPr>
          <w:p w14:paraId="48DC979E" w14:textId="77777777" w:rsidR="00746D3C" w:rsidRPr="007F4971" w:rsidRDefault="00746D3C" w:rsidP="007B3372">
            <w:pPr>
              <w:jc w:val="right"/>
              <w:rPr>
                <w:sz w:val="20"/>
                <w:szCs w:val="20"/>
              </w:rPr>
            </w:pPr>
            <w:r w:rsidRPr="007F4971">
              <w:rPr>
                <w:sz w:val="20"/>
                <w:szCs w:val="20"/>
              </w:rPr>
              <w:t>69 887</w:t>
            </w:r>
          </w:p>
        </w:tc>
        <w:tc>
          <w:tcPr>
            <w:tcW w:w="1649" w:type="dxa"/>
            <w:tcBorders>
              <w:top w:val="nil"/>
              <w:left w:val="nil"/>
              <w:bottom w:val="single" w:sz="4" w:space="0" w:color="auto"/>
              <w:right w:val="single" w:sz="4" w:space="0" w:color="auto"/>
            </w:tcBorders>
            <w:noWrap/>
            <w:vAlign w:val="bottom"/>
          </w:tcPr>
          <w:p w14:paraId="51B154D3" w14:textId="77777777" w:rsidR="00746D3C" w:rsidRPr="007B7470" w:rsidRDefault="00746D3C" w:rsidP="007B3372">
            <w:r w:rsidRPr="007B7470">
              <w:t> </w:t>
            </w:r>
          </w:p>
        </w:tc>
      </w:tr>
      <w:tr w:rsidR="00746D3C" w:rsidRPr="007B7470" w14:paraId="7ABD56F9" w14:textId="77777777" w:rsidTr="007B3372">
        <w:trPr>
          <w:trHeight w:val="255"/>
        </w:trPr>
        <w:tc>
          <w:tcPr>
            <w:tcW w:w="7070" w:type="dxa"/>
            <w:tcBorders>
              <w:top w:val="nil"/>
              <w:left w:val="single" w:sz="4" w:space="0" w:color="auto"/>
              <w:bottom w:val="single" w:sz="4" w:space="0" w:color="auto"/>
              <w:right w:val="single" w:sz="4" w:space="0" w:color="auto"/>
            </w:tcBorders>
          </w:tcPr>
          <w:p w14:paraId="50E8AD57" w14:textId="77777777" w:rsidR="00746D3C" w:rsidRPr="007B7470" w:rsidRDefault="00746D3C" w:rsidP="007B3372">
            <w:pPr>
              <w:rPr>
                <w:sz w:val="20"/>
                <w:szCs w:val="20"/>
                <w:vertAlign w:val="superscript"/>
              </w:rPr>
            </w:pPr>
            <w:r w:rsidRPr="007B7470">
              <w:rPr>
                <w:sz w:val="20"/>
                <w:szCs w:val="20"/>
              </w:rPr>
              <w:t xml:space="preserve">  Tovary a služby (630)</w:t>
            </w:r>
            <w:r w:rsidRPr="007B7470">
              <w:rPr>
                <w:sz w:val="20"/>
                <w:szCs w:val="20"/>
                <w:vertAlign w:val="superscript"/>
              </w:rPr>
              <w:t>2</w:t>
            </w:r>
          </w:p>
        </w:tc>
        <w:tc>
          <w:tcPr>
            <w:tcW w:w="1430" w:type="dxa"/>
            <w:tcBorders>
              <w:top w:val="nil"/>
              <w:left w:val="nil"/>
              <w:bottom w:val="single" w:sz="4" w:space="0" w:color="auto"/>
              <w:right w:val="single" w:sz="4" w:space="0" w:color="auto"/>
            </w:tcBorders>
            <w:vAlign w:val="center"/>
          </w:tcPr>
          <w:p w14:paraId="094EBA80" w14:textId="77777777" w:rsidR="00746D3C" w:rsidRPr="007B7470" w:rsidRDefault="00746D3C" w:rsidP="007B3372">
            <w:pPr>
              <w:jc w:val="right"/>
              <w:rPr>
                <w:sz w:val="20"/>
                <w:szCs w:val="20"/>
              </w:rPr>
            </w:pPr>
          </w:p>
        </w:tc>
        <w:tc>
          <w:tcPr>
            <w:tcW w:w="1650" w:type="dxa"/>
            <w:tcBorders>
              <w:top w:val="nil"/>
              <w:left w:val="nil"/>
              <w:bottom w:val="single" w:sz="4" w:space="0" w:color="auto"/>
              <w:right w:val="single" w:sz="4" w:space="0" w:color="auto"/>
            </w:tcBorders>
            <w:vAlign w:val="center"/>
          </w:tcPr>
          <w:p w14:paraId="2C557673" w14:textId="77777777" w:rsidR="00746D3C" w:rsidRPr="007F4971" w:rsidRDefault="00746D3C" w:rsidP="007B3372">
            <w:pPr>
              <w:jc w:val="right"/>
              <w:rPr>
                <w:sz w:val="20"/>
                <w:szCs w:val="20"/>
              </w:rPr>
            </w:pPr>
            <w:r w:rsidRPr="007F4971">
              <w:rPr>
                <w:sz w:val="20"/>
                <w:szCs w:val="20"/>
              </w:rPr>
              <w:t>1 </w:t>
            </w:r>
            <w:r>
              <w:rPr>
                <w:sz w:val="20"/>
                <w:szCs w:val="20"/>
              </w:rPr>
              <w:t>492</w:t>
            </w:r>
            <w:r w:rsidRPr="007F4971">
              <w:rPr>
                <w:sz w:val="20"/>
                <w:szCs w:val="20"/>
              </w:rPr>
              <w:t xml:space="preserve"> 475</w:t>
            </w:r>
          </w:p>
        </w:tc>
        <w:tc>
          <w:tcPr>
            <w:tcW w:w="1540" w:type="dxa"/>
            <w:tcBorders>
              <w:top w:val="nil"/>
              <w:left w:val="nil"/>
              <w:bottom w:val="single" w:sz="4" w:space="0" w:color="auto"/>
              <w:right w:val="single" w:sz="4" w:space="0" w:color="auto"/>
            </w:tcBorders>
            <w:vAlign w:val="center"/>
          </w:tcPr>
          <w:p w14:paraId="65ADEB39" w14:textId="77777777" w:rsidR="00746D3C" w:rsidRPr="007F4971" w:rsidRDefault="00746D3C" w:rsidP="007B3372">
            <w:pPr>
              <w:jc w:val="right"/>
              <w:rPr>
                <w:sz w:val="20"/>
                <w:szCs w:val="20"/>
              </w:rPr>
            </w:pPr>
            <w:r w:rsidRPr="007F4971">
              <w:rPr>
                <w:sz w:val="20"/>
                <w:szCs w:val="20"/>
              </w:rPr>
              <w:t>2 </w:t>
            </w:r>
            <w:r>
              <w:rPr>
                <w:sz w:val="20"/>
                <w:szCs w:val="20"/>
              </w:rPr>
              <w:t>10</w:t>
            </w:r>
            <w:r w:rsidRPr="007F4971">
              <w:rPr>
                <w:sz w:val="20"/>
                <w:szCs w:val="20"/>
              </w:rPr>
              <w:t>4 975</w:t>
            </w:r>
          </w:p>
        </w:tc>
        <w:tc>
          <w:tcPr>
            <w:tcW w:w="1540" w:type="dxa"/>
            <w:tcBorders>
              <w:top w:val="nil"/>
              <w:left w:val="nil"/>
              <w:bottom w:val="single" w:sz="4" w:space="0" w:color="auto"/>
              <w:right w:val="single" w:sz="4" w:space="0" w:color="auto"/>
            </w:tcBorders>
            <w:vAlign w:val="center"/>
          </w:tcPr>
          <w:p w14:paraId="5C25D48E" w14:textId="77777777" w:rsidR="00746D3C" w:rsidRPr="005A477C" w:rsidRDefault="00746D3C" w:rsidP="007B3372">
            <w:pPr>
              <w:jc w:val="right"/>
              <w:rPr>
                <w:sz w:val="20"/>
                <w:szCs w:val="20"/>
              </w:rPr>
            </w:pPr>
            <w:r w:rsidRPr="005A477C">
              <w:rPr>
                <w:sz w:val="20"/>
                <w:szCs w:val="20"/>
              </w:rPr>
              <w:t>2 </w:t>
            </w:r>
            <w:r>
              <w:rPr>
                <w:sz w:val="20"/>
                <w:szCs w:val="20"/>
              </w:rPr>
              <w:t>10</w:t>
            </w:r>
            <w:r w:rsidRPr="005A477C">
              <w:rPr>
                <w:sz w:val="20"/>
                <w:szCs w:val="20"/>
              </w:rPr>
              <w:t>4 975</w:t>
            </w:r>
          </w:p>
        </w:tc>
        <w:tc>
          <w:tcPr>
            <w:tcW w:w="1649" w:type="dxa"/>
            <w:tcBorders>
              <w:top w:val="nil"/>
              <w:left w:val="nil"/>
              <w:bottom w:val="single" w:sz="4" w:space="0" w:color="auto"/>
              <w:right w:val="single" w:sz="4" w:space="0" w:color="auto"/>
            </w:tcBorders>
            <w:noWrap/>
            <w:vAlign w:val="bottom"/>
          </w:tcPr>
          <w:p w14:paraId="3258262D" w14:textId="77777777" w:rsidR="00746D3C" w:rsidRPr="007B7470" w:rsidRDefault="00746D3C" w:rsidP="007B3372">
            <w:r w:rsidRPr="007B7470">
              <w:t> </w:t>
            </w:r>
          </w:p>
        </w:tc>
      </w:tr>
      <w:tr w:rsidR="00746D3C" w:rsidRPr="007B7470" w14:paraId="68FA82DC" w14:textId="77777777" w:rsidTr="007B3372">
        <w:trPr>
          <w:trHeight w:val="255"/>
        </w:trPr>
        <w:tc>
          <w:tcPr>
            <w:tcW w:w="7070" w:type="dxa"/>
            <w:tcBorders>
              <w:top w:val="nil"/>
              <w:left w:val="single" w:sz="4" w:space="0" w:color="auto"/>
              <w:bottom w:val="single" w:sz="4" w:space="0" w:color="auto"/>
              <w:right w:val="single" w:sz="4" w:space="0" w:color="auto"/>
            </w:tcBorders>
          </w:tcPr>
          <w:p w14:paraId="4CBE8B5D" w14:textId="77777777" w:rsidR="00746D3C" w:rsidRPr="007B7470" w:rsidRDefault="00746D3C" w:rsidP="007B3372">
            <w:pPr>
              <w:rPr>
                <w:sz w:val="20"/>
                <w:szCs w:val="20"/>
              </w:rPr>
            </w:pPr>
            <w:r w:rsidRPr="007B7470">
              <w:rPr>
                <w:sz w:val="20"/>
                <w:szCs w:val="20"/>
              </w:rPr>
              <w:t xml:space="preserve">  Bežné transfery (640)</w:t>
            </w:r>
            <w:r w:rsidRPr="007B7470">
              <w:rPr>
                <w:sz w:val="20"/>
                <w:szCs w:val="20"/>
                <w:vertAlign w:val="superscript"/>
              </w:rPr>
              <w:t>2</w:t>
            </w:r>
          </w:p>
        </w:tc>
        <w:tc>
          <w:tcPr>
            <w:tcW w:w="1430" w:type="dxa"/>
            <w:tcBorders>
              <w:top w:val="nil"/>
              <w:left w:val="nil"/>
              <w:bottom w:val="single" w:sz="4" w:space="0" w:color="auto"/>
              <w:right w:val="single" w:sz="4" w:space="0" w:color="auto"/>
            </w:tcBorders>
            <w:vAlign w:val="center"/>
          </w:tcPr>
          <w:p w14:paraId="44F540D5" w14:textId="77777777" w:rsidR="00746D3C" w:rsidRPr="007B7470" w:rsidRDefault="00746D3C" w:rsidP="007B3372">
            <w:pPr>
              <w:jc w:val="right"/>
              <w:rPr>
                <w:sz w:val="20"/>
                <w:szCs w:val="20"/>
              </w:rPr>
            </w:pPr>
          </w:p>
        </w:tc>
        <w:tc>
          <w:tcPr>
            <w:tcW w:w="1650" w:type="dxa"/>
            <w:tcBorders>
              <w:top w:val="nil"/>
              <w:left w:val="nil"/>
              <w:bottom w:val="single" w:sz="4" w:space="0" w:color="auto"/>
              <w:right w:val="single" w:sz="4" w:space="0" w:color="auto"/>
            </w:tcBorders>
            <w:vAlign w:val="center"/>
          </w:tcPr>
          <w:p w14:paraId="0FC50140" w14:textId="77777777" w:rsidR="00746D3C" w:rsidRPr="007F4971" w:rsidRDefault="00746D3C" w:rsidP="007B3372">
            <w:pPr>
              <w:jc w:val="right"/>
              <w:rPr>
                <w:sz w:val="20"/>
                <w:szCs w:val="20"/>
              </w:rPr>
            </w:pPr>
          </w:p>
        </w:tc>
        <w:tc>
          <w:tcPr>
            <w:tcW w:w="1540" w:type="dxa"/>
            <w:tcBorders>
              <w:top w:val="nil"/>
              <w:left w:val="nil"/>
              <w:bottom w:val="single" w:sz="4" w:space="0" w:color="auto"/>
              <w:right w:val="single" w:sz="4" w:space="0" w:color="auto"/>
            </w:tcBorders>
            <w:vAlign w:val="center"/>
          </w:tcPr>
          <w:p w14:paraId="13CDADDF" w14:textId="77777777" w:rsidR="00746D3C" w:rsidRPr="007F4971" w:rsidRDefault="00746D3C" w:rsidP="007B3372">
            <w:pPr>
              <w:jc w:val="right"/>
              <w:rPr>
                <w:sz w:val="20"/>
                <w:szCs w:val="20"/>
              </w:rPr>
            </w:pPr>
          </w:p>
        </w:tc>
        <w:tc>
          <w:tcPr>
            <w:tcW w:w="1540" w:type="dxa"/>
            <w:tcBorders>
              <w:top w:val="nil"/>
              <w:left w:val="nil"/>
              <w:bottom w:val="single" w:sz="4" w:space="0" w:color="auto"/>
              <w:right w:val="single" w:sz="4" w:space="0" w:color="auto"/>
            </w:tcBorders>
            <w:vAlign w:val="center"/>
          </w:tcPr>
          <w:p w14:paraId="549411A3" w14:textId="77777777" w:rsidR="00746D3C" w:rsidRPr="005A477C" w:rsidRDefault="00746D3C" w:rsidP="007B3372">
            <w:pPr>
              <w:jc w:val="right"/>
              <w:rPr>
                <w:sz w:val="20"/>
                <w:szCs w:val="20"/>
              </w:rPr>
            </w:pPr>
          </w:p>
        </w:tc>
        <w:tc>
          <w:tcPr>
            <w:tcW w:w="1649" w:type="dxa"/>
            <w:tcBorders>
              <w:top w:val="nil"/>
              <w:left w:val="nil"/>
              <w:bottom w:val="single" w:sz="4" w:space="0" w:color="auto"/>
              <w:right w:val="single" w:sz="4" w:space="0" w:color="auto"/>
            </w:tcBorders>
            <w:noWrap/>
            <w:vAlign w:val="bottom"/>
          </w:tcPr>
          <w:p w14:paraId="4F757AF2" w14:textId="77777777" w:rsidR="00746D3C" w:rsidRPr="007B7470" w:rsidRDefault="00746D3C" w:rsidP="007B3372">
            <w:r w:rsidRPr="007B7470">
              <w:t> </w:t>
            </w:r>
          </w:p>
        </w:tc>
      </w:tr>
      <w:tr w:rsidR="00746D3C" w:rsidRPr="007B7470" w14:paraId="29A1FA6A" w14:textId="77777777" w:rsidTr="007B3372">
        <w:trPr>
          <w:trHeight w:val="255"/>
        </w:trPr>
        <w:tc>
          <w:tcPr>
            <w:tcW w:w="7070" w:type="dxa"/>
            <w:tcBorders>
              <w:top w:val="nil"/>
              <w:left w:val="single" w:sz="4" w:space="0" w:color="auto"/>
              <w:bottom w:val="single" w:sz="4" w:space="0" w:color="auto"/>
              <w:right w:val="single" w:sz="4" w:space="0" w:color="auto"/>
            </w:tcBorders>
            <w:vAlign w:val="center"/>
          </w:tcPr>
          <w:p w14:paraId="6D7B0FCE" w14:textId="77777777" w:rsidR="00746D3C" w:rsidRPr="007B7470" w:rsidRDefault="00746D3C" w:rsidP="007B3372">
            <w:pPr>
              <w:rPr>
                <w:sz w:val="20"/>
                <w:szCs w:val="20"/>
              </w:rPr>
            </w:pPr>
            <w:r w:rsidRPr="007B7470">
              <w:rPr>
                <w:sz w:val="20"/>
                <w:szCs w:val="20"/>
              </w:rPr>
              <w:t xml:space="preserve">  Splácanie úrokov a ostatné platby súvisiace s </w:t>
            </w:r>
            <w:r w:rsidRPr="007B7470">
              <w:t xml:space="preserve"> </w:t>
            </w:r>
            <w:r w:rsidRPr="007B7470">
              <w:rPr>
                <w:sz w:val="20"/>
                <w:szCs w:val="20"/>
              </w:rPr>
              <w:t>úverom, pôžičkou, návratnou finančnou výpomocou a finančným prenájmom (650)</w:t>
            </w:r>
            <w:r w:rsidRPr="007B7470">
              <w:rPr>
                <w:sz w:val="20"/>
                <w:szCs w:val="20"/>
                <w:vertAlign w:val="superscript"/>
              </w:rPr>
              <w:t>2</w:t>
            </w:r>
          </w:p>
        </w:tc>
        <w:tc>
          <w:tcPr>
            <w:tcW w:w="1430" w:type="dxa"/>
            <w:tcBorders>
              <w:top w:val="nil"/>
              <w:left w:val="nil"/>
              <w:bottom w:val="single" w:sz="4" w:space="0" w:color="auto"/>
              <w:right w:val="single" w:sz="4" w:space="0" w:color="auto"/>
            </w:tcBorders>
            <w:vAlign w:val="center"/>
          </w:tcPr>
          <w:p w14:paraId="251A4288" w14:textId="77777777" w:rsidR="00746D3C" w:rsidRPr="007B7470" w:rsidRDefault="00746D3C" w:rsidP="007B3372">
            <w:pPr>
              <w:jc w:val="right"/>
              <w:rPr>
                <w:sz w:val="20"/>
                <w:szCs w:val="20"/>
              </w:rPr>
            </w:pPr>
          </w:p>
        </w:tc>
        <w:tc>
          <w:tcPr>
            <w:tcW w:w="1650" w:type="dxa"/>
            <w:tcBorders>
              <w:top w:val="nil"/>
              <w:left w:val="nil"/>
              <w:bottom w:val="single" w:sz="4" w:space="0" w:color="auto"/>
              <w:right w:val="single" w:sz="4" w:space="0" w:color="auto"/>
            </w:tcBorders>
            <w:vAlign w:val="center"/>
          </w:tcPr>
          <w:p w14:paraId="7B771612" w14:textId="77777777" w:rsidR="00746D3C" w:rsidRPr="007F4971" w:rsidRDefault="00746D3C" w:rsidP="007B3372">
            <w:pPr>
              <w:jc w:val="right"/>
              <w:rPr>
                <w:sz w:val="20"/>
                <w:szCs w:val="20"/>
              </w:rPr>
            </w:pPr>
          </w:p>
        </w:tc>
        <w:tc>
          <w:tcPr>
            <w:tcW w:w="1540" w:type="dxa"/>
            <w:tcBorders>
              <w:top w:val="nil"/>
              <w:left w:val="nil"/>
              <w:bottom w:val="single" w:sz="4" w:space="0" w:color="auto"/>
              <w:right w:val="single" w:sz="4" w:space="0" w:color="auto"/>
            </w:tcBorders>
            <w:vAlign w:val="center"/>
          </w:tcPr>
          <w:p w14:paraId="2296B95C" w14:textId="77777777" w:rsidR="00746D3C" w:rsidRPr="007F4971" w:rsidRDefault="00746D3C" w:rsidP="007B3372">
            <w:pPr>
              <w:jc w:val="right"/>
              <w:rPr>
                <w:sz w:val="20"/>
                <w:szCs w:val="20"/>
              </w:rPr>
            </w:pPr>
          </w:p>
        </w:tc>
        <w:tc>
          <w:tcPr>
            <w:tcW w:w="1540" w:type="dxa"/>
            <w:tcBorders>
              <w:top w:val="nil"/>
              <w:left w:val="nil"/>
              <w:bottom w:val="single" w:sz="4" w:space="0" w:color="auto"/>
              <w:right w:val="single" w:sz="4" w:space="0" w:color="auto"/>
            </w:tcBorders>
            <w:vAlign w:val="center"/>
          </w:tcPr>
          <w:p w14:paraId="0B51CBFA" w14:textId="77777777" w:rsidR="00746D3C" w:rsidRPr="005A477C" w:rsidRDefault="00746D3C" w:rsidP="007B3372">
            <w:pPr>
              <w:jc w:val="right"/>
              <w:rPr>
                <w:sz w:val="20"/>
                <w:szCs w:val="20"/>
              </w:rPr>
            </w:pPr>
          </w:p>
        </w:tc>
        <w:tc>
          <w:tcPr>
            <w:tcW w:w="1649" w:type="dxa"/>
            <w:tcBorders>
              <w:top w:val="nil"/>
              <w:left w:val="nil"/>
              <w:bottom w:val="single" w:sz="4" w:space="0" w:color="auto"/>
              <w:right w:val="single" w:sz="4" w:space="0" w:color="auto"/>
            </w:tcBorders>
            <w:noWrap/>
            <w:vAlign w:val="bottom"/>
          </w:tcPr>
          <w:p w14:paraId="5C0AE938" w14:textId="77777777" w:rsidR="00746D3C" w:rsidRPr="007B7470" w:rsidRDefault="00746D3C" w:rsidP="007B3372"/>
        </w:tc>
      </w:tr>
      <w:tr w:rsidR="00746D3C" w:rsidRPr="007B7470" w14:paraId="436757D4" w14:textId="77777777" w:rsidTr="007B3372">
        <w:trPr>
          <w:trHeight w:val="255"/>
        </w:trPr>
        <w:tc>
          <w:tcPr>
            <w:tcW w:w="7070" w:type="dxa"/>
            <w:tcBorders>
              <w:top w:val="nil"/>
              <w:left w:val="single" w:sz="4" w:space="0" w:color="auto"/>
              <w:bottom w:val="single" w:sz="4" w:space="0" w:color="auto"/>
              <w:right w:val="single" w:sz="4" w:space="0" w:color="auto"/>
            </w:tcBorders>
          </w:tcPr>
          <w:p w14:paraId="46106BA8" w14:textId="77777777" w:rsidR="00746D3C" w:rsidRPr="007B7470" w:rsidRDefault="00746D3C" w:rsidP="007B3372">
            <w:pPr>
              <w:rPr>
                <w:b/>
                <w:bCs/>
                <w:sz w:val="20"/>
                <w:szCs w:val="20"/>
              </w:rPr>
            </w:pPr>
            <w:r w:rsidRPr="007B7470">
              <w:rPr>
                <w:b/>
                <w:bCs/>
                <w:sz w:val="20"/>
                <w:szCs w:val="20"/>
              </w:rPr>
              <w:t>Kapitálové výdavky (700)</w:t>
            </w:r>
          </w:p>
        </w:tc>
        <w:tc>
          <w:tcPr>
            <w:tcW w:w="1430" w:type="dxa"/>
            <w:tcBorders>
              <w:top w:val="nil"/>
              <w:left w:val="nil"/>
              <w:bottom w:val="single" w:sz="4" w:space="0" w:color="auto"/>
              <w:right w:val="single" w:sz="4" w:space="0" w:color="auto"/>
            </w:tcBorders>
            <w:vAlign w:val="center"/>
          </w:tcPr>
          <w:p w14:paraId="7EFED9E1" w14:textId="77777777" w:rsidR="00746D3C" w:rsidRPr="007B7470" w:rsidRDefault="00746D3C" w:rsidP="007B3372">
            <w:pPr>
              <w:jc w:val="right"/>
              <w:rPr>
                <w:b/>
                <w:bCs/>
                <w:sz w:val="20"/>
                <w:szCs w:val="20"/>
              </w:rPr>
            </w:pPr>
            <w:r w:rsidRPr="00BE023A">
              <w:rPr>
                <w:b/>
                <w:bCs/>
                <w:sz w:val="20"/>
                <w:szCs w:val="20"/>
              </w:rPr>
              <w:t>566</w:t>
            </w:r>
            <w:r>
              <w:rPr>
                <w:b/>
                <w:bCs/>
                <w:sz w:val="20"/>
                <w:szCs w:val="20"/>
              </w:rPr>
              <w:t xml:space="preserve"> </w:t>
            </w:r>
            <w:r w:rsidRPr="00BE023A">
              <w:rPr>
                <w:b/>
                <w:bCs/>
                <w:sz w:val="20"/>
                <w:szCs w:val="20"/>
              </w:rPr>
              <w:t>338</w:t>
            </w:r>
          </w:p>
        </w:tc>
        <w:tc>
          <w:tcPr>
            <w:tcW w:w="1650" w:type="dxa"/>
            <w:tcBorders>
              <w:top w:val="nil"/>
              <w:left w:val="nil"/>
              <w:bottom w:val="single" w:sz="4" w:space="0" w:color="auto"/>
              <w:right w:val="single" w:sz="4" w:space="0" w:color="auto"/>
            </w:tcBorders>
            <w:vAlign w:val="center"/>
          </w:tcPr>
          <w:p w14:paraId="11F98261" w14:textId="77777777" w:rsidR="00746D3C" w:rsidRPr="007F4971" w:rsidRDefault="00746D3C" w:rsidP="007B3372">
            <w:pPr>
              <w:jc w:val="right"/>
              <w:rPr>
                <w:b/>
                <w:bCs/>
                <w:sz w:val="20"/>
                <w:szCs w:val="20"/>
              </w:rPr>
            </w:pPr>
            <w:r>
              <w:rPr>
                <w:b/>
                <w:bCs/>
                <w:sz w:val="20"/>
                <w:szCs w:val="20"/>
              </w:rPr>
              <w:t>9 471 099</w:t>
            </w:r>
          </w:p>
        </w:tc>
        <w:tc>
          <w:tcPr>
            <w:tcW w:w="1540" w:type="dxa"/>
            <w:tcBorders>
              <w:top w:val="nil"/>
              <w:left w:val="nil"/>
              <w:bottom w:val="single" w:sz="4" w:space="0" w:color="auto"/>
              <w:right w:val="single" w:sz="4" w:space="0" w:color="auto"/>
            </w:tcBorders>
            <w:vAlign w:val="center"/>
          </w:tcPr>
          <w:p w14:paraId="2C0B7D9C" w14:textId="77777777" w:rsidR="00746D3C" w:rsidRPr="007F4971" w:rsidRDefault="00746D3C" w:rsidP="007B3372">
            <w:pPr>
              <w:jc w:val="right"/>
              <w:rPr>
                <w:b/>
                <w:bCs/>
                <w:sz w:val="20"/>
                <w:szCs w:val="20"/>
              </w:rPr>
            </w:pPr>
          </w:p>
        </w:tc>
        <w:tc>
          <w:tcPr>
            <w:tcW w:w="1540" w:type="dxa"/>
            <w:tcBorders>
              <w:top w:val="nil"/>
              <w:left w:val="nil"/>
              <w:bottom w:val="single" w:sz="4" w:space="0" w:color="auto"/>
              <w:right w:val="single" w:sz="4" w:space="0" w:color="auto"/>
            </w:tcBorders>
            <w:vAlign w:val="center"/>
          </w:tcPr>
          <w:p w14:paraId="4FDE9041" w14:textId="77777777" w:rsidR="00746D3C" w:rsidRPr="005A477C" w:rsidRDefault="00746D3C" w:rsidP="007B3372">
            <w:pPr>
              <w:jc w:val="right"/>
              <w:rPr>
                <w:b/>
                <w:bCs/>
                <w:sz w:val="20"/>
                <w:szCs w:val="20"/>
              </w:rPr>
            </w:pPr>
          </w:p>
        </w:tc>
        <w:tc>
          <w:tcPr>
            <w:tcW w:w="1649" w:type="dxa"/>
            <w:tcBorders>
              <w:top w:val="nil"/>
              <w:left w:val="nil"/>
              <w:bottom w:val="single" w:sz="4" w:space="0" w:color="auto"/>
              <w:right w:val="single" w:sz="4" w:space="0" w:color="auto"/>
            </w:tcBorders>
            <w:noWrap/>
            <w:vAlign w:val="bottom"/>
          </w:tcPr>
          <w:p w14:paraId="2850EB80" w14:textId="77777777" w:rsidR="00746D3C" w:rsidRPr="002166C5" w:rsidRDefault="00746D3C" w:rsidP="007B3372">
            <w:pPr>
              <w:rPr>
                <w:b/>
                <w:bCs/>
                <w:sz w:val="20"/>
                <w:szCs w:val="20"/>
              </w:rPr>
            </w:pPr>
          </w:p>
        </w:tc>
      </w:tr>
      <w:tr w:rsidR="00746D3C" w:rsidRPr="007B7470" w14:paraId="40645C33" w14:textId="77777777" w:rsidTr="007B3372">
        <w:trPr>
          <w:trHeight w:val="255"/>
        </w:trPr>
        <w:tc>
          <w:tcPr>
            <w:tcW w:w="7070" w:type="dxa"/>
            <w:tcBorders>
              <w:top w:val="nil"/>
              <w:left w:val="single" w:sz="4" w:space="0" w:color="auto"/>
              <w:bottom w:val="single" w:sz="4" w:space="0" w:color="auto"/>
              <w:right w:val="single" w:sz="4" w:space="0" w:color="auto"/>
            </w:tcBorders>
          </w:tcPr>
          <w:p w14:paraId="6EA1410C" w14:textId="77777777" w:rsidR="00746D3C" w:rsidRPr="007B7470" w:rsidRDefault="00746D3C" w:rsidP="007B3372">
            <w:pPr>
              <w:rPr>
                <w:sz w:val="20"/>
                <w:szCs w:val="20"/>
              </w:rPr>
            </w:pPr>
            <w:r w:rsidRPr="007B7470">
              <w:rPr>
                <w:sz w:val="20"/>
                <w:szCs w:val="20"/>
              </w:rPr>
              <w:t xml:space="preserve">  Obstarávanie kapitálových aktív (710)</w:t>
            </w:r>
            <w:r w:rsidRPr="007B7470">
              <w:rPr>
                <w:sz w:val="20"/>
                <w:szCs w:val="20"/>
                <w:vertAlign w:val="superscript"/>
              </w:rPr>
              <w:t>2</w:t>
            </w:r>
          </w:p>
        </w:tc>
        <w:tc>
          <w:tcPr>
            <w:tcW w:w="1430" w:type="dxa"/>
            <w:tcBorders>
              <w:top w:val="nil"/>
              <w:left w:val="nil"/>
              <w:bottom w:val="single" w:sz="4" w:space="0" w:color="auto"/>
              <w:right w:val="single" w:sz="4" w:space="0" w:color="auto"/>
            </w:tcBorders>
            <w:vAlign w:val="center"/>
          </w:tcPr>
          <w:p w14:paraId="3B494BD1" w14:textId="77777777" w:rsidR="00746D3C" w:rsidRPr="007B7470" w:rsidRDefault="00746D3C" w:rsidP="007B3372">
            <w:pPr>
              <w:jc w:val="right"/>
              <w:rPr>
                <w:sz w:val="20"/>
                <w:szCs w:val="20"/>
              </w:rPr>
            </w:pPr>
            <w:r w:rsidRPr="00BE023A">
              <w:rPr>
                <w:sz w:val="20"/>
                <w:szCs w:val="20"/>
              </w:rPr>
              <w:t>566</w:t>
            </w:r>
            <w:r>
              <w:rPr>
                <w:sz w:val="20"/>
                <w:szCs w:val="20"/>
              </w:rPr>
              <w:t xml:space="preserve"> </w:t>
            </w:r>
            <w:r w:rsidRPr="00BE023A">
              <w:rPr>
                <w:sz w:val="20"/>
                <w:szCs w:val="20"/>
              </w:rPr>
              <w:t>338</w:t>
            </w:r>
          </w:p>
        </w:tc>
        <w:tc>
          <w:tcPr>
            <w:tcW w:w="1650" w:type="dxa"/>
            <w:tcBorders>
              <w:top w:val="nil"/>
              <w:left w:val="nil"/>
              <w:bottom w:val="single" w:sz="4" w:space="0" w:color="auto"/>
              <w:right w:val="single" w:sz="4" w:space="0" w:color="auto"/>
            </w:tcBorders>
            <w:vAlign w:val="center"/>
          </w:tcPr>
          <w:p w14:paraId="05EE5E7B" w14:textId="77777777" w:rsidR="00746D3C" w:rsidRPr="007F4971" w:rsidRDefault="00746D3C" w:rsidP="007B3372">
            <w:pPr>
              <w:jc w:val="right"/>
              <w:rPr>
                <w:sz w:val="20"/>
                <w:szCs w:val="20"/>
              </w:rPr>
            </w:pPr>
            <w:r>
              <w:rPr>
                <w:sz w:val="20"/>
                <w:szCs w:val="20"/>
              </w:rPr>
              <w:t>9 471 099</w:t>
            </w:r>
          </w:p>
        </w:tc>
        <w:tc>
          <w:tcPr>
            <w:tcW w:w="1540" w:type="dxa"/>
            <w:tcBorders>
              <w:top w:val="nil"/>
              <w:left w:val="nil"/>
              <w:bottom w:val="single" w:sz="4" w:space="0" w:color="auto"/>
              <w:right w:val="single" w:sz="4" w:space="0" w:color="auto"/>
            </w:tcBorders>
            <w:vAlign w:val="center"/>
          </w:tcPr>
          <w:p w14:paraId="24AB4816" w14:textId="77777777" w:rsidR="00746D3C" w:rsidRPr="007F4971" w:rsidRDefault="00746D3C" w:rsidP="007B3372">
            <w:pPr>
              <w:jc w:val="right"/>
              <w:rPr>
                <w:sz w:val="20"/>
                <w:szCs w:val="20"/>
              </w:rPr>
            </w:pPr>
          </w:p>
        </w:tc>
        <w:tc>
          <w:tcPr>
            <w:tcW w:w="1540" w:type="dxa"/>
            <w:tcBorders>
              <w:top w:val="nil"/>
              <w:left w:val="nil"/>
              <w:bottom w:val="single" w:sz="4" w:space="0" w:color="auto"/>
              <w:right w:val="single" w:sz="4" w:space="0" w:color="auto"/>
            </w:tcBorders>
            <w:vAlign w:val="center"/>
          </w:tcPr>
          <w:p w14:paraId="59F93EB2" w14:textId="77777777" w:rsidR="00746D3C" w:rsidRPr="005A477C" w:rsidRDefault="00746D3C" w:rsidP="007B3372">
            <w:pPr>
              <w:jc w:val="right"/>
              <w:rPr>
                <w:sz w:val="20"/>
                <w:szCs w:val="20"/>
              </w:rPr>
            </w:pPr>
          </w:p>
        </w:tc>
        <w:tc>
          <w:tcPr>
            <w:tcW w:w="1649" w:type="dxa"/>
            <w:tcBorders>
              <w:top w:val="nil"/>
              <w:left w:val="nil"/>
              <w:bottom w:val="single" w:sz="4" w:space="0" w:color="auto"/>
              <w:right w:val="single" w:sz="4" w:space="0" w:color="auto"/>
            </w:tcBorders>
            <w:noWrap/>
            <w:vAlign w:val="bottom"/>
          </w:tcPr>
          <w:p w14:paraId="49E7102D" w14:textId="77777777" w:rsidR="00746D3C" w:rsidRPr="007B7470" w:rsidRDefault="00746D3C" w:rsidP="007B3372">
            <w:r w:rsidRPr="007B7470">
              <w:t> </w:t>
            </w:r>
          </w:p>
        </w:tc>
      </w:tr>
      <w:tr w:rsidR="00746D3C" w:rsidRPr="007B7470" w14:paraId="7C8775B8" w14:textId="77777777" w:rsidTr="007B3372">
        <w:trPr>
          <w:trHeight w:val="255"/>
        </w:trPr>
        <w:tc>
          <w:tcPr>
            <w:tcW w:w="7070" w:type="dxa"/>
            <w:tcBorders>
              <w:top w:val="nil"/>
              <w:left w:val="single" w:sz="4" w:space="0" w:color="auto"/>
              <w:bottom w:val="single" w:sz="4" w:space="0" w:color="auto"/>
              <w:right w:val="single" w:sz="4" w:space="0" w:color="auto"/>
            </w:tcBorders>
          </w:tcPr>
          <w:p w14:paraId="6531DFCD" w14:textId="77777777" w:rsidR="00746D3C" w:rsidRPr="007B7470" w:rsidRDefault="00746D3C" w:rsidP="007B3372">
            <w:pPr>
              <w:rPr>
                <w:sz w:val="20"/>
                <w:szCs w:val="20"/>
              </w:rPr>
            </w:pPr>
            <w:r w:rsidRPr="00B2480B">
              <w:rPr>
                <w:sz w:val="20"/>
                <w:szCs w:val="20"/>
              </w:rPr>
              <w:t>v tom: Rekonštrukcia a modernizácia (718)</w:t>
            </w:r>
          </w:p>
        </w:tc>
        <w:tc>
          <w:tcPr>
            <w:tcW w:w="1430" w:type="dxa"/>
            <w:tcBorders>
              <w:top w:val="nil"/>
              <w:left w:val="nil"/>
              <w:bottom w:val="single" w:sz="4" w:space="0" w:color="auto"/>
              <w:right w:val="single" w:sz="4" w:space="0" w:color="auto"/>
            </w:tcBorders>
            <w:vAlign w:val="center"/>
          </w:tcPr>
          <w:p w14:paraId="45639C0E" w14:textId="77777777" w:rsidR="00746D3C" w:rsidRPr="007B7470" w:rsidRDefault="00746D3C" w:rsidP="007B3372">
            <w:pPr>
              <w:jc w:val="right"/>
              <w:rPr>
                <w:sz w:val="20"/>
                <w:szCs w:val="20"/>
              </w:rPr>
            </w:pPr>
            <w:r w:rsidRPr="00BE023A">
              <w:rPr>
                <w:sz w:val="20"/>
                <w:szCs w:val="20"/>
              </w:rPr>
              <w:t>566</w:t>
            </w:r>
            <w:r>
              <w:rPr>
                <w:sz w:val="20"/>
                <w:szCs w:val="20"/>
              </w:rPr>
              <w:t xml:space="preserve"> </w:t>
            </w:r>
            <w:r w:rsidRPr="00BE023A">
              <w:rPr>
                <w:sz w:val="20"/>
                <w:szCs w:val="20"/>
              </w:rPr>
              <w:t>338</w:t>
            </w:r>
          </w:p>
        </w:tc>
        <w:tc>
          <w:tcPr>
            <w:tcW w:w="1650" w:type="dxa"/>
            <w:tcBorders>
              <w:top w:val="nil"/>
              <w:left w:val="nil"/>
              <w:bottom w:val="single" w:sz="4" w:space="0" w:color="auto"/>
              <w:right w:val="single" w:sz="4" w:space="0" w:color="auto"/>
            </w:tcBorders>
            <w:vAlign w:val="center"/>
          </w:tcPr>
          <w:p w14:paraId="1966A419" w14:textId="77777777" w:rsidR="00746D3C" w:rsidRPr="007F4971" w:rsidRDefault="00746D3C" w:rsidP="007B3372">
            <w:pPr>
              <w:jc w:val="right"/>
              <w:rPr>
                <w:sz w:val="20"/>
                <w:szCs w:val="20"/>
              </w:rPr>
            </w:pPr>
            <w:r>
              <w:rPr>
                <w:sz w:val="20"/>
                <w:szCs w:val="20"/>
              </w:rPr>
              <w:t>9 471 099</w:t>
            </w:r>
          </w:p>
        </w:tc>
        <w:tc>
          <w:tcPr>
            <w:tcW w:w="1540" w:type="dxa"/>
            <w:tcBorders>
              <w:top w:val="nil"/>
              <w:left w:val="nil"/>
              <w:bottom w:val="single" w:sz="4" w:space="0" w:color="auto"/>
              <w:right w:val="single" w:sz="4" w:space="0" w:color="auto"/>
            </w:tcBorders>
            <w:vAlign w:val="center"/>
          </w:tcPr>
          <w:p w14:paraId="11B212D9" w14:textId="77777777" w:rsidR="00746D3C" w:rsidRPr="007F4971" w:rsidRDefault="00746D3C" w:rsidP="007B3372">
            <w:pPr>
              <w:jc w:val="right"/>
              <w:rPr>
                <w:sz w:val="20"/>
                <w:szCs w:val="20"/>
              </w:rPr>
            </w:pPr>
          </w:p>
        </w:tc>
        <w:tc>
          <w:tcPr>
            <w:tcW w:w="1540" w:type="dxa"/>
            <w:tcBorders>
              <w:top w:val="nil"/>
              <w:left w:val="nil"/>
              <w:bottom w:val="single" w:sz="4" w:space="0" w:color="auto"/>
              <w:right w:val="single" w:sz="4" w:space="0" w:color="auto"/>
            </w:tcBorders>
            <w:vAlign w:val="center"/>
          </w:tcPr>
          <w:p w14:paraId="7789D869" w14:textId="77777777" w:rsidR="00746D3C" w:rsidRPr="005A477C" w:rsidRDefault="00746D3C" w:rsidP="007B3372">
            <w:pPr>
              <w:jc w:val="right"/>
              <w:rPr>
                <w:sz w:val="20"/>
                <w:szCs w:val="20"/>
              </w:rPr>
            </w:pPr>
          </w:p>
        </w:tc>
        <w:tc>
          <w:tcPr>
            <w:tcW w:w="1649" w:type="dxa"/>
            <w:tcBorders>
              <w:top w:val="nil"/>
              <w:left w:val="nil"/>
              <w:bottom w:val="single" w:sz="4" w:space="0" w:color="auto"/>
              <w:right w:val="single" w:sz="4" w:space="0" w:color="auto"/>
            </w:tcBorders>
            <w:noWrap/>
            <w:vAlign w:val="bottom"/>
          </w:tcPr>
          <w:p w14:paraId="7E401C37" w14:textId="77777777" w:rsidR="00746D3C" w:rsidRPr="007B7470" w:rsidRDefault="00746D3C" w:rsidP="007B3372"/>
        </w:tc>
      </w:tr>
      <w:tr w:rsidR="00746D3C" w:rsidRPr="007B7470" w14:paraId="6ADD24B8" w14:textId="77777777" w:rsidTr="007B3372">
        <w:trPr>
          <w:trHeight w:val="255"/>
        </w:trPr>
        <w:tc>
          <w:tcPr>
            <w:tcW w:w="7070" w:type="dxa"/>
            <w:tcBorders>
              <w:top w:val="nil"/>
              <w:left w:val="single" w:sz="4" w:space="0" w:color="auto"/>
              <w:bottom w:val="single" w:sz="4" w:space="0" w:color="auto"/>
              <w:right w:val="single" w:sz="4" w:space="0" w:color="auto"/>
            </w:tcBorders>
          </w:tcPr>
          <w:p w14:paraId="73BC0AE7" w14:textId="77777777" w:rsidR="00746D3C" w:rsidRPr="007B7470" w:rsidRDefault="00746D3C" w:rsidP="007B3372">
            <w:pPr>
              <w:rPr>
                <w:sz w:val="20"/>
                <w:szCs w:val="20"/>
              </w:rPr>
            </w:pPr>
            <w:r w:rsidRPr="007B7470">
              <w:rPr>
                <w:sz w:val="20"/>
                <w:szCs w:val="20"/>
              </w:rPr>
              <w:t xml:space="preserve">  Kapitálové transfery (720)</w:t>
            </w:r>
            <w:r w:rsidRPr="007B7470">
              <w:rPr>
                <w:sz w:val="20"/>
                <w:szCs w:val="20"/>
                <w:vertAlign w:val="superscript"/>
              </w:rPr>
              <w:t>2</w:t>
            </w:r>
          </w:p>
        </w:tc>
        <w:tc>
          <w:tcPr>
            <w:tcW w:w="1430" w:type="dxa"/>
            <w:tcBorders>
              <w:top w:val="nil"/>
              <w:left w:val="nil"/>
              <w:bottom w:val="single" w:sz="4" w:space="0" w:color="auto"/>
              <w:right w:val="single" w:sz="4" w:space="0" w:color="auto"/>
            </w:tcBorders>
            <w:vAlign w:val="center"/>
          </w:tcPr>
          <w:p w14:paraId="0FFB31E3" w14:textId="77777777" w:rsidR="00746D3C" w:rsidRPr="007B7470" w:rsidRDefault="00746D3C" w:rsidP="007B3372">
            <w:pPr>
              <w:jc w:val="right"/>
              <w:rPr>
                <w:sz w:val="20"/>
                <w:szCs w:val="20"/>
              </w:rPr>
            </w:pPr>
          </w:p>
        </w:tc>
        <w:tc>
          <w:tcPr>
            <w:tcW w:w="1650" w:type="dxa"/>
            <w:tcBorders>
              <w:top w:val="nil"/>
              <w:left w:val="nil"/>
              <w:bottom w:val="single" w:sz="4" w:space="0" w:color="auto"/>
              <w:right w:val="single" w:sz="4" w:space="0" w:color="auto"/>
            </w:tcBorders>
            <w:vAlign w:val="center"/>
          </w:tcPr>
          <w:p w14:paraId="32B58F95" w14:textId="77777777" w:rsidR="00746D3C" w:rsidRPr="007B7470" w:rsidRDefault="00746D3C" w:rsidP="007B3372">
            <w:pPr>
              <w:jc w:val="right"/>
              <w:rPr>
                <w:sz w:val="20"/>
                <w:szCs w:val="20"/>
              </w:rPr>
            </w:pPr>
          </w:p>
        </w:tc>
        <w:tc>
          <w:tcPr>
            <w:tcW w:w="1540" w:type="dxa"/>
            <w:tcBorders>
              <w:top w:val="nil"/>
              <w:left w:val="nil"/>
              <w:bottom w:val="single" w:sz="4" w:space="0" w:color="auto"/>
              <w:right w:val="single" w:sz="4" w:space="0" w:color="auto"/>
            </w:tcBorders>
            <w:vAlign w:val="center"/>
          </w:tcPr>
          <w:p w14:paraId="7A5210DB" w14:textId="77777777" w:rsidR="00746D3C" w:rsidRPr="007B7470" w:rsidRDefault="00746D3C" w:rsidP="007B3372">
            <w:pPr>
              <w:jc w:val="right"/>
              <w:rPr>
                <w:sz w:val="20"/>
                <w:szCs w:val="20"/>
              </w:rPr>
            </w:pPr>
          </w:p>
        </w:tc>
        <w:tc>
          <w:tcPr>
            <w:tcW w:w="1540" w:type="dxa"/>
            <w:tcBorders>
              <w:top w:val="nil"/>
              <w:left w:val="nil"/>
              <w:bottom w:val="single" w:sz="4" w:space="0" w:color="auto"/>
              <w:right w:val="single" w:sz="4" w:space="0" w:color="auto"/>
            </w:tcBorders>
            <w:vAlign w:val="center"/>
          </w:tcPr>
          <w:p w14:paraId="395D9792" w14:textId="77777777" w:rsidR="00746D3C" w:rsidRPr="007B7470" w:rsidRDefault="00746D3C" w:rsidP="007B3372">
            <w:pPr>
              <w:jc w:val="right"/>
            </w:pPr>
          </w:p>
        </w:tc>
        <w:tc>
          <w:tcPr>
            <w:tcW w:w="1649" w:type="dxa"/>
            <w:tcBorders>
              <w:top w:val="nil"/>
              <w:left w:val="nil"/>
              <w:bottom w:val="single" w:sz="4" w:space="0" w:color="auto"/>
              <w:right w:val="single" w:sz="4" w:space="0" w:color="auto"/>
            </w:tcBorders>
            <w:noWrap/>
            <w:vAlign w:val="bottom"/>
          </w:tcPr>
          <w:p w14:paraId="568C992D" w14:textId="77777777" w:rsidR="00746D3C" w:rsidRPr="007B7470" w:rsidRDefault="00746D3C" w:rsidP="007B3372">
            <w:r w:rsidRPr="007B7470">
              <w:t> </w:t>
            </w:r>
          </w:p>
        </w:tc>
      </w:tr>
      <w:tr w:rsidR="00746D3C" w:rsidRPr="007B7470" w14:paraId="3596EA36" w14:textId="77777777" w:rsidTr="007B3372">
        <w:trPr>
          <w:trHeight w:val="255"/>
        </w:trPr>
        <w:tc>
          <w:tcPr>
            <w:tcW w:w="7070" w:type="dxa"/>
            <w:tcBorders>
              <w:top w:val="nil"/>
              <w:left w:val="single" w:sz="4" w:space="0" w:color="auto"/>
              <w:bottom w:val="single" w:sz="4" w:space="0" w:color="auto"/>
              <w:right w:val="single" w:sz="4" w:space="0" w:color="auto"/>
            </w:tcBorders>
          </w:tcPr>
          <w:p w14:paraId="40D68AB9" w14:textId="77777777" w:rsidR="00746D3C" w:rsidRPr="007B7470" w:rsidRDefault="00746D3C" w:rsidP="007B3372">
            <w:pPr>
              <w:rPr>
                <w:b/>
                <w:bCs/>
                <w:sz w:val="20"/>
                <w:szCs w:val="20"/>
              </w:rPr>
            </w:pPr>
            <w:r w:rsidRPr="007B7470">
              <w:rPr>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14:paraId="0194B9FF" w14:textId="77777777" w:rsidR="00746D3C" w:rsidRPr="007B7470" w:rsidRDefault="00746D3C" w:rsidP="007B3372">
            <w:pPr>
              <w:jc w:val="right"/>
              <w:rPr>
                <w:b/>
                <w:bCs/>
                <w:sz w:val="20"/>
                <w:szCs w:val="20"/>
              </w:rPr>
            </w:pPr>
            <w:r w:rsidRPr="007B7470">
              <w:rPr>
                <w:b/>
                <w:bCs/>
                <w:sz w:val="20"/>
                <w:szCs w:val="20"/>
              </w:rPr>
              <w:t> </w:t>
            </w:r>
          </w:p>
        </w:tc>
        <w:tc>
          <w:tcPr>
            <w:tcW w:w="1650" w:type="dxa"/>
            <w:tcBorders>
              <w:top w:val="nil"/>
              <w:left w:val="nil"/>
              <w:bottom w:val="single" w:sz="4" w:space="0" w:color="auto"/>
              <w:right w:val="single" w:sz="4" w:space="0" w:color="auto"/>
            </w:tcBorders>
            <w:shd w:val="clear" w:color="auto" w:fill="auto"/>
            <w:vAlign w:val="center"/>
          </w:tcPr>
          <w:p w14:paraId="41B0167F" w14:textId="77777777" w:rsidR="00746D3C" w:rsidRPr="007B7470" w:rsidRDefault="00746D3C" w:rsidP="007B3372">
            <w:pPr>
              <w:jc w:val="right"/>
              <w:rPr>
                <w:b/>
                <w:bCs/>
                <w:sz w:val="20"/>
                <w:szCs w:val="20"/>
              </w:rPr>
            </w:pPr>
            <w:r w:rsidRPr="007B7470">
              <w:rPr>
                <w:b/>
                <w:bCs/>
                <w:sz w:val="20"/>
                <w:szCs w:val="20"/>
              </w:rPr>
              <w:t> </w:t>
            </w:r>
          </w:p>
        </w:tc>
        <w:tc>
          <w:tcPr>
            <w:tcW w:w="1540" w:type="dxa"/>
            <w:tcBorders>
              <w:top w:val="nil"/>
              <w:left w:val="nil"/>
              <w:bottom w:val="single" w:sz="4" w:space="0" w:color="auto"/>
              <w:right w:val="single" w:sz="4" w:space="0" w:color="auto"/>
            </w:tcBorders>
            <w:shd w:val="clear" w:color="auto" w:fill="auto"/>
            <w:vAlign w:val="center"/>
          </w:tcPr>
          <w:p w14:paraId="1B5BDC15" w14:textId="77777777" w:rsidR="00746D3C" w:rsidRPr="007B7470" w:rsidRDefault="00746D3C" w:rsidP="007B3372">
            <w:pPr>
              <w:jc w:val="right"/>
              <w:rPr>
                <w:b/>
                <w:bCs/>
                <w:sz w:val="20"/>
                <w:szCs w:val="20"/>
              </w:rPr>
            </w:pPr>
            <w:r w:rsidRPr="007B7470">
              <w:rPr>
                <w:b/>
                <w:bCs/>
                <w:sz w:val="20"/>
                <w:szCs w:val="20"/>
              </w:rPr>
              <w:t> </w:t>
            </w:r>
          </w:p>
        </w:tc>
        <w:tc>
          <w:tcPr>
            <w:tcW w:w="1540" w:type="dxa"/>
            <w:tcBorders>
              <w:top w:val="nil"/>
              <w:left w:val="nil"/>
              <w:bottom w:val="single" w:sz="4" w:space="0" w:color="auto"/>
              <w:right w:val="single" w:sz="4" w:space="0" w:color="auto"/>
            </w:tcBorders>
            <w:shd w:val="clear" w:color="auto" w:fill="auto"/>
            <w:vAlign w:val="center"/>
          </w:tcPr>
          <w:p w14:paraId="2E16DDAF" w14:textId="77777777" w:rsidR="00746D3C" w:rsidRPr="007B7470" w:rsidRDefault="00746D3C" w:rsidP="007B3372">
            <w:pPr>
              <w:jc w:val="right"/>
              <w:rPr>
                <w:b/>
                <w:bCs/>
              </w:rPr>
            </w:pPr>
            <w:r w:rsidRPr="007B7470">
              <w:rPr>
                <w:b/>
                <w:bCs/>
              </w:rPr>
              <w:t> </w:t>
            </w:r>
          </w:p>
        </w:tc>
        <w:tc>
          <w:tcPr>
            <w:tcW w:w="1649" w:type="dxa"/>
            <w:tcBorders>
              <w:top w:val="nil"/>
              <w:left w:val="nil"/>
              <w:bottom w:val="single" w:sz="4" w:space="0" w:color="auto"/>
              <w:right w:val="single" w:sz="4" w:space="0" w:color="auto"/>
            </w:tcBorders>
            <w:noWrap/>
            <w:vAlign w:val="bottom"/>
          </w:tcPr>
          <w:p w14:paraId="3E434410" w14:textId="77777777" w:rsidR="00746D3C" w:rsidRPr="007B7470" w:rsidRDefault="00746D3C" w:rsidP="007B3372">
            <w:r w:rsidRPr="007B7470">
              <w:t> </w:t>
            </w:r>
          </w:p>
        </w:tc>
      </w:tr>
      <w:tr w:rsidR="00746D3C" w:rsidRPr="007B7470" w14:paraId="7BEC6E29" w14:textId="77777777" w:rsidTr="007B337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A3EFA2" w14:textId="77777777" w:rsidR="00746D3C" w:rsidRPr="007B7470" w:rsidRDefault="00746D3C" w:rsidP="007B3372">
            <w:pPr>
              <w:rPr>
                <w:b/>
                <w:bCs/>
                <w:sz w:val="20"/>
                <w:szCs w:val="20"/>
              </w:rPr>
            </w:pPr>
            <w:r w:rsidRPr="007B7470">
              <w:rPr>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12D07C6" w14:textId="77777777" w:rsidR="00746D3C" w:rsidRPr="007B7470" w:rsidRDefault="00746D3C" w:rsidP="007B3372">
            <w:pPr>
              <w:jc w:val="right"/>
              <w:rPr>
                <w:b/>
                <w:bCs/>
                <w:sz w:val="20"/>
                <w:szCs w:val="20"/>
              </w:rPr>
            </w:pPr>
            <w:r w:rsidRPr="00BE023A">
              <w:rPr>
                <w:b/>
                <w:bCs/>
                <w:sz w:val="20"/>
                <w:szCs w:val="20"/>
              </w:rPr>
              <w:t>566</w:t>
            </w:r>
            <w:r>
              <w:rPr>
                <w:b/>
                <w:bCs/>
                <w:sz w:val="20"/>
                <w:szCs w:val="20"/>
              </w:rPr>
              <w:t xml:space="preserve"> </w:t>
            </w:r>
            <w:r w:rsidRPr="00BE023A">
              <w:rPr>
                <w:b/>
                <w:bCs/>
                <w:sz w:val="20"/>
                <w:szCs w:val="20"/>
              </w:rPr>
              <w:t>338</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78FFC63" w14:textId="77777777" w:rsidR="00746D3C" w:rsidRPr="007B7470" w:rsidRDefault="00746D3C" w:rsidP="007B3372">
            <w:pPr>
              <w:jc w:val="right"/>
              <w:rPr>
                <w:b/>
                <w:bCs/>
                <w:sz w:val="20"/>
                <w:szCs w:val="20"/>
              </w:rPr>
            </w:pPr>
            <w:r>
              <w:rPr>
                <w:b/>
                <w:bCs/>
                <w:sz w:val="20"/>
                <w:szCs w:val="20"/>
              </w:rPr>
              <w:t>11 227 861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9D24A6A" w14:textId="77777777" w:rsidR="00746D3C" w:rsidRPr="007B7470" w:rsidRDefault="00746D3C" w:rsidP="007B3372">
            <w:pPr>
              <w:jc w:val="right"/>
              <w:rPr>
                <w:b/>
                <w:bCs/>
                <w:sz w:val="20"/>
                <w:szCs w:val="20"/>
              </w:rPr>
            </w:pPr>
            <w:r>
              <w:rPr>
                <w:b/>
                <w:bCs/>
                <w:sz w:val="20"/>
                <w:szCs w:val="20"/>
              </w:rPr>
              <w:t>2 369 262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37DA64B" w14:textId="77777777" w:rsidR="00746D3C" w:rsidRPr="007B7470" w:rsidRDefault="00746D3C" w:rsidP="007B3372">
            <w:pPr>
              <w:jc w:val="right"/>
              <w:rPr>
                <w:b/>
                <w:bCs/>
              </w:rPr>
            </w:pPr>
            <w:r>
              <w:rPr>
                <w:b/>
                <w:bCs/>
                <w:sz w:val="20"/>
              </w:rPr>
              <w:t>2 369 262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661404C" w14:textId="77777777" w:rsidR="00746D3C" w:rsidRPr="007B7470" w:rsidRDefault="00746D3C" w:rsidP="007B3372">
            <w:r w:rsidRPr="007B7470">
              <w:t> </w:t>
            </w:r>
          </w:p>
        </w:tc>
      </w:tr>
    </w:tbl>
    <w:p w14:paraId="384B10D5" w14:textId="77777777" w:rsidR="00746D3C" w:rsidRPr="007B7470" w:rsidRDefault="00746D3C" w:rsidP="00746D3C">
      <w:pPr>
        <w:tabs>
          <w:tab w:val="num" w:pos="1080"/>
        </w:tabs>
        <w:ind w:left="-900"/>
        <w:jc w:val="both"/>
        <w:rPr>
          <w:bCs/>
          <w:sz w:val="20"/>
          <w:szCs w:val="20"/>
        </w:rPr>
      </w:pPr>
      <w:r w:rsidRPr="007B7470">
        <w:rPr>
          <w:bCs/>
          <w:sz w:val="20"/>
          <w:szCs w:val="20"/>
        </w:rPr>
        <w:t xml:space="preserve">  2 –  výdavky rozpísať až do položiek platnej ekonomickej klasifikácie</w:t>
      </w:r>
    </w:p>
    <w:p w14:paraId="32D1919F" w14:textId="77777777" w:rsidR="00746D3C" w:rsidRPr="007B7470" w:rsidRDefault="00746D3C" w:rsidP="00746D3C">
      <w:pPr>
        <w:tabs>
          <w:tab w:val="num" w:pos="1080"/>
        </w:tabs>
        <w:ind w:left="-900"/>
        <w:jc w:val="both"/>
        <w:rPr>
          <w:bCs/>
          <w:szCs w:val="20"/>
        </w:rPr>
      </w:pPr>
    </w:p>
    <w:p w14:paraId="2CCC5D3A" w14:textId="77777777" w:rsidR="00746D3C" w:rsidRPr="007B7470" w:rsidRDefault="00746D3C" w:rsidP="00746D3C">
      <w:pPr>
        <w:tabs>
          <w:tab w:val="num" w:pos="1080"/>
        </w:tabs>
        <w:ind w:left="-900"/>
        <w:jc w:val="both"/>
        <w:rPr>
          <w:b/>
          <w:bCs/>
          <w:sz w:val="20"/>
          <w:szCs w:val="20"/>
        </w:rPr>
      </w:pPr>
      <w:r w:rsidRPr="007B7470">
        <w:rPr>
          <w:b/>
          <w:bCs/>
          <w:szCs w:val="20"/>
        </w:rPr>
        <w:t xml:space="preserve">  Poznámka:</w:t>
      </w:r>
    </w:p>
    <w:p w14:paraId="37213317" w14:textId="77777777" w:rsidR="00746D3C" w:rsidRPr="007B7470" w:rsidRDefault="00746D3C" w:rsidP="00746D3C">
      <w:pPr>
        <w:tabs>
          <w:tab w:val="num" w:pos="1080"/>
        </w:tabs>
        <w:ind w:left="-900"/>
        <w:jc w:val="both"/>
        <w:rPr>
          <w:bCs/>
          <w:sz w:val="20"/>
          <w:szCs w:val="20"/>
        </w:rPr>
      </w:pPr>
      <w:r w:rsidRPr="007B7470">
        <w:rPr>
          <w:bCs/>
          <w:szCs w:val="20"/>
        </w:rPr>
        <w:t xml:space="preserve">  Ak sa vplyv týka viacerých subjektov verejnej správy, vypĺňa sa samostatná tabuľka za každý subjekt.</w:t>
      </w:r>
    </w:p>
    <w:p w14:paraId="0FB1DBF7" w14:textId="77777777" w:rsidR="00746D3C" w:rsidRPr="007B7470" w:rsidRDefault="00746D3C" w:rsidP="00746D3C">
      <w:pPr>
        <w:tabs>
          <w:tab w:val="num" w:pos="1080"/>
        </w:tabs>
        <w:ind w:left="-900"/>
        <w:jc w:val="both"/>
        <w:rPr>
          <w:bCs/>
          <w:sz w:val="20"/>
          <w:szCs w:val="20"/>
        </w:rPr>
      </w:pPr>
    </w:p>
    <w:p w14:paraId="355047B5" w14:textId="77777777" w:rsidR="00746D3C" w:rsidRPr="007B7470" w:rsidRDefault="00746D3C" w:rsidP="00746D3C">
      <w:pPr>
        <w:tabs>
          <w:tab w:val="num" w:pos="1080"/>
        </w:tabs>
        <w:ind w:left="-900"/>
        <w:jc w:val="both"/>
        <w:rPr>
          <w:bCs/>
          <w:sz w:val="20"/>
          <w:szCs w:val="20"/>
        </w:rPr>
      </w:pPr>
    </w:p>
    <w:p w14:paraId="63DBAE56" w14:textId="77777777" w:rsidR="00746D3C" w:rsidRPr="007B7470" w:rsidRDefault="00746D3C" w:rsidP="00746D3C">
      <w:pPr>
        <w:tabs>
          <w:tab w:val="num" w:pos="1080"/>
        </w:tabs>
        <w:ind w:left="-900"/>
        <w:jc w:val="both"/>
        <w:rPr>
          <w:bCs/>
          <w:sz w:val="20"/>
          <w:szCs w:val="20"/>
        </w:rPr>
      </w:pPr>
    </w:p>
    <w:p w14:paraId="7DBC134C" w14:textId="77777777" w:rsidR="00746D3C" w:rsidRDefault="00746D3C" w:rsidP="00746D3C">
      <w:pPr>
        <w:tabs>
          <w:tab w:val="num" w:pos="1080"/>
        </w:tabs>
        <w:ind w:left="-900"/>
        <w:jc w:val="both"/>
        <w:rPr>
          <w:bCs/>
          <w:sz w:val="20"/>
          <w:szCs w:val="20"/>
        </w:rPr>
      </w:pPr>
    </w:p>
    <w:p w14:paraId="333D46B1" w14:textId="77777777" w:rsidR="00746D3C" w:rsidRDefault="00746D3C" w:rsidP="00746D3C">
      <w:pPr>
        <w:tabs>
          <w:tab w:val="num" w:pos="1080"/>
        </w:tabs>
        <w:ind w:left="-900"/>
        <w:jc w:val="both"/>
        <w:rPr>
          <w:bCs/>
          <w:sz w:val="20"/>
          <w:szCs w:val="20"/>
        </w:rPr>
      </w:pPr>
    </w:p>
    <w:p w14:paraId="50CDC659" w14:textId="77777777" w:rsidR="00746D3C" w:rsidRPr="007B7470" w:rsidRDefault="00746D3C" w:rsidP="00746D3C">
      <w:pPr>
        <w:tabs>
          <w:tab w:val="num" w:pos="1080"/>
        </w:tabs>
        <w:ind w:left="-900"/>
        <w:jc w:val="both"/>
        <w:rPr>
          <w:bCs/>
          <w:sz w:val="20"/>
          <w:szCs w:val="20"/>
        </w:rPr>
      </w:pPr>
    </w:p>
    <w:p w14:paraId="013F1A34" w14:textId="77777777" w:rsidR="00746D3C" w:rsidRPr="007B7470" w:rsidRDefault="00746D3C" w:rsidP="00746D3C">
      <w:pPr>
        <w:tabs>
          <w:tab w:val="num" w:pos="1080"/>
        </w:tabs>
        <w:ind w:left="-900"/>
        <w:jc w:val="both"/>
        <w:rPr>
          <w:bCs/>
          <w:sz w:val="20"/>
          <w:szCs w:val="20"/>
        </w:rPr>
      </w:pPr>
    </w:p>
    <w:p w14:paraId="6CDCF682" w14:textId="77777777" w:rsidR="00746D3C" w:rsidRPr="007B7470" w:rsidRDefault="00746D3C" w:rsidP="00746D3C">
      <w:pPr>
        <w:tabs>
          <w:tab w:val="num" w:pos="1080"/>
        </w:tabs>
        <w:ind w:left="-900"/>
        <w:jc w:val="both"/>
        <w:rPr>
          <w:bCs/>
          <w:sz w:val="20"/>
          <w:szCs w:val="20"/>
        </w:rPr>
      </w:pPr>
    </w:p>
    <w:p w14:paraId="73E9CD37" w14:textId="77777777" w:rsidR="00746D3C" w:rsidRPr="007B7470" w:rsidRDefault="00746D3C" w:rsidP="00746D3C">
      <w:pPr>
        <w:tabs>
          <w:tab w:val="num" w:pos="1080"/>
        </w:tabs>
        <w:ind w:left="-900"/>
        <w:jc w:val="both"/>
        <w:rPr>
          <w:bCs/>
          <w:sz w:val="20"/>
          <w:szCs w:val="20"/>
        </w:rPr>
      </w:pPr>
    </w:p>
    <w:p w14:paraId="6B72A340" w14:textId="77777777" w:rsidR="00746D3C" w:rsidRPr="007B7470" w:rsidRDefault="00746D3C" w:rsidP="00746D3C">
      <w:pPr>
        <w:tabs>
          <w:tab w:val="num" w:pos="1080"/>
        </w:tabs>
        <w:ind w:left="-900"/>
        <w:jc w:val="both"/>
        <w:rPr>
          <w:bCs/>
          <w:sz w:val="20"/>
          <w:szCs w:val="20"/>
        </w:rPr>
      </w:pPr>
    </w:p>
    <w:p w14:paraId="27EDBA39" w14:textId="77777777" w:rsidR="00746D3C" w:rsidRPr="007B7470" w:rsidRDefault="00746D3C" w:rsidP="00746D3C">
      <w:pPr>
        <w:tabs>
          <w:tab w:val="num" w:pos="1080"/>
        </w:tabs>
        <w:ind w:left="-900"/>
        <w:jc w:val="both"/>
        <w:rPr>
          <w:bCs/>
          <w:sz w:val="20"/>
          <w:szCs w:val="20"/>
        </w:rPr>
      </w:pPr>
    </w:p>
    <w:p w14:paraId="660DECCE" w14:textId="77777777" w:rsidR="00746D3C" w:rsidRPr="007B7470" w:rsidRDefault="00746D3C" w:rsidP="00746D3C">
      <w:pPr>
        <w:tabs>
          <w:tab w:val="num" w:pos="1080"/>
        </w:tabs>
        <w:ind w:left="-900"/>
        <w:jc w:val="both"/>
        <w:rPr>
          <w:bCs/>
          <w:sz w:val="20"/>
          <w:szCs w:val="20"/>
        </w:rPr>
      </w:pPr>
    </w:p>
    <w:p w14:paraId="3F427B58" w14:textId="77777777" w:rsidR="00746D3C" w:rsidRPr="007B7470" w:rsidRDefault="00746D3C" w:rsidP="00746D3C">
      <w:pPr>
        <w:tabs>
          <w:tab w:val="num" w:pos="1080"/>
        </w:tabs>
        <w:ind w:left="-900"/>
        <w:jc w:val="both"/>
        <w:rPr>
          <w:bCs/>
          <w:sz w:val="20"/>
          <w:szCs w:val="20"/>
        </w:rPr>
      </w:pPr>
    </w:p>
    <w:p w14:paraId="7482B702" w14:textId="77777777" w:rsidR="00746D3C" w:rsidRPr="007B7470" w:rsidRDefault="00746D3C" w:rsidP="00746D3C">
      <w:pPr>
        <w:tabs>
          <w:tab w:val="num" w:pos="1080"/>
        </w:tabs>
        <w:ind w:left="-900"/>
        <w:jc w:val="both"/>
        <w:rPr>
          <w:bCs/>
          <w:sz w:val="20"/>
          <w:szCs w:val="20"/>
        </w:rPr>
      </w:pPr>
    </w:p>
    <w:p w14:paraId="55B3B1F9" w14:textId="77777777" w:rsidR="00746D3C" w:rsidRPr="007B7470" w:rsidRDefault="00746D3C" w:rsidP="00746D3C">
      <w:pPr>
        <w:tabs>
          <w:tab w:val="num" w:pos="1080"/>
        </w:tabs>
        <w:ind w:left="-900"/>
        <w:jc w:val="both"/>
        <w:rPr>
          <w:bCs/>
          <w:sz w:val="20"/>
          <w:szCs w:val="20"/>
        </w:rPr>
      </w:pPr>
      <w:r w:rsidRPr="007B7470">
        <w:rPr>
          <w:bCs/>
          <w:sz w:val="20"/>
          <w:szCs w:val="20"/>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46D3C" w:rsidRPr="007B7470" w14:paraId="22CD6B5F" w14:textId="77777777" w:rsidTr="007B3372">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9BF8D2C" w14:textId="77777777" w:rsidR="00746D3C" w:rsidRPr="007B7470" w:rsidRDefault="00746D3C" w:rsidP="007B3372">
            <w:pPr>
              <w:jc w:val="center"/>
              <w:rPr>
                <w:b/>
                <w:bCs/>
                <w:color w:val="000000" w:themeColor="text1"/>
                <w:sz w:val="20"/>
                <w:szCs w:val="20"/>
              </w:rPr>
            </w:pPr>
            <w:r w:rsidRPr="007B7470">
              <w:rPr>
                <w:b/>
                <w:bCs/>
                <w:color w:val="000000" w:themeColor="text1"/>
                <w:sz w:val="20"/>
                <w:szCs w:val="20"/>
              </w:rPr>
              <w:lastRenderedPageBreak/>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497CA84" w14:textId="77777777" w:rsidR="00746D3C" w:rsidRPr="007B7470" w:rsidRDefault="00746D3C" w:rsidP="007B3372">
            <w:pPr>
              <w:jc w:val="center"/>
              <w:rPr>
                <w:b/>
                <w:bCs/>
                <w:color w:val="000000" w:themeColor="text1"/>
                <w:sz w:val="20"/>
                <w:szCs w:val="20"/>
              </w:rPr>
            </w:pPr>
            <w:r w:rsidRPr="007B7470">
              <w:rPr>
                <w:b/>
                <w:bCs/>
                <w:color w:val="000000" w:themeColor="text1"/>
                <w:sz w:val="20"/>
                <w:szCs w:val="20"/>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E411B9E" w14:textId="77777777" w:rsidR="00746D3C" w:rsidRPr="007B7470" w:rsidRDefault="00746D3C" w:rsidP="007B3372">
            <w:pPr>
              <w:jc w:val="center"/>
              <w:rPr>
                <w:b/>
                <w:bCs/>
                <w:color w:val="000000" w:themeColor="text1"/>
              </w:rPr>
            </w:pPr>
            <w:r w:rsidRPr="007B7470">
              <w:rPr>
                <w:b/>
                <w:bCs/>
                <w:color w:val="000000" w:themeColor="text1"/>
              </w:rPr>
              <w:t>poznámka</w:t>
            </w:r>
          </w:p>
        </w:tc>
      </w:tr>
      <w:tr w:rsidR="00746D3C" w:rsidRPr="007B7470" w14:paraId="7CCB23A8" w14:textId="77777777" w:rsidTr="007B3372">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D9CCF70" w14:textId="77777777" w:rsidR="00746D3C" w:rsidRPr="007B7470" w:rsidRDefault="00746D3C" w:rsidP="007B3372">
            <w:pPr>
              <w:rPr>
                <w:b/>
                <w:bCs/>
                <w:color w:val="000000" w:themeColor="text1"/>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tcPr>
          <w:p w14:paraId="43CED0CE" w14:textId="77777777" w:rsidR="00746D3C" w:rsidRPr="00DB6A66" w:rsidRDefault="00746D3C" w:rsidP="007B3372">
            <w:pPr>
              <w:jc w:val="center"/>
              <w:rPr>
                <w:b/>
                <w:bCs/>
                <w:color w:val="000000" w:themeColor="text1"/>
                <w:sz w:val="20"/>
                <w:szCs w:val="20"/>
              </w:rPr>
            </w:pPr>
            <w:r w:rsidRPr="00DB6A66">
              <w:rPr>
                <w:b/>
                <w:bCs/>
                <w:color w:val="000000" w:themeColor="text1"/>
                <w:sz w:val="20"/>
                <w:szCs w:val="20"/>
              </w:rPr>
              <w:t>2025</w:t>
            </w:r>
          </w:p>
        </w:tc>
        <w:tc>
          <w:tcPr>
            <w:tcW w:w="1650" w:type="dxa"/>
            <w:tcBorders>
              <w:top w:val="nil"/>
              <w:left w:val="nil"/>
              <w:bottom w:val="single" w:sz="4" w:space="0" w:color="auto"/>
              <w:right w:val="single" w:sz="4" w:space="0" w:color="auto"/>
            </w:tcBorders>
            <w:shd w:val="clear" w:color="auto" w:fill="BFBFBF" w:themeFill="background1" w:themeFillShade="BF"/>
          </w:tcPr>
          <w:p w14:paraId="702D55DC" w14:textId="77777777" w:rsidR="00746D3C" w:rsidRPr="00DB6A66" w:rsidRDefault="00746D3C" w:rsidP="007B3372">
            <w:pPr>
              <w:jc w:val="center"/>
              <w:rPr>
                <w:b/>
                <w:bCs/>
                <w:color w:val="000000" w:themeColor="text1"/>
                <w:sz w:val="20"/>
                <w:szCs w:val="20"/>
              </w:rPr>
            </w:pPr>
            <w:r w:rsidRPr="00DB6A66">
              <w:rPr>
                <w:b/>
                <w:bCs/>
                <w:color w:val="000000" w:themeColor="text1"/>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1643CFC3" w14:textId="77777777" w:rsidR="00746D3C" w:rsidRPr="00DB6A66" w:rsidRDefault="00746D3C" w:rsidP="007B3372">
            <w:pPr>
              <w:jc w:val="center"/>
              <w:rPr>
                <w:b/>
                <w:bCs/>
                <w:color w:val="000000" w:themeColor="text1"/>
                <w:sz w:val="20"/>
                <w:szCs w:val="20"/>
              </w:rPr>
            </w:pPr>
            <w:r w:rsidRPr="00DB6A66">
              <w:rPr>
                <w:b/>
                <w:bCs/>
                <w:color w:val="000000" w:themeColor="text1"/>
                <w:sz w:val="20"/>
                <w:szCs w:val="20"/>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4286229D" w14:textId="77777777" w:rsidR="00746D3C" w:rsidRPr="00F74DCF" w:rsidRDefault="00746D3C" w:rsidP="007B3372">
            <w:pPr>
              <w:jc w:val="center"/>
              <w:rPr>
                <w:b/>
                <w:bCs/>
                <w:color w:val="000000" w:themeColor="text1"/>
                <w:sz w:val="20"/>
                <w:szCs w:val="20"/>
              </w:rPr>
            </w:pPr>
            <w:r w:rsidRPr="00F74DCF">
              <w:rPr>
                <w:b/>
                <w:bCs/>
                <w:color w:val="000000" w:themeColor="text1"/>
                <w:sz w:val="20"/>
                <w:szCs w:val="20"/>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2EEAB269" w14:textId="77777777" w:rsidR="00746D3C" w:rsidRPr="007B7470" w:rsidRDefault="00746D3C" w:rsidP="007B3372">
            <w:pPr>
              <w:rPr>
                <w:b/>
                <w:bCs/>
                <w:color w:val="000000" w:themeColor="text1"/>
              </w:rPr>
            </w:pPr>
          </w:p>
        </w:tc>
      </w:tr>
      <w:tr w:rsidR="00746D3C" w:rsidRPr="007B7470" w14:paraId="5435DC25" w14:textId="77777777" w:rsidTr="007B3372">
        <w:trPr>
          <w:trHeight w:val="255"/>
        </w:trPr>
        <w:tc>
          <w:tcPr>
            <w:tcW w:w="7070" w:type="dxa"/>
            <w:tcBorders>
              <w:top w:val="nil"/>
              <w:left w:val="single" w:sz="4" w:space="0" w:color="auto"/>
              <w:bottom w:val="single" w:sz="4" w:space="0" w:color="auto"/>
              <w:right w:val="single" w:sz="4" w:space="0" w:color="auto"/>
            </w:tcBorders>
          </w:tcPr>
          <w:p w14:paraId="1823E91B" w14:textId="77777777" w:rsidR="00746D3C" w:rsidRPr="007B7470" w:rsidRDefault="00746D3C" w:rsidP="007B3372">
            <w:pPr>
              <w:rPr>
                <w:b/>
                <w:bCs/>
                <w:color w:val="000000" w:themeColor="text1"/>
                <w:sz w:val="20"/>
                <w:szCs w:val="20"/>
              </w:rPr>
            </w:pPr>
            <w:r w:rsidRPr="007B7470">
              <w:rPr>
                <w:b/>
                <w:bCs/>
                <w:color w:val="000000" w:themeColor="text1"/>
                <w:sz w:val="20"/>
                <w:szCs w:val="20"/>
              </w:rPr>
              <w:t>Kapitálové príjmy (230)</w:t>
            </w:r>
          </w:p>
        </w:tc>
        <w:tc>
          <w:tcPr>
            <w:tcW w:w="1430" w:type="dxa"/>
            <w:tcBorders>
              <w:top w:val="nil"/>
              <w:left w:val="nil"/>
              <w:bottom w:val="single" w:sz="4" w:space="0" w:color="auto"/>
              <w:right w:val="single" w:sz="4" w:space="0" w:color="auto"/>
            </w:tcBorders>
          </w:tcPr>
          <w:p w14:paraId="34B27B10" w14:textId="77777777" w:rsidR="00746D3C" w:rsidRPr="007B7470" w:rsidRDefault="00746D3C" w:rsidP="007B3372">
            <w:pPr>
              <w:jc w:val="right"/>
              <w:rPr>
                <w:b/>
                <w:bCs/>
                <w:color w:val="000000" w:themeColor="text1"/>
                <w:sz w:val="20"/>
                <w:szCs w:val="20"/>
              </w:rPr>
            </w:pPr>
          </w:p>
        </w:tc>
        <w:tc>
          <w:tcPr>
            <w:tcW w:w="1650" w:type="dxa"/>
            <w:tcBorders>
              <w:top w:val="nil"/>
              <w:left w:val="nil"/>
              <w:bottom w:val="single" w:sz="4" w:space="0" w:color="auto"/>
              <w:right w:val="single" w:sz="4" w:space="0" w:color="auto"/>
            </w:tcBorders>
          </w:tcPr>
          <w:p w14:paraId="3E27EEE0" w14:textId="77777777" w:rsidR="00746D3C" w:rsidRPr="007B7470" w:rsidRDefault="00746D3C" w:rsidP="007B3372">
            <w:pPr>
              <w:jc w:val="right"/>
              <w:rPr>
                <w:b/>
                <w:bCs/>
                <w:color w:val="000000" w:themeColor="text1"/>
                <w:sz w:val="20"/>
                <w:szCs w:val="20"/>
              </w:rPr>
            </w:pPr>
          </w:p>
        </w:tc>
        <w:tc>
          <w:tcPr>
            <w:tcW w:w="1540" w:type="dxa"/>
            <w:tcBorders>
              <w:top w:val="nil"/>
              <w:left w:val="nil"/>
              <w:bottom w:val="single" w:sz="4" w:space="0" w:color="auto"/>
              <w:right w:val="single" w:sz="4" w:space="0" w:color="auto"/>
            </w:tcBorders>
          </w:tcPr>
          <w:p w14:paraId="1D03EDF4" w14:textId="77777777" w:rsidR="00746D3C" w:rsidRPr="007B7470" w:rsidRDefault="00746D3C" w:rsidP="007B3372">
            <w:pPr>
              <w:jc w:val="right"/>
              <w:rPr>
                <w:b/>
                <w:bCs/>
                <w:color w:val="000000" w:themeColor="text1"/>
                <w:sz w:val="20"/>
                <w:szCs w:val="20"/>
              </w:rPr>
            </w:pPr>
          </w:p>
        </w:tc>
        <w:tc>
          <w:tcPr>
            <w:tcW w:w="1540" w:type="dxa"/>
            <w:tcBorders>
              <w:top w:val="nil"/>
              <w:left w:val="nil"/>
              <w:bottom w:val="single" w:sz="4" w:space="0" w:color="auto"/>
              <w:right w:val="single" w:sz="4" w:space="0" w:color="auto"/>
            </w:tcBorders>
          </w:tcPr>
          <w:p w14:paraId="3ACC76AB" w14:textId="77777777" w:rsidR="00746D3C" w:rsidRPr="007B7470" w:rsidRDefault="00746D3C" w:rsidP="007B3372">
            <w:pPr>
              <w:jc w:val="right"/>
              <w:rPr>
                <w:b/>
                <w:bCs/>
                <w:color w:val="000000" w:themeColor="text1"/>
              </w:rPr>
            </w:pPr>
          </w:p>
        </w:tc>
        <w:tc>
          <w:tcPr>
            <w:tcW w:w="1649" w:type="dxa"/>
            <w:tcBorders>
              <w:top w:val="nil"/>
              <w:left w:val="nil"/>
              <w:bottom w:val="single" w:sz="4" w:space="0" w:color="auto"/>
              <w:right w:val="single" w:sz="4" w:space="0" w:color="auto"/>
            </w:tcBorders>
            <w:noWrap/>
            <w:vAlign w:val="bottom"/>
          </w:tcPr>
          <w:p w14:paraId="50F14D78" w14:textId="77777777" w:rsidR="00746D3C" w:rsidRPr="007B7470" w:rsidRDefault="00746D3C" w:rsidP="007B3372">
            <w:pPr>
              <w:rPr>
                <w:color w:val="000000" w:themeColor="text1"/>
              </w:rPr>
            </w:pPr>
          </w:p>
        </w:tc>
      </w:tr>
      <w:tr w:rsidR="00746D3C" w:rsidRPr="007B7470" w14:paraId="03C2FA71" w14:textId="77777777" w:rsidTr="007B3372">
        <w:trPr>
          <w:trHeight w:val="255"/>
        </w:trPr>
        <w:tc>
          <w:tcPr>
            <w:tcW w:w="7070" w:type="dxa"/>
            <w:tcBorders>
              <w:top w:val="nil"/>
              <w:left w:val="single" w:sz="4" w:space="0" w:color="auto"/>
              <w:bottom w:val="single" w:sz="4" w:space="0" w:color="auto"/>
              <w:right w:val="single" w:sz="4" w:space="0" w:color="auto"/>
            </w:tcBorders>
          </w:tcPr>
          <w:p w14:paraId="314B5255" w14:textId="77777777" w:rsidR="00746D3C" w:rsidRPr="007B7470" w:rsidRDefault="00746D3C" w:rsidP="007B3372">
            <w:pPr>
              <w:rPr>
                <w:b/>
                <w:bCs/>
                <w:color w:val="000000" w:themeColor="text1"/>
                <w:sz w:val="20"/>
                <w:szCs w:val="20"/>
              </w:rPr>
            </w:pPr>
            <w:r w:rsidRPr="007B7470">
              <w:rPr>
                <w:b/>
                <w:bCs/>
                <w:color w:val="000000" w:themeColor="text1"/>
                <w:sz w:val="20"/>
                <w:szCs w:val="20"/>
              </w:rPr>
              <w:t>Bežné výdavky (600)</w:t>
            </w:r>
          </w:p>
        </w:tc>
        <w:tc>
          <w:tcPr>
            <w:tcW w:w="1430" w:type="dxa"/>
            <w:tcBorders>
              <w:top w:val="nil"/>
              <w:left w:val="nil"/>
              <w:bottom w:val="single" w:sz="4" w:space="0" w:color="auto"/>
              <w:right w:val="single" w:sz="4" w:space="0" w:color="auto"/>
            </w:tcBorders>
          </w:tcPr>
          <w:p w14:paraId="31A24705" w14:textId="77777777" w:rsidR="00746D3C" w:rsidRPr="007B7470" w:rsidRDefault="00746D3C" w:rsidP="007B3372">
            <w:pPr>
              <w:jc w:val="right"/>
              <w:rPr>
                <w:b/>
                <w:bCs/>
                <w:color w:val="000000" w:themeColor="text1"/>
                <w:sz w:val="20"/>
                <w:szCs w:val="20"/>
              </w:rPr>
            </w:pPr>
          </w:p>
        </w:tc>
        <w:tc>
          <w:tcPr>
            <w:tcW w:w="1650" w:type="dxa"/>
            <w:tcBorders>
              <w:top w:val="nil"/>
              <w:left w:val="nil"/>
              <w:bottom w:val="single" w:sz="4" w:space="0" w:color="auto"/>
              <w:right w:val="single" w:sz="4" w:space="0" w:color="auto"/>
            </w:tcBorders>
          </w:tcPr>
          <w:p w14:paraId="398B50E0" w14:textId="77777777" w:rsidR="00746D3C" w:rsidRPr="007B7470" w:rsidRDefault="00746D3C" w:rsidP="007B3372">
            <w:pPr>
              <w:jc w:val="right"/>
              <w:rPr>
                <w:b/>
                <w:bCs/>
                <w:color w:val="000000" w:themeColor="text1"/>
                <w:sz w:val="20"/>
                <w:szCs w:val="20"/>
              </w:rPr>
            </w:pPr>
            <w:r>
              <w:rPr>
                <w:b/>
                <w:bCs/>
                <w:sz w:val="20"/>
                <w:szCs w:val="20"/>
              </w:rPr>
              <w:t>1 492 475</w:t>
            </w:r>
          </w:p>
        </w:tc>
        <w:tc>
          <w:tcPr>
            <w:tcW w:w="1540" w:type="dxa"/>
            <w:tcBorders>
              <w:top w:val="nil"/>
              <w:left w:val="nil"/>
              <w:bottom w:val="single" w:sz="4" w:space="0" w:color="auto"/>
              <w:right w:val="single" w:sz="4" w:space="0" w:color="auto"/>
            </w:tcBorders>
          </w:tcPr>
          <w:p w14:paraId="30AA74D9" w14:textId="77777777" w:rsidR="00746D3C" w:rsidRPr="007B7470" w:rsidRDefault="00746D3C" w:rsidP="007B3372">
            <w:pPr>
              <w:jc w:val="right"/>
              <w:rPr>
                <w:b/>
                <w:bCs/>
                <w:color w:val="000000" w:themeColor="text1"/>
                <w:sz w:val="20"/>
                <w:szCs w:val="20"/>
              </w:rPr>
            </w:pPr>
            <w:r>
              <w:rPr>
                <w:b/>
                <w:bCs/>
                <w:sz w:val="20"/>
                <w:szCs w:val="20"/>
              </w:rPr>
              <w:t>2 104 975</w:t>
            </w:r>
          </w:p>
        </w:tc>
        <w:tc>
          <w:tcPr>
            <w:tcW w:w="1540" w:type="dxa"/>
            <w:tcBorders>
              <w:top w:val="nil"/>
              <w:left w:val="nil"/>
              <w:bottom w:val="single" w:sz="4" w:space="0" w:color="auto"/>
              <w:right w:val="single" w:sz="4" w:space="0" w:color="auto"/>
            </w:tcBorders>
          </w:tcPr>
          <w:p w14:paraId="165169A6" w14:textId="77777777" w:rsidR="00746D3C" w:rsidRPr="00F74DCF" w:rsidRDefault="00746D3C" w:rsidP="007B3372">
            <w:pPr>
              <w:jc w:val="right"/>
              <w:rPr>
                <w:b/>
                <w:bCs/>
                <w:color w:val="000000" w:themeColor="text1"/>
                <w:sz w:val="20"/>
                <w:szCs w:val="20"/>
              </w:rPr>
            </w:pPr>
            <w:r>
              <w:rPr>
                <w:b/>
                <w:bCs/>
                <w:sz w:val="20"/>
                <w:szCs w:val="20"/>
              </w:rPr>
              <w:t>2 104 975</w:t>
            </w:r>
          </w:p>
        </w:tc>
        <w:tc>
          <w:tcPr>
            <w:tcW w:w="1649" w:type="dxa"/>
            <w:tcBorders>
              <w:top w:val="nil"/>
              <w:left w:val="nil"/>
              <w:bottom w:val="single" w:sz="4" w:space="0" w:color="auto"/>
              <w:right w:val="single" w:sz="4" w:space="0" w:color="auto"/>
            </w:tcBorders>
            <w:noWrap/>
            <w:vAlign w:val="bottom"/>
          </w:tcPr>
          <w:p w14:paraId="4C4EBD5A" w14:textId="77777777" w:rsidR="00746D3C" w:rsidRPr="007B7470" w:rsidRDefault="00746D3C" w:rsidP="007B3372">
            <w:pPr>
              <w:rPr>
                <w:color w:val="000000" w:themeColor="text1"/>
              </w:rPr>
            </w:pPr>
            <w:r w:rsidRPr="007B7470">
              <w:rPr>
                <w:color w:val="000000" w:themeColor="text1"/>
              </w:rPr>
              <w:t> </w:t>
            </w:r>
          </w:p>
        </w:tc>
      </w:tr>
      <w:tr w:rsidR="00746D3C" w:rsidRPr="007B7470" w14:paraId="1B263B9E" w14:textId="77777777" w:rsidTr="007B3372">
        <w:trPr>
          <w:trHeight w:val="255"/>
        </w:trPr>
        <w:tc>
          <w:tcPr>
            <w:tcW w:w="7070" w:type="dxa"/>
            <w:tcBorders>
              <w:top w:val="nil"/>
              <w:left w:val="single" w:sz="4" w:space="0" w:color="auto"/>
              <w:bottom w:val="single" w:sz="4" w:space="0" w:color="auto"/>
              <w:right w:val="single" w:sz="4" w:space="0" w:color="auto"/>
            </w:tcBorders>
          </w:tcPr>
          <w:p w14:paraId="6A0E853C" w14:textId="77777777" w:rsidR="00746D3C" w:rsidRPr="007B7470" w:rsidRDefault="00746D3C" w:rsidP="007B3372">
            <w:pPr>
              <w:rPr>
                <w:color w:val="000000" w:themeColor="text1"/>
                <w:sz w:val="20"/>
                <w:szCs w:val="20"/>
              </w:rPr>
            </w:pPr>
            <w:r w:rsidRPr="007B7470">
              <w:rPr>
                <w:color w:val="000000" w:themeColor="text1"/>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4A1A33E0" w14:textId="77777777" w:rsidR="00746D3C" w:rsidRPr="007B7470" w:rsidRDefault="00746D3C" w:rsidP="007B3372">
            <w:pPr>
              <w:jc w:val="right"/>
              <w:rPr>
                <w:color w:val="000000" w:themeColor="text1"/>
                <w:sz w:val="20"/>
                <w:szCs w:val="20"/>
              </w:rPr>
            </w:pPr>
          </w:p>
        </w:tc>
        <w:tc>
          <w:tcPr>
            <w:tcW w:w="1650" w:type="dxa"/>
            <w:tcBorders>
              <w:top w:val="nil"/>
              <w:left w:val="nil"/>
              <w:bottom w:val="single" w:sz="4" w:space="0" w:color="auto"/>
              <w:right w:val="single" w:sz="4" w:space="0" w:color="auto"/>
            </w:tcBorders>
          </w:tcPr>
          <w:p w14:paraId="6A44F37C" w14:textId="77777777" w:rsidR="00746D3C" w:rsidRPr="007B7470" w:rsidRDefault="00746D3C" w:rsidP="007B3372">
            <w:pPr>
              <w:jc w:val="right"/>
              <w:rPr>
                <w:color w:val="000000" w:themeColor="text1"/>
                <w:sz w:val="20"/>
                <w:szCs w:val="20"/>
              </w:rPr>
            </w:pPr>
          </w:p>
        </w:tc>
        <w:tc>
          <w:tcPr>
            <w:tcW w:w="1540" w:type="dxa"/>
            <w:tcBorders>
              <w:top w:val="nil"/>
              <w:left w:val="nil"/>
              <w:bottom w:val="single" w:sz="4" w:space="0" w:color="auto"/>
              <w:right w:val="single" w:sz="4" w:space="0" w:color="auto"/>
            </w:tcBorders>
          </w:tcPr>
          <w:p w14:paraId="723DD773" w14:textId="77777777" w:rsidR="00746D3C" w:rsidRPr="007B7470" w:rsidRDefault="00746D3C" w:rsidP="007B3372">
            <w:pPr>
              <w:jc w:val="right"/>
              <w:rPr>
                <w:color w:val="000000" w:themeColor="text1"/>
                <w:sz w:val="20"/>
                <w:szCs w:val="20"/>
              </w:rPr>
            </w:pPr>
          </w:p>
        </w:tc>
        <w:tc>
          <w:tcPr>
            <w:tcW w:w="1540" w:type="dxa"/>
            <w:tcBorders>
              <w:top w:val="nil"/>
              <w:left w:val="nil"/>
              <w:bottom w:val="single" w:sz="4" w:space="0" w:color="auto"/>
              <w:right w:val="single" w:sz="4" w:space="0" w:color="auto"/>
            </w:tcBorders>
          </w:tcPr>
          <w:p w14:paraId="497F5D33" w14:textId="77777777" w:rsidR="00746D3C" w:rsidRPr="00F74DCF" w:rsidRDefault="00746D3C" w:rsidP="007B3372">
            <w:pPr>
              <w:jc w:val="right"/>
              <w:rPr>
                <w:color w:val="000000" w:themeColor="text1"/>
                <w:sz w:val="20"/>
                <w:szCs w:val="20"/>
              </w:rPr>
            </w:pPr>
          </w:p>
        </w:tc>
        <w:tc>
          <w:tcPr>
            <w:tcW w:w="1649" w:type="dxa"/>
            <w:tcBorders>
              <w:top w:val="nil"/>
              <w:left w:val="nil"/>
              <w:bottom w:val="single" w:sz="4" w:space="0" w:color="auto"/>
              <w:right w:val="single" w:sz="4" w:space="0" w:color="auto"/>
            </w:tcBorders>
            <w:noWrap/>
            <w:vAlign w:val="bottom"/>
          </w:tcPr>
          <w:p w14:paraId="36274246" w14:textId="77777777" w:rsidR="00746D3C" w:rsidRPr="007B7470" w:rsidRDefault="00746D3C" w:rsidP="007B3372">
            <w:pPr>
              <w:rPr>
                <w:color w:val="000000" w:themeColor="text1"/>
              </w:rPr>
            </w:pPr>
            <w:r w:rsidRPr="007B7470">
              <w:rPr>
                <w:color w:val="000000" w:themeColor="text1"/>
              </w:rPr>
              <w:t> </w:t>
            </w:r>
          </w:p>
        </w:tc>
      </w:tr>
      <w:tr w:rsidR="00746D3C" w:rsidRPr="007B7470" w14:paraId="5D48FC3B" w14:textId="77777777" w:rsidTr="007B3372">
        <w:trPr>
          <w:trHeight w:val="255"/>
        </w:trPr>
        <w:tc>
          <w:tcPr>
            <w:tcW w:w="7070" w:type="dxa"/>
            <w:tcBorders>
              <w:top w:val="nil"/>
              <w:left w:val="single" w:sz="4" w:space="0" w:color="auto"/>
              <w:bottom w:val="single" w:sz="4" w:space="0" w:color="auto"/>
              <w:right w:val="single" w:sz="4" w:space="0" w:color="auto"/>
            </w:tcBorders>
          </w:tcPr>
          <w:p w14:paraId="24C9DB1E" w14:textId="77777777" w:rsidR="00746D3C" w:rsidRPr="007B7470" w:rsidRDefault="00746D3C" w:rsidP="007B3372">
            <w:pPr>
              <w:rPr>
                <w:color w:val="000000" w:themeColor="text1"/>
                <w:sz w:val="20"/>
                <w:szCs w:val="20"/>
                <w:vertAlign w:val="superscript"/>
              </w:rPr>
            </w:pPr>
            <w:r w:rsidRPr="007B7470">
              <w:rPr>
                <w:color w:val="000000" w:themeColor="text1"/>
                <w:sz w:val="20"/>
                <w:szCs w:val="20"/>
              </w:rPr>
              <w:t xml:space="preserve">  Poistné a príspevok do poisťovní (620)</w:t>
            </w:r>
          </w:p>
        </w:tc>
        <w:tc>
          <w:tcPr>
            <w:tcW w:w="1430" w:type="dxa"/>
            <w:tcBorders>
              <w:top w:val="nil"/>
              <w:left w:val="nil"/>
              <w:bottom w:val="single" w:sz="4" w:space="0" w:color="auto"/>
              <w:right w:val="single" w:sz="4" w:space="0" w:color="auto"/>
            </w:tcBorders>
          </w:tcPr>
          <w:p w14:paraId="6EE7C2A5" w14:textId="77777777" w:rsidR="00746D3C" w:rsidRPr="007B7470" w:rsidRDefault="00746D3C" w:rsidP="007B3372">
            <w:pPr>
              <w:jc w:val="right"/>
              <w:rPr>
                <w:color w:val="000000" w:themeColor="text1"/>
                <w:sz w:val="20"/>
                <w:szCs w:val="20"/>
              </w:rPr>
            </w:pPr>
          </w:p>
        </w:tc>
        <w:tc>
          <w:tcPr>
            <w:tcW w:w="1650" w:type="dxa"/>
            <w:tcBorders>
              <w:top w:val="nil"/>
              <w:left w:val="nil"/>
              <w:bottom w:val="single" w:sz="4" w:space="0" w:color="auto"/>
              <w:right w:val="single" w:sz="4" w:space="0" w:color="auto"/>
            </w:tcBorders>
          </w:tcPr>
          <w:p w14:paraId="4C232F59" w14:textId="77777777" w:rsidR="00746D3C" w:rsidRPr="007B7470" w:rsidRDefault="00746D3C" w:rsidP="007B3372">
            <w:pPr>
              <w:jc w:val="right"/>
              <w:rPr>
                <w:color w:val="000000" w:themeColor="text1"/>
                <w:sz w:val="20"/>
                <w:szCs w:val="20"/>
              </w:rPr>
            </w:pPr>
          </w:p>
        </w:tc>
        <w:tc>
          <w:tcPr>
            <w:tcW w:w="1540" w:type="dxa"/>
            <w:tcBorders>
              <w:top w:val="nil"/>
              <w:left w:val="nil"/>
              <w:bottom w:val="single" w:sz="4" w:space="0" w:color="auto"/>
              <w:right w:val="single" w:sz="4" w:space="0" w:color="auto"/>
            </w:tcBorders>
          </w:tcPr>
          <w:p w14:paraId="7CDC4976" w14:textId="77777777" w:rsidR="00746D3C" w:rsidRPr="007B7470" w:rsidRDefault="00746D3C" w:rsidP="007B3372">
            <w:pPr>
              <w:jc w:val="right"/>
              <w:rPr>
                <w:color w:val="000000" w:themeColor="text1"/>
                <w:sz w:val="20"/>
                <w:szCs w:val="20"/>
              </w:rPr>
            </w:pPr>
          </w:p>
        </w:tc>
        <w:tc>
          <w:tcPr>
            <w:tcW w:w="1540" w:type="dxa"/>
            <w:tcBorders>
              <w:top w:val="nil"/>
              <w:left w:val="nil"/>
              <w:bottom w:val="single" w:sz="4" w:space="0" w:color="auto"/>
              <w:right w:val="single" w:sz="4" w:space="0" w:color="auto"/>
            </w:tcBorders>
          </w:tcPr>
          <w:p w14:paraId="29FB35CB" w14:textId="77777777" w:rsidR="00746D3C" w:rsidRPr="00F74DCF" w:rsidRDefault="00746D3C" w:rsidP="007B3372">
            <w:pPr>
              <w:jc w:val="right"/>
              <w:rPr>
                <w:color w:val="000000" w:themeColor="text1"/>
                <w:sz w:val="20"/>
                <w:szCs w:val="20"/>
              </w:rPr>
            </w:pPr>
          </w:p>
        </w:tc>
        <w:tc>
          <w:tcPr>
            <w:tcW w:w="1649" w:type="dxa"/>
            <w:tcBorders>
              <w:top w:val="nil"/>
              <w:left w:val="nil"/>
              <w:bottom w:val="single" w:sz="4" w:space="0" w:color="auto"/>
              <w:right w:val="single" w:sz="4" w:space="0" w:color="auto"/>
            </w:tcBorders>
            <w:noWrap/>
            <w:vAlign w:val="bottom"/>
          </w:tcPr>
          <w:p w14:paraId="254B8563" w14:textId="77777777" w:rsidR="00746D3C" w:rsidRPr="007B7470" w:rsidRDefault="00746D3C" w:rsidP="007B3372">
            <w:pPr>
              <w:rPr>
                <w:color w:val="000000" w:themeColor="text1"/>
              </w:rPr>
            </w:pPr>
            <w:r w:rsidRPr="007B7470">
              <w:rPr>
                <w:color w:val="000000" w:themeColor="text1"/>
              </w:rPr>
              <w:t> </w:t>
            </w:r>
          </w:p>
        </w:tc>
      </w:tr>
      <w:tr w:rsidR="00746D3C" w:rsidRPr="007B7470" w14:paraId="0A709C00" w14:textId="77777777" w:rsidTr="007B3372">
        <w:trPr>
          <w:trHeight w:val="255"/>
        </w:trPr>
        <w:tc>
          <w:tcPr>
            <w:tcW w:w="7070" w:type="dxa"/>
            <w:tcBorders>
              <w:top w:val="nil"/>
              <w:left w:val="single" w:sz="4" w:space="0" w:color="auto"/>
              <w:bottom w:val="single" w:sz="4" w:space="0" w:color="auto"/>
              <w:right w:val="single" w:sz="4" w:space="0" w:color="auto"/>
            </w:tcBorders>
          </w:tcPr>
          <w:p w14:paraId="54015865" w14:textId="77777777" w:rsidR="00746D3C" w:rsidRPr="007B7470" w:rsidRDefault="00746D3C" w:rsidP="007B3372">
            <w:pPr>
              <w:rPr>
                <w:color w:val="000000" w:themeColor="text1"/>
                <w:sz w:val="20"/>
                <w:szCs w:val="20"/>
                <w:vertAlign w:val="superscript"/>
              </w:rPr>
            </w:pPr>
            <w:r w:rsidRPr="007B7470">
              <w:rPr>
                <w:color w:val="000000" w:themeColor="text1"/>
                <w:sz w:val="20"/>
                <w:szCs w:val="20"/>
              </w:rPr>
              <w:t xml:space="preserve">  Tovary a služby (630)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52A90949" w14:textId="77777777" w:rsidR="00746D3C" w:rsidRPr="007B7470" w:rsidRDefault="00746D3C" w:rsidP="007B3372">
            <w:pPr>
              <w:jc w:val="right"/>
              <w:rPr>
                <w:color w:val="000000" w:themeColor="text1"/>
                <w:sz w:val="20"/>
                <w:szCs w:val="20"/>
              </w:rPr>
            </w:pPr>
          </w:p>
        </w:tc>
        <w:tc>
          <w:tcPr>
            <w:tcW w:w="1650" w:type="dxa"/>
            <w:tcBorders>
              <w:top w:val="nil"/>
              <w:left w:val="nil"/>
              <w:bottom w:val="single" w:sz="4" w:space="0" w:color="auto"/>
              <w:right w:val="single" w:sz="4" w:space="0" w:color="auto"/>
            </w:tcBorders>
          </w:tcPr>
          <w:p w14:paraId="39D61341" w14:textId="77777777" w:rsidR="00746D3C" w:rsidRPr="007B7470" w:rsidRDefault="00746D3C" w:rsidP="007B3372">
            <w:pPr>
              <w:jc w:val="right"/>
              <w:rPr>
                <w:color w:val="000000" w:themeColor="text1"/>
                <w:sz w:val="20"/>
                <w:szCs w:val="20"/>
              </w:rPr>
            </w:pPr>
            <w:r w:rsidRPr="007F4971">
              <w:rPr>
                <w:sz w:val="20"/>
                <w:szCs w:val="20"/>
              </w:rPr>
              <w:t>1 </w:t>
            </w:r>
            <w:r>
              <w:rPr>
                <w:sz w:val="20"/>
                <w:szCs w:val="20"/>
              </w:rPr>
              <w:t>49</w:t>
            </w:r>
            <w:r w:rsidRPr="007F4971">
              <w:rPr>
                <w:sz w:val="20"/>
                <w:szCs w:val="20"/>
              </w:rPr>
              <w:t>2 475</w:t>
            </w:r>
          </w:p>
        </w:tc>
        <w:tc>
          <w:tcPr>
            <w:tcW w:w="1540" w:type="dxa"/>
            <w:tcBorders>
              <w:top w:val="nil"/>
              <w:left w:val="nil"/>
              <w:bottom w:val="single" w:sz="4" w:space="0" w:color="auto"/>
              <w:right w:val="single" w:sz="4" w:space="0" w:color="auto"/>
            </w:tcBorders>
          </w:tcPr>
          <w:p w14:paraId="64AD875E" w14:textId="77777777" w:rsidR="00746D3C" w:rsidRPr="007B7470" w:rsidRDefault="00746D3C" w:rsidP="007B3372">
            <w:pPr>
              <w:jc w:val="right"/>
              <w:rPr>
                <w:color w:val="000000" w:themeColor="text1"/>
                <w:sz w:val="20"/>
                <w:szCs w:val="20"/>
              </w:rPr>
            </w:pPr>
            <w:r w:rsidRPr="007F4971">
              <w:rPr>
                <w:sz w:val="20"/>
                <w:szCs w:val="20"/>
              </w:rPr>
              <w:t>2 </w:t>
            </w:r>
            <w:r>
              <w:rPr>
                <w:sz w:val="20"/>
                <w:szCs w:val="20"/>
              </w:rPr>
              <w:t>10</w:t>
            </w:r>
            <w:r w:rsidRPr="007F4971">
              <w:rPr>
                <w:sz w:val="20"/>
                <w:szCs w:val="20"/>
              </w:rPr>
              <w:t>4 975</w:t>
            </w:r>
          </w:p>
        </w:tc>
        <w:tc>
          <w:tcPr>
            <w:tcW w:w="1540" w:type="dxa"/>
            <w:tcBorders>
              <w:top w:val="nil"/>
              <w:left w:val="nil"/>
              <w:bottom w:val="single" w:sz="4" w:space="0" w:color="auto"/>
              <w:right w:val="single" w:sz="4" w:space="0" w:color="auto"/>
            </w:tcBorders>
          </w:tcPr>
          <w:p w14:paraId="702F0A6C" w14:textId="77777777" w:rsidR="00746D3C" w:rsidRPr="007B7470" w:rsidRDefault="00746D3C" w:rsidP="007B3372">
            <w:pPr>
              <w:jc w:val="right"/>
              <w:rPr>
                <w:color w:val="000000" w:themeColor="text1"/>
              </w:rPr>
            </w:pPr>
            <w:r w:rsidRPr="007F4971">
              <w:rPr>
                <w:sz w:val="20"/>
                <w:szCs w:val="20"/>
              </w:rPr>
              <w:t>2 </w:t>
            </w:r>
            <w:r>
              <w:rPr>
                <w:sz w:val="20"/>
                <w:szCs w:val="20"/>
              </w:rPr>
              <w:t>10</w:t>
            </w:r>
            <w:r w:rsidRPr="007F4971">
              <w:rPr>
                <w:sz w:val="20"/>
                <w:szCs w:val="20"/>
              </w:rPr>
              <w:t>4 975</w:t>
            </w:r>
          </w:p>
        </w:tc>
        <w:tc>
          <w:tcPr>
            <w:tcW w:w="1649" w:type="dxa"/>
            <w:tcBorders>
              <w:top w:val="nil"/>
              <w:left w:val="nil"/>
              <w:bottom w:val="single" w:sz="4" w:space="0" w:color="auto"/>
              <w:right w:val="single" w:sz="4" w:space="0" w:color="auto"/>
            </w:tcBorders>
            <w:noWrap/>
            <w:vAlign w:val="bottom"/>
          </w:tcPr>
          <w:p w14:paraId="57AFB2F1" w14:textId="77777777" w:rsidR="00746D3C" w:rsidRPr="007B7470" w:rsidRDefault="00746D3C" w:rsidP="007B3372">
            <w:pPr>
              <w:rPr>
                <w:color w:val="000000" w:themeColor="text1"/>
              </w:rPr>
            </w:pPr>
            <w:r w:rsidRPr="007B7470">
              <w:rPr>
                <w:color w:val="000000" w:themeColor="text1"/>
              </w:rPr>
              <w:t> </w:t>
            </w:r>
          </w:p>
        </w:tc>
      </w:tr>
      <w:tr w:rsidR="00746D3C" w:rsidRPr="007B7470" w14:paraId="1092A439" w14:textId="77777777" w:rsidTr="007B3372">
        <w:trPr>
          <w:trHeight w:val="255"/>
        </w:trPr>
        <w:tc>
          <w:tcPr>
            <w:tcW w:w="7070" w:type="dxa"/>
            <w:tcBorders>
              <w:top w:val="nil"/>
              <w:left w:val="single" w:sz="4" w:space="0" w:color="auto"/>
              <w:bottom w:val="single" w:sz="4" w:space="0" w:color="auto"/>
              <w:right w:val="single" w:sz="4" w:space="0" w:color="auto"/>
            </w:tcBorders>
          </w:tcPr>
          <w:p w14:paraId="1D1D5450" w14:textId="77777777" w:rsidR="00746D3C" w:rsidRPr="007B7470" w:rsidRDefault="00746D3C" w:rsidP="007B3372">
            <w:pPr>
              <w:rPr>
                <w:color w:val="000000" w:themeColor="text1"/>
                <w:sz w:val="20"/>
                <w:szCs w:val="20"/>
              </w:rPr>
            </w:pPr>
            <w:r w:rsidRPr="007B7470">
              <w:rPr>
                <w:color w:val="000000" w:themeColor="text1"/>
                <w:sz w:val="20"/>
                <w:szCs w:val="20"/>
              </w:rPr>
              <w:t xml:space="preserve">  Bežné transfery (640)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09385044" w14:textId="77777777" w:rsidR="00746D3C" w:rsidRPr="007B7470" w:rsidRDefault="00746D3C" w:rsidP="007B3372">
            <w:pPr>
              <w:jc w:val="right"/>
              <w:rPr>
                <w:color w:val="000000" w:themeColor="text1"/>
                <w:sz w:val="20"/>
                <w:szCs w:val="20"/>
              </w:rPr>
            </w:pPr>
          </w:p>
        </w:tc>
        <w:tc>
          <w:tcPr>
            <w:tcW w:w="1650" w:type="dxa"/>
            <w:tcBorders>
              <w:top w:val="nil"/>
              <w:left w:val="nil"/>
              <w:bottom w:val="single" w:sz="4" w:space="0" w:color="auto"/>
              <w:right w:val="single" w:sz="4" w:space="0" w:color="auto"/>
            </w:tcBorders>
          </w:tcPr>
          <w:p w14:paraId="506BF3F4" w14:textId="77777777" w:rsidR="00746D3C" w:rsidRPr="007B7470" w:rsidRDefault="00746D3C" w:rsidP="007B3372">
            <w:pPr>
              <w:jc w:val="right"/>
              <w:rPr>
                <w:color w:val="000000" w:themeColor="text1"/>
                <w:sz w:val="20"/>
                <w:szCs w:val="20"/>
              </w:rPr>
            </w:pPr>
          </w:p>
        </w:tc>
        <w:tc>
          <w:tcPr>
            <w:tcW w:w="1540" w:type="dxa"/>
            <w:tcBorders>
              <w:top w:val="nil"/>
              <w:left w:val="nil"/>
              <w:bottom w:val="single" w:sz="4" w:space="0" w:color="auto"/>
              <w:right w:val="single" w:sz="4" w:space="0" w:color="auto"/>
            </w:tcBorders>
          </w:tcPr>
          <w:p w14:paraId="587ABAC5" w14:textId="77777777" w:rsidR="00746D3C" w:rsidRPr="007B7470" w:rsidRDefault="00746D3C" w:rsidP="007B3372">
            <w:pPr>
              <w:jc w:val="right"/>
              <w:rPr>
                <w:color w:val="000000" w:themeColor="text1"/>
                <w:sz w:val="20"/>
                <w:szCs w:val="20"/>
              </w:rPr>
            </w:pPr>
          </w:p>
        </w:tc>
        <w:tc>
          <w:tcPr>
            <w:tcW w:w="1540" w:type="dxa"/>
            <w:tcBorders>
              <w:top w:val="nil"/>
              <w:left w:val="nil"/>
              <w:bottom w:val="single" w:sz="4" w:space="0" w:color="auto"/>
              <w:right w:val="single" w:sz="4" w:space="0" w:color="auto"/>
            </w:tcBorders>
          </w:tcPr>
          <w:p w14:paraId="775BFD51" w14:textId="77777777" w:rsidR="00746D3C" w:rsidRPr="007B7470" w:rsidRDefault="00746D3C" w:rsidP="007B3372">
            <w:pPr>
              <w:jc w:val="right"/>
              <w:rPr>
                <w:color w:val="000000" w:themeColor="text1"/>
              </w:rPr>
            </w:pPr>
          </w:p>
        </w:tc>
        <w:tc>
          <w:tcPr>
            <w:tcW w:w="1649" w:type="dxa"/>
            <w:tcBorders>
              <w:top w:val="nil"/>
              <w:left w:val="nil"/>
              <w:bottom w:val="single" w:sz="4" w:space="0" w:color="auto"/>
              <w:right w:val="single" w:sz="4" w:space="0" w:color="auto"/>
            </w:tcBorders>
            <w:noWrap/>
            <w:vAlign w:val="bottom"/>
          </w:tcPr>
          <w:p w14:paraId="1F11FFE5" w14:textId="77777777" w:rsidR="00746D3C" w:rsidRPr="007B7470" w:rsidRDefault="00746D3C" w:rsidP="007B3372">
            <w:pPr>
              <w:rPr>
                <w:color w:val="000000" w:themeColor="text1"/>
              </w:rPr>
            </w:pPr>
            <w:r w:rsidRPr="007B7470">
              <w:rPr>
                <w:color w:val="000000" w:themeColor="text1"/>
              </w:rPr>
              <w:t> </w:t>
            </w:r>
          </w:p>
        </w:tc>
      </w:tr>
      <w:tr w:rsidR="00746D3C" w:rsidRPr="007B7470" w14:paraId="3364A0F9" w14:textId="77777777" w:rsidTr="007B3372">
        <w:trPr>
          <w:trHeight w:val="255"/>
        </w:trPr>
        <w:tc>
          <w:tcPr>
            <w:tcW w:w="7070" w:type="dxa"/>
            <w:tcBorders>
              <w:top w:val="nil"/>
              <w:left w:val="single" w:sz="4" w:space="0" w:color="auto"/>
              <w:bottom w:val="single" w:sz="4" w:space="0" w:color="auto"/>
              <w:right w:val="single" w:sz="4" w:space="0" w:color="auto"/>
            </w:tcBorders>
            <w:vAlign w:val="center"/>
          </w:tcPr>
          <w:p w14:paraId="64B2E2BD" w14:textId="77777777" w:rsidR="00746D3C" w:rsidRPr="007B7470" w:rsidRDefault="00746D3C" w:rsidP="007B3372">
            <w:pPr>
              <w:rPr>
                <w:color w:val="000000" w:themeColor="text1"/>
                <w:sz w:val="20"/>
                <w:szCs w:val="20"/>
              </w:rPr>
            </w:pPr>
            <w:r w:rsidRPr="007B7470">
              <w:rPr>
                <w:color w:val="000000" w:themeColor="text1"/>
                <w:sz w:val="20"/>
                <w:szCs w:val="20"/>
              </w:rPr>
              <w:t xml:space="preserve">  Splácanie úrokov a ostatné platby súvisiace s </w:t>
            </w:r>
            <w:r w:rsidRPr="007B7470">
              <w:rPr>
                <w:color w:val="000000" w:themeColor="text1"/>
              </w:rPr>
              <w:t xml:space="preserve"> </w:t>
            </w:r>
            <w:r w:rsidRPr="007B7470">
              <w:rPr>
                <w:color w:val="000000" w:themeColor="text1"/>
                <w:sz w:val="20"/>
                <w:szCs w:val="20"/>
              </w:rPr>
              <w:t>úverom, pôžičkou, návratnou finančnou výpomocou a finančným prenájmom (650)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3DB16A2A" w14:textId="77777777" w:rsidR="00746D3C" w:rsidRPr="007B7470" w:rsidRDefault="00746D3C" w:rsidP="007B3372">
            <w:pPr>
              <w:jc w:val="right"/>
              <w:rPr>
                <w:color w:val="000000" w:themeColor="text1"/>
                <w:sz w:val="20"/>
                <w:szCs w:val="20"/>
              </w:rPr>
            </w:pPr>
          </w:p>
        </w:tc>
        <w:tc>
          <w:tcPr>
            <w:tcW w:w="1650" w:type="dxa"/>
            <w:tcBorders>
              <w:top w:val="nil"/>
              <w:left w:val="nil"/>
              <w:bottom w:val="single" w:sz="4" w:space="0" w:color="auto"/>
              <w:right w:val="single" w:sz="4" w:space="0" w:color="auto"/>
            </w:tcBorders>
          </w:tcPr>
          <w:p w14:paraId="5A42B09D" w14:textId="77777777" w:rsidR="00746D3C" w:rsidRPr="007B7470" w:rsidRDefault="00746D3C" w:rsidP="007B3372">
            <w:pPr>
              <w:jc w:val="right"/>
              <w:rPr>
                <w:color w:val="000000" w:themeColor="text1"/>
                <w:sz w:val="20"/>
                <w:szCs w:val="20"/>
              </w:rPr>
            </w:pPr>
          </w:p>
        </w:tc>
        <w:tc>
          <w:tcPr>
            <w:tcW w:w="1540" w:type="dxa"/>
            <w:tcBorders>
              <w:top w:val="nil"/>
              <w:left w:val="nil"/>
              <w:bottom w:val="single" w:sz="4" w:space="0" w:color="auto"/>
              <w:right w:val="single" w:sz="4" w:space="0" w:color="auto"/>
            </w:tcBorders>
          </w:tcPr>
          <w:p w14:paraId="4B7E4B54" w14:textId="77777777" w:rsidR="00746D3C" w:rsidRPr="007B7470" w:rsidRDefault="00746D3C" w:rsidP="007B3372">
            <w:pPr>
              <w:jc w:val="right"/>
              <w:rPr>
                <w:color w:val="000000" w:themeColor="text1"/>
                <w:sz w:val="20"/>
                <w:szCs w:val="20"/>
              </w:rPr>
            </w:pPr>
          </w:p>
        </w:tc>
        <w:tc>
          <w:tcPr>
            <w:tcW w:w="1540" w:type="dxa"/>
            <w:tcBorders>
              <w:top w:val="nil"/>
              <w:left w:val="nil"/>
              <w:bottom w:val="single" w:sz="4" w:space="0" w:color="auto"/>
              <w:right w:val="single" w:sz="4" w:space="0" w:color="auto"/>
            </w:tcBorders>
          </w:tcPr>
          <w:p w14:paraId="471CBC9E" w14:textId="77777777" w:rsidR="00746D3C" w:rsidRPr="007B7470" w:rsidRDefault="00746D3C" w:rsidP="007B3372">
            <w:pPr>
              <w:jc w:val="right"/>
              <w:rPr>
                <w:color w:val="000000" w:themeColor="text1"/>
              </w:rPr>
            </w:pPr>
          </w:p>
        </w:tc>
        <w:tc>
          <w:tcPr>
            <w:tcW w:w="1649" w:type="dxa"/>
            <w:tcBorders>
              <w:top w:val="nil"/>
              <w:left w:val="nil"/>
              <w:bottom w:val="single" w:sz="4" w:space="0" w:color="auto"/>
              <w:right w:val="single" w:sz="4" w:space="0" w:color="auto"/>
            </w:tcBorders>
            <w:noWrap/>
            <w:vAlign w:val="bottom"/>
          </w:tcPr>
          <w:p w14:paraId="347CD0D7" w14:textId="77777777" w:rsidR="00746D3C" w:rsidRPr="007B7470" w:rsidRDefault="00746D3C" w:rsidP="007B3372">
            <w:pPr>
              <w:rPr>
                <w:color w:val="000000" w:themeColor="text1"/>
              </w:rPr>
            </w:pPr>
          </w:p>
        </w:tc>
      </w:tr>
      <w:tr w:rsidR="00746D3C" w:rsidRPr="007B7470" w14:paraId="0DABAC77" w14:textId="77777777" w:rsidTr="007B3372">
        <w:trPr>
          <w:trHeight w:val="255"/>
        </w:trPr>
        <w:tc>
          <w:tcPr>
            <w:tcW w:w="7070" w:type="dxa"/>
            <w:tcBorders>
              <w:top w:val="nil"/>
              <w:left w:val="single" w:sz="4" w:space="0" w:color="auto"/>
              <w:bottom w:val="single" w:sz="4" w:space="0" w:color="auto"/>
              <w:right w:val="single" w:sz="4" w:space="0" w:color="auto"/>
            </w:tcBorders>
          </w:tcPr>
          <w:p w14:paraId="36803445" w14:textId="77777777" w:rsidR="00746D3C" w:rsidRPr="007B7470" w:rsidRDefault="00746D3C" w:rsidP="007B3372">
            <w:pPr>
              <w:rPr>
                <w:b/>
                <w:bCs/>
                <w:color w:val="000000" w:themeColor="text1"/>
                <w:sz w:val="20"/>
                <w:szCs w:val="20"/>
              </w:rPr>
            </w:pPr>
            <w:r w:rsidRPr="007B7470">
              <w:rPr>
                <w:b/>
                <w:bCs/>
                <w:color w:val="000000" w:themeColor="text1"/>
                <w:sz w:val="20"/>
                <w:szCs w:val="20"/>
              </w:rPr>
              <w:t>Kapitálové výdavky (700)</w:t>
            </w:r>
          </w:p>
        </w:tc>
        <w:tc>
          <w:tcPr>
            <w:tcW w:w="1430" w:type="dxa"/>
            <w:tcBorders>
              <w:top w:val="nil"/>
              <w:left w:val="nil"/>
              <w:bottom w:val="single" w:sz="4" w:space="0" w:color="auto"/>
              <w:right w:val="single" w:sz="4" w:space="0" w:color="auto"/>
            </w:tcBorders>
          </w:tcPr>
          <w:p w14:paraId="6F61FD4D" w14:textId="77777777" w:rsidR="00746D3C" w:rsidRPr="007B7470" w:rsidRDefault="00746D3C" w:rsidP="007B3372">
            <w:pPr>
              <w:jc w:val="right"/>
              <w:rPr>
                <w:b/>
                <w:bCs/>
                <w:color w:val="000000" w:themeColor="text1"/>
                <w:sz w:val="20"/>
                <w:szCs w:val="20"/>
              </w:rPr>
            </w:pPr>
          </w:p>
        </w:tc>
        <w:tc>
          <w:tcPr>
            <w:tcW w:w="1650" w:type="dxa"/>
            <w:tcBorders>
              <w:top w:val="nil"/>
              <w:left w:val="nil"/>
              <w:bottom w:val="single" w:sz="4" w:space="0" w:color="auto"/>
              <w:right w:val="single" w:sz="4" w:space="0" w:color="auto"/>
            </w:tcBorders>
          </w:tcPr>
          <w:p w14:paraId="1D3F62B1" w14:textId="77777777" w:rsidR="00746D3C" w:rsidRPr="007B7470" w:rsidRDefault="00746D3C" w:rsidP="007B3372">
            <w:pPr>
              <w:jc w:val="right"/>
              <w:rPr>
                <w:b/>
                <w:bCs/>
                <w:color w:val="000000" w:themeColor="text1"/>
                <w:sz w:val="20"/>
                <w:szCs w:val="20"/>
              </w:rPr>
            </w:pPr>
            <w:r w:rsidRPr="007F4971">
              <w:rPr>
                <w:b/>
                <w:bCs/>
                <w:sz w:val="20"/>
                <w:szCs w:val="20"/>
              </w:rPr>
              <w:t xml:space="preserve">9 </w:t>
            </w:r>
            <w:r>
              <w:rPr>
                <w:b/>
                <w:bCs/>
                <w:sz w:val="20"/>
                <w:szCs w:val="20"/>
              </w:rPr>
              <w:t>3</w:t>
            </w:r>
            <w:r w:rsidRPr="007F4971">
              <w:rPr>
                <w:b/>
                <w:bCs/>
                <w:sz w:val="20"/>
                <w:szCs w:val="20"/>
              </w:rPr>
              <w:t>26 099</w:t>
            </w:r>
          </w:p>
        </w:tc>
        <w:tc>
          <w:tcPr>
            <w:tcW w:w="1540" w:type="dxa"/>
            <w:tcBorders>
              <w:top w:val="nil"/>
              <w:left w:val="nil"/>
              <w:bottom w:val="single" w:sz="4" w:space="0" w:color="auto"/>
              <w:right w:val="single" w:sz="4" w:space="0" w:color="auto"/>
            </w:tcBorders>
          </w:tcPr>
          <w:p w14:paraId="23B9F38C" w14:textId="77777777" w:rsidR="00746D3C" w:rsidRPr="007B7470" w:rsidRDefault="00746D3C" w:rsidP="007B3372">
            <w:pPr>
              <w:jc w:val="right"/>
              <w:rPr>
                <w:b/>
                <w:bCs/>
                <w:color w:val="000000" w:themeColor="text1"/>
                <w:sz w:val="20"/>
                <w:szCs w:val="20"/>
              </w:rPr>
            </w:pPr>
          </w:p>
        </w:tc>
        <w:tc>
          <w:tcPr>
            <w:tcW w:w="1540" w:type="dxa"/>
            <w:tcBorders>
              <w:top w:val="nil"/>
              <w:left w:val="nil"/>
              <w:bottom w:val="single" w:sz="4" w:space="0" w:color="auto"/>
              <w:right w:val="single" w:sz="4" w:space="0" w:color="auto"/>
            </w:tcBorders>
          </w:tcPr>
          <w:p w14:paraId="2FC11422" w14:textId="77777777" w:rsidR="00746D3C" w:rsidRPr="007B7470" w:rsidRDefault="00746D3C" w:rsidP="007B3372">
            <w:pPr>
              <w:jc w:val="right"/>
              <w:rPr>
                <w:b/>
                <w:bCs/>
                <w:color w:val="000000" w:themeColor="text1"/>
              </w:rPr>
            </w:pPr>
          </w:p>
        </w:tc>
        <w:tc>
          <w:tcPr>
            <w:tcW w:w="1649" w:type="dxa"/>
            <w:tcBorders>
              <w:top w:val="nil"/>
              <w:left w:val="nil"/>
              <w:bottom w:val="single" w:sz="4" w:space="0" w:color="auto"/>
              <w:right w:val="single" w:sz="4" w:space="0" w:color="auto"/>
            </w:tcBorders>
            <w:noWrap/>
            <w:vAlign w:val="bottom"/>
          </w:tcPr>
          <w:p w14:paraId="1D2E20C3" w14:textId="77777777" w:rsidR="00746D3C" w:rsidRPr="007B7470" w:rsidRDefault="00746D3C" w:rsidP="007B3372">
            <w:pPr>
              <w:rPr>
                <w:color w:val="000000" w:themeColor="text1"/>
              </w:rPr>
            </w:pPr>
            <w:r w:rsidRPr="007B7470">
              <w:rPr>
                <w:color w:val="000000" w:themeColor="text1"/>
              </w:rPr>
              <w:t> </w:t>
            </w:r>
          </w:p>
        </w:tc>
      </w:tr>
      <w:tr w:rsidR="00746D3C" w:rsidRPr="007B7470" w14:paraId="54147710" w14:textId="77777777" w:rsidTr="007B3372">
        <w:trPr>
          <w:trHeight w:val="255"/>
        </w:trPr>
        <w:tc>
          <w:tcPr>
            <w:tcW w:w="7070" w:type="dxa"/>
            <w:tcBorders>
              <w:top w:val="nil"/>
              <w:left w:val="single" w:sz="4" w:space="0" w:color="auto"/>
              <w:bottom w:val="single" w:sz="4" w:space="0" w:color="auto"/>
              <w:right w:val="single" w:sz="4" w:space="0" w:color="auto"/>
            </w:tcBorders>
          </w:tcPr>
          <w:p w14:paraId="0E03F99F" w14:textId="77777777" w:rsidR="00746D3C" w:rsidRPr="007B7470" w:rsidRDefault="00746D3C" w:rsidP="007B3372">
            <w:pPr>
              <w:rPr>
                <w:color w:val="000000" w:themeColor="text1"/>
                <w:sz w:val="20"/>
                <w:szCs w:val="20"/>
              </w:rPr>
            </w:pPr>
            <w:r w:rsidRPr="007B7470">
              <w:rPr>
                <w:color w:val="000000" w:themeColor="text1"/>
                <w:sz w:val="20"/>
                <w:szCs w:val="20"/>
              </w:rPr>
              <w:t xml:space="preserve">  Obstarávanie kapitálových aktív (710)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498BF891" w14:textId="77777777" w:rsidR="00746D3C" w:rsidRPr="007B7470" w:rsidRDefault="00746D3C" w:rsidP="007B3372">
            <w:pPr>
              <w:jc w:val="right"/>
              <w:rPr>
                <w:color w:val="000000" w:themeColor="text1"/>
                <w:sz w:val="20"/>
                <w:szCs w:val="20"/>
              </w:rPr>
            </w:pPr>
          </w:p>
        </w:tc>
        <w:tc>
          <w:tcPr>
            <w:tcW w:w="1650" w:type="dxa"/>
            <w:tcBorders>
              <w:top w:val="nil"/>
              <w:left w:val="nil"/>
              <w:bottom w:val="single" w:sz="4" w:space="0" w:color="auto"/>
              <w:right w:val="single" w:sz="4" w:space="0" w:color="auto"/>
            </w:tcBorders>
          </w:tcPr>
          <w:p w14:paraId="19CBA82C" w14:textId="77777777" w:rsidR="00746D3C" w:rsidRPr="007B7470" w:rsidRDefault="00746D3C" w:rsidP="007B3372">
            <w:pPr>
              <w:jc w:val="right"/>
              <w:rPr>
                <w:color w:val="000000" w:themeColor="text1"/>
                <w:sz w:val="20"/>
                <w:szCs w:val="20"/>
              </w:rPr>
            </w:pPr>
            <w:r w:rsidRPr="007F4971">
              <w:rPr>
                <w:sz w:val="20"/>
                <w:szCs w:val="20"/>
              </w:rPr>
              <w:t xml:space="preserve">9 </w:t>
            </w:r>
            <w:r>
              <w:rPr>
                <w:sz w:val="20"/>
                <w:szCs w:val="20"/>
              </w:rPr>
              <w:t>3</w:t>
            </w:r>
            <w:r w:rsidRPr="007F4971">
              <w:rPr>
                <w:sz w:val="20"/>
                <w:szCs w:val="20"/>
              </w:rPr>
              <w:t>26 099</w:t>
            </w:r>
          </w:p>
        </w:tc>
        <w:tc>
          <w:tcPr>
            <w:tcW w:w="1540" w:type="dxa"/>
            <w:tcBorders>
              <w:top w:val="nil"/>
              <w:left w:val="nil"/>
              <w:bottom w:val="single" w:sz="4" w:space="0" w:color="auto"/>
              <w:right w:val="single" w:sz="4" w:space="0" w:color="auto"/>
            </w:tcBorders>
          </w:tcPr>
          <w:p w14:paraId="34FF5D20" w14:textId="77777777" w:rsidR="00746D3C" w:rsidRPr="007B7470" w:rsidRDefault="00746D3C" w:rsidP="007B3372">
            <w:pPr>
              <w:jc w:val="right"/>
              <w:rPr>
                <w:color w:val="000000" w:themeColor="text1"/>
                <w:sz w:val="20"/>
                <w:szCs w:val="20"/>
              </w:rPr>
            </w:pPr>
          </w:p>
        </w:tc>
        <w:tc>
          <w:tcPr>
            <w:tcW w:w="1540" w:type="dxa"/>
            <w:tcBorders>
              <w:top w:val="nil"/>
              <w:left w:val="nil"/>
              <w:bottom w:val="single" w:sz="4" w:space="0" w:color="auto"/>
              <w:right w:val="single" w:sz="4" w:space="0" w:color="auto"/>
            </w:tcBorders>
          </w:tcPr>
          <w:p w14:paraId="43A476DB" w14:textId="77777777" w:rsidR="00746D3C" w:rsidRPr="007B7470" w:rsidRDefault="00746D3C" w:rsidP="007B3372">
            <w:pPr>
              <w:jc w:val="right"/>
              <w:rPr>
                <w:color w:val="000000" w:themeColor="text1"/>
              </w:rPr>
            </w:pPr>
          </w:p>
        </w:tc>
        <w:tc>
          <w:tcPr>
            <w:tcW w:w="1649" w:type="dxa"/>
            <w:tcBorders>
              <w:top w:val="nil"/>
              <w:left w:val="nil"/>
              <w:bottom w:val="single" w:sz="4" w:space="0" w:color="auto"/>
              <w:right w:val="single" w:sz="4" w:space="0" w:color="auto"/>
            </w:tcBorders>
            <w:noWrap/>
            <w:vAlign w:val="bottom"/>
          </w:tcPr>
          <w:p w14:paraId="17708E6C" w14:textId="77777777" w:rsidR="00746D3C" w:rsidRPr="007B7470" w:rsidRDefault="00746D3C" w:rsidP="007B3372">
            <w:pPr>
              <w:rPr>
                <w:color w:val="000000" w:themeColor="text1"/>
              </w:rPr>
            </w:pPr>
            <w:r w:rsidRPr="007B7470">
              <w:rPr>
                <w:color w:val="000000" w:themeColor="text1"/>
              </w:rPr>
              <w:t> </w:t>
            </w:r>
          </w:p>
        </w:tc>
      </w:tr>
      <w:tr w:rsidR="00746D3C" w:rsidRPr="007B7470" w14:paraId="1E856208" w14:textId="77777777" w:rsidTr="007B3372">
        <w:trPr>
          <w:trHeight w:val="255"/>
        </w:trPr>
        <w:tc>
          <w:tcPr>
            <w:tcW w:w="7070" w:type="dxa"/>
            <w:tcBorders>
              <w:top w:val="nil"/>
              <w:left w:val="single" w:sz="4" w:space="0" w:color="auto"/>
              <w:bottom w:val="single" w:sz="4" w:space="0" w:color="auto"/>
              <w:right w:val="single" w:sz="4" w:space="0" w:color="auto"/>
            </w:tcBorders>
          </w:tcPr>
          <w:p w14:paraId="302872A3" w14:textId="77777777" w:rsidR="00746D3C" w:rsidRPr="007B7470" w:rsidRDefault="00746D3C" w:rsidP="007B3372">
            <w:pPr>
              <w:rPr>
                <w:color w:val="000000" w:themeColor="text1"/>
                <w:sz w:val="20"/>
                <w:szCs w:val="20"/>
              </w:rPr>
            </w:pPr>
            <w:r w:rsidRPr="007B7470">
              <w:rPr>
                <w:color w:val="000000" w:themeColor="text1"/>
                <w:sz w:val="20"/>
                <w:szCs w:val="20"/>
              </w:rPr>
              <w:t xml:space="preserve">  Kapitálové transfery (720)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1AC2982E" w14:textId="77777777" w:rsidR="00746D3C" w:rsidRPr="007B7470" w:rsidRDefault="00746D3C" w:rsidP="007B3372">
            <w:pPr>
              <w:jc w:val="right"/>
              <w:rPr>
                <w:color w:val="000000" w:themeColor="text1"/>
                <w:sz w:val="20"/>
                <w:szCs w:val="20"/>
              </w:rPr>
            </w:pPr>
          </w:p>
        </w:tc>
        <w:tc>
          <w:tcPr>
            <w:tcW w:w="1650" w:type="dxa"/>
            <w:tcBorders>
              <w:top w:val="nil"/>
              <w:left w:val="nil"/>
              <w:bottom w:val="single" w:sz="4" w:space="0" w:color="auto"/>
              <w:right w:val="single" w:sz="4" w:space="0" w:color="auto"/>
            </w:tcBorders>
          </w:tcPr>
          <w:p w14:paraId="3654E2B2" w14:textId="77777777" w:rsidR="00746D3C" w:rsidRPr="007B7470" w:rsidRDefault="00746D3C" w:rsidP="007B3372">
            <w:pPr>
              <w:jc w:val="right"/>
              <w:rPr>
                <w:color w:val="000000" w:themeColor="text1"/>
                <w:sz w:val="20"/>
                <w:szCs w:val="20"/>
              </w:rPr>
            </w:pPr>
          </w:p>
        </w:tc>
        <w:tc>
          <w:tcPr>
            <w:tcW w:w="1540" w:type="dxa"/>
            <w:tcBorders>
              <w:top w:val="nil"/>
              <w:left w:val="nil"/>
              <w:bottom w:val="single" w:sz="4" w:space="0" w:color="auto"/>
              <w:right w:val="single" w:sz="4" w:space="0" w:color="auto"/>
            </w:tcBorders>
          </w:tcPr>
          <w:p w14:paraId="7189932A" w14:textId="77777777" w:rsidR="00746D3C" w:rsidRPr="007B7470" w:rsidRDefault="00746D3C" w:rsidP="007B3372">
            <w:pPr>
              <w:jc w:val="right"/>
              <w:rPr>
                <w:color w:val="000000" w:themeColor="text1"/>
                <w:sz w:val="20"/>
                <w:szCs w:val="20"/>
              </w:rPr>
            </w:pPr>
          </w:p>
        </w:tc>
        <w:tc>
          <w:tcPr>
            <w:tcW w:w="1540" w:type="dxa"/>
            <w:tcBorders>
              <w:top w:val="nil"/>
              <w:left w:val="nil"/>
              <w:bottom w:val="single" w:sz="4" w:space="0" w:color="auto"/>
              <w:right w:val="single" w:sz="4" w:space="0" w:color="auto"/>
            </w:tcBorders>
          </w:tcPr>
          <w:p w14:paraId="45DF9D8E" w14:textId="77777777" w:rsidR="00746D3C" w:rsidRPr="007B7470" w:rsidRDefault="00746D3C" w:rsidP="007B3372">
            <w:pPr>
              <w:jc w:val="right"/>
              <w:rPr>
                <w:color w:val="000000" w:themeColor="text1"/>
              </w:rPr>
            </w:pPr>
          </w:p>
        </w:tc>
        <w:tc>
          <w:tcPr>
            <w:tcW w:w="1649" w:type="dxa"/>
            <w:tcBorders>
              <w:top w:val="nil"/>
              <w:left w:val="nil"/>
              <w:bottom w:val="single" w:sz="4" w:space="0" w:color="auto"/>
              <w:right w:val="single" w:sz="4" w:space="0" w:color="auto"/>
            </w:tcBorders>
            <w:noWrap/>
            <w:vAlign w:val="bottom"/>
          </w:tcPr>
          <w:p w14:paraId="2EAC2E9F" w14:textId="77777777" w:rsidR="00746D3C" w:rsidRPr="007B7470" w:rsidRDefault="00746D3C" w:rsidP="007B3372">
            <w:pPr>
              <w:rPr>
                <w:color w:val="000000" w:themeColor="text1"/>
              </w:rPr>
            </w:pPr>
            <w:r w:rsidRPr="007B7470">
              <w:rPr>
                <w:color w:val="000000" w:themeColor="text1"/>
              </w:rPr>
              <w:t> </w:t>
            </w:r>
          </w:p>
        </w:tc>
      </w:tr>
      <w:tr w:rsidR="00746D3C" w:rsidRPr="007B7470" w14:paraId="5354AFA7" w14:textId="77777777" w:rsidTr="007B337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0E7F54" w14:textId="77777777" w:rsidR="00746D3C" w:rsidRPr="007B7470" w:rsidRDefault="00746D3C" w:rsidP="007B3372">
            <w:pPr>
              <w:rPr>
                <w:b/>
                <w:bCs/>
                <w:color w:val="000000" w:themeColor="text1"/>
                <w:sz w:val="20"/>
                <w:szCs w:val="20"/>
              </w:rPr>
            </w:pPr>
            <w:r w:rsidRPr="007B7470">
              <w:rPr>
                <w:b/>
                <w:bCs/>
                <w:color w:val="000000" w:themeColor="text1"/>
                <w:sz w:val="20"/>
                <w:szCs w:val="20"/>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0D37C316" w14:textId="77777777" w:rsidR="00746D3C" w:rsidRPr="007B7470" w:rsidRDefault="00746D3C" w:rsidP="007B3372">
            <w:pPr>
              <w:jc w:val="right"/>
              <w:rPr>
                <w:b/>
                <w:bCs/>
                <w:color w:val="000000" w:themeColor="text1"/>
                <w:sz w:val="20"/>
                <w:szCs w:val="20"/>
              </w:rPr>
            </w:pPr>
            <w:r w:rsidRPr="007B7470">
              <w:rPr>
                <w:b/>
                <w:bCs/>
                <w:color w:val="000000" w:themeColor="text1"/>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2F43E95A" w14:textId="77777777" w:rsidR="00746D3C" w:rsidRPr="007B7470" w:rsidRDefault="00746D3C" w:rsidP="007B3372">
            <w:pPr>
              <w:jc w:val="right"/>
              <w:rPr>
                <w:b/>
                <w:bCs/>
                <w:color w:val="000000" w:themeColor="text1"/>
                <w:sz w:val="20"/>
                <w:szCs w:val="20"/>
              </w:rPr>
            </w:pPr>
            <w:r>
              <w:rPr>
                <w:b/>
                <w:bCs/>
                <w:sz w:val="20"/>
                <w:szCs w:val="20"/>
              </w:rPr>
              <w:t>10 818 574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B5BEAAD" w14:textId="77777777" w:rsidR="00746D3C" w:rsidRPr="007B7470" w:rsidRDefault="00746D3C" w:rsidP="007B3372">
            <w:pPr>
              <w:jc w:val="right"/>
              <w:rPr>
                <w:b/>
                <w:bCs/>
                <w:color w:val="000000" w:themeColor="text1"/>
                <w:sz w:val="20"/>
                <w:szCs w:val="20"/>
              </w:rPr>
            </w:pPr>
            <w:r>
              <w:rPr>
                <w:b/>
                <w:bCs/>
                <w:sz w:val="20"/>
                <w:szCs w:val="20"/>
              </w:rPr>
              <w:t>2 104 975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046C589" w14:textId="77777777" w:rsidR="00746D3C" w:rsidRPr="007B7470" w:rsidRDefault="00746D3C" w:rsidP="007B3372">
            <w:pPr>
              <w:jc w:val="right"/>
              <w:rPr>
                <w:b/>
                <w:bCs/>
                <w:color w:val="000000" w:themeColor="text1"/>
              </w:rPr>
            </w:pPr>
            <w:r>
              <w:rPr>
                <w:b/>
                <w:bCs/>
                <w:sz w:val="20"/>
                <w:szCs w:val="20"/>
              </w:rPr>
              <w:t>2 104 975</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151F0A" w14:textId="77777777" w:rsidR="00746D3C" w:rsidRPr="007B7470" w:rsidRDefault="00746D3C" w:rsidP="007B3372">
            <w:pPr>
              <w:rPr>
                <w:color w:val="000000" w:themeColor="text1"/>
              </w:rPr>
            </w:pPr>
            <w:r w:rsidRPr="007B7470">
              <w:rPr>
                <w:color w:val="000000" w:themeColor="text1"/>
              </w:rPr>
              <w:t> </w:t>
            </w:r>
          </w:p>
        </w:tc>
      </w:tr>
    </w:tbl>
    <w:p w14:paraId="72E37E85" w14:textId="77777777" w:rsidR="00746D3C" w:rsidRPr="007B7470" w:rsidRDefault="00746D3C" w:rsidP="00746D3C">
      <w:pPr>
        <w:tabs>
          <w:tab w:val="num" w:pos="1080"/>
        </w:tabs>
        <w:ind w:left="-900"/>
        <w:jc w:val="both"/>
        <w:rPr>
          <w:bCs/>
          <w:sz w:val="20"/>
          <w:szCs w:val="20"/>
        </w:rPr>
      </w:pPr>
      <w:r w:rsidRPr="007B7470">
        <w:rPr>
          <w:bCs/>
          <w:color w:val="000000" w:themeColor="text1"/>
          <w:sz w:val="20"/>
          <w:szCs w:val="20"/>
        </w:rPr>
        <w:t xml:space="preserve">  2 –  výdavky rozpísať až do podpo</w:t>
      </w:r>
      <w:r w:rsidRPr="007B7470">
        <w:rPr>
          <w:bCs/>
          <w:sz w:val="20"/>
          <w:szCs w:val="20"/>
        </w:rPr>
        <w:t>ložiek platnej ekonomickej klasifikácie</w:t>
      </w:r>
    </w:p>
    <w:p w14:paraId="1C79A0E4" w14:textId="77777777" w:rsidR="00746D3C" w:rsidRPr="007B7470" w:rsidRDefault="00746D3C" w:rsidP="00746D3C">
      <w:pPr>
        <w:tabs>
          <w:tab w:val="num" w:pos="1080"/>
        </w:tabs>
        <w:ind w:left="-900"/>
        <w:jc w:val="both"/>
        <w:rPr>
          <w:bCs/>
          <w:szCs w:val="20"/>
        </w:rPr>
      </w:pPr>
    </w:p>
    <w:p w14:paraId="011E05F3" w14:textId="77777777" w:rsidR="00746D3C" w:rsidRPr="007B7470" w:rsidRDefault="00746D3C" w:rsidP="00746D3C">
      <w:pPr>
        <w:tabs>
          <w:tab w:val="num" w:pos="1080"/>
        </w:tabs>
        <w:ind w:left="-900"/>
        <w:jc w:val="both"/>
        <w:rPr>
          <w:b/>
          <w:bCs/>
          <w:sz w:val="20"/>
          <w:szCs w:val="20"/>
        </w:rPr>
      </w:pPr>
      <w:r w:rsidRPr="007B7470">
        <w:rPr>
          <w:b/>
          <w:bCs/>
          <w:szCs w:val="20"/>
        </w:rPr>
        <w:t xml:space="preserve">  Poznámka:</w:t>
      </w:r>
    </w:p>
    <w:p w14:paraId="77D6FAD0" w14:textId="77777777" w:rsidR="00746D3C" w:rsidRPr="007B7470" w:rsidRDefault="00746D3C" w:rsidP="00746D3C">
      <w:pPr>
        <w:tabs>
          <w:tab w:val="num" w:pos="1080"/>
        </w:tabs>
        <w:ind w:left="-900"/>
        <w:jc w:val="both"/>
        <w:rPr>
          <w:bCs/>
          <w:sz w:val="20"/>
          <w:szCs w:val="20"/>
        </w:rPr>
      </w:pPr>
      <w:r w:rsidRPr="007B7470">
        <w:rPr>
          <w:bCs/>
          <w:szCs w:val="20"/>
        </w:rPr>
        <w:t xml:space="preserve">  Ak sa vplyv týka viacerých subjektov verejnej správy, vypĺňa sa samostatná tabuľka za každý subjekt.</w:t>
      </w:r>
    </w:p>
    <w:p w14:paraId="0D60FEF8" w14:textId="77777777" w:rsidR="00746D3C" w:rsidRPr="007B7470" w:rsidRDefault="00746D3C" w:rsidP="00746D3C">
      <w:pPr>
        <w:tabs>
          <w:tab w:val="num" w:pos="1080"/>
        </w:tabs>
        <w:ind w:left="-900"/>
        <w:jc w:val="both"/>
        <w:rPr>
          <w:bCs/>
          <w:sz w:val="20"/>
          <w:szCs w:val="20"/>
        </w:rPr>
      </w:pPr>
    </w:p>
    <w:p w14:paraId="5D22236B" w14:textId="77777777" w:rsidR="00746D3C" w:rsidRPr="007B7470" w:rsidRDefault="00746D3C" w:rsidP="00746D3C">
      <w:pPr>
        <w:tabs>
          <w:tab w:val="num" w:pos="1080"/>
        </w:tabs>
        <w:ind w:left="-900"/>
        <w:jc w:val="both"/>
        <w:rPr>
          <w:bCs/>
          <w:sz w:val="20"/>
          <w:szCs w:val="20"/>
        </w:rPr>
      </w:pPr>
    </w:p>
    <w:p w14:paraId="01B5A9F9" w14:textId="77777777" w:rsidR="00746D3C" w:rsidRPr="007B7470" w:rsidRDefault="00746D3C" w:rsidP="00746D3C">
      <w:pPr>
        <w:tabs>
          <w:tab w:val="num" w:pos="1080"/>
        </w:tabs>
        <w:ind w:left="-900"/>
        <w:jc w:val="both"/>
        <w:rPr>
          <w:bCs/>
          <w:sz w:val="20"/>
          <w:szCs w:val="20"/>
        </w:rPr>
      </w:pPr>
    </w:p>
    <w:p w14:paraId="314670BA" w14:textId="77777777" w:rsidR="00746D3C" w:rsidRPr="007B7470" w:rsidRDefault="00746D3C" w:rsidP="00746D3C">
      <w:pPr>
        <w:tabs>
          <w:tab w:val="num" w:pos="1080"/>
        </w:tabs>
        <w:ind w:left="-900"/>
        <w:jc w:val="both"/>
        <w:rPr>
          <w:bCs/>
          <w:sz w:val="20"/>
          <w:szCs w:val="20"/>
        </w:rPr>
      </w:pPr>
    </w:p>
    <w:p w14:paraId="765F5D0C" w14:textId="77777777" w:rsidR="00746D3C" w:rsidRPr="007B7470" w:rsidRDefault="00746D3C" w:rsidP="00746D3C">
      <w:pPr>
        <w:tabs>
          <w:tab w:val="num" w:pos="1080"/>
        </w:tabs>
        <w:ind w:left="-900"/>
        <w:jc w:val="both"/>
        <w:rPr>
          <w:bCs/>
          <w:sz w:val="20"/>
          <w:szCs w:val="20"/>
        </w:rPr>
      </w:pPr>
    </w:p>
    <w:p w14:paraId="43817F29" w14:textId="77777777" w:rsidR="00746D3C" w:rsidRPr="007B7470" w:rsidRDefault="00746D3C" w:rsidP="00746D3C">
      <w:pPr>
        <w:tabs>
          <w:tab w:val="num" w:pos="1080"/>
        </w:tabs>
        <w:ind w:left="-900"/>
        <w:jc w:val="both"/>
        <w:rPr>
          <w:bCs/>
          <w:sz w:val="20"/>
          <w:szCs w:val="20"/>
        </w:rPr>
      </w:pPr>
    </w:p>
    <w:p w14:paraId="59F80DA7" w14:textId="77777777" w:rsidR="00746D3C" w:rsidRPr="007B7470" w:rsidRDefault="00746D3C" w:rsidP="00746D3C">
      <w:pPr>
        <w:tabs>
          <w:tab w:val="num" w:pos="1080"/>
        </w:tabs>
        <w:ind w:left="-900"/>
        <w:jc w:val="both"/>
        <w:rPr>
          <w:bCs/>
          <w:sz w:val="20"/>
          <w:szCs w:val="20"/>
        </w:rPr>
      </w:pPr>
    </w:p>
    <w:p w14:paraId="1C309DA1" w14:textId="77777777" w:rsidR="00746D3C" w:rsidRPr="007B7470" w:rsidRDefault="00746D3C" w:rsidP="00746D3C">
      <w:pPr>
        <w:tabs>
          <w:tab w:val="num" w:pos="1080"/>
        </w:tabs>
        <w:ind w:left="-900"/>
        <w:jc w:val="both"/>
        <w:rPr>
          <w:bCs/>
          <w:sz w:val="20"/>
          <w:szCs w:val="20"/>
        </w:rPr>
      </w:pPr>
    </w:p>
    <w:p w14:paraId="101BFACA" w14:textId="77777777" w:rsidR="00746D3C" w:rsidRPr="007B7470" w:rsidRDefault="00746D3C" w:rsidP="00746D3C">
      <w:pPr>
        <w:tabs>
          <w:tab w:val="num" w:pos="1080"/>
        </w:tabs>
        <w:ind w:left="-900"/>
        <w:jc w:val="both"/>
        <w:rPr>
          <w:bCs/>
          <w:sz w:val="20"/>
          <w:szCs w:val="20"/>
        </w:rPr>
      </w:pPr>
    </w:p>
    <w:p w14:paraId="1C70CDEF" w14:textId="77777777" w:rsidR="00746D3C" w:rsidRPr="007B7470" w:rsidRDefault="00746D3C" w:rsidP="00746D3C">
      <w:pPr>
        <w:tabs>
          <w:tab w:val="num" w:pos="1080"/>
        </w:tabs>
        <w:ind w:left="-900"/>
        <w:jc w:val="both"/>
        <w:rPr>
          <w:bCs/>
          <w:sz w:val="20"/>
          <w:szCs w:val="20"/>
        </w:rPr>
      </w:pPr>
    </w:p>
    <w:p w14:paraId="2E99064B" w14:textId="77777777" w:rsidR="00746D3C" w:rsidRPr="007B7470" w:rsidRDefault="00746D3C" w:rsidP="00746D3C">
      <w:pPr>
        <w:tabs>
          <w:tab w:val="num" w:pos="1080"/>
        </w:tabs>
        <w:ind w:left="-900"/>
        <w:jc w:val="both"/>
        <w:rPr>
          <w:bCs/>
          <w:sz w:val="20"/>
          <w:szCs w:val="20"/>
        </w:rPr>
      </w:pPr>
    </w:p>
    <w:p w14:paraId="3F933520" w14:textId="77777777" w:rsidR="00746D3C" w:rsidRPr="007B7470" w:rsidRDefault="00746D3C" w:rsidP="00746D3C">
      <w:pPr>
        <w:tabs>
          <w:tab w:val="num" w:pos="1080"/>
        </w:tabs>
        <w:ind w:left="-900"/>
        <w:jc w:val="both"/>
        <w:rPr>
          <w:bCs/>
          <w:sz w:val="20"/>
          <w:szCs w:val="20"/>
        </w:rPr>
      </w:pPr>
    </w:p>
    <w:p w14:paraId="0D69EA37" w14:textId="77777777" w:rsidR="00746D3C" w:rsidRPr="007B7470" w:rsidRDefault="00746D3C" w:rsidP="00746D3C">
      <w:pPr>
        <w:tabs>
          <w:tab w:val="num" w:pos="1080"/>
        </w:tabs>
        <w:ind w:left="-900"/>
        <w:jc w:val="both"/>
        <w:rPr>
          <w:bCs/>
          <w:sz w:val="20"/>
          <w:szCs w:val="20"/>
        </w:rPr>
      </w:pPr>
    </w:p>
    <w:p w14:paraId="334AEE70" w14:textId="77777777" w:rsidR="00746D3C" w:rsidRPr="007B7470" w:rsidRDefault="00746D3C" w:rsidP="00746D3C">
      <w:pPr>
        <w:tabs>
          <w:tab w:val="num" w:pos="1080"/>
        </w:tabs>
        <w:ind w:left="-900"/>
        <w:jc w:val="both"/>
        <w:rPr>
          <w:bCs/>
          <w:sz w:val="20"/>
          <w:szCs w:val="20"/>
        </w:rPr>
      </w:pPr>
    </w:p>
    <w:p w14:paraId="5CAA09D7" w14:textId="77777777" w:rsidR="00746D3C" w:rsidRPr="007B7470" w:rsidRDefault="00746D3C" w:rsidP="00746D3C">
      <w:pPr>
        <w:tabs>
          <w:tab w:val="num" w:pos="1080"/>
        </w:tabs>
        <w:ind w:left="-900"/>
        <w:jc w:val="both"/>
        <w:rPr>
          <w:bCs/>
          <w:sz w:val="20"/>
          <w:szCs w:val="20"/>
        </w:rPr>
      </w:pPr>
    </w:p>
    <w:p w14:paraId="02485E11" w14:textId="77777777" w:rsidR="00746D3C" w:rsidRPr="007B7470" w:rsidRDefault="00746D3C" w:rsidP="00746D3C">
      <w:pPr>
        <w:tabs>
          <w:tab w:val="num" w:pos="1080"/>
        </w:tabs>
        <w:ind w:left="-900"/>
        <w:jc w:val="both"/>
        <w:rPr>
          <w:bCs/>
          <w:sz w:val="20"/>
          <w:szCs w:val="20"/>
        </w:rPr>
      </w:pPr>
    </w:p>
    <w:p w14:paraId="2D4D674D" w14:textId="77777777" w:rsidR="00746D3C" w:rsidRPr="007B7470" w:rsidRDefault="00746D3C" w:rsidP="00746D3C">
      <w:pPr>
        <w:tabs>
          <w:tab w:val="num" w:pos="1080"/>
        </w:tabs>
        <w:jc w:val="right"/>
        <w:rPr>
          <w:bCs/>
        </w:rPr>
      </w:pPr>
      <w:r w:rsidRPr="007B7470">
        <w:rPr>
          <w:bCs/>
        </w:rPr>
        <w:t xml:space="preserve">                 </w:t>
      </w:r>
    </w:p>
    <w:p w14:paraId="0D80C680" w14:textId="77777777" w:rsidR="00746D3C" w:rsidRPr="007B7470" w:rsidRDefault="00746D3C" w:rsidP="00746D3C">
      <w:pPr>
        <w:tabs>
          <w:tab w:val="num" w:pos="1080"/>
        </w:tabs>
        <w:jc w:val="both"/>
        <w:rPr>
          <w:bCs/>
          <w:sz w:val="20"/>
          <w:szCs w:val="20"/>
        </w:rPr>
      </w:pPr>
      <w:r w:rsidRPr="007B7470">
        <w:rPr>
          <w:bCs/>
          <w:sz w:val="20"/>
          <w:szCs w:val="20"/>
        </w:rPr>
        <w:lastRenderedPageBreak/>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746D3C" w:rsidRPr="007B7470" w14:paraId="5079A2CD" w14:textId="77777777" w:rsidTr="007B3372">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4BD898" w14:textId="77777777" w:rsidR="00746D3C" w:rsidRPr="007B7470" w:rsidRDefault="00746D3C" w:rsidP="007B3372">
            <w:pPr>
              <w:jc w:val="center"/>
              <w:rPr>
                <w:b/>
                <w:bCs/>
              </w:rPr>
            </w:pPr>
            <w:r w:rsidRPr="007B7470">
              <w:rPr>
                <w:b/>
                <w:bCs/>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18C10C9F" w14:textId="77777777" w:rsidR="00746D3C" w:rsidRPr="007B7470" w:rsidRDefault="00746D3C" w:rsidP="007B3372">
            <w:pPr>
              <w:jc w:val="center"/>
              <w:rPr>
                <w:b/>
                <w:bCs/>
              </w:rPr>
            </w:pPr>
            <w:r w:rsidRPr="007B7470">
              <w:rPr>
                <w:b/>
                <w:bCs/>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10DFB97" w14:textId="77777777" w:rsidR="00746D3C" w:rsidRPr="007B7470" w:rsidRDefault="00746D3C" w:rsidP="007B3372">
            <w:pPr>
              <w:jc w:val="center"/>
              <w:rPr>
                <w:b/>
                <w:bCs/>
              </w:rPr>
            </w:pPr>
            <w:r w:rsidRPr="007B7470">
              <w:rPr>
                <w:b/>
                <w:bCs/>
              </w:rPr>
              <w:t>poznámka</w:t>
            </w:r>
          </w:p>
        </w:tc>
      </w:tr>
      <w:tr w:rsidR="00746D3C" w:rsidRPr="007B7470" w14:paraId="4EED4BF9" w14:textId="77777777" w:rsidTr="007B3372">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676F3B" w14:textId="77777777" w:rsidR="00746D3C" w:rsidRPr="007B7470" w:rsidRDefault="00746D3C" w:rsidP="007B3372">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14:paraId="4C2325B1" w14:textId="77777777" w:rsidR="00746D3C" w:rsidRPr="007B7470" w:rsidRDefault="00746D3C" w:rsidP="007B3372">
            <w:pPr>
              <w:jc w:val="center"/>
              <w:rPr>
                <w:b/>
                <w:bCs/>
              </w:rPr>
            </w:pPr>
            <w:r>
              <w:rPr>
                <w:b/>
                <w:bCs/>
              </w:rPr>
              <w:t>2025</w:t>
            </w:r>
          </w:p>
        </w:tc>
        <w:tc>
          <w:tcPr>
            <w:tcW w:w="1788" w:type="dxa"/>
            <w:tcBorders>
              <w:top w:val="nil"/>
              <w:left w:val="nil"/>
              <w:bottom w:val="single" w:sz="4" w:space="0" w:color="auto"/>
              <w:right w:val="single" w:sz="4" w:space="0" w:color="auto"/>
            </w:tcBorders>
            <w:shd w:val="clear" w:color="auto" w:fill="BFBFBF" w:themeFill="background1" w:themeFillShade="BF"/>
          </w:tcPr>
          <w:p w14:paraId="7B69C96B" w14:textId="77777777" w:rsidR="00746D3C" w:rsidRPr="007B7470" w:rsidRDefault="00746D3C" w:rsidP="007B3372">
            <w:pPr>
              <w:jc w:val="center"/>
              <w:rPr>
                <w:b/>
                <w:bCs/>
              </w:rPr>
            </w:pPr>
            <w:r>
              <w:rPr>
                <w:b/>
                <w:bCs/>
              </w:rPr>
              <w:t>2026</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24611113" w14:textId="77777777" w:rsidR="00746D3C" w:rsidRPr="007B7470" w:rsidRDefault="00746D3C" w:rsidP="007B3372">
            <w:pPr>
              <w:jc w:val="center"/>
              <w:rPr>
                <w:b/>
                <w:bCs/>
              </w:rPr>
            </w:pPr>
            <w:r>
              <w:rPr>
                <w:b/>
                <w:bCs/>
              </w:rPr>
              <w:t>2027</w:t>
            </w:r>
          </w:p>
        </w:tc>
        <w:tc>
          <w:tcPr>
            <w:tcW w:w="1560" w:type="dxa"/>
            <w:tcBorders>
              <w:top w:val="nil"/>
              <w:left w:val="nil"/>
              <w:bottom w:val="single" w:sz="4" w:space="0" w:color="auto"/>
              <w:right w:val="single" w:sz="4" w:space="0" w:color="auto"/>
            </w:tcBorders>
            <w:shd w:val="clear" w:color="auto" w:fill="BFBFBF" w:themeFill="background1" w:themeFillShade="BF"/>
          </w:tcPr>
          <w:p w14:paraId="3AD8BB7A" w14:textId="77777777" w:rsidR="00746D3C" w:rsidRPr="007B7470" w:rsidRDefault="00746D3C" w:rsidP="007B3372">
            <w:pPr>
              <w:jc w:val="center"/>
              <w:rPr>
                <w:b/>
                <w:bCs/>
              </w:rPr>
            </w:pPr>
            <w:r>
              <w:rPr>
                <w:b/>
                <w:bCs/>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9D0C4A" w14:textId="77777777" w:rsidR="00746D3C" w:rsidRPr="007B7470" w:rsidRDefault="00746D3C" w:rsidP="007B3372">
            <w:pPr>
              <w:rPr>
                <w:b/>
                <w:bCs/>
                <w:color w:val="FFFFFF"/>
              </w:rPr>
            </w:pPr>
          </w:p>
        </w:tc>
      </w:tr>
      <w:tr w:rsidR="00746D3C" w:rsidRPr="007B7470" w14:paraId="5739E596" w14:textId="77777777" w:rsidTr="007B3372">
        <w:trPr>
          <w:trHeight w:val="255"/>
        </w:trPr>
        <w:tc>
          <w:tcPr>
            <w:tcW w:w="6188" w:type="dxa"/>
            <w:tcBorders>
              <w:top w:val="nil"/>
              <w:left w:val="single" w:sz="4" w:space="0" w:color="auto"/>
              <w:bottom w:val="single" w:sz="4" w:space="0" w:color="auto"/>
              <w:right w:val="single" w:sz="4" w:space="0" w:color="auto"/>
            </w:tcBorders>
          </w:tcPr>
          <w:p w14:paraId="0088682D" w14:textId="77777777" w:rsidR="00746D3C" w:rsidRPr="007B7470" w:rsidRDefault="00746D3C" w:rsidP="007B3372">
            <w:pPr>
              <w:rPr>
                <w:b/>
                <w:bCs/>
              </w:rPr>
            </w:pPr>
            <w:r w:rsidRPr="007B7470">
              <w:rPr>
                <w:b/>
                <w:bCs/>
              </w:rPr>
              <w:t>Počet zamestnancov celkom</w:t>
            </w:r>
          </w:p>
        </w:tc>
        <w:tc>
          <w:tcPr>
            <w:tcW w:w="1698" w:type="dxa"/>
            <w:tcBorders>
              <w:top w:val="nil"/>
              <w:left w:val="nil"/>
              <w:bottom w:val="single" w:sz="4" w:space="0" w:color="auto"/>
              <w:right w:val="single" w:sz="4" w:space="0" w:color="auto"/>
            </w:tcBorders>
          </w:tcPr>
          <w:p w14:paraId="0C113C39" w14:textId="77777777" w:rsidR="00746D3C" w:rsidRPr="007B7470" w:rsidRDefault="00746D3C" w:rsidP="007B3372">
            <w:pPr>
              <w:jc w:val="center"/>
              <w:rPr>
                <w:b/>
                <w:bCs/>
              </w:rPr>
            </w:pPr>
          </w:p>
        </w:tc>
        <w:tc>
          <w:tcPr>
            <w:tcW w:w="1788" w:type="dxa"/>
            <w:tcBorders>
              <w:top w:val="nil"/>
              <w:left w:val="nil"/>
              <w:bottom w:val="single" w:sz="4" w:space="0" w:color="auto"/>
              <w:right w:val="single" w:sz="4" w:space="0" w:color="auto"/>
            </w:tcBorders>
          </w:tcPr>
          <w:p w14:paraId="0C402131" w14:textId="77777777" w:rsidR="00746D3C" w:rsidRPr="007B7470" w:rsidRDefault="00746D3C" w:rsidP="007B3372">
            <w:pPr>
              <w:jc w:val="center"/>
              <w:rPr>
                <w:b/>
                <w:bCs/>
              </w:rPr>
            </w:pPr>
            <w:r>
              <w:rPr>
                <w:b/>
                <w:bCs/>
              </w:rPr>
              <w:t>6</w:t>
            </w:r>
          </w:p>
        </w:tc>
        <w:tc>
          <w:tcPr>
            <w:tcW w:w="1878" w:type="dxa"/>
            <w:gridSpan w:val="2"/>
            <w:tcBorders>
              <w:top w:val="nil"/>
              <w:left w:val="nil"/>
              <w:bottom w:val="single" w:sz="4" w:space="0" w:color="auto"/>
              <w:right w:val="single" w:sz="4" w:space="0" w:color="auto"/>
            </w:tcBorders>
          </w:tcPr>
          <w:p w14:paraId="1346028C" w14:textId="77777777" w:rsidR="00746D3C" w:rsidRPr="007B7470" w:rsidRDefault="00746D3C" w:rsidP="007B3372">
            <w:pPr>
              <w:jc w:val="center"/>
              <w:rPr>
                <w:b/>
                <w:bCs/>
              </w:rPr>
            </w:pPr>
            <w:r>
              <w:rPr>
                <w:b/>
                <w:bCs/>
              </w:rPr>
              <w:t>6</w:t>
            </w:r>
          </w:p>
        </w:tc>
        <w:tc>
          <w:tcPr>
            <w:tcW w:w="1560" w:type="dxa"/>
            <w:tcBorders>
              <w:top w:val="nil"/>
              <w:left w:val="nil"/>
              <w:bottom w:val="single" w:sz="4" w:space="0" w:color="auto"/>
              <w:right w:val="single" w:sz="4" w:space="0" w:color="auto"/>
            </w:tcBorders>
          </w:tcPr>
          <w:p w14:paraId="7FDC775B" w14:textId="77777777" w:rsidR="00746D3C" w:rsidRPr="007B7470" w:rsidRDefault="00746D3C" w:rsidP="007B3372">
            <w:pPr>
              <w:jc w:val="center"/>
              <w:rPr>
                <w:b/>
                <w:bCs/>
              </w:rPr>
            </w:pPr>
            <w:r>
              <w:rPr>
                <w:b/>
                <w:bCs/>
              </w:rPr>
              <w:t>6</w:t>
            </w:r>
          </w:p>
        </w:tc>
        <w:tc>
          <w:tcPr>
            <w:tcW w:w="1842" w:type="dxa"/>
            <w:gridSpan w:val="2"/>
            <w:tcBorders>
              <w:top w:val="nil"/>
              <w:left w:val="nil"/>
              <w:bottom w:val="single" w:sz="4" w:space="0" w:color="auto"/>
              <w:right w:val="single" w:sz="4" w:space="0" w:color="auto"/>
            </w:tcBorders>
            <w:noWrap/>
            <w:vAlign w:val="bottom"/>
          </w:tcPr>
          <w:p w14:paraId="47DBD2FC" w14:textId="77777777" w:rsidR="00746D3C" w:rsidRPr="007B7470" w:rsidRDefault="00746D3C" w:rsidP="007B3372">
            <w:r w:rsidRPr="007B7470">
              <w:t> </w:t>
            </w:r>
          </w:p>
        </w:tc>
      </w:tr>
      <w:tr w:rsidR="00746D3C" w:rsidRPr="007B7470" w14:paraId="631F7F5F" w14:textId="77777777" w:rsidTr="007B3372">
        <w:trPr>
          <w:trHeight w:val="255"/>
        </w:trPr>
        <w:tc>
          <w:tcPr>
            <w:tcW w:w="6188" w:type="dxa"/>
            <w:tcBorders>
              <w:top w:val="nil"/>
              <w:left w:val="single" w:sz="4" w:space="0" w:color="auto"/>
              <w:bottom w:val="single" w:sz="4" w:space="0" w:color="auto"/>
              <w:right w:val="single" w:sz="4" w:space="0" w:color="auto"/>
            </w:tcBorders>
          </w:tcPr>
          <w:p w14:paraId="632995BD" w14:textId="77777777" w:rsidR="00746D3C" w:rsidRPr="007B7470" w:rsidRDefault="00746D3C" w:rsidP="007B3372">
            <w:pPr>
              <w:rPr>
                <w:b/>
                <w:bCs/>
              </w:rPr>
            </w:pPr>
            <w:r w:rsidRPr="007B7470">
              <w:rPr>
                <w:b/>
                <w:bCs/>
              </w:rPr>
              <w:t xml:space="preserve">   z toho vplyv na ŠR</w:t>
            </w:r>
          </w:p>
        </w:tc>
        <w:tc>
          <w:tcPr>
            <w:tcW w:w="1698" w:type="dxa"/>
            <w:tcBorders>
              <w:top w:val="single" w:sz="4" w:space="0" w:color="auto"/>
              <w:left w:val="nil"/>
              <w:bottom w:val="single" w:sz="4" w:space="0" w:color="auto"/>
              <w:right w:val="single" w:sz="4" w:space="0" w:color="auto"/>
            </w:tcBorders>
          </w:tcPr>
          <w:p w14:paraId="4D62633A" w14:textId="77777777" w:rsidR="00746D3C" w:rsidRPr="007B7470" w:rsidRDefault="00746D3C" w:rsidP="007B3372">
            <w:pPr>
              <w:jc w:val="center"/>
              <w:rPr>
                <w:b/>
                <w:bCs/>
              </w:rPr>
            </w:pPr>
          </w:p>
        </w:tc>
        <w:tc>
          <w:tcPr>
            <w:tcW w:w="1788" w:type="dxa"/>
            <w:tcBorders>
              <w:top w:val="single" w:sz="4" w:space="0" w:color="auto"/>
              <w:left w:val="nil"/>
              <w:bottom w:val="single" w:sz="4" w:space="0" w:color="auto"/>
              <w:right w:val="single" w:sz="4" w:space="0" w:color="auto"/>
            </w:tcBorders>
          </w:tcPr>
          <w:p w14:paraId="528593AB" w14:textId="77777777" w:rsidR="00746D3C" w:rsidRPr="007B7470" w:rsidRDefault="00746D3C" w:rsidP="007B3372">
            <w:pPr>
              <w:jc w:val="center"/>
              <w:rPr>
                <w:b/>
                <w:bCs/>
              </w:rPr>
            </w:pPr>
            <w:r>
              <w:rPr>
                <w:b/>
                <w:bCs/>
              </w:rPr>
              <w:t>6</w:t>
            </w:r>
          </w:p>
        </w:tc>
        <w:tc>
          <w:tcPr>
            <w:tcW w:w="1878" w:type="dxa"/>
            <w:gridSpan w:val="2"/>
            <w:tcBorders>
              <w:top w:val="single" w:sz="4" w:space="0" w:color="auto"/>
              <w:left w:val="nil"/>
              <w:bottom w:val="single" w:sz="4" w:space="0" w:color="auto"/>
              <w:right w:val="single" w:sz="4" w:space="0" w:color="auto"/>
            </w:tcBorders>
          </w:tcPr>
          <w:p w14:paraId="697EDAAA" w14:textId="77777777" w:rsidR="00746D3C" w:rsidRPr="007B7470" w:rsidRDefault="00746D3C" w:rsidP="007B3372">
            <w:pPr>
              <w:jc w:val="center"/>
              <w:rPr>
                <w:b/>
                <w:bCs/>
              </w:rPr>
            </w:pPr>
            <w:r>
              <w:rPr>
                <w:b/>
                <w:bCs/>
              </w:rPr>
              <w:t>6</w:t>
            </w:r>
          </w:p>
        </w:tc>
        <w:tc>
          <w:tcPr>
            <w:tcW w:w="1560" w:type="dxa"/>
            <w:tcBorders>
              <w:top w:val="single" w:sz="4" w:space="0" w:color="auto"/>
              <w:left w:val="nil"/>
              <w:bottom w:val="single" w:sz="4" w:space="0" w:color="auto"/>
              <w:right w:val="single" w:sz="4" w:space="0" w:color="auto"/>
            </w:tcBorders>
          </w:tcPr>
          <w:p w14:paraId="429799E7" w14:textId="77777777" w:rsidR="00746D3C" w:rsidRPr="007B7470" w:rsidRDefault="00746D3C" w:rsidP="007B3372">
            <w:pPr>
              <w:jc w:val="center"/>
              <w:rPr>
                <w:b/>
                <w:bCs/>
              </w:rPr>
            </w:pPr>
            <w:r>
              <w:rPr>
                <w:b/>
                <w:bCs/>
              </w:rPr>
              <w:t>6</w:t>
            </w:r>
          </w:p>
        </w:tc>
        <w:tc>
          <w:tcPr>
            <w:tcW w:w="1842" w:type="dxa"/>
            <w:gridSpan w:val="2"/>
            <w:tcBorders>
              <w:top w:val="nil"/>
              <w:left w:val="nil"/>
              <w:bottom w:val="single" w:sz="4" w:space="0" w:color="auto"/>
              <w:right w:val="single" w:sz="4" w:space="0" w:color="auto"/>
            </w:tcBorders>
            <w:noWrap/>
            <w:vAlign w:val="bottom"/>
          </w:tcPr>
          <w:p w14:paraId="4CF80D35" w14:textId="77777777" w:rsidR="00746D3C" w:rsidRPr="007B7470" w:rsidRDefault="00746D3C" w:rsidP="007B3372"/>
        </w:tc>
      </w:tr>
      <w:tr w:rsidR="00746D3C" w:rsidRPr="007B7470" w14:paraId="206DDD39" w14:textId="77777777" w:rsidTr="007B3372">
        <w:trPr>
          <w:trHeight w:val="255"/>
        </w:trPr>
        <w:tc>
          <w:tcPr>
            <w:tcW w:w="6188" w:type="dxa"/>
            <w:tcBorders>
              <w:top w:val="nil"/>
              <w:left w:val="single" w:sz="4" w:space="0" w:color="auto"/>
              <w:bottom w:val="single" w:sz="4" w:space="0" w:color="auto"/>
              <w:right w:val="single" w:sz="4" w:space="0" w:color="auto"/>
            </w:tcBorders>
          </w:tcPr>
          <w:p w14:paraId="4A66468A" w14:textId="77777777" w:rsidR="00746D3C" w:rsidRPr="007B7470" w:rsidRDefault="00746D3C" w:rsidP="007B3372">
            <w:pPr>
              <w:rPr>
                <w:b/>
                <w:bCs/>
              </w:rPr>
            </w:pPr>
            <w:r w:rsidRPr="007B7470">
              <w:rPr>
                <w:b/>
                <w:bCs/>
              </w:rPr>
              <w:t>Priemerný mzdový výdavok (v eurách)</w:t>
            </w:r>
          </w:p>
        </w:tc>
        <w:tc>
          <w:tcPr>
            <w:tcW w:w="1698" w:type="dxa"/>
            <w:tcBorders>
              <w:top w:val="single" w:sz="4" w:space="0" w:color="auto"/>
              <w:left w:val="nil"/>
              <w:bottom w:val="single" w:sz="4" w:space="0" w:color="auto"/>
              <w:right w:val="single" w:sz="4" w:space="0" w:color="auto"/>
            </w:tcBorders>
          </w:tcPr>
          <w:p w14:paraId="50ACEC9B" w14:textId="77777777" w:rsidR="00746D3C" w:rsidRPr="007B7470" w:rsidRDefault="00746D3C" w:rsidP="007B3372">
            <w:pPr>
              <w:jc w:val="center"/>
              <w:rPr>
                <w:b/>
                <w:bCs/>
              </w:rPr>
            </w:pPr>
          </w:p>
        </w:tc>
        <w:tc>
          <w:tcPr>
            <w:tcW w:w="1788" w:type="dxa"/>
            <w:tcBorders>
              <w:top w:val="single" w:sz="4" w:space="0" w:color="auto"/>
              <w:left w:val="nil"/>
              <w:bottom w:val="single" w:sz="4" w:space="0" w:color="auto"/>
              <w:right w:val="single" w:sz="4" w:space="0" w:color="auto"/>
            </w:tcBorders>
          </w:tcPr>
          <w:p w14:paraId="14FDD34C" w14:textId="77777777" w:rsidR="00746D3C" w:rsidRPr="007B7470" w:rsidRDefault="00746D3C" w:rsidP="007B3372">
            <w:pPr>
              <w:jc w:val="center"/>
              <w:rPr>
                <w:b/>
                <w:bCs/>
              </w:rPr>
            </w:pPr>
            <w:r>
              <w:rPr>
                <w:b/>
                <w:bCs/>
              </w:rPr>
              <w:t>2 700</w:t>
            </w:r>
          </w:p>
        </w:tc>
        <w:tc>
          <w:tcPr>
            <w:tcW w:w="1878" w:type="dxa"/>
            <w:gridSpan w:val="2"/>
            <w:tcBorders>
              <w:top w:val="single" w:sz="4" w:space="0" w:color="auto"/>
              <w:left w:val="nil"/>
              <w:bottom w:val="single" w:sz="4" w:space="0" w:color="auto"/>
              <w:right w:val="single" w:sz="4" w:space="0" w:color="auto"/>
            </w:tcBorders>
          </w:tcPr>
          <w:p w14:paraId="689FCE0B" w14:textId="77777777" w:rsidR="00746D3C" w:rsidRPr="007B7470" w:rsidRDefault="00746D3C" w:rsidP="007B3372">
            <w:pPr>
              <w:jc w:val="center"/>
              <w:rPr>
                <w:b/>
                <w:bCs/>
              </w:rPr>
            </w:pPr>
            <w:r>
              <w:rPr>
                <w:b/>
                <w:bCs/>
              </w:rPr>
              <w:t>2 700</w:t>
            </w:r>
          </w:p>
        </w:tc>
        <w:tc>
          <w:tcPr>
            <w:tcW w:w="1560" w:type="dxa"/>
            <w:tcBorders>
              <w:top w:val="single" w:sz="4" w:space="0" w:color="auto"/>
              <w:left w:val="nil"/>
              <w:bottom w:val="single" w:sz="4" w:space="0" w:color="auto"/>
              <w:right w:val="single" w:sz="4" w:space="0" w:color="auto"/>
            </w:tcBorders>
          </w:tcPr>
          <w:p w14:paraId="55B0681E" w14:textId="77777777" w:rsidR="00746D3C" w:rsidRPr="007B7470" w:rsidRDefault="00746D3C" w:rsidP="007B3372">
            <w:pPr>
              <w:jc w:val="center"/>
              <w:rPr>
                <w:b/>
                <w:bCs/>
              </w:rPr>
            </w:pPr>
            <w:r>
              <w:rPr>
                <w:b/>
                <w:bCs/>
              </w:rPr>
              <w:t>2 700</w:t>
            </w:r>
          </w:p>
        </w:tc>
        <w:tc>
          <w:tcPr>
            <w:tcW w:w="1842" w:type="dxa"/>
            <w:gridSpan w:val="2"/>
            <w:tcBorders>
              <w:top w:val="nil"/>
              <w:left w:val="nil"/>
              <w:bottom w:val="single" w:sz="4" w:space="0" w:color="auto"/>
              <w:right w:val="single" w:sz="4" w:space="0" w:color="auto"/>
            </w:tcBorders>
            <w:noWrap/>
            <w:vAlign w:val="bottom"/>
          </w:tcPr>
          <w:p w14:paraId="6B9724DB" w14:textId="77777777" w:rsidR="00746D3C" w:rsidRPr="007B7470" w:rsidRDefault="00746D3C" w:rsidP="007B3372">
            <w:r w:rsidRPr="007B7470">
              <w:t> </w:t>
            </w:r>
          </w:p>
        </w:tc>
      </w:tr>
      <w:tr w:rsidR="00746D3C" w:rsidRPr="007B7470" w14:paraId="1774F253" w14:textId="77777777" w:rsidTr="007B3372">
        <w:trPr>
          <w:trHeight w:val="255"/>
        </w:trPr>
        <w:tc>
          <w:tcPr>
            <w:tcW w:w="6188" w:type="dxa"/>
            <w:tcBorders>
              <w:top w:val="nil"/>
              <w:left w:val="single" w:sz="4" w:space="0" w:color="auto"/>
              <w:bottom w:val="single" w:sz="4" w:space="0" w:color="auto"/>
              <w:right w:val="single" w:sz="4" w:space="0" w:color="auto"/>
            </w:tcBorders>
          </w:tcPr>
          <w:p w14:paraId="31CC8A55" w14:textId="77777777" w:rsidR="00746D3C" w:rsidRPr="007B7470" w:rsidRDefault="00746D3C" w:rsidP="007B3372">
            <w:r w:rsidRPr="007B7470">
              <w:rPr>
                <w:b/>
                <w:bCs/>
              </w:rPr>
              <w:t xml:space="preserve">   z toho vplyv na ŠR</w:t>
            </w:r>
          </w:p>
        </w:tc>
        <w:tc>
          <w:tcPr>
            <w:tcW w:w="1698" w:type="dxa"/>
            <w:tcBorders>
              <w:top w:val="single" w:sz="4" w:space="0" w:color="auto"/>
              <w:left w:val="nil"/>
              <w:bottom w:val="single" w:sz="4" w:space="0" w:color="auto"/>
              <w:right w:val="single" w:sz="4" w:space="0" w:color="auto"/>
            </w:tcBorders>
          </w:tcPr>
          <w:p w14:paraId="0EE3A251" w14:textId="77777777" w:rsidR="00746D3C" w:rsidRPr="007B7470" w:rsidRDefault="00746D3C" w:rsidP="007B3372">
            <w:pPr>
              <w:jc w:val="center"/>
            </w:pPr>
            <w:r w:rsidRPr="007B7470">
              <w:t> </w:t>
            </w:r>
          </w:p>
        </w:tc>
        <w:tc>
          <w:tcPr>
            <w:tcW w:w="1788" w:type="dxa"/>
            <w:tcBorders>
              <w:top w:val="single" w:sz="4" w:space="0" w:color="auto"/>
              <w:left w:val="nil"/>
              <w:bottom w:val="single" w:sz="4" w:space="0" w:color="auto"/>
              <w:right w:val="single" w:sz="4" w:space="0" w:color="auto"/>
            </w:tcBorders>
          </w:tcPr>
          <w:p w14:paraId="4DD6C32F" w14:textId="77777777" w:rsidR="00746D3C" w:rsidRPr="007B7470" w:rsidRDefault="00746D3C" w:rsidP="007B3372">
            <w:pPr>
              <w:jc w:val="center"/>
            </w:pPr>
            <w:r>
              <w:t>2 700</w:t>
            </w:r>
          </w:p>
        </w:tc>
        <w:tc>
          <w:tcPr>
            <w:tcW w:w="1878" w:type="dxa"/>
            <w:gridSpan w:val="2"/>
            <w:tcBorders>
              <w:top w:val="single" w:sz="4" w:space="0" w:color="auto"/>
              <w:left w:val="nil"/>
              <w:bottom w:val="single" w:sz="4" w:space="0" w:color="auto"/>
              <w:right w:val="single" w:sz="4" w:space="0" w:color="auto"/>
            </w:tcBorders>
          </w:tcPr>
          <w:p w14:paraId="430AC009" w14:textId="77777777" w:rsidR="00746D3C" w:rsidRPr="007B7470" w:rsidRDefault="00746D3C" w:rsidP="007B3372">
            <w:pPr>
              <w:jc w:val="center"/>
            </w:pPr>
            <w:r>
              <w:t>2 700</w:t>
            </w:r>
          </w:p>
        </w:tc>
        <w:tc>
          <w:tcPr>
            <w:tcW w:w="1560" w:type="dxa"/>
            <w:tcBorders>
              <w:top w:val="single" w:sz="4" w:space="0" w:color="auto"/>
              <w:left w:val="nil"/>
              <w:bottom w:val="single" w:sz="4" w:space="0" w:color="auto"/>
              <w:right w:val="single" w:sz="4" w:space="0" w:color="auto"/>
            </w:tcBorders>
          </w:tcPr>
          <w:p w14:paraId="0E75EA92" w14:textId="77777777" w:rsidR="00746D3C" w:rsidRPr="007B7470" w:rsidRDefault="00746D3C" w:rsidP="007B3372">
            <w:pPr>
              <w:jc w:val="center"/>
            </w:pPr>
            <w:r>
              <w:t>2 700</w:t>
            </w:r>
          </w:p>
        </w:tc>
        <w:tc>
          <w:tcPr>
            <w:tcW w:w="1842" w:type="dxa"/>
            <w:gridSpan w:val="2"/>
            <w:tcBorders>
              <w:top w:val="nil"/>
              <w:left w:val="nil"/>
              <w:bottom w:val="single" w:sz="4" w:space="0" w:color="auto"/>
              <w:right w:val="single" w:sz="4" w:space="0" w:color="auto"/>
            </w:tcBorders>
            <w:noWrap/>
            <w:vAlign w:val="bottom"/>
          </w:tcPr>
          <w:p w14:paraId="5CB49996" w14:textId="77777777" w:rsidR="00746D3C" w:rsidRPr="007B7470" w:rsidRDefault="00746D3C" w:rsidP="007B3372">
            <w:r w:rsidRPr="007B7470">
              <w:t> </w:t>
            </w:r>
          </w:p>
        </w:tc>
      </w:tr>
      <w:tr w:rsidR="00746D3C" w:rsidRPr="007B7470" w14:paraId="2E5E25AF" w14:textId="77777777" w:rsidTr="007B3372">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7C812407" w14:textId="77777777" w:rsidR="00746D3C" w:rsidRPr="007B7470" w:rsidRDefault="00746D3C" w:rsidP="007B3372">
            <w:pPr>
              <w:rPr>
                <w:b/>
                <w:bCs/>
              </w:rPr>
            </w:pPr>
            <w:r w:rsidRPr="007B7470">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0150247F" w14:textId="77777777" w:rsidR="00746D3C" w:rsidRPr="007B7470" w:rsidRDefault="00746D3C" w:rsidP="007B3372">
            <w:pPr>
              <w:jc w:val="center"/>
              <w:rPr>
                <w:b/>
                <w:bCs/>
              </w:rPr>
            </w:pPr>
            <w:r w:rsidRPr="007B7470">
              <w:rPr>
                <w:b/>
                <w:bCs/>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7A94CAAA" w14:textId="77777777" w:rsidR="00746D3C" w:rsidRPr="007B7470" w:rsidRDefault="00746D3C" w:rsidP="007B3372">
            <w:pPr>
              <w:jc w:val="center"/>
              <w:rPr>
                <w:b/>
                <w:bCs/>
              </w:rPr>
            </w:pPr>
            <w:r w:rsidRPr="00A8695E">
              <w:rPr>
                <w:b/>
                <w:bCs/>
              </w:rPr>
              <w:t>264</w:t>
            </w:r>
            <w:r>
              <w:rPr>
                <w:b/>
                <w:bCs/>
              </w:rPr>
              <w:t xml:space="preserve"> </w:t>
            </w:r>
            <w:r w:rsidRPr="00A8695E">
              <w:rPr>
                <w:b/>
                <w:bCs/>
              </w:rPr>
              <w:t>287</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392FD43F" w14:textId="77777777" w:rsidR="00746D3C" w:rsidRPr="007B7470" w:rsidRDefault="00746D3C" w:rsidP="007B3372">
            <w:pPr>
              <w:jc w:val="center"/>
              <w:rPr>
                <w:b/>
                <w:bCs/>
              </w:rPr>
            </w:pPr>
            <w:r w:rsidRPr="00A8695E">
              <w:rPr>
                <w:b/>
                <w:bCs/>
              </w:rPr>
              <w:t>264</w:t>
            </w:r>
            <w:r>
              <w:rPr>
                <w:b/>
                <w:bCs/>
              </w:rPr>
              <w:t xml:space="preserve"> </w:t>
            </w:r>
            <w:r w:rsidRPr="00A8695E">
              <w:rPr>
                <w:b/>
                <w:bCs/>
              </w:rPr>
              <w:t>287</w:t>
            </w:r>
          </w:p>
        </w:tc>
        <w:tc>
          <w:tcPr>
            <w:tcW w:w="1560" w:type="dxa"/>
            <w:tcBorders>
              <w:top w:val="nil"/>
              <w:left w:val="nil"/>
              <w:bottom w:val="single" w:sz="4" w:space="0" w:color="auto"/>
              <w:right w:val="single" w:sz="4" w:space="0" w:color="auto"/>
            </w:tcBorders>
            <w:shd w:val="clear" w:color="auto" w:fill="BFBFBF" w:themeFill="background1" w:themeFillShade="BF"/>
          </w:tcPr>
          <w:p w14:paraId="7AEE36E5" w14:textId="77777777" w:rsidR="00746D3C" w:rsidRPr="007B7470" w:rsidRDefault="00746D3C" w:rsidP="007B3372">
            <w:pPr>
              <w:jc w:val="center"/>
              <w:rPr>
                <w:b/>
                <w:bCs/>
              </w:rPr>
            </w:pPr>
            <w:r w:rsidRPr="00A8695E">
              <w:rPr>
                <w:b/>
                <w:bCs/>
              </w:rPr>
              <w:t>264</w:t>
            </w:r>
            <w:r>
              <w:rPr>
                <w:b/>
                <w:bCs/>
              </w:rPr>
              <w:t xml:space="preserve"> </w:t>
            </w:r>
            <w:r w:rsidRPr="00A8695E">
              <w:rPr>
                <w:b/>
                <w:bCs/>
              </w:rPr>
              <w:t>287</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1FBCF05F" w14:textId="77777777" w:rsidR="00746D3C" w:rsidRPr="007B7470" w:rsidRDefault="00746D3C" w:rsidP="007B3372">
            <w:pPr>
              <w:rPr>
                <w:b/>
                <w:bCs/>
              </w:rPr>
            </w:pPr>
            <w:r w:rsidRPr="007B7470">
              <w:rPr>
                <w:b/>
                <w:bCs/>
              </w:rPr>
              <w:t> </w:t>
            </w:r>
          </w:p>
        </w:tc>
      </w:tr>
      <w:tr w:rsidR="00746D3C" w:rsidRPr="007B7470" w14:paraId="06500DB0" w14:textId="77777777" w:rsidTr="007B3372">
        <w:trPr>
          <w:trHeight w:val="255"/>
        </w:trPr>
        <w:tc>
          <w:tcPr>
            <w:tcW w:w="6188" w:type="dxa"/>
            <w:tcBorders>
              <w:top w:val="nil"/>
              <w:left w:val="single" w:sz="4" w:space="0" w:color="auto"/>
              <w:bottom w:val="single" w:sz="4" w:space="0" w:color="auto"/>
              <w:right w:val="single" w:sz="4" w:space="0" w:color="auto"/>
            </w:tcBorders>
          </w:tcPr>
          <w:p w14:paraId="6CD874C0" w14:textId="77777777" w:rsidR="00746D3C" w:rsidRPr="007B7470" w:rsidRDefault="00746D3C" w:rsidP="007B3372">
            <w:pPr>
              <w:rPr>
                <w:b/>
                <w:bCs/>
              </w:rPr>
            </w:pPr>
            <w:r w:rsidRPr="007B7470">
              <w:rPr>
                <w:b/>
                <w:bCs/>
              </w:rPr>
              <w:t>Mzdy, platy, služobné príjmy a ostatné osobné vyrovnania (610)</w:t>
            </w:r>
          </w:p>
        </w:tc>
        <w:tc>
          <w:tcPr>
            <w:tcW w:w="1698" w:type="dxa"/>
            <w:tcBorders>
              <w:top w:val="nil"/>
              <w:left w:val="nil"/>
              <w:bottom w:val="single" w:sz="4" w:space="0" w:color="auto"/>
              <w:right w:val="single" w:sz="4" w:space="0" w:color="auto"/>
            </w:tcBorders>
          </w:tcPr>
          <w:p w14:paraId="4703E335" w14:textId="77777777" w:rsidR="00746D3C" w:rsidRPr="007B7470" w:rsidRDefault="00746D3C" w:rsidP="007B3372">
            <w:pPr>
              <w:jc w:val="center"/>
              <w:rPr>
                <w:b/>
                <w:bCs/>
              </w:rPr>
            </w:pPr>
          </w:p>
        </w:tc>
        <w:tc>
          <w:tcPr>
            <w:tcW w:w="1788" w:type="dxa"/>
            <w:tcBorders>
              <w:top w:val="nil"/>
              <w:left w:val="nil"/>
              <w:bottom w:val="single" w:sz="4" w:space="0" w:color="auto"/>
              <w:right w:val="single" w:sz="4" w:space="0" w:color="auto"/>
            </w:tcBorders>
          </w:tcPr>
          <w:p w14:paraId="7B305306" w14:textId="77777777" w:rsidR="00746D3C" w:rsidRPr="007B7470" w:rsidRDefault="00746D3C" w:rsidP="007B3372">
            <w:pPr>
              <w:jc w:val="center"/>
              <w:rPr>
                <w:b/>
                <w:bCs/>
              </w:rPr>
            </w:pPr>
            <w:r w:rsidRPr="00A8695E">
              <w:rPr>
                <w:b/>
                <w:bCs/>
              </w:rPr>
              <w:t>194</w:t>
            </w:r>
            <w:r>
              <w:rPr>
                <w:b/>
                <w:bCs/>
              </w:rPr>
              <w:t xml:space="preserve"> </w:t>
            </w:r>
            <w:r w:rsidRPr="00A8695E">
              <w:rPr>
                <w:b/>
                <w:bCs/>
              </w:rPr>
              <w:t>400</w:t>
            </w:r>
          </w:p>
        </w:tc>
        <w:tc>
          <w:tcPr>
            <w:tcW w:w="1878" w:type="dxa"/>
            <w:gridSpan w:val="2"/>
            <w:tcBorders>
              <w:top w:val="nil"/>
              <w:left w:val="nil"/>
              <w:bottom w:val="single" w:sz="4" w:space="0" w:color="auto"/>
              <w:right w:val="single" w:sz="4" w:space="0" w:color="auto"/>
            </w:tcBorders>
          </w:tcPr>
          <w:p w14:paraId="07EE072B" w14:textId="77777777" w:rsidR="00746D3C" w:rsidRPr="007B7470" w:rsidRDefault="00746D3C" w:rsidP="007B3372">
            <w:pPr>
              <w:jc w:val="center"/>
              <w:rPr>
                <w:b/>
                <w:bCs/>
              </w:rPr>
            </w:pPr>
            <w:r w:rsidRPr="00A8695E">
              <w:rPr>
                <w:b/>
                <w:bCs/>
              </w:rPr>
              <w:t>194</w:t>
            </w:r>
            <w:r>
              <w:rPr>
                <w:b/>
                <w:bCs/>
              </w:rPr>
              <w:t xml:space="preserve"> </w:t>
            </w:r>
            <w:r w:rsidRPr="00A8695E">
              <w:rPr>
                <w:b/>
                <w:bCs/>
              </w:rPr>
              <w:t>400</w:t>
            </w:r>
          </w:p>
        </w:tc>
        <w:tc>
          <w:tcPr>
            <w:tcW w:w="1560" w:type="dxa"/>
            <w:tcBorders>
              <w:top w:val="nil"/>
              <w:left w:val="nil"/>
              <w:bottom w:val="single" w:sz="4" w:space="0" w:color="auto"/>
              <w:right w:val="single" w:sz="4" w:space="0" w:color="auto"/>
            </w:tcBorders>
          </w:tcPr>
          <w:p w14:paraId="5195A502" w14:textId="77777777" w:rsidR="00746D3C" w:rsidRPr="007B7470" w:rsidRDefault="00746D3C" w:rsidP="007B3372">
            <w:pPr>
              <w:jc w:val="center"/>
              <w:rPr>
                <w:b/>
                <w:bCs/>
              </w:rPr>
            </w:pPr>
            <w:r w:rsidRPr="00A8695E">
              <w:rPr>
                <w:b/>
                <w:bCs/>
              </w:rPr>
              <w:t>194</w:t>
            </w:r>
            <w:r>
              <w:rPr>
                <w:b/>
                <w:bCs/>
              </w:rPr>
              <w:t xml:space="preserve"> </w:t>
            </w:r>
            <w:r w:rsidRPr="00A8695E">
              <w:rPr>
                <w:b/>
                <w:bCs/>
              </w:rPr>
              <w:t>400</w:t>
            </w:r>
          </w:p>
        </w:tc>
        <w:tc>
          <w:tcPr>
            <w:tcW w:w="1842" w:type="dxa"/>
            <w:gridSpan w:val="2"/>
            <w:tcBorders>
              <w:top w:val="nil"/>
              <w:left w:val="nil"/>
              <w:bottom w:val="single" w:sz="4" w:space="0" w:color="auto"/>
              <w:right w:val="single" w:sz="4" w:space="0" w:color="auto"/>
            </w:tcBorders>
            <w:noWrap/>
            <w:vAlign w:val="bottom"/>
          </w:tcPr>
          <w:p w14:paraId="74E813E4" w14:textId="77777777" w:rsidR="00746D3C" w:rsidRPr="007B7470" w:rsidRDefault="00746D3C" w:rsidP="007B3372">
            <w:pPr>
              <w:rPr>
                <w:b/>
                <w:bCs/>
              </w:rPr>
            </w:pPr>
            <w:r w:rsidRPr="007B7470">
              <w:rPr>
                <w:b/>
                <w:bCs/>
              </w:rPr>
              <w:t> </w:t>
            </w:r>
          </w:p>
        </w:tc>
      </w:tr>
      <w:tr w:rsidR="00746D3C" w:rsidRPr="007B7470" w14:paraId="3626869C" w14:textId="77777777" w:rsidTr="007B3372">
        <w:trPr>
          <w:trHeight w:val="255"/>
        </w:trPr>
        <w:tc>
          <w:tcPr>
            <w:tcW w:w="6188" w:type="dxa"/>
            <w:tcBorders>
              <w:top w:val="nil"/>
              <w:left w:val="single" w:sz="4" w:space="0" w:color="auto"/>
              <w:bottom w:val="single" w:sz="4" w:space="0" w:color="auto"/>
              <w:right w:val="single" w:sz="4" w:space="0" w:color="auto"/>
            </w:tcBorders>
          </w:tcPr>
          <w:p w14:paraId="4829D627" w14:textId="77777777" w:rsidR="00746D3C" w:rsidRPr="007B7470" w:rsidRDefault="00746D3C" w:rsidP="007B3372">
            <w:r w:rsidRPr="007B7470">
              <w:rPr>
                <w:b/>
                <w:bCs/>
              </w:rPr>
              <w:t xml:space="preserve">   z toho vplyv na ŠR</w:t>
            </w:r>
          </w:p>
        </w:tc>
        <w:tc>
          <w:tcPr>
            <w:tcW w:w="1698" w:type="dxa"/>
            <w:tcBorders>
              <w:top w:val="nil"/>
              <w:left w:val="nil"/>
              <w:bottom w:val="single" w:sz="4" w:space="0" w:color="auto"/>
              <w:right w:val="single" w:sz="4" w:space="0" w:color="auto"/>
            </w:tcBorders>
          </w:tcPr>
          <w:p w14:paraId="08097F5F" w14:textId="77777777" w:rsidR="00746D3C" w:rsidRPr="007B7470" w:rsidRDefault="00746D3C" w:rsidP="007B3372">
            <w:pPr>
              <w:jc w:val="center"/>
            </w:pPr>
          </w:p>
        </w:tc>
        <w:tc>
          <w:tcPr>
            <w:tcW w:w="1788" w:type="dxa"/>
            <w:tcBorders>
              <w:top w:val="nil"/>
              <w:left w:val="nil"/>
              <w:bottom w:val="single" w:sz="4" w:space="0" w:color="auto"/>
              <w:right w:val="single" w:sz="4" w:space="0" w:color="auto"/>
            </w:tcBorders>
          </w:tcPr>
          <w:p w14:paraId="6F6813E2" w14:textId="77777777" w:rsidR="00746D3C" w:rsidRPr="007B7470" w:rsidRDefault="00746D3C" w:rsidP="007B3372">
            <w:pPr>
              <w:jc w:val="center"/>
            </w:pPr>
            <w:r w:rsidRPr="00A8695E">
              <w:t>194</w:t>
            </w:r>
            <w:r>
              <w:t xml:space="preserve"> </w:t>
            </w:r>
            <w:r w:rsidRPr="00A8695E">
              <w:t>400</w:t>
            </w:r>
          </w:p>
        </w:tc>
        <w:tc>
          <w:tcPr>
            <w:tcW w:w="1878" w:type="dxa"/>
            <w:gridSpan w:val="2"/>
            <w:tcBorders>
              <w:top w:val="nil"/>
              <w:left w:val="nil"/>
              <w:bottom w:val="single" w:sz="4" w:space="0" w:color="auto"/>
              <w:right w:val="single" w:sz="4" w:space="0" w:color="auto"/>
            </w:tcBorders>
          </w:tcPr>
          <w:p w14:paraId="06CFC409" w14:textId="77777777" w:rsidR="00746D3C" w:rsidRPr="007B7470" w:rsidRDefault="00746D3C" w:rsidP="007B3372">
            <w:pPr>
              <w:jc w:val="center"/>
            </w:pPr>
            <w:r w:rsidRPr="00A8695E">
              <w:t>194</w:t>
            </w:r>
            <w:r>
              <w:t xml:space="preserve"> </w:t>
            </w:r>
            <w:r w:rsidRPr="00A8695E">
              <w:t>400</w:t>
            </w:r>
          </w:p>
        </w:tc>
        <w:tc>
          <w:tcPr>
            <w:tcW w:w="1560" w:type="dxa"/>
            <w:tcBorders>
              <w:top w:val="nil"/>
              <w:left w:val="nil"/>
              <w:bottom w:val="single" w:sz="4" w:space="0" w:color="auto"/>
              <w:right w:val="single" w:sz="4" w:space="0" w:color="auto"/>
            </w:tcBorders>
          </w:tcPr>
          <w:p w14:paraId="6BA0355B" w14:textId="77777777" w:rsidR="00746D3C" w:rsidRPr="007B7470" w:rsidRDefault="00746D3C" w:rsidP="007B3372">
            <w:pPr>
              <w:jc w:val="center"/>
            </w:pPr>
            <w:r w:rsidRPr="00A8695E">
              <w:t>194</w:t>
            </w:r>
            <w:r>
              <w:t xml:space="preserve"> </w:t>
            </w:r>
            <w:r w:rsidRPr="00A8695E">
              <w:t>400</w:t>
            </w:r>
          </w:p>
        </w:tc>
        <w:tc>
          <w:tcPr>
            <w:tcW w:w="1842" w:type="dxa"/>
            <w:gridSpan w:val="2"/>
            <w:tcBorders>
              <w:top w:val="nil"/>
              <w:left w:val="nil"/>
              <w:bottom w:val="single" w:sz="4" w:space="0" w:color="auto"/>
              <w:right w:val="single" w:sz="4" w:space="0" w:color="auto"/>
            </w:tcBorders>
            <w:noWrap/>
            <w:vAlign w:val="bottom"/>
          </w:tcPr>
          <w:p w14:paraId="7C2BC4B6" w14:textId="77777777" w:rsidR="00746D3C" w:rsidRPr="007B7470" w:rsidRDefault="00746D3C" w:rsidP="007B3372">
            <w:r w:rsidRPr="007B7470">
              <w:t> </w:t>
            </w:r>
          </w:p>
        </w:tc>
      </w:tr>
      <w:tr w:rsidR="00746D3C" w:rsidRPr="007B7470" w14:paraId="1438BA6B" w14:textId="77777777" w:rsidTr="007B3372">
        <w:trPr>
          <w:trHeight w:val="255"/>
        </w:trPr>
        <w:tc>
          <w:tcPr>
            <w:tcW w:w="6188" w:type="dxa"/>
            <w:tcBorders>
              <w:top w:val="nil"/>
              <w:left w:val="single" w:sz="4" w:space="0" w:color="auto"/>
              <w:bottom w:val="single" w:sz="4" w:space="0" w:color="auto"/>
              <w:right w:val="single" w:sz="4" w:space="0" w:color="auto"/>
            </w:tcBorders>
          </w:tcPr>
          <w:p w14:paraId="7F06D853" w14:textId="77777777" w:rsidR="00746D3C" w:rsidRPr="007B7470" w:rsidRDefault="00746D3C" w:rsidP="007B3372">
            <w:pPr>
              <w:rPr>
                <w:b/>
                <w:bCs/>
              </w:rPr>
            </w:pPr>
            <w:r w:rsidRPr="007B7470">
              <w:rPr>
                <w:b/>
                <w:bCs/>
              </w:rPr>
              <w:t>Poistné a príspevok do poisťovní (620)</w:t>
            </w:r>
          </w:p>
        </w:tc>
        <w:tc>
          <w:tcPr>
            <w:tcW w:w="1698" w:type="dxa"/>
            <w:tcBorders>
              <w:top w:val="nil"/>
              <w:left w:val="nil"/>
              <w:bottom w:val="single" w:sz="4" w:space="0" w:color="auto"/>
              <w:right w:val="single" w:sz="4" w:space="0" w:color="auto"/>
            </w:tcBorders>
          </w:tcPr>
          <w:p w14:paraId="44A5D732" w14:textId="77777777" w:rsidR="00746D3C" w:rsidRPr="007B7470" w:rsidRDefault="00746D3C" w:rsidP="007B3372">
            <w:pPr>
              <w:jc w:val="center"/>
              <w:rPr>
                <w:b/>
                <w:bCs/>
              </w:rPr>
            </w:pPr>
          </w:p>
        </w:tc>
        <w:tc>
          <w:tcPr>
            <w:tcW w:w="1788" w:type="dxa"/>
            <w:tcBorders>
              <w:top w:val="nil"/>
              <w:left w:val="nil"/>
              <w:bottom w:val="single" w:sz="4" w:space="0" w:color="auto"/>
              <w:right w:val="single" w:sz="4" w:space="0" w:color="auto"/>
            </w:tcBorders>
          </w:tcPr>
          <w:p w14:paraId="293D7A7F" w14:textId="77777777" w:rsidR="00746D3C" w:rsidRPr="007B7470" w:rsidRDefault="00746D3C" w:rsidP="007B3372">
            <w:pPr>
              <w:jc w:val="center"/>
              <w:rPr>
                <w:b/>
                <w:bCs/>
              </w:rPr>
            </w:pPr>
            <w:r>
              <w:rPr>
                <w:b/>
                <w:bCs/>
              </w:rPr>
              <w:t>69 887</w:t>
            </w:r>
          </w:p>
        </w:tc>
        <w:tc>
          <w:tcPr>
            <w:tcW w:w="1878" w:type="dxa"/>
            <w:gridSpan w:val="2"/>
            <w:tcBorders>
              <w:top w:val="nil"/>
              <w:left w:val="nil"/>
              <w:bottom w:val="single" w:sz="4" w:space="0" w:color="auto"/>
              <w:right w:val="single" w:sz="4" w:space="0" w:color="auto"/>
            </w:tcBorders>
          </w:tcPr>
          <w:p w14:paraId="3691321A" w14:textId="77777777" w:rsidR="00746D3C" w:rsidRPr="007B7470" w:rsidRDefault="00746D3C" w:rsidP="007B3372">
            <w:pPr>
              <w:jc w:val="center"/>
              <w:rPr>
                <w:b/>
                <w:bCs/>
              </w:rPr>
            </w:pPr>
            <w:r w:rsidRPr="00A8695E">
              <w:rPr>
                <w:b/>
                <w:bCs/>
              </w:rPr>
              <w:t>69</w:t>
            </w:r>
            <w:r>
              <w:rPr>
                <w:b/>
                <w:bCs/>
              </w:rPr>
              <w:t xml:space="preserve"> </w:t>
            </w:r>
            <w:r w:rsidRPr="00A8695E">
              <w:rPr>
                <w:b/>
                <w:bCs/>
              </w:rPr>
              <w:t>887</w:t>
            </w:r>
          </w:p>
        </w:tc>
        <w:tc>
          <w:tcPr>
            <w:tcW w:w="1560" w:type="dxa"/>
            <w:tcBorders>
              <w:top w:val="nil"/>
              <w:left w:val="nil"/>
              <w:bottom w:val="single" w:sz="4" w:space="0" w:color="auto"/>
              <w:right w:val="single" w:sz="4" w:space="0" w:color="auto"/>
            </w:tcBorders>
          </w:tcPr>
          <w:p w14:paraId="7B3BF2B9" w14:textId="77777777" w:rsidR="00746D3C" w:rsidRPr="007B7470" w:rsidRDefault="00746D3C" w:rsidP="007B3372">
            <w:pPr>
              <w:jc w:val="center"/>
              <w:rPr>
                <w:b/>
                <w:bCs/>
              </w:rPr>
            </w:pPr>
            <w:r w:rsidRPr="00A8695E">
              <w:rPr>
                <w:b/>
                <w:bCs/>
              </w:rPr>
              <w:t>69</w:t>
            </w:r>
            <w:r>
              <w:rPr>
                <w:b/>
                <w:bCs/>
              </w:rPr>
              <w:t xml:space="preserve"> </w:t>
            </w:r>
            <w:r w:rsidRPr="00A8695E">
              <w:rPr>
                <w:b/>
                <w:bCs/>
              </w:rPr>
              <w:t>887</w:t>
            </w:r>
          </w:p>
        </w:tc>
        <w:tc>
          <w:tcPr>
            <w:tcW w:w="1842" w:type="dxa"/>
            <w:gridSpan w:val="2"/>
            <w:tcBorders>
              <w:top w:val="nil"/>
              <w:left w:val="nil"/>
              <w:bottom w:val="single" w:sz="4" w:space="0" w:color="auto"/>
              <w:right w:val="single" w:sz="4" w:space="0" w:color="auto"/>
            </w:tcBorders>
            <w:noWrap/>
            <w:vAlign w:val="bottom"/>
          </w:tcPr>
          <w:p w14:paraId="45DB96E5" w14:textId="77777777" w:rsidR="00746D3C" w:rsidRPr="007B7470" w:rsidRDefault="00746D3C" w:rsidP="007B3372">
            <w:pPr>
              <w:rPr>
                <w:b/>
                <w:bCs/>
              </w:rPr>
            </w:pPr>
            <w:r w:rsidRPr="007B7470">
              <w:rPr>
                <w:b/>
                <w:bCs/>
              </w:rPr>
              <w:t> </w:t>
            </w:r>
          </w:p>
        </w:tc>
      </w:tr>
      <w:tr w:rsidR="00746D3C" w:rsidRPr="007B7470" w14:paraId="50F43939" w14:textId="77777777" w:rsidTr="007B3372">
        <w:trPr>
          <w:trHeight w:val="255"/>
        </w:trPr>
        <w:tc>
          <w:tcPr>
            <w:tcW w:w="6188" w:type="dxa"/>
            <w:tcBorders>
              <w:top w:val="nil"/>
              <w:left w:val="single" w:sz="4" w:space="0" w:color="auto"/>
              <w:bottom w:val="single" w:sz="4" w:space="0" w:color="auto"/>
              <w:right w:val="single" w:sz="4" w:space="0" w:color="auto"/>
            </w:tcBorders>
          </w:tcPr>
          <w:p w14:paraId="5F544B93" w14:textId="77777777" w:rsidR="00746D3C" w:rsidRPr="007B7470" w:rsidRDefault="00746D3C" w:rsidP="007B3372">
            <w:r w:rsidRPr="007B7470">
              <w:rPr>
                <w:b/>
                <w:bCs/>
              </w:rPr>
              <w:t xml:space="preserve">   z toho vplyv na ŠR</w:t>
            </w:r>
          </w:p>
        </w:tc>
        <w:tc>
          <w:tcPr>
            <w:tcW w:w="1698" w:type="dxa"/>
            <w:tcBorders>
              <w:top w:val="nil"/>
              <w:left w:val="nil"/>
              <w:bottom w:val="single" w:sz="4" w:space="0" w:color="auto"/>
              <w:right w:val="single" w:sz="4" w:space="0" w:color="auto"/>
            </w:tcBorders>
          </w:tcPr>
          <w:p w14:paraId="3FE422CA" w14:textId="77777777" w:rsidR="00746D3C" w:rsidRPr="007B7470" w:rsidRDefault="00746D3C" w:rsidP="007B3372">
            <w:pPr>
              <w:jc w:val="center"/>
            </w:pPr>
          </w:p>
        </w:tc>
        <w:tc>
          <w:tcPr>
            <w:tcW w:w="1788" w:type="dxa"/>
            <w:tcBorders>
              <w:top w:val="nil"/>
              <w:left w:val="nil"/>
              <w:bottom w:val="single" w:sz="4" w:space="0" w:color="auto"/>
              <w:right w:val="single" w:sz="4" w:space="0" w:color="auto"/>
            </w:tcBorders>
          </w:tcPr>
          <w:p w14:paraId="2E1777CD" w14:textId="77777777" w:rsidR="00746D3C" w:rsidRPr="007B7470" w:rsidRDefault="00746D3C" w:rsidP="007B3372">
            <w:pPr>
              <w:jc w:val="center"/>
            </w:pPr>
            <w:r w:rsidRPr="00A8695E">
              <w:t>69</w:t>
            </w:r>
            <w:r>
              <w:t xml:space="preserve"> </w:t>
            </w:r>
            <w:r w:rsidRPr="00A8695E">
              <w:t>887</w:t>
            </w:r>
          </w:p>
        </w:tc>
        <w:tc>
          <w:tcPr>
            <w:tcW w:w="1878" w:type="dxa"/>
            <w:gridSpan w:val="2"/>
            <w:tcBorders>
              <w:top w:val="nil"/>
              <w:left w:val="nil"/>
              <w:bottom w:val="single" w:sz="4" w:space="0" w:color="auto"/>
              <w:right w:val="single" w:sz="4" w:space="0" w:color="auto"/>
            </w:tcBorders>
          </w:tcPr>
          <w:p w14:paraId="555BB3D6" w14:textId="77777777" w:rsidR="00746D3C" w:rsidRPr="007B7470" w:rsidRDefault="00746D3C" w:rsidP="007B3372">
            <w:pPr>
              <w:jc w:val="center"/>
            </w:pPr>
            <w:r w:rsidRPr="00A8695E">
              <w:t>69</w:t>
            </w:r>
            <w:r>
              <w:t xml:space="preserve"> </w:t>
            </w:r>
            <w:r w:rsidRPr="00A8695E">
              <w:t>887</w:t>
            </w:r>
          </w:p>
        </w:tc>
        <w:tc>
          <w:tcPr>
            <w:tcW w:w="1560" w:type="dxa"/>
            <w:tcBorders>
              <w:top w:val="nil"/>
              <w:left w:val="nil"/>
              <w:bottom w:val="single" w:sz="4" w:space="0" w:color="auto"/>
              <w:right w:val="single" w:sz="4" w:space="0" w:color="auto"/>
            </w:tcBorders>
          </w:tcPr>
          <w:p w14:paraId="3A0EF3B5" w14:textId="77777777" w:rsidR="00746D3C" w:rsidRPr="007B7470" w:rsidRDefault="00746D3C" w:rsidP="007B3372">
            <w:pPr>
              <w:jc w:val="center"/>
            </w:pPr>
            <w:r w:rsidRPr="00A8695E">
              <w:t>69</w:t>
            </w:r>
            <w:r>
              <w:t xml:space="preserve"> </w:t>
            </w:r>
            <w:r w:rsidRPr="00A8695E">
              <w:t>887</w:t>
            </w:r>
          </w:p>
        </w:tc>
        <w:tc>
          <w:tcPr>
            <w:tcW w:w="1842" w:type="dxa"/>
            <w:gridSpan w:val="2"/>
            <w:tcBorders>
              <w:top w:val="nil"/>
              <w:left w:val="nil"/>
              <w:bottom w:val="single" w:sz="4" w:space="0" w:color="auto"/>
              <w:right w:val="single" w:sz="4" w:space="0" w:color="auto"/>
            </w:tcBorders>
            <w:noWrap/>
            <w:vAlign w:val="bottom"/>
          </w:tcPr>
          <w:p w14:paraId="6AA82DDC" w14:textId="77777777" w:rsidR="00746D3C" w:rsidRPr="007B7470" w:rsidRDefault="00746D3C" w:rsidP="007B3372">
            <w:r w:rsidRPr="007B7470">
              <w:t> </w:t>
            </w:r>
          </w:p>
        </w:tc>
      </w:tr>
      <w:tr w:rsidR="00746D3C" w:rsidRPr="007B7470" w14:paraId="3B28158C" w14:textId="77777777" w:rsidTr="007B3372">
        <w:trPr>
          <w:trHeight w:val="255"/>
        </w:trPr>
        <w:tc>
          <w:tcPr>
            <w:tcW w:w="6188" w:type="dxa"/>
            <w:tcBorders>
              <w:top w:val="nil"/>
              <w:left w:val="nil"/>
              <w:bottom w:val="nil"/>
              <w:right w:val="nil"/>
            </w:tcBorders>
            <w:noWrap/>
            <w:vAlign w:val="bottom"/>
          </w:tcPr>
          <w:p w14:paraId="4444138D" w14:textId="77777777" w:rsidR="00746D3C" w:rsidRPr="007B7470" w:rsidRDefault="00746D3C" w:rsidP="007B3372"/>
        </w:tc>
        <w:tc>
          <w:tcPr>
            <w:tcW w:w="1698" w:type="dxa"/>
            <w:tcBorders>
              <w:top w:val="nil"/>
              <w:left w:val="nil"/>
              <w:bottom w:val="nil"/>
              <w:right w:val="nil"/>
            </w:tcBorders>
            <w:noWrap/>
            <w:vAlign w:val="bottom"/>
          </w:tcPr>
          <w:p w14:paraId="02AEEBE2" w14:textId="77777777" w:rsidR="00746D3C" w:rsidRPr="007B7470" w:rsidRDefault="00746D3C" w:rsidP="007B3372"/>
        </w:tc>
        <w:tc>
          <w:tcPr>
            <w:tcW w:w="1788" w:type="dxa"/>
            <w:tcBorders>
              <w:top w:val="nil"/>
              <w:left w:val="nil"/>
              <w:bottom w:val="nil"/>
              <w:right w:val="nil"/>
            </w:tcBorders>
            <w:noWrap/>
            <w:vAlign w:val="bottom"/>
          </w:tcPr>
          <w:p w14:paraId="0B9BE08C" w14:textId="77777777" w:rsidR="00746D3C" w:rsidRPr="007B7470" w:rsidRDefault="00746D3C" w:rsidP="007B3372"/>
        </w:tc>
        <w:tc>
          <w:tcPr>
            <w:tcW w:w="1878" w:type="dxa"/>
            <w:gridSpan w:val="2"/>
            <w:tcBorders>
              <w:top w:val="nil"/>
              <w:left w:val="nil"/>
              <w:bottom w:val="nil"/>
              <w:right w:val="nil"/>
            </w:tcBorders>
            <w:noWrap/>
            <w:vAlign w:val="bottom"/>
          </w:tcPr>
          <w:p w14:paraId="76020B1D" w14:textId="77777777" w:rsidR="00746D3C" w:rsidRPr="007B7470" w:rsidRDefault="00746D3C" w:rsidP="007B3372"/>
        </w:tc>
        <w:tc>
          <w:tcPr>
            <w:tcW w:w="1560" w:type="dxa"/>
            <w:tcBorders>
              <w:top w:val="nil"/>
              <w:left w:val="nil"/>
              <w:bottom w:val="nil"/>
              <w:right w:val="nil"/>
            </w:tcBorders>
            <w:noWrap/>
            <w:vAlign w:val="bottom"/>
          </w:tcPr>
          <w:p w14:paraId="47714778" w14:textId="77777777" w:rsidR="00746D3C" w:rsidRPr="007B7470" w:rsidRDefault="00746D3C" w:rsidP="007B3372"/>
        </w:tc>
        <w:tc>
          <w:tcPr>
            <w:tcW w:w="1842" w:type="dxa"/>
            <w:gridSpan w:val="2"/>
            <w:tcBorders>
              <w:top w:val="nil"/>
              <w:left w:val="nil"/>
              <w:bottom w:val="nil"/>
              <w:right w:val="nil"/>
            </w:tcBorders>
            <w:noWrap/>
            <w:vAlign w:val="bottom"/>
          </w:tcPr>
          <w:p w14:paraId="5FCF9F88" w14:textId="77777777" w:rsidR="00746D3C" w:rsidRPr="007B7470" w:rsidRDefault="00746D3C" w:rsidP="007B3372"/>
        </w:tc>
      </w:tr>
      <w:tr w:rsidR="00746D3C" w:rsidRPr="007B7470" w14:paraId="72388CA8" w14:textId="77777777" w:rsidTr="007B3372">
        <w:trPr>
          <w:trHeight w:val="255"/>
        </w:trPr>
        <w:tc>
          <w:tcPr>
            <w:tcW w:w="6188" w:type="dxa"/>
            <w:tcBorders>
              <w:top w:val="nil"/>
              <w:left w:val="nil"/>
              <w:bottom w:val="nil"/>
              <w:right w:val="nil"/>
            </w:tcBorders>
          </w:tcPr>
          <w:p w14:paraId="0BCF8057" w14:textId="77777777" w:rsidR="00746D3C" w:rsidRPr="007B7470" w:rsidRDefault="00746D3C" w:rsidP="007B3372">
            <w:pPr>
              <w:rPr>
                <w:b/>
                <w:bCs/>
              </w:rPr>
            </w:pPr>
            <w:r w:rsidRPr="007B7470">
              <w:rPr>
                <w:b/>
                <w:bCs/>
              </w:rPr>
              <w:t>Poznámka:</w:t>
            </w:r>
          </w:p>
        </w:tc>
        <w:tc>
          <w:tcPr>
            <w:tcW w:w="1698" w:type="dxa"/>
            <w:tcBorders>
              <w:top w:val="nil"/>
              <w:left w:val="nil"/>
              <w:bottom w:val="nil"/>
              <w:right w:val="nil"/>
            </w:tcBorders>
            <w:noWrap/>
            <w:vAlign w:val="bottom"/>
          </w:tcPr>
          <w:p w14:paraId="327B5356" w14:textId="77777777" w:rsidR="00746D3C" w:rsidRPr="007B7470" w:rsidRDefault="00746D3C" w:rsidP="007B3372"/>
        </w:tc>
        <w:tc>
          <w:tcPr>
            <w:tcW w:w="1788" w:type="dxa"/>
            <w:tcBorders>
              <w:top w:val="nil"/>
              <w:left w:val="nil"/>
              <w:bottom w:val="nil"/>
              <w:right w:val="nil"/>
            </w:tcBorders>
            <w:noWrap/>
            <w:vAlign w:val="bottom"/>
          </w:tcPr>
          <w:p w14:paraId="4038D9E4" w14:textId="77777777" w:rsidR="00746D3C" w:rsidRPr="007B7470" w:rsidRDefault="00746D3C" w:rsidP="007B3372"/>
        </w:tc>
        <w:tc>
          <w:tcPr>
            <w:tcW w:w="1878" w:type="dxa"/>
            <w:gridSpan w:val="2"/>
            <w:tcBorders>
              <w:top w:val="nil"/>
              <w:left w:val="nil"/>
              <w:bottom w:val="nil"/>
              <w:right w:val="nil"/>
            </w:tcBorders>
            <w:noWrap/>
            <w:vAlign w:val="bottom"/>
          </w:tcPr>
          <w:p w14:paraId="600BDCE3" w14:textId="77777777" w:rsidR="00746D3C" w:rsidRPr="007B7470" w:rsidRDefault="00746D3C" w:rsidP="007B3372"/>
        </w:tc>
        <w:tc>
          <w:tcPr>
            <w:tcW w:w="1560" w:type="dxa"/>
            <w:tcBorders>
              <w:top w:val="nil"/>
              <w:left w:val="nil"/>
              <w:bottom w:val="nil"/>
              <w:right w:val="nil"/>
            </w:tcBorders>
            <w:noWrap/>
            <w:vAlign w:val="bottom"/>
          </w:tcPr>
          <w:p w14:paraId="4225E13B" w14:textId="77777777" w:rsidR="00746D3C" w:rsidRPr="007B7470" w:rsidRDefault="00746D3C" w:rsidP="007B3372"/>
        </w:tc>
        <w:tc>
          <w:tcPr>
            <w:tcW w:w="1842" w:type="dxa"/>
            <w:gridSpan w:val="2"/>
            <w:tcBorders>
              <w:top w:val="nil"/>
              <w:left w:val="nil"/>
              <w:bottom w:val="nil"/>
              <w:right w:val="nil"/>
            </w:tcBorders>
            <w:noWrap/>
            <w:vAlign w:val="bottom"/>
          </w:tcPr>
          <w:p w14:paraId="423E7C6F" w14:textId="77777777" w:rsidR="00746D3C" w:rsidRPr="007B7470" w:rsidRDefault="00746D3C" w:rsidP="007B3372"/>
        </w:tc>
      </w:tr>
      <w:tr w:rsidR="00746D3C" w:rsidRPr="007B7470" w14:paraId="13C68CC9" w14:textId="77777777" w:rsidTr="007B3372">
        <w:trPr>
          <w:trHeight w:val="255"/>
        </w:trPr>
        <w:tc>
          <w:tcPr>
            <w:tcW w:w="13112" w:type="dxa"/>
            <w:gridSpan w:val="6"/>
            <w:tcBorders>
              <w:top w:val="nil"/>
              <w:left w:val="nil"/>
              <w:bottom w:val="nil"/>
              <w:right w:val="nil"/>
            </w:tcBorders>
            <w:noWrap/>
          </w:tcPr>
          <w:p w14:paraId="7E78FD2B" w14:textId="77777777" w:rsidR="00746D3C" w:rsidRPr="007B7470" w:rsidRDefault="00746D3C" w:rsidP="007B3372">
            <w:pPr>
              <w:tabs>
                <w:tab w:val="num" w:pos="1080"/>
              </w:tabs>
              <w:jc w:val="both"/>
              <w:rPr>
                <w:bCs/>
                <w:szCs w:val="20"/>
              </w:rPr>
            </w:pPr>
            <w:r w:rsidRPr="007B7470">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2954972" w14:textId="77777777" w:rsidR="00746D3C" w:rsidRPr="007B7470" w:rsidRDefault="00746D3C" w:rsidP="007B3372">
            <w:r w:rsidRPr="007B7470">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342F4067" w14:textId="77777777" w:rsidR="00746D3C" w:rsidRPr="007B7470" w:rsidRDefault="00746D3C" w:rsidP="007B3372"/>
        </w:tc>
      </w:tr>
      <w:tr w:rsidR="00746D3C" w:rsidRPr="007B7470" w14:paraId="437A0DFE" w14:textId="77777777" w:rsidTr="007B3372">
        <w:trPr>
          <w:trHeight w:val="255"/>
        </w:trPr>
        <w:tc>
          <w:tcPr>
            <w:tcW w:w="10394" w:type="dxa"/>
            <w:gridSpan w:val="4"/>
            <w:tcBorders>
              <w:top w:val="nil"/>
              <w:left w:val="nil"/>
              <w:bottom w:val="nil"/>
              <w:right w:val="nil"/>
            </w:tcBorders>
            <w:noWrap/>
            <w:vAlign w:val="bottom"/>
          </w:tcPr>
          <w:p w14:paraId="4313AB93" w14:textId="77777777" w:rsidR="00746D3C" w:rsidRPr="007B7470" w:rsidRDefault="00746D3C" w:rsidP="007B3372">
            <w:r w:rsidRPr="007B7470">
              <w:t>Kategórie 610 a 620 sú z tejto prílohy prenášané do príslušných kategórií prílohy „výdavky“.</w:t>
            </w:r>
          </w:p>
        </w:tc>
        <w:tc>
          <w:tcPr>
            <w:tcW w:w="1158" w:type="dxa"/>
            <w:tcBorders>
              <w:top w:val="nil"/>
              <w:left w:val="nil"/>
              <w:bottom w:val="nil"/>
              <w:right w:val="nil"/>
            </w:tcBorders>
            <w:noWrap/>
            <w:vAlign w:val="bottom"/>
          </w:tcPr>
          <w:p w14:paraId="64A9F4DA" w14:textId="77777777" w:rsidR="00746D3C" w:rsidRPr="007B7470" w:rsidRDefault="00746D3C" w:rsidP="007B3372"/>
        </w:tc>
        <w:tc>
          <w:tcPr>
            <w:tcW w:w="2892" w:type="dxa"/>
            <w:gridSpan w:val="2"/>
            <w:tcBorders>
              <w:top w:val="nil"/>
              <w:left w:val="nil"/>
              <w:bottom w:val="nil"/>
              <w:right w:val="nil"/>
            </w:tcBorders>
            <w:noWrap/>
            <w:vAlign w:val="bottom"/>
          </w:tcPr>
          <w:p w14:paraId="67232FDA" w14:textId="77777777" w:rsidR="00746D3C" w:rsidRPr="007B7470" w:rsidRDefault="00746D3C" w:rsidP="007B3372"/>
        </w:tc>
        <w:tc>
          <w:tcPr>
            <w:tcW w:w="510" w:type="dxa"/>
            <w:tcBorders>
              <w:top w:val="nil"/>
              <w:left w:val="nil"/>
              <w:bottom w:val="nil"/>
              <w:right w:val="nil"/>
            </w:tcBorders>
            <w:noWrap/>
            <w:vAlign w:val="bottom"/>
          </w:tcPr>
          <w:p w14:paraId="4BEFA42C" w14:textId="77777777" w:rsidR="00746D3C" w:rsidRPr="007B7470" w:rsidRDefault="00746D3C" w:rsidP="007B3372"/>
        </w:tc>
      </w:tr>
    </w:tbl>
    <w:p w14:paraId="3C77933A" w14:textId="77777777" w:rsidR="00746D3C" w:rsidRPr="007B7470" w:rsidRDefault="00746D3C" w:rsidP="00746D3C">
      <w:pPr>
        <w:rPr>
          <w:b/>
          <w:bCs/>
        </w:rPr>
      </w:pPr>
    </w:p>
    <w:p w14:paraId="5257FCA0" w14:textId="77777777" w:rsidR="00746D3C" w:rsidRPr="007B7470" w:rsidRDefault="00746D3C" w:rsidP="00746D3C">
      <w:pPr>
        <w:rPr>
          <w:b/>
          <w:bCs/>
        </w:rPr>
      </w:pPr>
    </w:p>
    <w:p w14:paraId="148356D3" w14:textId="77777777" w:rsidR="00746D3C" w:rsidRPr="007B7470" w:rsidRDefault="00746D3C" w:rsidP="00746D3C">
      <w:pPr>
        <w:rPr>
          <w:b/>
          <w:bCs/>
        </w:rPr>
      </w:pPr>
    </w:p>
    <w:p w14:paraId="0DA6A82F" w14:textId="77777777" w:rsidR="00746D3C" w:rsidRPr="007B7470" w:rsidRDefault="00746D3C" w:rsidP="00746D3C">
      <w:pPr>
        <w:rPr>
          <w:b/>
          <w:bCs/>
        </w:rPr>
      </w:pPr>
    </w:p>
    <w:p w14:paraId="4D8ECA25" w14:textId="77777777" w:rsidR="00746D3C" w:rsidRPr="007B7470" w:rsidRDefault="00746D3C" w:rsidP="00746D3C">
      <w:pPr>
        <w:rPr>
          <w:b/>
          <w:bCs/>
        </w:rPr>
      </w:pPr>
    </w:p>
    <w:p w14:paraId="79EDDAAF" w14:textId="77777777" w:rsidR="00746D3C" w:rsidRPr="007B7470" w:rsidRDefault="00746D3C" w:rsidP="00746D3C">
      <w:pPr>
        <w:rPr>
          <w:b/>
          <w:bCs/>
        </w:rPr>
      </w:pPr>
    </w:p>
    <w:p w14:paraId="34EB6555" w14:textId="77777777" w:rsidR="00746D3C" w:rsidRPr="007B7470" w:rsidRDefault="00746D3C" w:rsidP="00746D3C">
      <w:pPr>
        <w:rPr>
          <w:b/>
          <w:bCs/>
        </w:rPr>
      </w:pPr>
    </w:p>
    <w:p w14:paraId="459B4E29" w14:textId="77777777" w:rsidR="00746D3C" w:rsidRPr="007B7470" w:rsidRDefault="00746D3C" w:rsidP="00746D3C">
      <w:pPr>
        <w:rPr>
          <w:b/>
          <w:bCs/>
        </w:rPr>
      </w:pPr>
    </w:p>
    <w:p w14:paraId="72126464" w14:textId="77777777" w:rsidR="00746D3C" w:rsidRPr="007B7470" w:rsidRDefault="00746D3C" w:rsidP="00746D3C">
      <w:pPr>
        <w:rPr>
          <w:b/>
          <w:bCs/>
        </w:rPr>
      </w:pPr>
    </w:p>
    <w:p w14:paraId="46A246F1" w14:textId="77777777" w:rsidR="00746D3C" w:rsidRPr="007B7470" w:rsidRDefault="00746D3C" w:rsidP="00746D3C">
      <w:pPr>
        <w:rPr>
          <w:b/>
          <w:bCs/>
        </w:rPr>
      </w:pPr>
    </w:p>
    <w:p w14:paraId="5A8853B5" w14:textId="77777777" w:rsidR="00746D3C" w:rsidRPr="007B7470" w:rsidRDefault="00746D3C" w:rsidP="00746D3C">
      <w:pPr>
        <w:rPr>
          <w:b/>
          <w:bCs/>
        </w:rPr>
      </w:pPr>
    </w:p>
    <w:p w14:paraId="3B001D86" w14:textId="77777777" w:rsidR="00746D3C" w:rsidRPr="007B7470" w:rsidRDefault="00746D3C" w:rsidP="00746D3C">
      <w:pPr>
        <w:rPr>
          <w:b/>
          <w:bCs/>
        </w:rPr>
      </w:pPr>
      <w:r w:rsidRPr="007B7470">
        <w:rPr>
          <w:b/>
          <w:bCs/>
        </w:rPr>
        <w:t xml:space="preserve">                                                                 </w:t>
      </w:r>
    </w:p>
    <w:p w14:paraId="0E795E32" w14:textId="77777777" w:rsidR="00746D3C" w:rsidRPr="007B7470" w:rsidRDefault="00746D3C" w:rsidP="00746D3C">
      <w:pPr>
        <w:jc w:val="both"/>
        <w:rPr>
          <w:b/>
        </w:rPr>
      </w:pPr>
      <w:r w:rsidRPr="007B7470">
        <w:rPr>
          <w:b/>
        </w:rPr>
        <w:lastRenderedPageBreak/>
        <w:t xml:space="preserve">2.2.5. Výpočet vplyvov na dlhodobú udržateľnosť verejných financií </w:t>
      </w:r>
    </w:p>
    <w:p w14:paraId="611F66B3" w14:textId="77777777" w:rsidR="00746D3C" w:rsidRPr="007B7470" w:rsidRDefault="00746D3C" w:rsidP="00746D3C">
      <w:pPr>
        <w:jc w:val="both"/>
      </w:pPr>
    </w:p>
    <w:p w14:paraId="0CB3C642" w14:textId="77777777" w:rsidR="00746D3C" w:rsidRPr="007B7470" w:rsidRDefault="00746D3C" w:rsidP="00746D3C">
      <w:pPr>
        <w:ind w:firstLine="708"/>
        <w:jc w:val="both"/>
      </w:pPr>
      <w:r w:rsidRPr="007B7470">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67C994A9" w14:textId="77777777" w:rsidR="00746D3C" w:rsidRPr="007B7470" w:rsidRDefault="00746D3C" w:rsidP="00746D3C">
      <w:pPr>
        <w:jc w:val="both"/>
      </w:pPr>
    </w:p>
    <w:p w14:paraId="3B590A8F" w14:textId="77777777" w:rsidR="00746D3C" w:rsidRPr="007B7470" w:rsidRDefault="00746D3C" w:rsidP="00746D3C">
      <w:pPr>
        <w:jc w:val="both"/>
      </w:pPr>
      <w:r w:rsidRPr="007B7470">
        <w:t xml:space="preserve">                                                                                                                                </w:t>
      </w:r>
      <w:r w:rsidRPr="007B7470">
        <w:tab/>
      </w:r>
      <w:r w:rsidRPr="007B7470">
        <w:tab/>
      </w:r>
      <w:r w:rsidRPr="007B7470">
        <w:tab/>
      </w:r>
      <w:r w:rsidRPr="007B7470">
        <w:tab/>
      </w:r>
      <w:r w:rsidRPr="007B7470">
        <w:tab/>
      </w:r>
      <w:r w:rsidRPr="007B7470">
        <w:tab/>
      </w:r>
      <w:r w:rsidRPr="007B7470">
        <w:tab/>
      </w:r>
      <w:r w:rsidRPr="007B7470">
        <w:tab/>
      </w:r>
    </w:p>
    <w:p w14:paraId="61F6F0C1" w14:textId="77777777" w:rsidR="00746D3C" w:rsidRPr="007B7470" w:rsidRDefault="00746D3C" w:rsidP="00746D3C">
      <w:pPr>
        <w:jc w:val="both"/>
        <w:rPr>
          <w:sz w:val="20"/>
          <w:szCs w:val="20"/>
        </w:rPr>
      </w:pPr>
      <w:r w:rsidRPr="007B7470">
        <w:rPr>
          <w:sz w:val="20"/>
          <w:szCs w:val="20"/>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746D3C" w:rsidRPr="007B7470" w14:paraId="69A7B000" w14:textId="77777777" w:rsidTr="007B3372">
        <w:trPr>
          <w:trHeight w:val="284"/>
        </w:trPr>
        <w:tc>
          <w:tcPr>
            <w:tcW w:w="2943" w:type="dxa"/>
            <w:vMerge w:val="restart"/>
            <w:shd w:val="clear" w:color="auto" w:fill="BFBFBF" w:themeFill="background1" w:themeFillShade="BF"/>
            <w:vAlign w:val="center"/>
          </w:tcPr>
          <w:p w14:paraId="597F1007" w14:textId="77777777" w:rsidR="00746D3C" w:rsidRPr="007B7470" w:rsidRDefault="00746D3C" w:rsidP="007B3372">
            <w:pPr>
              <w:widowControl w:val="0"/>
              <w:overflowPunct w:val="0"/>
              <w:autoSpaceDE w:val="0"/>
              <w:autoSpaceDN w:val="0"/>
              <w:adjustRightInd w:val="0"/>
              <w:jc w:val="center"/>
              <w:textAlignment w:val="baseline"/>
              <w:rPr>
                <w:b/>
              </w:rPr>
            </w:pPr>
            <w:r w:rsidRPr="007B7470">
              <w:rPr>
                <w:b/>
              </w:rPr>
              <w:t>Dlhodobá udržateľnosť</w:t>
            </w:r>
          </w:p>
        </w:tc>
        <w:tc>
          <w:tcPr>
            <w:tcW w:w="7967" w:type="dxa"/>
            <w:gridSpan w:val="5"/>
            <w:shd w:val="clear" w:color="auto" w:fill="BFBFBF" w:themeFill="background1" w:themeFillShade="BF"/>
          </w:tcPr>
          <w:p w14:paraId="7A96B64E" w14:textId="77777777" w:rsidR="00746D3C" w:rsidRPr="007B7470" w:rsidRDefault="00746D3C" w:rsidP="007B3372">
            <w:pPr>
              <w:widowControl w:val="0"/>
              <w:overflowPunct w:val="0"/>
              <w:autoSpaceDE w:val="0"/>
              <w:autoSpaceDN w:val="0"/>
              <w:adjustRightInd w:val="0"/>
              <w:jc w:val="center"/>
              <w:textAlignment w:val="baseline"/>
              <w:rPr>
                <w:b/>
              </w:rPr>
            </w:pPr>
            <w:r w:rsidRPr="007B7470">
              <w:rPr>
                <w:b/>
              </w:rPr>
              <w:t>Vplyv na verejné financie</w:t>
            </w:r>
          </w:p>
        </w:tc>
        <w:tc>
          <w:tcPr>
            <w:tcW w:w="3119" w:type="dxa"/>
            <w:vMerge w:val="restart"/>
            <w:shd w:val="clear" w:color="auto" w:fill="BFBFBF" w:themeFill="background1" w:themeFillShade="BF"/>
            <w:vAlign w:val="center"/>
          </w:tcPr>
          <w:p w14:paraId="02DCBF68" w14:textId="77777777" w:rsidR="00746D3C" w:rsidRPr="007B7470" w:rsidRDefault="00746D3C" w:rsidP="007B3372">
            <w:pPr>
              <w:widowControl w:val="0"/>
              <w:overflowPunct w:val="0"/>
              <w:autoSpaceDE w:val="0"/>
              <w:autoSpaceDN w:val="0"/>
              <w:adjustRightInd w:val="0"/>
              <w:jc w:val="center"/>
              <w:textAlignment w:val="baseline"/>
              <w:rPr>
                <w:b/>
              </w:rPr>
            </w:pPr>
            <w:r w:rsidRPr="007B7470">
              <w:rPr>
                <w:b/>
              </w:rPr>
              <w:t>Poznámka</w:t>
            </w:r>
          </w:p>
        </w:tc>
      </w:tr>
      <w:tr w:rsidR="00746D3C" w:rsidRPr="007B7470" w14:paraId="1D6FF29D" w14:textId="77777777" w:rsidTr="007B3372">
        <w:trPr>
          <w:trHeight w:val="284"/>
        </w:trPr>
        <w:tc>
          <w:tcPr>
            <w:tcW w:w="2943" w:type="dxa"/>
            <w:vMerge/>
            <w:shd w:val="clear" w:color="auto" w:fill="BFBFBF" w:themeFill="background1" w:themeFillShade="BF"/>
          </w:tcPr>
          <w:p w14:paraId="6117EB2F" w14:textId="77777777" w:rsidR="00746D3C" w:rsidRPr="007B7470" w:rsidRDefault="00746D3C" w:rsidP="007B3372">
            <w:pPr>
              <w:widowControl w:val="0"/>
              <w:overflowPunct w:val="0"/>
              <w:autoSpaceDE w:val="0"/>
              <w:autoSpaceDN w:val="0"/>
              <w:adjustRightInd w:val="0"/>
              <w:jc w:val="both"/>
              <w:textAlignment w:val="baseline"/>
            </w:pPr>
          </w:p>
        </w:tc>
        <w:tc>
          <w:tcPr>
            <w:tcW w:w="1447" w:type="dxa"/>
            <w:shd w:val="clear" w:color="auto" w:fill="BFBFBF" w:themeFill="background1" w:themeFillShade="BF"/>
          </w:tcPr>
          <w:p w14:paraId="6DA64C3A" w14:textId="77777777" w:rsidR="00746D3C" w:rsidRPr="007B7470" w:rsidRDefault="00746D3C" w:rsidP="007B3372">
            <w:pPr>
              <w:widowControl w:val="0"/>
              <w:overflowPunct w:val="0"/>
              <w:autoSpaceDE w:val="0"/>
              <w:autoSpaceDN w:val="0"/>
              <w:adjustRightInd w:val="0"/>
              <w:jc w:val="center"/>
              <w:textAlignment w:val="baseline"/>
            </w:pPr>
            <w:r w:rsidRPr="007B7470">
              <w:t>d</w:t>
            </w:r>
          </w:p>
        </w:tc>
        <w:tc>
          <w:tcPr>
            <w:tcW w:w="1559" w:type="dxa"/>
            <w:shd w:val="clear" w:color="auto" w:fill="BFBFBF" w:themeFill="background1" w:themeFillShade="BF"/>
          </w:tcPr>
          <w:p w14:paraId="1FC74B54" w14:textId="77777777" w:rsidR="00746D3C" w:rsidRPr="007B7470" w:rsidRDefault="00746D3C" w:rsidP="007B3372">
            <w:pPr>
              <w:widowControl w:val="0"/>
              <w:overflowPunct w:val="0"/>
              <w:autoSpaceDE w:val="0"/>
              <w:autoSpaceDN w:val="0"/>
              <w:adjustRightInd w:val="0"/>
              <w:jc w:val="center"/>
              <w:textAlignment w:val="baseline"/>
            </w:pPr>
            <w:r w:rsidRPr="007B7470">
              <w:t>d + 10</w:t>
            </w:r>
          </w:p>
        </w:tc>
        <w:tc>
          <w:tcPr>
            <w:tcW w:w="1559" w:type="dxa"/>
            <w:shd w:val="clear" w:color="auto" w:fill="BFBFBF" w:themeFill="background1" w:themeFillShade="BF"/>
          </w:tcPr>
          <w:p w14:paraId="3BA18B8A" w14:textId="77777777" w:rsidR="00746D3C" w:rsidRPr="007B7470" w:rsidRDefault="00746D3C" w:rsidP="007B3372">
            <w:pPr>
              <w:widowControl w:val="0"/>
              <w:overflowPunct w:val="0"/>
              <w:autoSpaceDE w:val="0"/>
              <w:autoSpaceDN w:val="0"/>
              <w:adjustRightInd w:val="0"/>
              <w:jc w:val="center"/>
              <w:textAlignment w:val="baseline"/>
            </w:pPr>
            <w:r w:rsidRPr="007B7470">
              <w:t>d + 20</w:t>
            </w:r>
          </w:p>
        </w:tc>
        <w:tc>
          <w:tcPr>
            <w:tcW w:w="1418" w:type="dxa"/>
            <w:shd w:val="clear" w:color="auto" w:fill="BFBFBF" w:themeFill="background1" w:themeFillShade="BF"/>
          </w:tcPr>
          <w:p w14:paraId="3F73058C" w14:textId="77777777" w:rsidR="00746D3C" w:rsidRPr="007B7470" w:rsidRDefault="00746D3C" w:rsidP="007B3372">
            <w:pPr>
              <w:widowControl w:val="0"/>
              <w:overflowPunct w:val="0"/>
              <w:autoSpaceDE w:val="0"/>
              <w:autoSpaceDN w:val="0"/>
              <w:adjustRightInd w:val="0"/>
              <w:jc w:val="center"/>
              <w:textAlignment w:val="baseline"/>
            </w:pPr>
            <w:r w:rsidRPr="007B7470">
              <w:t>d + 30</w:t>
            </w:r>
          </w:p>
        </w:tc>
        <w:tc>
          <w:tcPr>
            <w:tcW w:w="1984" w:type="dxa"/>
            <w:shd w:val="clear" w:color="auto" w:fill="BFBFBF" w:themeFill="background1" w:themeFillShade="BF"/>
          </w:tcPr>
          <w:p w14:paraId="3AA8B296" w14:textId="77777777" w:rsidR="00746D3C" w:rsidRPr="007B7470" w:rsidRDefault="00746D3C" w:rsidP="007B3372">
            <w:pPr>
              <w:widowControl w:val="0"/>
              <w:overflowPunct w:val="0"/>
              <w:autoSpaceDE w:val="0"/>
              <w:autoSpaceDN w:val="0"/>
              <w:adjustRightInd w:val="0"/>
              <w:jc w:val="center"/>
              <w:textAlignment w:val="baseline"/>
            </w:pPr>
            <w:r w:rsidRPr="007B7470">
              <w:t>d + 40</w:t>
            </w:r>
          </w:p>
        </w:tc>
        <w:tc>
          <w:tcPr>
            <w:tcW w:w="3119" w:type="dxa"/>
            <w:vMerge/>
            <w:shd w:val="clear" w:color="auto" w:fill="BFBFBF" w:themeFill="background1" w:themeFillShade="BF"/>
          </w:tcPr>
          <w:p w14:paraId="74D7FF74" w14:textId="77777777" w:rsidR="00746D3C" w:rsidRPr="007B7470" w:rsidRDefault="00746D3C" w:rsidP="007B3372">
            <w:pPr>
              <w:widowControl w:val="0"/>
              <w:overflowPunct w:val="0"/>
              <w:autoSpaceDE w:val="0"/>
              <w:autoSpaceDN w:val="0"/>
              <w:adjustRightInd w:val="0"/>
              <w:jc w:val="both"/>
              <w:textAlignment w:val="baseline"/>
            </w:pPr>
          </w:p>
        </w:tc>
      </w:tr>
      <w:tr w:rsidR="00746D3C" w:rsidRPr="007B7470" w14:paraId="79EFA43B" w14:textId="77777777" w:rsidTr="007B3372">
        <w:trPr>
          <w:trHeight w:val="284"/>
        </w:trPr>
        <w:tc>
          <w:tcPr>
            <w:tcW w:w="2943" w:type="dxa"/>
            <w:shd w:val="clear" w:color="auto" w:fill="auto"/>
            <w:vAlign w:val="bottom"/>
          </w:tcPr>
          <w:p w14:paraId="6ABB330B" w14:textId="77777777" w:rsidR="00746D3C" w:rsidRPr="007B7470" w:rsidRDefault="00746D3C" w:rsidP="007B3372">
            <w:pPr>
              <w:widowControl w:val="0"/>
              <w:overflowPunct w:val="0"/>
              <w:autoSpaceDE w:val="0"/>
              <w:autoSpaceDN w:val="0"/>
              <w:adjustRightInd w:val="0"/>
              <w:textAlignment w:val="baseline"/>
            </w:pPr>
            <w:r w:rsidRPr="007B7470">
              <w:t>Vplyv na výdavky v p. b. HDP</w:t>
            </w:r>
          </w:p>
        </w:tc>
        <w:tc>
          <w:tcPr>
            <w:tcW w:w="1447" w:type="dxa"/>
            <w:shd w:val="clear" w:color="auto" w:fill="auto"/>
          </w:tcPr>
          <w:p w14:paraId="2AA22E2D" w14:textId="77777777" w:rsidR="00746D3C" w:rsidRPr="007B7470" w:rsidRDefault="00746D3C" w:rsidP="007B3372">
            <w:pPr>
              <w:widowControl w:val="0"/>
              <w:overflowPunct w:val="0"/>
              <w:autoSpaceDE w:val="0"/>
              <w:autoSpaceDN w:val="0"/>
              <w:adjustRightInd w:val="0"/>
              <w:jc w:val="both"/>
              <w:textAlignment w:val="baseline"/>
            </w:pPr>
          </w:p>
        </w:tc>
        <w:tc>
          <w:tcPr>
            <w:tcW w:w="1559" w:type="dxa"/>
            <w:shd w:val="clear" w:color="auto" w:fill="auto"/>
          </w:tcPr>
          <w:p w14:paraId="2AD22D85" w14:textId="77777777" w:rsidR="00746D3C" w:rsidRPr="007B7470" w:rsidRDefault="00746D3C" w:rsidP="007B3372">
            <w:pPr>
              <w:widowControl w:val="0"/>
              <w:overflowPunct w:val="0"/>
              <w:autoSpaceDE w:val="0"/>
              <w:autoSpaceDN w:val="0"/>
              <w:adjustRightInd w:val="0"/>
              <w:jc w:val="both"/>
              <w:textAlignment w:val="baseline"/>
            </w:pPr>
          </w:p>
        </w:tc>
        <w:tc>
          <w:tcPr>
            <w:tcW w:w="1559" w:type="dxa"/>
            <w:shd w:val="clear" w:color="auto" w:fill="auto"/>
          </w:tcPr>
          <w:p w14:paraId="5C29117E" w14:textId="77777777" w:rsidR="00746D3C" w:rsidRPr="007B7470" w:rsidRDefault="00746D3C" w:rsidP="007B3372">
            <w:pPr>
              <w:widowControl w:val="0"/>
              <w:overflowPunct w:val="0"/>
              <w:autoSpaceDE w:val="0"/>
              <w:autoSpaceDN w:val="0"/>
              <w:adjustRightInd w:val="0"/>
              <w:jc w:val="both"/>
              <w:textAlignment w:val="baseline"/>
            </w:pPr>
          </w:p>
        </w:tc>
        <w:tc>
          <w:tcPr>
            <w:tcW w:w="1418" w:type="dxa"/>
            <w:shd w:val="clear" w:color="auto" w:fill="auto"/>
          </w:tcPr>
          <w:p w14:paraId="2E91083C" w14:textId="77777777" w:rsidR="00746D3C" w:rsidRPr="007B7470" w:rsidRDefault="00746D3C" w:rsidP="007B3372">
            <w:pPr>
              <w:widowControl w:val="0"/>
              <w:overflowPunct w:val="0"/>
              <w:autoSpaceDE w:val="0"/>
              <w:autoSpaceDN w:val="0"/>
              <w:adjustRightInd w:val="0"/>
              <w:jc w:val="both"/>
              <w:textAlignment w:val="baseline"/>
            </w:pPr>
          </w:p>
        </w:tc>
        <w:tc>
          <w:tcPr>
            <w:tcW w:w="1984" w:type="dxa"/>
            <w:shd w:val="clear" w:color="auto" w:fill="auto"/>
          </w:tcPr>
          <w:p w14:paraId="0CF5AA23" w14:textId="77777777" w:rsidR="00746D3C" w:rsidRPr="007B7470" w:rsidRDefault="00746D3C" w:rsidP="007B3372">
            <w:pPr>
              <w:widowControl w:val="0"/>
              <w:overflowPunct w:val="0"/>
              <w:autoSpaceDE w:val="0"/>
              <w:autoSpaceDN w:val="0"/>
              <w:adjustRightInd w:val="0"/>
              <w:jc w:val="both"/>
              <w:textAlignment w:val="baseline"/>
            </w:pPr>
          </w:p>
        </w:tc>
        <w:tc>
          <w:tcPr>
            <w:tcW w:w="3119" w:type="dxa"/>
            <w:shd w:val="clear" w:color="auto" w:fill="auto"/>
          </w:tcPr>
          <w:p w14:paraId="478CA701" w14:textId="77777777" w:rsidR="00746D3C" w:rsidRPr="007B7470" w:rsidRDefault="00746D3C" w:rsidP="007B3372">
            <w:pPr>
              <w:widowControl w:val="0"/>
              <w:overflowPunct w:val="0"/>
              <w:autoSpaceDE w:val="0"/>
              <w:autoSpaceDN w:val="0"/>
              <w:adjustRightInd w:val="0"/>
              <w:jc w:val="both"/>
              <w:textAlignment w:val="baseline"/>
            </w:pPr>
          </w:p>
        </w:tc>
      </w:tr>
      <w:tr w:rsidR="00746D3C" w:rsidRPr="007B7470" w14:paraId="12C38414" w14:textId="77777777" w:rsidTr="007B3372">
        <w:trPr>
          <w:trHeight w:val="284"/>
        </w:trPr>
        <w:tc>
          <w:tcPr>
            <w:tcW w:w="2943" w:type="dxa"/>
            <w:shd w:val="clear" w:color="auto" w:fill="auto"/>
          </w:tcPr>
          <w:p w14:paraId="797C6796" w14:textId="77777777" w:rsidR="00746D3C" w:rsidRPr="007B7470" w:rsidRDefault="00746D3C" w:rsidP="007B3372">
            <w:pPr>
              <w:widowControl w:val="0"/>
              <w:overflowPunct w:val="0"/>
              <w:autoSpaceDE w:val="0"/>
              <w:autoSpaceDN w:val="0"/>
              <w:adjustRightInd w:val="0"/>
              <w:textAlignment w:val="baseline"/>
            </w:pPr>
            <w:r w:rsidRPr="007B7470">
              <w:t>Vplyv na príjmy v p. b. HDP</w:t>
            </w:r>
          </w:p>
        </w:tc>
        <w:tc>
          <w:tcPr>
            <w:tcW w:w="1447" w:type="dxa"/>
            <w:shd w:val="clear" w:color="auto" w:fill="auto"/>
          </w:tcPr>
          <w:p w14:paraId="349EE4F2" w14:textId="77777777" w:rsidR="00746D3C" w:rsidRPr="007B7470" w:rsidRDefault="00746D3C" w:rsidP="007B3372">
            <w:pPr>
              <w:widowControl w:val="0"/>
              <w:overflowPunct w:val="0"/>
              <w:autoSpaceDE w:val="0"/>
              <w:autoSpaceDN w:val="0"/>
              <w:adjustRightInd w:val="0"/>
              <w:jc w:val="both"/>
              <w:textAlignment w:val="baseline"/>
            </w:pPr>
          </w:p>
        </w:tc>
        <w:tc>
          <w:tcPr>
            <w:tcW w:w="1559" w:type="dxa"/>
            <w:shd w:val="clear" w:color="auto" w:fill="auto"/>
          </w:tcPr>
          <w:p w14:paraId="4EC1F0B4" w14:textId="77777777" w:rsidR="00746D3C" w:rsidRPr="007B7470" w:rsidRDefault="00746D3C" w:rsidP="007B3372">
            <w:pPr>
              <w:widowControl w:val="0"/>
              <w:overflowPunct w:val="0"/>
              <w:autoSpaceDE w:val="0"/>
              <w:autoSpaceDN w:val="0"/>
              <w:adjustRightInd w:val="0"/>
              <w:jc w:val="both"/>
              <w:textAlignment w:val="baseline"/>
            </w:pPr>
          </w:p>
        </w:tc>
        <w:tc>
          <w:tcPr>
            <w:tcW w:w="1559" w:type="dxa"/>
            <w:shd w:val="clear" w:color="auto" w:fill="auto"/>
          </w:tcPr>
          <w:p w14:paraId="013C0C9A" w14:textId="77777777" w:rsidR="00746D3C" w:rsidRPr="007B7470" w:rsidRDefault="00746D3C" w:rsidP="007B3372">
            <w:pPr>
              <w:widowControl w:val="0"/>
              <w:overflowPunct w:val="0"/>
              <w:autoSpaceDE w:val="0"/>
              <w:autoSpaceDN w:val="0"/>
              <w:adjustRightInd w:val="0"/>
              <w:jc w:val="both"/>
              <w:textAlignment w:val="baseline"/>
            </w:pPr>
          </w:p>
        </w:tc>
        <w:tc>
          <w:tcPr>
            <w:tcW w:w="1418" w:type="dxa"/>
            <w:shd w:val="clear" w:color="auto" w:fill="auto"/>
          </w:tcPr>
          <w:p w14:paraId="77BC0FF0" w14:textId="77777777" w:rsidR="00746D3C" w:rsidRPr="007B7470" w:rsidRDefault="00746D3C" w:rsidP="007B3372">
            <w:pPr>
              <w:widowControl w:val="0"/>
              <w:overflowPunct w:val="0"/>
              <w:autoSpaceDE w:val="0"/>
              <w:autoSpaceDN w:val="0"/>
              <w:adjustRightInd w:val="0"/>
              <w:jc w:val="both"/>
              <w:textAlignment w:val="baseline"/>
            </w:pPr>
          </w:p>
        </w:tc>
        <w:tc>
          <w:tcPr>
            <w:tcW w:w="1984" w:type="dxa"/>
            <w:shd w:val="clear" w:color="auto" w:fill="auto"/>
          </w:tcPr>
          <w:p w14:paraId="04BC5989" w14:textId="77777777" w:rsidR="00746D3C" w:rsidRPr="007B7470" w:rsidRDefault="00746D3C" w:rsidP="007B3372">
            <w:pPr>
              <w:widowControl w:val="0"/>
              <w:overflowPunct w:val="0"/>
              <w:autoSpaceDE w:val="0"/>
              <w:autoSpaceDN w:val="0"/>
              <w:adjustRightInd w:val="0"/>
              <w:jc w:val="both"/>
              <w:textAlignment w:val="baseline"/>
            </w:pPr>
          </w:p>
        </w:tc>
        <w:tc>
          <w:tcPr>
            <w:tcW w:w="3119" w:type="dxa"/>
            <w:shd w:val="clear" w:color="auto" w:fill="auto"/>
          </w:tcPr>
          <w:p w14:paraId="48C398A3" w14:textId="77777777" w:rsidR="00746D3C" w:rsidRPr="007B7470" w:rsidRDefault="00746D3C" w:rsidP="007B3372">
            <w:pPr>
              <w:widowControl w:val="0"/>
              <w:overflowPunct w:val="0"/>
              <w:autoSpaceDE w:val="0"/>
              <w:autoSpaceDN w:val="0"/>
              <w:adjustRightInd w:val="0"/>
              <w:jc w:val="both"/>
              <w:textAlignment w:val="baseline"/>
            </w:pPr>
          </w:p>
        </w:tc>
      </w:tr>
      <w:tr w:rsidR="00746D3C" w:rsidRPr="007B7470" w14:paraId="6C5FA0AE" w14:textId="77777777" w:rsidTr="007B3372">
        <w:trPr>
          <w:trHeight w:val="284"/>
        </w:trPr>
        <w:tc>
          <w:tcPr>
            <w:tcW w:w="2943" w:type="dxa"/>
            <w:shd w:val="clear" w:color="auto" w:fill="auto"/>
          </w:tcPr>
          <w:p w14:paraId="71AEA517" w14:textId="77777777" w:rsidR="00746D3C" w:rsidRPr="007B7470" w:rsidRDefault="00746D3C" w:rsidP="007B3372">
            <w:pPr>
              <w:widowControl w:val="0"/>
              <w:overflowPunct w:val="0"/>
              <w:autoSpaceDE w:val="0"/>
              <w:autoSpaceDN w:val="0"/>
              <w:adjustRightInd w:val="0"/>
              <w:textAlignment w:val="baseline"/>
            </w:pPr>
            <w:r w:rsidRPr="007B7470">
              <w:t>Vplyv na bilanciu  v p. b. HDP</w:t>
            </w:r>
          </w:p>
        </w:tc>
        <w:tc>
          <w:tcPr>
            <w:tcW w:w="1447" w:type="dxa"/>
            <w:shd w:val="clear" w:color="auto" w:fill="auto"/>
          </w:tcPr>
          <w:p w14:paraId="54005B8A" w14:textId="77777777" w:rsidR="00746D3C" w:rsidRPr="007B7470" w:rsidRDefault="00746D3C" w:rsidP="007B3372">
            <w:pPr>
              <w:widowControl w:val="0"/>
              <w:overflowPunct w:val="0"/>
              <w:autoSpaceDE w:val="0"/>
              <w:autoSpaceDN w:val="0"/>
              <w:adjustRightInd w:val="0"/>
              <w:jc w:val="both"/>
              <w:textAlignment w:val="baseline"/>
            </w:pPr>
          </w:p>
        </w:tc>
        <w:tc>
          <w:tcPr>
            <w:tcW w:w="1559" w:type="dxa"/>
            <w:shd w:val="clear" w:color="auto" w:fill="auto"/>
          </w:tcPr>
          <w:p w14:paraId="2CC4A476" w14:textId="77777777" w:rsidR="00746D3C" w:rsidRPr="007B7470" w:rsidRDefault="00746D3C" w:rsidP="007B3372">
            <w:pPr>
              <w:widowControl w:val="0"/>
              <w:overflowPunct w:val="0"/>
              <w:autoSpaceDE w:val="0"/>
              <w:autoSpaceDN w:val="0"/>
              <w:adjustRightInd w:val="0"/>
              <w:jc w:val="both"/>
              <w:textAlignment w:val="baseline"/>
            </w:pPr>
          </w:p>
        </w:tc>
        <w:tc>
          <w:tcPr>
            <w:tcW w:w="1559" w:type="dxa"/>
            <w:shd w:val="clear" w:color="auto" w:fill="auto"/>
          </w:tcPr>
          <w:p w14:paraId="0EE608DB" w14:textId="77777777" w:rsidR="00746D3C" w:rsidRPr="007B7470" w:rsidRDefault="00746D3C" w:rsidP="007B3372">
            <w:pPr>
              <w:widowControl w:val="0"/>
              <w:overflowPunct w:val="0"/>
              <w:autoSpaceDE w:val="0"/>
              <w:autoSpaceDN w:val="0"/>
              <w:adjustRightInd w:val="0"/>
              <w:jc w:val="both"/>
              <w:textAlignment w:val="baseline"/>
            </w:pPr>
          </w:p>
        </w:tc>
        <w:tc>
          <w:tcPr>
            <w:tcW w:w="1418" w:type="dxa"/>
            <w:shd w:val="clear" w:color="auto" w:fill="auto"/>
          </w:tcPr>
          <w:p w14:paraId="29EE5FB3" w14:textId="77777777" w:rsidR="00746D3C" w:rsidRPr="007B7470" w:rsidRDefault="00746D3C" w:rsidP="007B3372">
            <w:pPr>
              <w:widowControl w:val="0"/>
              <w:overflowPunct w:val="0"/>
              <w:autoSpaceDE w:val="0"/>
              <w:autoSpaceDN w:val="0"/>
              <w:adjustRightInd w:val="0"/>
              <w:jc w:val="both"/>
              <w:textAlignment w:val="baseline"/>
            </w:pPr>
          </w:p>
        </w:tc>
        <w:tc>
          <w:tcPr>
            <w:tcW w:w="1984" w:type="dxa"/>
            <w:shd w:val="clear" w:color="auto" w:fill="auto"/>
          </w:tcPr>
          <w:p w14:paraId="38DA1AF6" w14:textId="77777777" w:rsidR="00746D3C" w:rsidRPr="007B7470" w:rsidRDefault="00746D3C" w:rsidP="007B3372">
            <w:pPr>
              <w:widowControl w:val="0"/>
              <w:overflowPunct w:val="0"/>
              <w:autoSpaceDE w:val="0"/>
              <w:autoSpaceDN w:val="0"/>
              <w:adjustRightInd w:val="0"/>
              <w:jc w:val="both"/>
              <w:textAlignment w:val="baseline"/>
            </w:pPr>
          </w:p>
        </w:tc>
        <w:tc>
          <w:tcPr>
            <w:tcW w:w="3119" w:type="dxa"/>
            <w:shd w:val="clear" w:color="auto" w:fill="auto"/>
          </w:tcPr>
          <w:p w14:paraId="22492D68" w14:textId="77777777" w:rsidR="00746D3C" w:rsidRPr="007B7470" w:rsidRDefault="00746D3C" w:rsidP="007B3372">
            <w:pPr>
              <w:widowControl w:val="0"/>
              <w:overflowPunct w:val="0"/>
              <w:autoSpaceDE w:val="0"/>
              <w:autoSpaceDN w:val="0"/>
              <w:adjustRightInd w:val="0"/>
              <w:jc w:val="both"/>
              <w:textAlignment w:val="baseline"/>
            </w:pPr>
          </w:p>
        </w:tc>
      </w:tr>
    </w:tbl>
    <w:p w14:paraId="2BA4325E" w14:textId="77777777" w:rsidR="00746D3C" w:rsidRPr="007B7470" w:rsidRDefault="00746D3C" w:rsidP="00746D3C">
      <w:pPr>
        <w:jc w:val="both"/>
      </w:pPr>
    </w:p>
    <w:p w14:paraId="552CFD10" w14:textId="77777777" w:rsidR="00746D3C" w:rsidRPr="007B7470" w:rsidRDefault="00746D3C" w:rsidP="00746D3C">
      <w:pPr>
        <w:jc w:val="both"/>
        <w:rPr>
          <w:b/>
        </w:rPr>
      </w:pPr>
      <w:r w:rsidRPr="007B7470">
        <w:rPr>
          <w:b/>
        </w:rPr>
        <w:t xml:space="preserve">Poznámka: </w:t>
      </w:r>
    </w:p>
    <w:p w14:paraId="39F54281" w14:textId="77777777" w:rsidR="00746D3C" w:rsidRPr="007B7470" w:rsidRDefault="00746D3C" w:rsidP="00746D3C">
      <w:pPr>
        <w:jc w:val="both"/>
      </w:pPr>
      <w:r w:rsidRPr="007B7470">
        <w:t xml:space="preserve">Písmeno „d“ označuje prvý rok nasledujúcej dekády. </w:t>
      </w:r>
    </w:p>
    <w:p w14:paraId="110513BA" w14:textId="77777777" w:rsidR="00746D3C" w:rsidRPr="007B7470" w:rsidRDefault="00746D3C" w:rsidP="00746D3C">
      <w:pPr>
        <w:jc w:val="both"/>
      </w:pPr>
      <w:r w:rsidRPr="007B7470">
        <w:t xml:space="preserve">Tabuľka sa vypĺňa pre každé opatrenie samostatne. V prípade zavádzania viacerých opatrení sa vyplní aj tabuľka obsahujúca aj kumulatívny efekt zavedenia všetkých opatrení súčasne.“  </w:t>
      </w:r>
    </w:p>
    <w:p w14:paraId="0AD27747" w14:textId="77777777" w:rsidR="00746D3C" w:rsidRPr="007B7470" w:rsidRDefault="00746D3C" w:rsidP="00746D3C">
      <w:pPr>
        <w:rPr>
          <w:b/>
          <w:bCs/>
        </w:rPr>
        <w:sectPr w:rsidR="00746D3C" w:rsidRPr="007B7470" w:rsidSect="00746D3C">
          <w:pgSz w:w="16838" w:h="11906" w:orient="landscape"/>
          <w:pgMar w:top="1418" w:right="1418" w:bottom="1418" w:left="1418" w:header="709" w:footer="709" w:gutter="0"/>
          <w:cols w:space="708"/>
          <w:docGrid w:linePitch="360"/>
        </w:sectPr>
      </w:pPr>
    </w:p>
    <w:p w14:paraId="473694D1" w14:textId="77777777" w:rsidR="00746D3C" w:rsidRPr="00A738C0" w:rsidRDefault="00746D3C" w:rsidP="00746D3C">
      <w:pPr>
        <w:jc w:val="center"/>
        <w:rPr>
          <w:color w:val="000000" w:themeColor="text1"/>
        </w:rPr>
      </w:pPr>
    </w:p>
    <w:p w14:paraId="50334579" w14:textId="77777777" w:rsidR="00746D3C" w:rsidRPr="00895898" w:rsidRDefault="00746D3C" w:rsidP="00746D3C">
      <w:pPr>
        <w:jc w:val="center"/>
        <w:rPr>
          <w:rFonts w:eastAsia="Calibri"/>
          <w:b/>
          <w:sz w:val="28"/>
          <w:szCs w:val="28"/>
        </w:rPr>
      </w:pPr>
      <w:r w:rsidRPr="00895898">
        <w:rPr>
          <w:rFonts w:eastAsia="Calibri"/>
          <w:b/>
          <w:sz w:val="28"/>
          <w:szCs w:val="28"/>
        </w:rPr>
        <w:t>Analýza vplyvov na podnikateľské prostredie</w:t>
      </w:r>
    </w:p>
    <w:p w14:paraId="59FD0BD2" w14:textId="77777777" w:rsidR="00746D3C" w:rsidRPr="00895898" w:rsidRDefault="00746D3C" w:rsidP="00746D3C">
      <w:pPr>
        <w:jc w:val="both"/>
        <w:rPr>
          <w:rFonts w:eastAsia="Calibri"/>
          <w:b/>
        </w:rPr>
      </w:pPr>
    </w:p>
    <w:p w14:paraId="5BBB6176" w14:textId="373AD823" w:rsidR="00746D3C" w:rsidRDefault="00746D3C" w:rsidP="00746D3C">
      <w:pPr>
        <w:pStyle w:val="Zkladntext1"/>
        <w:jc w:val="both"/>
        <w:rPr>
          <w:b/>
          <w:szCs w:val="24"/>
        </w:rPr>
      </w:pPr>
      <w:r w:rsidRPr="001F1B43">
        <w:rPr>
          <w:rFonts w:eastAsia="Calibri"/>
          <w:b/>
          <w:szCs w:val="24"/>
        </w:rPr>
        <w:t>Názov materiálu:</w:t>
      </w:r>
      <w:r>
        <w:rPr>
          <w:rFonts w:eastAsia="Calibri"/>
          <w:b/>
          <w:szCs w:val="24"/>
        </w:rPr>
        <w:t xml:space="preserve"> </w:t>
      </w:r>
      <w:r w:rsidR="00F00A78">
        <w:rPr>
          <w:rFonts w:eastAsia="Calibri"/>
          <w:b/>
          <w:szCs w:val="24"/>
        </w:rPr>
        <w:t>Vládny n</w:t>
      </w:r>
      <w:r w:rsidRPr="00427F0F">
        <w:rPr>
          <w:b/>
          <w:szCs w:val="24"/>
        </w:rPr>
        <w:t xml:space="preserve">ávrh zákona, </w:t>
      </w:r>
      <w:r w:rsidRPr="00427F0F">
        <w:rPr>
          <w:b/>
          <w:color w:val="auto"/>
          <w:szCs w:val="24"/>
        </w:rPr>
        <w:t>ktorým sa mení a dopĺňa zákon č. 222/2004 Z. z. o dani z pridanej hodnoty</w:t>
      </w:r>
      <w:r>
        <w:rPr>
          <w:b/>
          <w:color w:val="auto"/>
          <w:szCs w:val="24"/>
        </w:rPr>
        <w:t xml:space="preserve"> </w:t>
      </w:r>
      <w:r w:rsidRPr="00427F0F">
        <w:rPr>
          <w:b/>
          <w:szCs w:val="24"/>
        </w:rPr>
        <w:t>v znení neskorších predpisov</w:t>
      </w:r>
      <w:r>
        <w:rPr>
          <w:b/>
          <w:szCs w:val="24"/>
        </w:rPr>
        <w:t xml:space="preserve"> a ktorým sa menia a dopĺňajú niektoré zákony</w:t>
      </w:r>
      <w:r w:rsidR="00B43DE8">
        <w:rPr>
          <w:b/>
          <w:szCs w:val="24"/>
        </w:rPr>
        <w:t>.</w:t>
      </w:r>
    </w:p>
    <w:p w14:paraId="3E96D478" w14:textId="77777777" w:rsidR="00746D3C" w:rsidRPr="001F1B43" w:rsidRDefault="00746D3C" w:rsidP="00746D3C">
      <w:pPr>
        <w:pStyle w:val="Zkladntext1"/>
        <w:jc w:val="both"/>
        <w:rPr>
          <w:rFonts w:eastAsia="Calibri"/>
          <w:b/>
          <w:szCs w:val="24"/>
        </w:rPr>
      </w:pPr>
    </w:p>
    <w:p w14:paraId="3B61C8F3" w14:textId="68B0299D" w:rsidR="00746D3C" w:rsidRPr="001F1B43" w:rsidRDefault="00746D3C" w:rsidP="00746D3C">
      <w:pPr>
        <w:jc w:val="both"/>
        <w:rPr>
          <w:rFonts w:eastAsia="Calibri"/>
          <w:b/>
        </w:rPr>
      </w:pPr>
      <w:r w:rsidRPr="001F1B43">
        <w:rPr>
          <w:rFonts w:eastAsia="Calibri"/>
          <w:b/>
        </w:rPr>
        <w:t>Predkladateľ:</w:t>
      </w:r>
      <w:r>
        <w:rPr>
          <w:rFonts w:eastAsia="Calibri"/>
          <w:b/>
        </w:rPr>
        <w:t xml:space="preserve"> </w:t>
      </w:r>
      <w:r w:rsidR="00F00A78">
        <w:t>Vláda</w:t>
      </w:r>
      <w:r w:rsidRPr="003831B8">
        <w:t xml:space="preserve"> Slovenskej republiky.</w:t>
      </w:r>
    </w:p>
    <w:p w14:paraId="41ECAFB0" w14:textId="77777777" w:rsidR="00EF292E" w:rsidRDefault="00EF292E" w:rsidP="00746D3C">
      <w:pPr>
        <w:jc w:val="both"/>
        <w:rPr>
          <w:rFonts w:eastAsia="Calibri"/>
          <w:b/>
        </w:rPr>
      </w:pPr>
    </w:p>
    <w:p w14:paraId="3166E573" w14:textId="729E6745" w:rsidR="00746D3C" w:rsidRPr="001F1B43" w:rsidRDefault="00746D3C" w:rsidP="00746D3C">
      <w:pPr>
        <w:jc w:val="both"/>
        <w:rPr>
          <w:rFonts w:eastAsia="Calibri"/>
          <w:b/>
        </w:rPr>
      </w:pPr>
      <w:r w:rsidRPr="001F1B43">
        <w:rPr>
          <w:rFonts w:eastAsia="Calibri"/>
          <w:b/>
        </w:rPr>
        <w:t>3.1 Náklady regulácie</w:t>
      </w:r>
    </w:p>
    <w:p w14:paraId="537D3814" w14:textId="77777777" w:rsidR="00746D3C" w:rsidRPr="001F1B43" w:rsidRDefault="00746D3C" w:rsidP="00746D3C">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14:paraId="05DD462A" w14:textId="77777777" w:rsidR="00746D3C" w:rsidRPr="00D8247C" w:rsidRDefault="00746D3C" w:rsidP="00746D3C">
      <w:pPr>
        <w:jc w:val="both"/>
        <w:rPr>
          <w:rFonts w:eastAsia="Calibri"/>
          <w:i/>
        </w:rPr>
      </w:pPr>
      <w:r w:rsidRPr="00D8247C">
        <w:rPr>
          <w:rFonts w:eastAsia="Calibri"/>
          <w:i/>
        </w:rPr>
        <w:t>Tabuľka č. 1: Zmeny nákladov (ročne) v prepočte na podnikateľské prostredie (PP), vyhodnotenie mechanizmu znižovania byrokracie a náklado</w:t>
      </w:r>
      <w:r>
        <w:rPr>
          <w:rFonts w:eastAsia="Calibri"/>
          <w:i/>
        </w:rPr>
        <w:t xml:space="preserve">v, náklady </w:t>
      </w:r>
      <w:r w:rsidRPr="00804BC8">
        <w:rPr>
          <w:rFonts w:eastAsia="Calibri"/>
          <w:i/>
        </w:rPr>
        <w:t>goldplatingu</w:t>
      </w:r>
      <w:r>
        <w:rPr>
          <w:rStyle w:val="Odkaznapoznmkupodiarou"/>
          <w:rFonts w:eastAsia="Calibri"/>
          <w:i/>
        </w:rPr>
        <w:footnoteReference w:id="1"/>
      </w:r>
      <w:r>
        <w:rPr>
          <w:rFonts w:eastAsia="Calibri"/>
          <w:i/>
        </w:rPr>
        <w:t xml:space="preserve"> na podnikateľské prostredie</w:t>
      </w:r>
      <w:r w:rsidRPr="00D8247C">
        <w:rPr>
          <w:rFonts w:eastAsia="Calibri"/>
          <w:i/>
        </w:rPr>
        <w:t xml:space="preserve">. </w:t>
      </w:r>
    </w:p>
    <w:p w14:paraId="14D96625" w14:textId="77777777" w:rsidR="00746D3C" w:rsidRPr="00D8247C" w:rsidRDefault="00746D3C" w:rsidP="00746D3C">
      <w:pPr>
        <w:jc w:val="both"/>
        <w:rPr>
          <w:rFonts w:eastAsia="Calibri"/>
          <w:i/>
        </w:rPr>
      </w:pPr>
      <w:r w:rsidRPr="00D8247C">
        <w:rPr>
          <w:rFonts w:eastAsia="Calibri"/>
          <w:i/>
        </w:rPr>
        <w:t xml:space="preserve">Nahraďte rovnakou tabuľkou po vyplnení Kalkulačky nákladov podnikateľského prostredia, ktorá je povinnou prílohou tejto analýzy a nájdete ju na </w:t>
      </w:r>
      <w:hyperlink r:id="rId15" w:history="1">
        <w:r w:rsidRPr="00D8247C">
          <w:rPr>
            <w:rFonts w:eastAsia="Calibri"/>
            <w:i/>
            <w:color w:val="0563C1"/>
            <w:u w:val="single"/>
          </w:rPr>
          <w:t>webovom sídle MH SR</w:t>
        </w:r>
      </w:hyperlink>
      <w:r w:rsidRPr="00D8247C">
        <w:rPr>
          <w:rFonts w:eastAsia="Calibri"/>
          <w:i/>
        </w:rPr>
        <w:t xml:space="preserve">, (ďalej len </w:t>
      </w:r>
      <w:r>
        <w:rPr>
          <w:rFonts w:eastAsia="Calibri"/>
          <w:i/>
        </w:rPr>
        <w:t>„</w:t>
      </w:r>
      <w:r w:rsidRPr="00D8247C">
        <w:rPr>
          <w:rFonts w:eastAsia="Calibri"/>
          <w:i/>
        </w:rPr>
        <w:t>Kalkulačka nákladov</w:t>
      </w:r>
      <w:r>
        <w:rPr>
          <w:rFonts w:eastAsia="Calibri"/>
          <w:i/>
        </w:rPr>
        <w:t>“</w:t>
      </w:r>
      <w:r w:rsidRPr="00D8247C">
        <w:rPr>
          <w:rFonts w:eastAsia="Calibri"/>
          <w:i/>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746D3C" w:rsidRPr="00C929AE" w14:paraId="5B9462D5" w14:textId="77777777" w:rsidTr="007B3372">
        <w:trPr>
          <w:trHeight w:val="270"/>
        </w:trPr>
        <w:tc>
          <w:tcPr>
            <w:tcW w:w="146" w:type="dxa"/>
            <w:tcBorders>
              <w:top w:val="nil"/>
              <w:left w:val="nil"/>
              <w:bottom w:val="nil"/>
              <w:right w:val="nil"/>
            </w:tcBorders>
            <w:shd w:val="clear" w:color="auto" w:fill="auto"/>
            <w:noWrap/>
            <w:vAlign w:val="bottom"/>
            <w:hideMark/>
          </w:tcPr>
          <w:p w14:paraId="73304559" w14:textId="77777777" w:rsidR="00746D3C" w:rsidRPr="00C929AE" w:rsidRDefault="00746D3C" w:rsidP="007B3372">
            <w:pPr>
              <w:rPr>
                <w:color w:val="000000"/>
                <w:sz w:val="20"/>
                <w:szCs w:val="20"/>
              </w:rPr>
            </w:pPr>
          </w:p>
        </w:tc>
        <w:tc>
          <w:tcPr>
            <w:tcW w:w="3540" w:type="dxa"/>
            <w:tcBorders>
              <w:top w:val="nil"/>
              <w:left w:val="nil"/>
              <w:bottom w:val="nil"/>
              <w:right w:val="nil"/>
            </w:tcBorders>
            <w:shd w:val="clear" w:color="auto" w:fill="auto"/>
            <w:noWrap/>
            <w:vAlign w:val="bottom"/>
            <w:hideMark/>
          </w:tcPr>
          <w:p w14:paraId="1DE1521B" w14:textId="77777777" w:rsidR="00746D3C" w:rsidRPr="00C929AE" w:rsidRDefault="00746D3C" w:rsidP="007B3372">
            <w:pPr>
              <w:rPr>
                <w:color w:val="000000"/>
                <w:sz w:val="20"/>
                <w:szCs w:val="20"/>
              </w:rPr>
            </w:pPr>
          </w:p>
        </w:tc>
        <w:tc>
          <w:tcPr>
            <w:tcW w:w="2792" w:type="dxa"/>
            <w:gridSpan w:val="2"/>
            <w:tcBorders>
              <w:top w:val="nil"/>
              <w:left w:val="nil"/>
              <w:bottom w:val="nil"/>
              <w:right w:val="nil"/>
            </w:tcBorders>
            <w:shd w:val="clear" w:color="auto" w:fill="auto"/>
            <w:noWrap/>
            <w:vAlign w:val="bottom"/>
            <w:hideMark/>
          </w:tcPr>
          <w:p w14:paraId="6817A980" w14:textId="77777777" w:rsidR="00746D3C" w:rsidRPr="00C929AE" w:rsidRDefault="00746D3C" w:rsidP="007B3372">
            <w:pPr>
              <w:rPr>
                <w:color w:val="000000"/>
                <w:sz w:val="20"/>
                <w:szCs w:val="20"/>
              </w:rPr>
            </w:pPr>
          </w:p>
        </w:tc>
        <w:tc>
          <w:tcPr>
            <w:tcW w:w="160" w:type="dxa"/>
            <w:tcBorders>
              <w:top w:val="nil"/>
              <w:left w:val="nil"/>
              <w:bottom w:val="nil"/>
              <w:right w:val="nil"/>
            </w:tcBorders>
            <w:shd w:val="clear" w:color="auto" w:fill="auto"/>
            <w:noWrap/>
            <w:vAlign w:val="bottom"/>
            <w:hideMark/>
          </w:tcPr>
          <w:p w14:paraId="6ECE8F94" w14:textId="77777777" w:rsidR="00746D3C" w:rsidRPr="00C929AE" w:rsidRDefault="00746D3C" w:rsidP="007B3372">
            <w:pPr>
              <w:rPr>
                <w:color w:val="000000"/>
                <w:sz w:val="20"/>
                <w:szCs w:val="20"/>
              </w:rPr>
            </w:pPr>
          </w:p>
        </w:tc>
        <w:tc>
          <w:tcPr>
            <w:tcW w:w="2716" w:type="dxa"/>
            <w:gridSpan w:val="2"/>
            <w:tcBorders>
              <w:top w:val="nil"/>
              <w:left w:val="nil"/>
              <w:bottom w:val="nil"/>
              <w:right w:val="nil"/>
            </w:tcBorders>
            <w:shd w:val="clear" w:color="auto" w:fill="auto"/>
            <w:noWrap/>
            <w:vAlign w:val="bottom"/>
            <w:hideMark/>
          </w:tcPr>
          <w:p w14:paraId="0567192E" w14:textId="77777777" w:rsidR="00746D3C" w:rsidRPr="00C929AE" w:rsidRDefault="00746D3C" w:rsidP="007B3372">
            <w:pPr>
              <w:rPr>
                <w:color w:val="000000"/>
                <w:sz w:val="20"/>
                <w:szCs w:val="20"/>
              </w:rPr>
            </w:pPr>
          </w:p>
        </w:tc>
        <w:tc>
          <w:tcPr>
            <w:tcW w:w="160" w:type="dxa"/>
            <w:tcBorders>
              <w:top w:val="nil"/>
              <w:left w:val="nil"/>
              <w:bottom w:val="nil"/>
              <w:right w:val="nil"/>
            </w:tcBorders>
            <w:shd w:val="clear" w:color="auto" w:fill="auto"/>
            <w:noWrap/>
            <w:vAlign w:val="bottom"/>
            <w:hideMark/>
          </w:tcPr>
          <w:p w14:paraId="5F3DA94A" w14:textId="77777777" w:rsidR="00746D3C" w:rsidRPr="00C929AE" w:rsidRDefault="00746D3C" w:rsidP="007B3372">
            <w:pPr>
              <w:jc w:val="center"/>
              <w:rPr>
                <w:color w:val="000000"/>
                <w:sz w:val="20"/>
                <w:szCs w:val="20"/>
              </w:rPr>
            </w:pPr>
          </w:p>
        </w:tc>
      </w:tr>
      <w:tr w:rsidR="00746D3C" w:rsidRPr="00C929AE" w14:paraId="4F48E9E7" w14:textId="77777777" w:rsidTr="007B3372">
        <w:trPr>
          <w:gridAfter w:val="2"/>
          <w:wAfter w:w="583" w:type="dxa"/>
          <w:trHeight w:val="451"/>
        </w:trPr>
        <w:tc>
          <w:tcPr>
            <w:tcW w:w="146" w:type="dxa"/>
            <w:tcBorders>
              <w:top w:val="nil"/>
              <w:left w:val="nil"/>
              <w:bottom w:val="nil"/>
              <w:right w:val="nil"/>
            </w:tcBorders>
            <w:shd w:val="clear" w:color="auto" w:fill="auto"/>
            <w:noWrap/>
            <w:vAlign w:val="bottom"/>
            <w:hideMark/>
          </w:tcPr>
          <w:p w14:paraId="66A0753F" w14:textId="77777777" w:rsidR="00746D3C" w:rsidRPr="00C929AE" w:rsidRDefault="00746D3C" w:rsidP="007B3372">
            <w:pPr>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4BED2FF" w14:textId="77777777" w:rsidR="00746D3C" w:rsidRPr="00C929AE" w:rsidRDefault="00746D3C" w:rsidP="007B3372">
            <w:pPr>
              <w:jc w:val="center"/>
              <w:rPr>
                <w:b/>
                <w:bCs/>
                <w:i/>
                <w:iCs/>
                <w:color w:val="000000"/>
                <w:sz w:val="20"/>
                <w:szCs w:val="20"/>
              </w:rPr>
            </w:pPr>
            <w:r w:rsidRPr="00C929AE">
              <w:rPr>
                <w:b/>
                <w:bCs/>
                <w:i/>
                <w:iCs/>
                <w:color w:val="000000"/>
                <w:sz w:val="20"/>
                <w:szCs w:val="20"/>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17B143B3" w14:textId="77777777" w:rsidR="00746D3C" w:rsidRPr="00C929AE" w:rsidRDefault="00746D3C" w:rsidP="007B3372">
            <w:pPr>
              <w:jc w:val="center"/>
              <w:rPr>
                <w:b/>
                <w:bCs/>
                <w:color w:val="000000"/>
                <w:sz w:val="20"/>
                <w:szCs w:val="20"/>
              </w:rPr>
            </w:pPr>
            <w:r w:rsidRPr="00C929AE">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067EF350" w14:textId="77777777" w:rsidR="00746D3C" w:rsidRPr="00C929AE" w:rsidRDefault="00746D3C" w:rsidP="007B3372">
            <w:pPr>
              <w:jc w:val="center"/>
              <w:rPr>
                <w:b/>
                <w:bCs/>
                <w:color w:val="000000"/>
                <w:sz w:val="20"/>
                <w:szCs w:val="20"/>
              </w:rPr>
            </w:pPr>
            <w:r w:rsidRPr="00C929AE">
              <w:rPr>
                <w:b/>
                <w:bCs/>
                <w:color w:val="000000"/>
                <w:sz w:val="20"/>
                <w:szCs w:val="20"/>
              </w:rPr>
              <w:t>Zníženie nákladov v € na PP</w:t>
            </w:r>
          </w:p>
        </w:tc>
      </w:tr>
      <w:tr w:rsidR="00746D3C" w:rsidRPr="00C929AE" w14:paraId="2AD0A688" w14:textId="77777777" w:rsidTr="007B3372">
        <w:trPr>
          <w:gridAfter w:val="2"/>
          <w:wAfter w:w="583" w:type="dxa"/>
          <w:trHeight w:val="600"/>
        </w:trPr>
        <w:tc>
          <w:tcPr>
            <w:tcW w:w="146" w:type="dxa"/>
            <w:tcBorders>
              <w:top w:val="nil"/>
              <w:left w:val="nil"/>
              <w:bottom w:val="nil"/>
              <w:right w:val="nil"/>
            </w:tcBorders>
            <w:shd w:val="clear" w:color="auto" w:fill="auto"/>
            <w:noWrap/>
            <w:vAlign w:val="bottom"/>
            <w:hideMark/>
          </w:tcPr>
          <w:p w14:paraId="3B421258" w14:textId="77777777" w:rsidR="00746D3C" w:rsidRPr="00C929AE" w:rsidRDefault="00746D3C" w:rsidP="007B3372">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0C6821F" w14:textId="77777777" w:rsidR="00746D3C" w:rsidRPr="00C929AE" w:rsidRDefault="00746D3C" w:rsidP="007B3372">
            <w:pPr>
              <w:rPr>
                <w:b/>
                <w:bCs/>
                <w:i/>
                <w:iCs/>
                <w:color w:val="000000"/>
                <w:sz w:val="20"/>
                <w:szCs w:val="20"/>
              </w:rPr>
            </w:pPr>
            <w:r w:rsidRPr="00C929AE">
              <w:rPr>
                <w:b/>
                <w:bCs/>
                <w:i/>
                <w:iCs/>
                <w:color w:val="000000"/>
                <w:sz w:val="20"/>
                <w:szCs w:val="20"/>
              </w:rPr>
              <w:t>A.</w:t>
            </w:r>
            <w:r>
              <w:rPr>
                <w:b/>
                <w:bCs/>
                <w:i/>
                <w:iCs/>
                <w:color w:val="000000"/>
                <w:sz w:val="20"/>
                <w:szCs w:val="20"/>
              </w:rPr>
              <w:t xml:space="preserve"> </w:t>
            </w:r>
            <w:r w:rsidRPr="00C929AE">
              <w:rPr>
                <w:b/>
                <w:bCs/>
                <w:i/>
                <w:iCs/>
                <w:color w:val="000000"/>
                <w:sz w:val="20"/>
                <w:szCs w:val="20"/>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A7ADC65" w14:textId="77777777" w:rsidR="00746D3C" w:rsidRPr="00CA2E26" w:rsidRDefault="00746D3C" w:rsidP="007B3372">
            <w:pPr>
              <w:jc w:val="center"/>
              <w:rPr>
                <w:b/>
                <w:bCs/>
                <w:color w:val="000000"/>
                <w:sz w:val="20"/>
                <w:szCs w:val="20"/>
              </w:rPr>
            </w:pPr>
            <w:r w:rsidRPr="00CA2E26">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665CF5B" w14:textId="77777777" w:rsidR="00746D3C" w:rsidRPr="00CA2E26" w:rsidRDefault="00746D3C" w:rsidP="007B3372">
            <w:pPr>
              <w:jc w:val="center"/>
              <w:rPr>
                <w:b/>
                <w:bCs/>
                <w:color w:val="000000"/>
                <w:sz w:val="20"/>
                <w:szCs w:val="20"/>
              </w:rPr>
            </w:pPr>
            <w:r w:rsidRPr="00CA2E26">
              <w:rPr>
                <w:b/>
                <w:bCs/>
                <w:color w:val="000000"/>
                <w:sz w:val="20"/>
                <w:szCs w:val="20"/>
              </w:rPr>
              <w:t>0</w:t>
            </w:r>
          </w:p>
        </w:tc>
      </w:tr>
      <w:tr w:rsidR="00746D3C" w:rsidRPr="00C929AE" w14:paraId="5C2109A1" w14:textId="77777777" w:rsidTr="007B3372">
        <w:trPr>
          <w:gridAfter w:val="2"/>
          <w:wAfter w:w="583" w:type="dxa"/>
          <w:trHeight w:val="420"/>
        </w:trPr>
        <w:tc>
          <w:tcPr>
            <w:tcW w:w="146" w:type="dxa"/>
            <w:tcBorders>
              <w:top w:val="nil"/>
              <w:left w:val="nil"/>
              <w:bottom w:val="nil"/>
              <w:right w:val="nil"/>
            </w:tcBorders>
            <w:shd w:val="clear" w:color="auto" w:fill="auto"/>
            <w:noWrap/>
            <w:vAlign w:val="bottom"/>
            <w:hideMark/>
          </w:tcPr>
          <w:p w14:paraId="21918C65" w14:textId="77777777" w:rsidR="00746D3C" w:rsidRPr="00C929AE" w:rsidRDefault="00746D3C" w:rsidP="007B3372">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67C3C220" w14:textId="77777777" w:rsidR="00746D3C" w:rsidRPr="00C929AE" w:rsidRDefault="00746D3C" w:rsidP="007B3372">
            <w:pPr>
              <w:rPr>
                <w:b/>
                <w:bCs/>
                <w:i/>
                <w:iCs/>
                <w:color w:val="000000"/>
                <w:sz w:val="20"/>
                <w:szCs w:val="20"/>
              </w:rPr>
            </w:pPr>
            <w:r w:rsidRPr="00C929AE">
              <w:rPr>
                <w:b/>
                <w:bCs/>
                <w:i/>
                <w:iCs/>
                <w:color w:val="000000"/>
                <w:sz w:val="20"/>
                <w:szCs w:val="20"/>
              </w:rPr>
              <w:t xml:space="preserve">B. Iné </w:t>
            </w:r>
            <w:r w:rsidRPr="00952CF6">
              <w:rPr>
                <w:b/>
                <w:bCs/>
                <w:i/>
                <w:iCs/>
                <w:color w:val="000000"/>
                <w:sz w:val="20"/>
                <w:szCs w:val="20"/>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BFB31BF" w14:textId="77777777" w:rsidR="00746D3C" w:rsidRPr="00CA2E26" w:rsidRDefault="00746D3C" w:rsidP="007B3372">
            <w:pPr>
              <w:jc w:val="center"/>
              <w:rPr>
                <w:b/>
                <w:bCs/>
                <w:color w:val="000000"/>
                <w:sz w:val="20"/>
                <w:szCs w:val="20"/>
              </w:rPr>
            </w:pP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4EB04A59" w14:textId="77777777" w:rsidR="00746D3C" w:rsidRPr="00CA2E26" w:rsidRDefault="00746D3C" w:rsidP="007B3372">
            <w:pPr>
              <w:jc w:val="center"/>
              <w:rPr>
                <w:b/>
                <w:bCs/>
                <w:color w:val="000000"/>
                <w:sz w:val="20"/>
                <w:szCs w:val="20"/>
              </w:rPr>
            </w:pPr>
            <w:r>
              <w:rPr>
                <w:b/>
                <w:bCs/>
                <w:color w:val="000000"/>
                <w:sz w:val="20"/>
                <w:szCs w:val="20"/>
              </w:rPr>
              <w:t>0</w:t>
            </w:r>
          </w:p>
        </w:tc>
      </w:tr>
      <w:tr w:rsidR="00746D3C" w:rsidRPr="00C929AE" w14:paraId="27F6B64C" w14:textId="77777777" w:rsidTr="007B3372">
        <w:trPr>
          <w:gridAfter w:val="2"/>
          <w:wAfter w:w="583" w:type="dxa"/>
          <w:trHeight w:val="435"/>
        </w:trPr>
        <w:tc>
          <w:tcPr>
            <w:tcW w:w="146" w:type="dxa"/>
            <w:tcBorders>
              <w:top w:val="nil"/>
              <w:left w:val="nil"/>
              <w:bottom w:val="nil"/>
              <w:right w:val="nil"/>
            </w:tcBorders>
            <w:shd w:val="clear" w:color="auto" w:fill="auto"/>
            <w:noWrap/>
            <w:vAlign w:val="bottom"/>
            <w:hideMark/>
          </w:tcPr>
          <w:p w14:paraId="7A7B4265" w14:textId="77777777" w:rsidR="00746D3C" w:rsidRPr="00C929AE" w:rsidRDefault="00746D3C" w:rsidP="007B3372">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65AF25E2" w14:textId="77777777" w:rsidR="00746D3C" w:rsidRPr="00C929AE" w:rsidRDefault="00746D3C" w:rsidP="007B3372">
            <w:pPr>
              <w:rPr>
                <w:b/>
                <w:bCs/>
                <w:i/>
                <w:iCs/>
                <w:color w:val="000000"/>
                <w:sz w:val="20"/>
                <w:szCs w:val="20"/>
              </w:rPr>
            </w:pPr>
            <w:r w:rsidRPr="00C929AE">
              <w:rPr>
                <w:b/>
                <w:bCs/>
                <w:i/>
                <w:iCs/>
                <w:color w:val="000000"/>
                <w:sz w:val="20"/>
                <w:szCs w:val="20"/>
              </w:rPr>
              <w:t>C.</w:t>
            </w:r>
            <w:r>
              <w:rPr>
                <w:b/>
                <w:bCs/>
                <w:i/>
                <w:iCs/>
                <w:color w:val="000000"/>
                <w:sz w:val="20"/>
                <w:szCs w:val="20"/>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B4D3F6C" w14:textId="77777777" w:rsidR="00746D3C" w:rsidRPr="00CA2E26" w:rsidRDefault="00746D3C" w:rsidP="007B3372">
            <w:pPr>
              <w:jc w:val="center"/>
              <w:rPr>
                <w:b/>
                <w:bCs/>
                <w:color w:val="000000"/>
                <w:sz w:val="20"/>
                <w:szCs w:val="20"/>
              </w:rPr>
            </w:pPr>
            <w:r w:rsidRPr="00CA2E26">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D86D06D" w14:textId="77777777" w:rsidR="00746D3C" w:rsidRPr="00CA2E26" w:rsidRDefault="00746D3C" w:rsidP="007B3372">
            <w:pPr>
              <w:jc w:val="center"/>
              <w:rPr>
                <w:b/>
                <w:bCs/>
                <w:color w:val="000000"/>
                <w:sz w:val="20"/>
                <w:szCs w:val="20"/>
              </w:rPr>
            </w:pPr>
            <w:r w:rsidRPr="00CA2E26">
              <w:rPr>
                <w:b/>
                <w:bCs/>
                <w:color w:val="000000"/>
                <w:sz w:val="20"/>
                <w:szCs w:val="20"/>
              </w:rPr>
              <w:t>0</w:t>
            </w:r>
          </w:p>
        </w:tc>
      </w:tr>
      <w:tr w:rsidR="00746D3C" w:rsidRPr="00C929AE" w14:paraId="1EC58D1C" w14:textId="77777777" w:rsidTr="007B3372">
        <w:trPr>
          <w:gridAfter w:val="2"/>
          <w:wAfter w:w="583" w:type="dxa"/>
          <w:trHeight w:val="480"/>
        </w:trPr>
        <w:tc>
          <w:tcPr>
            <w:tcW w:w="146" w:type="dxa"/>
            <w:tcBorders>
              <w:top w:val="nil"/>
              <w:left w:val="nil"/>
              <w:bottom w:val="nil"/>
              <w:right w:val="nil"/>
            </w:tcBorders>
            <w:shd w:val="clear" w:color="auto" w:fill="auto"/>
            <w:noWrap/>
            <w:vAlign w:val="bottom"/>
            <w:hideMark/>
          </w:tcPr>
          <w:p w14:paraId="3EBC4D23" w14:textId="77777777" w:rsidR="00746D3C" w:rsidRPr="00C929AE" w:rsidRDefault="00746D3C" w:rsidP="007B3372">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8E81526" w14:textId="77777777" w:rsidR="00746D3C" w:rsidRPr="00C929AE" w:rsidRDefault="00746D3C" w:rsidP="007B3372">
            <w:pPr>
              <w:rPr>
                <w:b/>
                <w:bCs/>
                <w:i/>
                <w:iCs/>
                <w:color w:val="000000"/>
                <w:sz w:val="20"/>
                <w:szCs w:val="20"/>
              </w:rPr>
            </w:pPr>
            <w:r w:rsidRPr="00E961E8">
              <w:rPr>
                <w:b/>
                <w:bCs/>
                <w:i/>
                <w:iCs/>
                <w:color w:val="000000"/>
                <w:sz w:val="20"/>
                <w:szCs w:val="20"/>
              </w:rPr>
              <w:t xml:space="preserve">D. </w:t>
            </w:r>
            <w:r>
              <w:rPr>
                <w:b/>
                <w:bCs/>
                <w:i/>
                <w:iCs/>
                <w:color w:val="000000"/>
                <w:sz w:val="20"/>
                <w:szCs w:val="20"/>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A80400D" w14:textId="77777777" w:rsidR="00746D3C" w:rsidRPr="00CA2E26" w:rsidRDefault="00746D3C" w:rsidP="007B3372">
            <w:pPr>
              <w:jc w:val="center"/>
              <w:rPr>
                <w:b/>
                <w:bCs/>
                <w:color w:val="000000"/>
                <w:sz w:val="20"/>
                <w:szCs w:val="20"/>
              </w:rPr>
            </w:pPr>
            <w:r>
              <w:rPr>
                <w:b/>
                <w:bCs/>
                <w:color w:val="000000"/>
                <w:sz w:val="20"/>
                <w:szCs w:val="20"/>
              </w:rPr>
              <w:t>16 983 232</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526061F" w14:textId="77777777" w:rsidR="00746D3C" w:rsidRPr="00CA2E26" w:rsidRDefault="00746D3C" w:rsidP="007B3372">
            <w:pPr>
              <w:jc w:val="center"/>
              <w:rPr>
                <w:b/>
                <w:bCs/>
                <w:color w:val="000000"/>
                <w:sz w:val="20"/>
                <w:szCs w:val="20"/>
              </w:rPr>
            </w:pPr>
            <w:r>
              <w:rPr>
                <w:b/>
                <w:bCs/>
                <w:color w:val="000000"/>
                <w:sz w:val="20"/>
                <w:szCs w:val="20"/>
              </w:rPr>
              <w:t>44 724 368</w:t>
            </w:r>
          </w:p>
        </w:tc>
      </w:tr>
      <w:tr w:rsidR="00746D3C" w:rsidRPr="00C929AE" w14:paraId="0496B507" w14:textId="77777777" w:rsidTr="007B3372">
        <w:trPr>
          <w:gridAfter w:val="2"/>
          <w:wAfter w:w="583" w:type="dxa"/>
          <w:trHeight w:val="480"/>
        </w:trPr>
        <w:tc>
          <w:tcPr>
            <w:tcW w:w="146" w:type="dxa"/>
            <w:tcBorders>
              <w:top w:val="nil"/>
              <w:left w:val="nil"/>
              <w:bottom w:val="nil"/>
              <w:right w:val="nil"/>
            </w:tcBorders>
            <w:shd w:val="clear" w:color="auto" w:fill="auto"/>
            <w:noWrap/>
            <w:vAlign w:val="bottom"/>
          </w:tcPr>
          <w:p w14:paraId="1BC32758" w14:textId="77777777" w:rsidR="00746D3C" w:rsidRPr="00C929AE" w:rsidRDefault="00746D3C" w:rsidP="007B3372">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28C908FA" w14:textId="77777777" w:rsidR="00746D3C" w:rsidRPr="00C929AE" w:rsidRDefault="00746D3C" w:rsidP="007B3372">
            <w:pPr>
              <w:rPr>
                <w:b/>
                <w:bCs/>
                <w:i/>
                <w:iCs/>
                <w:color w:val="000000"/>
                <w:sz w:val="20"/>
                <w:szCs w:val="20"/>
              </w:rPr>
            </w:pPr>
            <w:r>
              <w:rPr>
                <w:b/>
                <w:bCs/>
                <w:i/>
                <w:iCs/>
                <w:color w:val="000000"/>
                <w:sz w:val="20"/>
                <w:szCs w:val="20"/>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436A2687" w14:textId="77777777" w:rsidR="00746D3C" w:rsidRPr="00CA2E26" w:rsidRDefault="00746D3C" w:rsidP="007B3372">
            <w:pPr>
              <w:jc w:val="center"/>
              <w:rPr>
                <w:b/>
                <w:bCs/>
                <w:color w:val="000000"/>
                <w:sz w:val="20"/>
                <w:szCs w:val="20"/>
              </w:rPr>
            </w:pPr>
            <w:r>
              <w:rPr>
                <w:b/>
                <w:bCs/>
                <w:color w:val="000000"/>
                <w:sz w:val="20"/>
                <w:szCs w:val="20"/>
              </w:rPr>
              <w:t>18 642 143</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5A54DC5D" w14:textId="77777777" w:rsidR="00746D3C" w:rsidRPr="00CA2E26" w:rsidRDefault="00746D3C" w:rsidP="007B3372">
            <w:pPr>
              <w:jc w:val="center"/>
              <w:rPr>
                <w:b/>
                <w:bCs/>
                <w:color w:val="000000"/>
                <w:sz w:val="20"/>
                <w:szCs w:val="20"/>
              </w:rPr>
            </w:pPr>
            <w:r w:rsidRPr="00CA2E26">
              <w:rPr>
                <w:b/>
                <w:bCs/>
                <w:color w:val="000000"/>
                <w:sz w:val="20"/>
                <w:szCs w:val="20"/>
              </w:rPr>
              <w:t>10 712 524</w:t>
            </w:r>
          </w:p>
        </w:tc>
      </w:tr>
      <w:tr w:rsidR="00746D3C" w:rsidRPr="00C929AE" w14:paraId="19D182E1" w14:textId="77777777" w:rsidTr="007B3372">
        <w:trPr>
          <w:gridAfter w:val="2"/>
          <w:wAfter w:w="583" w:type="dxa"/>
          <w:trHeight w:val="600"/>
        </w:trPr>
        <w:tc>
          <w:tcPr>
            <w:tcW w:w="146" w:type="dxa"/>
            <w:tcBorders>
              <w:top w:val="nil"/>
              <w:left w:val="nil"/>
              <w:bottom w:val="nil"/>
              <w:right w:val="nil"/>
            </w:tcBorders>
            <w:shd w:val="clear" w:color="auto" w:fill="auto"/>
            <w:noWrap/>
            <w:vAlign w:val="bottom"/>
            <w:hideMark/>
          </w:tcPr>
          <w:p w14:paraId="24AB8DD5" w14:textId="77777777" w:rsidR="00746D3C" w:rsidRPr="00C929AE" w:rsidRDefault="00746D3C" w:rsidP="007B3372">
            <w:pPr>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46CF85F" w14:textId="77777777" w:rsidR="00746D3C" w:rsidRPr="00C929AE" w:rsidRDefault="00746D3C" w:rsidP="007B3372">
            <w:pPr>
              <w:rPr>
                <w:b/>
                <w:bCs/>
                <w:i/>
                <w:iCs/>
                <w:color w:val="000000"/>
                <w:sz w:val="20"/>
                <w:szCs w:val="20"/>
              </w:rPr>
            </w:pPr>
            <w:r w:rsidRPr="00C929AE">
              <w:rPr>
                <w:b/>
                <w:bCs/>
                <w:i/>
                <w:iCs/>
                <w:color w:val="000000"/>
                <w:sz w:val="20"/>
                <w:szCs w:val="20"/>
              </w:rPr>
              <w:t>Spolu = A+B+C+D</w:t>
            </w:r>
            <w:r w:rsidRPr="00E961E8">
              <w:rPr>
                <w:b/>
                <w:bCs/>
                <w:i/>
                <w:iCs/>
                <w:color w:val="000000"/>
                <w:sz w:val="20"/>
                <w:szCs w:val="20"/>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4381461A" w14:textId="77777777" w:rsidR="00746D3C" w:rsidRPr="00CA2E26" w:rsidRDefault="00746D3C" w:rsidP="007B3372">
            <w:pPr>
              <w:jc w:val="center"/>
              <w:rPr>
                <w:b/>
                <w:bCs/>
                <w:color w:val="000000"/>
                <w:sz w:val="20"/>
                <w:szCs w:val="20"/>
              </w:rPr>
            </w:pPr>
            <w:r>
              <w:rPr>
                <w:b/>
                <w:bCs/>
                <w:color w:val="000000"/>
                <w:sz w:val="20"/>
                <w:szCs w:val="20"/>
              </w:rPr>
              <w:t>35 625 375</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516B3B5F" w14:textId="77777777" w:rsidR="00746D3C" w:rsidRPr="00CA2E26" w:rsidRDefault="00746D3C" w:rsidP="007B3372">
            <w:pPr>
              <w:jc w:val="center"/>
              <w:rPr>
                <w:b/>
                <w:bCs/>
                <w:color w:val="000000"/>
                <w:sz w:val="20"/>
                <w:szCs w:val="20"/>
              </w:rPr>
            </w:pPr>
            <w:r>
              <w:rPr>
                <w:b/>
                <w:bCs/>
                <w:color w:val="000000"/>
                <w:sz w:val="20"/>
                <w:szCs w:val="20"/>
              </w:rPr>
              <w:t>55 436 892</w:t>
            </w:r>
          </w:p>
        </w:tc>
      </w:tr>
      <w:tr w:rsidR="00746D3C" w:rsidRPr="00C929AE" w14:paraId="0A447933" w14:textId="77777777" w:rsidTr="007B3372">
        <w:trPr>
          <w:trHeight w:val="270"/>
        </w:trPr>
        <w:tc>
          <w:tcPr>
            <w:tcW w:w="146" w:type="dxa"/>
            <w:tcBorders>
              <w:top w:val="nil"/>
              <w:left w:val="nil"/>
              <w:bottom w:val="nil"/>
              <w:right w:val="nil"/>
            </w:tcBorders>
            <w:shd w:val="clear" w:color="auto" w:fill="auto"/>
            <w:noWrap/>
            <w:vAlign w:val="bottom"/>
            <w:hideMark/>
          </w:tcPr>
          <w:p w14:paraId="1596C3A3" w14:textId="77777777" w:rsidR="00746D3C" w:rsidRPr="00C929AE" w:rsidRDefault="00746D3C" w:rsidP="007B3372">
            <w:pPr>
              <w:rPr>
                <w:color w:val="000000"/>
                <w:sz w:val="20"/>
                <w:szCs w:val="20"/>
              </w:rPr>
            </w:pPr>
          </w:p>
        </w:tc>
        <w:tc>
          <w:tcPr>
            <w:tcW w:w="3540" w:type="dxa"/>
            <w:tcBorders>
              <w:top w:val="nil"/>
              <w:left w:val="nil"/>
              <w:bottom w:val="nil"/>
              <w:right w:val="nil"/>
            </w:tcBorders>
            <w:shd w:val="clear" w:color="auto" w:fill="auto"/>
            <w:noWrap/>
            <w:vAlign w:val="bottom"/>
            <w:hideMark/>
          </w:tcPr>
          <w:p w14:paraId="53DC0C25" w14:textId="77777777" w:rsidR="00746D3C" w:rsidRPr="00C929AE" w:rsidRDefault="00746D3C" w:rsidP="007B3372">
            <w:pPr>
              <w:rPr>
                <w:color w:val="000000"/>
                <w:sz w:val="20"/>
                <w:szCs w:val="20"/>
              </w:rPr>
            </w:pPr>
          </w:p>
        </w:tc>
        <w:tc>
          <w:tcPr>
            <w:tcW w:w="2792" w:type="dxa"/>
            <w:gridSpan w:val="2"/>
            <w:tcBorders>
              <w:top w:val="nil"/>
              <w:left w:val="nil"/>
              <w:bottom w:val="nil"/>
              <w:right w:val="nil"/>
            </w:tcBorders>
            <w:shd w:val="clear" w:color="auto" w:fill="auto"/>
            <w:vAlign w:val="center"/>
            <w:hideMark/>
          </w:tcPr>
          <w:p w14:paraId="3BCACFAB" w14:textId="77777777" w:rsidR="00746D3C" w:rsidRPr="00C929AE" w:rsidRDefault="00746D3C" w:rsidP="007B3372">
            <w:pPr>
              <w:rPr>
                <w:i/>
                <w:iCs/>
                <w:color w:val="000000"/>
                <w:sz w:val="20"/>
                <w:szCs w:val="20"/>
              </w:rPr>
            </w:pPr>
          </w:p>
        </w:tc>
        <w:tc>
          <w:tcPr>
            <w:tcW w:w="160" w:type="dxa"/>
            <w:tcBorders>
              <w:top w:val="nil"/>
              <w:left w:val="nil"/>
              <w:bottom w:val="nil"/>
              <w:right w:val="nil"/>
            </w:tcBorders>
            <w:shd w:val="clear" w:color="auto" w:fill="auto"/>
            <w:vAlign w:val="center"/>
            <w:hideMark/>
          </w:tcPr>
          <w:p w14:paraId="6E8D9FFF" w14:textId="77777777" w:rsidR="00746D3C" w:rsidRPr="00C929AE" w:rsidRDefault="00746D3C" w:rsidP="007B3372">
            <w:pPr>
              <w:rPr>
                <w:i/>
                <w:iCs/>
                <w:color w:val="000000"/>
                <w:sz w:val="20"/>
                <w:szCs w:val="20"/>
              </w:rPr>
            </w:pPr>
          </w:p>
        </w:tc>
        <w:tc>
          <w:tcPr>
            <w:tcW w:w="2716" w:type="dxa"/>
            <w:gridSpan w:val="2"/>
            <w:tcBorders>
              <w:top w:val="nil"/>
              <w:left w:val="nil"/>
              <w:bottom w:val="nil"/>
              <w:right w:val="nil"/>
            </w:tcBorders>
            <w:shd w:val="clear" w:color="auto" w:fill="auto"/>
            <w:vAlign w:val="center"/>
            <w:hideMark/>
          </w:tcPr>
          <w:p w14:paraId="4A3FE16A" w14:textId="77777777" w:rsidR="00746D3C" w:rsidRPr="00C929AE" w:rsidRDefault="00746D3C" w:rsidP="007B3372">
            <w:pPr>
              <w:rPr>
                <w:i/>
                <w:iCs/>
                <w:color w:val="000000"/>
                <w:sz w:val="20"/>
                <w:szCs w:val="20"/>
              </w:rPr>
            </w:pPr>
          </w:p>
        </w:tc>
        <w:tc>
          <w:tcPr>
            <w:tcW w:w="160" w:type="dxa"/>
            <w:tcBorders>
              <w:top w:val="nil"/>
              <w:left w:val="nil"/>
              <w:bottom w:val="nil"/>
              <w:right w:val="nil"/>
            </w:tcBorders>
            <w:shd w:val="clear" w:color="auto" w:fill="auto"/>
            <w:vAlign w:val="center"/>
            <w:hideMark/>
          </w:tcPr>
          <w:p w14:paraId="0FB76904" w14:textId="77777777" w:rsidR="00746D3C" w:rsidRPr="00C929AE" w:rsidRDefault="00746D3C" w:rsidP="007B3372">
            <w:pPr>
              <w:rPr>
                <w:i/>
                <w:iCs/>
                <w:color w:val="000000"/>
                <w:sz w:val="20"/>
                <w:szCs w:val="20"/>
              </w:rPr>
            </w:pPr>
          </w:p>
        </w:tc>
      </w:tr>
      <w:tr w:rsidR="00746D3C" w:rsidRPr="00C929AE" w14:paraId="4B74640C" w14:textId="77777777" w:rsidTr="007B3372">
        <w:trPr>
          <w:gridAfter w:val="2"/>
          <w:wAfter w:w="583" w:type="dxa"/>
          <w:trHeight w:val="412"/>
        </w:trPr>
        <w:tc>
          <w:tcPr>
            <w:tcW w:w="146" w:type="dxa"/>
            <w:tcBorders>
              <w:top w:val="nil"/>
              <w:left w:val="nil"/>
              <w:bottom w:val="nil"/>
              <w:right w:val="nil"/>
            </w:tcBorders>
            <w:shd w:val="clear" w:color="auto" w:fill="auto"/>
            <w:noWrap/>
            <w:vAlign w:val="bottom"/>
            <w:hideMark/>
          </w:tcPr>
          <w:p w14:paraId="7FEA5C96" w14:textId="77777777" w:rsidR="00746D3C" w:rsidRPr="00C929AE" w:rsidRDefault="00746D3C" w:rsidP="007B3372">
            <w:pPr>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CEED622" w14:textId="77777777" w:rsidR="00746D3C" w:rsidRPr="00C929AE" w:rsidRDefault="00746D3C" w:rsidP="007B3372">
            <w:pPr>
              <w:rPr>
                <w:i/>
                <w:iCs/>
                <w:color w:val="000000"/>
              </w:rPr>
            </w:pPr>
            <w:r w:rsidRPr="00C929AE">
              <w:rPr>
                <w:i/>
                <w:iCs/>
                <w:color w:val="000000"/>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5199C911" w14:textId="77777777" w:rsidR="00746D3C" w:rsidRPr="00C929AE" w:rsidRDefault="00746D3C" w:rsidP="007B3372">
            <w:pPr>
              <w:jc w:val="center"/>
              <w:rPr>
                <w:b/>
                <w:bCs/>
                <w:color w:val="000000"/>
                <w:sz w:val="20"/>
                <w:szCs w:val="20"/>
              </w:rPr>
            </w:pPr>
            <w:r w:rsidRPr="00C929AE">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13C36E8A" w14:textId="77777777" w:rsidR="00746D3C" w:rsidRPr="00C929AE" w:rsidRDefault="00746D3C" w:rsidP="007B3372">
            <w:pPr>
              <w:jc w:val="center"/>
              <w:rPr>
                <w:b/>
                <w:bCs/>
                <w:color w:val="000000"/>
                <w:sz w:val="20"/>
                <w:szCs w:val="20"/>
              </w:rPr>
            </w:pPr>
            <w:r w:rsidRPr="00C929AE">
              <w:rPr>
                <w:b/>
                <w:bCs/>
                <w:color w:val="000000"/>
                <w:sz w:val="20"/>
                <w:szCs w:val="20"/>
              </w:rPr>
              <w:t>Zníženie nákladov v € na PP</w:t>
            </w:r>
          </w:p>
        </w:tc>
      </w:tr>
      <w:tr w:rsidR="00746D3C" w:rsidRPr="00C929AE" w14:paraId="42BF02E5" w14:textId="77777777" w:rsidTr="007B3372">
        <w:trPr>
          <w:gridAfter w:val="2"/>
          <w:wAfter w:w="583" w:type="dxa"/>
          <w:trHeight w:val="840"/>
        </w:trPr>
        <w:tc>
          <w:tcPr>
            <w:tcW w:w="146" w:type="dxa"/>
            <w:tcBorders>
              <w:top w:val="nil"/>
              <w:left w:val="nil"/>
              <w:bottom w:val="nil"/>
              <w:right w:val="nil"/>
            </w:tcBorders>
            <w:shd w:val="clear" w:color="auto" w:fill="auto"/>
            <w:noWrap/>
            <w:vAlign w:val="bottom"/>
            <w:hideMark/>
          </w:tcPr>
          <w:p w14:paraId="4B2EF7E0" w14:textId="77777777" w:rsidR="00746D3C" w:rsidRPr="00C929AE" w:rsidRDefault="00746D3C" w:rsidP="007B3372">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63E82C35" w14:textId="77777777" w:rsidR="00746D3C" w:rsidRPr="00C929AE" w:rsidRDefault="00746D3C" w:rsidP="007B3372">
            <w:pPr>
              <w:rPr>
                <w:b/>
                <w:bCs/>
                <w:i/>
                <w:iCs/>
                <w:color w:val="000000"/>
                <w:sz w:val="20"/>
                <w:szCs w:val="20"/>
              </w:rPr>
            </w:pPr>
            <w:r>
              <w:rPr>
                <w:b/>
                <w:bCs/>
                <w:i/>
                <w:iCs/>
                <w:color w:val="000000"/>
                <w:sz w:val="20"/>
                <w:szCs w:val="20"/>
              </w:rPr>
              <w:t>F</w:t>
            </w:r>
            <w:r w:rsidRPr="00C929AE">
              <w:rPr>
                <w:b/>
                <w:bCs/>
                <w:i/>
                <w:iCs/>
                <w:color w:val="000000"/>
                <w:sz w:val="20"/>
                <w:szCs w:val="20"/>
              </w:rPr>
              <w:t>. Úplná harmonizácia práva EÚ</w:t>
            </w:r>
            <w:r w:rsidRPr="00C929AE">
              <w:rPr>
                <w:b/>
                <w:bCs/>
                <w:i/>
                <w:iCs/>
                <w:color w:val="000000"/>
                <w:sz w:val="20"/>
                <w:szCs w:val="20"/>
              </w:rPr>
              <w:br/>
            </w:r>
            <w:r w:rsidRPr="00C929AE">
              <w:rPr>
                <w:i/>
                <w:iCs/>
                <w:color w:val="000000"/>
                <w:sz w:val="16"/>
                <w:szCs w:val="16"/>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CF4D34E" w14:textId="77777777" w:rsidR="00746D3C" w:rsidRPr="00CA2E26" w:rsidRDefault="00746D3C" w:rsidP="007B3372">
            <w:pPr>
              <w:jc w:val="center"/>
              <w:rPr>
                <w:b/>
                <w:bCs/>
                <w:color w:val="000000"/>
                <w:sz w:val="20"/>
                <w:szCs w:val="20"/>
              </w:rPr>
            </w:pPr>
            <w:r>
              <w:rPr>
                <w:b/>
                <w:bCs/>
                <w:color w:val="000000"/>
                <w:sz w:val="20"/>
                <w:szCs w:val="20"/>
              </w:rPr>
              <w:t>18 642 143</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375B4050" w14:textId="77777777" w:rsidR="00746D3C" w:rsidRPr="00CA2E26" w:rsidRDefault="00746D3C" w:rsidP="007B3372">
            <w:pPr>
              <w:jc w:val="center"/>
              <w:rPr>
                <w:b/>
                <w:bCs/>
                <w:color w:val="000000"/>
                <w:sz w:val="20"/>
                <w:szCs w:val="20"/>
              </w:rPr>
            </w:pPr>
            <w:r>
              <w:rPr>
                <w:b/>
                <w:bCs/>
                <w:color w:val="000000"/>
                <w:sz w:val="20"/>
                <w:szCs w:val="20"/>
              </w:rPr>
              <w:t>15 147 586</w:t>
            </w:r>
          </w:p>
        </w:tc>
      </w:tr>
      <w:tr w:rsidR="00746D3C" w:rsidRPr="00C929AE" w14:paraId="327004D7" w14:textId="77777777" w:rsidTr="007B3372">
        <w:trPr>
          <w:gridAfter w:val="2"/>
          <w:wAfter w:w="583" w:type="dxa"/>
          <w:trHeight w:val="486"/>
        </w:trPr>
        <w:tc>
          <w:tcPr>
            <w:tcW w:w="146" w:type="dxa"/>
            <w:tcBorders>
              <w:top w:val="nil"/>
              <w:left w:val="nil"/>
              <w:bottom w:val="nil"/>
              <w:right w:val="nil"/>
            </w:tcBorders>
            <w:shd w:val="clear" w:color="auto" w:fill="auto"/>
            <w:noWrap/>
            <w:vAlign w:val="bottom"/>
            <w:hideMark/>
          </w:tcPr>
          <w:p w14:paraId="34DEF01F" w14:textId="77777777" w:rsidR="00746D3C" w:rsidRPr="00C929AE" w:rsidRDefault="00746D3C" w:rsidP="007B3372">
            <w:pPr>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7AEA270" w14:textId="77777777" w:rsidR="00746D3C" w:rsidRPr="00C929AE" w:rsidRDefault="00746D3C" w:rsidP="007B3372">
            <w:pPr>
              <w:rPr>
                <w:b/>
                <w:bCs/>
                <w:i/>
                <w:iCs/>
                <w:color w:val="000000"/>
                <w:sz w:val="20"/>
                <w:szCs w:val="20"/>
              </w:rPr>
            </w:pPr>
            <w:r>
              <w:rPr>
                <w:b/>
                <w:bCs/>
                <w:i/>
                <w:iCs/>
                <w:color w:val="000000"/>
                <w:sz w:val="20"/>
                <w:szCs w:val="20"/>
              </w:rPr>
              <w:t>G</w:t>
            </w:r>
            <w:r w:rsidRPr="00C929AE">
              <w:rPr>
                <w:b/>
                <w:bCs/>
                <w:i/>
                <w:iCs/>
                <w:color w:val="000000"/>
                <w:sz w:val="20"/>
                <w:szCs w:val="20"/>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319A7FF9" w14:textId="77777777" w:rsidR="00746D3C" w:rsidRPr="00CA2E26" w:rsidRDefault="00746D3C" w:rsidP="007B3372">
            <w:pPr>
              <w:jc w:val="center"/>
              <w:rPr>
                <w:b/>
                <w:bCs/>
                <w:color w:val="000000"/>
                <w:sz w:val="20"/>
                <w:szCs w:val="20"/>
              </w:rPr>
            </w:pPr>
            <w:r>
              <w:rPr>
                <w:b/>
                <w:bCs/>
                <w:color w:val="000000"/>
                <w:sz w:val="20"/>
                <w:szCs w:val="20"/>
              </w:rPr>
              <w:t>16 983 232</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0F2C52C5" w14:textId="77777777" w:rsidR="00746D3C" w:rsidRPr="00CA2E26" w:rsidRDefault="00746D3C" w:rsidP="007B3372">
            <w:pPr>
              <w:jc w:val="center"/>
              <w:rPr>
                <w:b/>
                <w:bCs/>
                <w:color w:val="000000"/>
                <w:sz w:val="20"/>
                <w:szCs w:val="20"/>
              </w:rPr>
            </w:pPr>
            <w:r>
              <w:rPr>
                <w:b/>
                <w:bCs/>
                <w:color w:val="000000"/>
                <w:sz w:val="20"/>
                <w:szCs w:val="20"/>
              </w:rPr>
              <w:t>40 289 307</w:t>
            </w:r>
          </w:p>
        </w:tc>
      </w:tr>
      <w:tr w:rsidR="00746D3C" w:rsidRPr="00C929AE" w14:paraId="600EC847" w14:textId="77777777" w:rsidTr="007B3372">
        <w:trPr>
          <w:trHeight w:val="360"/>
        </w:trPr>
        <w:tc>
          <w:tcPr>
            <w:tcW w:w="146" w:type="dxa"/>
            <w:tcBorders>
              <w:top w:val="nil"/>
              <w:left w:val="nil"/>
              <w:bottom w:val="nil"/>
              <w:right w:val="nil"/>
            </w:tcBorders>
            <w:shd w:val="clear" w:color="auto" w:fill="auto"/>
            <w:noWrap/>
            <w:vAlign w:val="bottom"/>
            <w:hideMark/>
          </w:tcPr>
          <w:p w14:paraId="0E768B91" w14:textId="77777777" w:rsidR="00746D3C" w:rsidRPr="00C929AE" w:rsidRDefault="00746D3C" w:rsidP="007B3372">
            <w:pPr>
              <w:rPr>
                <w:color w:val="000000"/>
                <w:sz w:val="20"/>
                <w:szCs w:val="20"/>
              </w:rPr>
            </w:pPr>
          </w:p>
        </w:tc>
        <w:tc>
          <w:tcPr>
            <w:tcW w:w="3540" w:type="dxa"/>
            <w:tcBorders>
              <w:top w:val="nil"/>
              <w:left w:val="nil"/>
              <w:bottom w:val="nil"/>
              <w:right w:val="nil"/>
            </w:tcBorders>
            <w:shd w:val="clear" w:color="auto" w:fill="auto"/>
            <w:noWrap/>
            <w:vAlign w:val="bottom"/>
            <w:hideMark/>
          </w:tcPr>
          <w:p w14:paraId="74D4FCE2" w14:textId="77777777" w:rsidR="00746D3C" w:rsidRPr="00C929AE" w:rsidRDefault="00746D3C" w:rsidP="007B3372">
            <w:pPr>
              <w:rPr>
                <w:color w:val="000000"/>
                <w:sz w:val="20"/>
                <w:szCs w:val="20"/>
              </w:rPr>
            </w:pPr>
          </w:p>
        </w:tc>
        <w:tc>
          <w:tcPr>
            <w:tcW w:w="2792" w:type="dxa"/>
            <w:gridSpan w:val="2"/>
            <w:tcBorders>
              <w:top w:val="nil"/>
              <w:left w:val="nil"/>
              <w:bottom w:val="nil"/>
              <w:right w:val="nil"/>
            </w:tcBorders>
            <w:shd w:val="clear" w:color="auto" w:fill="auto"/>
            <w:vAlign w:val="center"/>
            <w:hideMark/>
          </w:tcPr>
          <w:p w14:paraId="29F667AF" w14:textId="77777777" w:rsidR="00746D3C" w:rsidRPr="00C929AE" w:rsidRDefault="00746D3C" w:rsidP="007B3372">
            <w:pPr>
              <w:rPr>
                <w:i/>
                <w:iCs/>
                <w:color w:val="000000"/>
                <w:sz w:val="20"/>
                <w:szCs w:val="20"/>
              </w:rPr>
            </w:pPr>
          </w:p>
        </w:tc>
        <w:tc>
          <w:tcPr>
            <w:tcW w:w="160" w:type="dxa"/>
            <w:tcBorders>
              <w:top w:val="nil"/>
              <w:left w:val="nil"/>
              <w:bottom w:val="nil"/>
              <w:right w:val="nil"/>
            </w:tcBorders>
            <w:shd w:val="clear" w:color="auto" w:fill="auto"/>
            <w:vAlign w:val="center"/>
            <w:hideMark/>
          </w:tcPr>
          <w:p w14:paraId="6CF46888" w14:textId="77777777" w:rsidR="00746D3C" w:rsidRPr="00C929AE" w:rsidRDefault="00746D3C" w:rsidP="007B3372">
            <w:pPr>
              <w:rPr>
                <w:i/>
                <w:iCs/>
                <w:color w:val="000000"/>
                <w:sz w:val="20"/>
                <w:szCs w:val="20"/>
              </w:rPr>
            </w:pPr>
          </w:p>
        </w:tc>
        <w:tc>
          <w:tcPr>
            <w:tcW w:w="2716" w:type="dxa"/>
            <w:gridSpan w:val="2"/>
            <w:tcBorders>
              <w:top w:val="nil"/>
              <w:left w:val="nil"/>
              <w:bottom w:val="nil"/>
              <w:right w:val="nil"/>
            </w:tcBorders>
            <w:shd w:val="clear" w:color="auto" w:fill="auto"/>
            <w:vAlign w:val="center"/>
            <w:hideMark/>
          </w:tcPr>
          <w:p w14:paraId="775B1FF1" w14:textId="77777777" w:rsidR="00746D3C" w:rsidRPr="00C929AE" w:rsidRDefault="00746D3C" w:rsidP="007B3372">
            <w:pPr>
              <w:rPr>
                <w:i/>
                <w:iCs/>
                <w:color w:val="000000"/>
                <w:sz w:val="20"/>
                <w:szCs w:val="20"/>
              </w:rPr>
            </w:pPr>
          </w:p>
        </w:tc>
        <w:tc>
          <w:tcPr>
            <w:tcW w:w="160" w:type="dxa"/>
            <w:tcBorders>
              <w:top w:val="nil"/>
              <w:left w:val="nil"/>
              <w:bottom w:val="nil"/>
              <w:right w:val="nil"/>
            </w:tcBorders>
            <w:shd w:val="clear" w:color="auto" w:fill="auto"/>
            <w:vAlign w:val="center"/>
            <w:hideMark/>
          </w:tcPr>
          <w:p w14:paraId="7DE5482C" w14:textId="77777777" w:rsidR="00746D3C" w:rsidRPr="00C929AE" w:rsidRDefault="00746D3C" w:rsidP="007B3372">
            <w:pPr>
              <w:rPr>
                <w:i/>
                <w:iCs/>
                <w:color w:val="000000"/>
                <w:sz w:val="20"/>
                <w:szCs w:val="20"/>
              </w:rPr>
            </w:pPr>
          </w:p>
        </w:tc>
      </w:tr>
      <w:tr w:rsidR="00746D3C" w:rsidRPr="00C929AE" w14:paraId="028F1295" w14:textId="77777777" w:rsidTr="007B3372">
        <w:trPr>
          <w:gridAfter w:val="2"/>
          <w:wAfter w:w="583" w:type="dxa"/>
          <w:trHeight w:val="390"/>
        </w:trPr>
        <w:tc>
          <w:tcPr>
            <w:tcW w:w="146" w:type="dxa"/>
            <w:tcBorders>
              <w:top w:val="nil"/>
              <w:left w:val="nil"/>
              <w:bottom w:val="nil"/>
              <w:right w:val="nil"/>
            </w:tcBorders>
            <w:shd w:val="clear" w:color="auto" w:fill="auto"/>
            <w:noWrap/>
            <w:vAlign w:val="bottom"/>
            <w:hideMark/>
          </w:tcPr>
          <w:p w14:paraId="32263538" w14:textId="77777777" w:rsidR="00746D3C" w:rsidRPr="00C929AE" w:rsidRDefault="00746D3C" w:rsidP="007B3372">
            <w:pPr>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ED46E9F" w14:textId="77777777" w:rsidR="00746D3C" w:rsidRPr="00C929AE" w:rsidRDefault="00746D3C" w:rsidP="007B3372">
            <w:pPr>
              <w:rPr>
                <w:i/>
                <w:iCs/>
                <w:color w:val="000000"/>
                <w:sz w:val="20"/>
                <w:szCs w:val="20"/>
              </w:rPr>
            </w:pPr>
            <w:r w:rsidRPr="00C929AE">
              <w:rPr>
                <w:i/>
                <w:iCs/>
                <w:color w:val="000000"/>
                <w:sz w:val="20"/>
                <w:szCs w:val="20"/>
              </w:rPr>
              <w:t>VÝPOČET PRAVIDLA 1in</w:t>
            </w:r>
            <w:r>
              <w:rPr>
                <w:i/>
                <w:iCs/>
                <w:color w:val="000000"/>
                <w:sz w:val="20"/>
                <w:szCs w:val="20"/>
              </w:rPr>
              <w:t xml:space="preserve"> </w:t>
            </w:r>
            <w:r w:rsidRPr="00C929AE">
              <w:rPr>
                <w:i/>
                <w:iCs/>
                <w:color w:val="000000"/>
                <w:sz w:val="20"/>
                <w:szCs w:val="20"/>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36A4BC54" w14:textId="77777777" w:rsidR="00746D3C" w:rsidRPr="00C929AE" w:rsidRDefault="00746D3C" w:rsidP="007B3372">
            <w:pPr>
              <w:jc w:val="center"/>
              <w:rPr>
                <w:color w:val="000000"/>
                <w:sz w:val="20"/>
                <w:szCs w:val="20"/>
              </w:rPr>
            </w:pPr>
            <w:r w:rsidRPr="00C929AE">
              <w:rPr>
                <w:color w:val="000000"/>
                <w:sz w:val="20"/>
                <w:szCs w:val="20"/>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8D9B203" w14:textId="77777777" w:rsidR="00746D3C" w:rsidRPr="00C929AE" w:rsidRDefault="00746D3C" w:rsidP="007B3372">
            <w:pPr>
              <w:jc w:val="center"/>
              <w:rPr>
                <w:color w:val="000000"/>
                <w:sz w:val="20"/>
                <w:szCs w:val="20"/>
              </w:rPr>
            </w:pPr>
            <w:r w:rsidRPr="00C929AE">
              <w:rPr>
                <w:color w:val="000000"/>
                <w:sz w:val="20"/>
                <w:szCs w:val="20"/>
              </w:rPr>
              <w:t>OUT</w:t>
            </w:r>
          </w:p>
        </w:tc>
      </w:tr>
      <w:tr w:rsidR="00746D3C" w:rsidRPr="00C929AE" w14:paraId="16A8C442" w14:textId="77777777" w:rsidTr="007B3372">
        <w:trPr>
          <w:gridAfter w:val="2"/>
          <w:wAfter w:w="583" w:type="dxa"/>
          <w:trHeight w:val="390"/>
        </w:trPr>
        <w:tc>
          <w:tcPr>
            <w:tcW w:w="146" w:type="dxa"/>
            <w:tcBorders>
              <w:top w:val="nil"/>
              <w:left w:val="nil"/>
              <w:bottom w:val="nil"/>
              <w:right w:val="nil"/>
            </w:tcBorders>
            <w:shd w:val="clear" w:color="auto" w:fill="auto"/>
            <w:noWrap/>
            <w:vAlign w:val="bottom"/>
            <w:hideMark/>
          </w:tcPr>
          <w:p w14:paraId="45C88A69" w14:textId="77777777" w:rsidR="00746D3C" w:rsidRPr="00C929AE" w:rsidRDefault="00746D3C" w:rsidP="007B3372">
            <w:pPr>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3972C566" w14:textId="77777777" w:rsidR="00746D3C" w:rsidRPr="00751DA9" w:rsidRDefault="00746D3C" w:rsidP="007B3372">
            <w:pPr>
              <w:rPr>
                <w:i/>
                <w:iCs/>
                <w:color w:val="000000"/>
                <w:sz w:val="20"/>
                <w:szCs w:val="20"/>
              </w:rPr>
            </w:pPr>
            <w:r w:rsidRPr="00751DA9">
              <w:rPr>
                <w:b/>
                <w:i/>
                <w:iCs/>
                <w:color w:val="000000"/>
                <w:sz w:val="20"/>
                <w:szCs w:val="20"/>
              </w:rPr>
              <w:t>H.</w:t>
            </w:r>
            <w:r>
              <w:rPr>
                <w:i/>
                <w:iCs/>
                <w:color w:val="000000"/>
                <w:sz w:val="20"/>
                <w:szCs w:val="20"/>
              </w:rPr>
              <w:t xml:space="preserve"> Náklady okrem výnimiek = B+D</w:t>
            </w:r>
            <w:r w:rsidRPr="00751DA9">
              <w:rPr>
                <w:i/>
                <w:iCs/>
                <w:color w:val="000000"/>
                <w:sz w:val="20"/>
                <w:szCs w:val="20"/>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030BB014" w14:textId="77777777" w:rsidR="00746D3C" w:rsidRPr="00CA2E26" w:rsidRDefault="00746D3C" w:rsidP="007B3372">
            <w:pPr>
              <w:jc w:val="center"/>
              <w:rPr>
                <w:b/>
                <w:bCs/>
                <w:color w:val="000000"/>
                <w:sz w:val="20"/>
                <w:szCs w:val="20"/>
              </w:rPr>
            </w:pPr>
            <w:r>
              <w:rPr>
                <w:b/>
                <w:bCs/>
                <w:color w:val="000000"/>
                <w:sz w:val="20"/>
                <w:szCs w:val="20"/>
              </w:rPr>
              <w:t>16 983 232</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726E9075" w14:textId="77777777" w:rsidR="00746D3C" w:rsidRPr="00CA2E26" w:rsidRDefault="00746D3C" w:rsidP="007B3372">
            <w:pPr>
              <w:jc w:val="center"/>
              <w:rPr>
                <w:b/>
                <w:bCs/>
                <w:color w:val="000000"/>
                <w:sz w:val="20"/>
                <w:szCs w:val="20"/>
              </w:rPr>
            </w:pPr>
            <w:r>
              <w:rPr>
                <w:b/>
                <w:bCs/>
                <w:color w:val="000000"/>
                <w:sz w:val="20"/>
                <w:szCs w:val="20"/>
              </w:rPr>
              <w:t>40 289 307</w:t>
            </w:r>
          </w:p>
        </w:tc>
      </w:tr>
    </w:tbl>
    <w:p w14:paraId="637DC3CF" w14:textId="77777777" w:rsidR="00746D3C" w:rsidRPr="00895898" w:rsidRDefault="00746D3C" w:rsidP="00746D3C">
      <w:pPr>
        <w:rPr>
          <w:rFonts w:eastAsia="Calibri"/>
          <w:b/>
        </w:rPr>
        <w:sectPr w:rsidR="00746D3C" w:rsidRPr="00895898" w:rsidSect="00CC2FE3">
          <w:headerReference w:type="default" r:id="rId16"/>
          <w:footerReference w:type="default" r:id="rId17"/>
          <w:pgSz w:w="11906" w:h="16838"/>
          <w:pgMar w:top="993" w:right="1417" w:bottom="1417" w:left="1417" w:header="708" w:footer="708" w:gutter="0"/>
          <w:cols w:space="708"/>
          <w:docGrid w:linePitch="360"/>
        </w:sectPr>
      </w:pPr>
    </w:p>
    <w:p w14:paraId="6ACDC000" w14:textId="77777777" w:rsidR="00746D3C" w:rsidRPr="001F1B43" w:rsidRDefault="00746D3C" w:rsidP="00746D3C">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14:paraId="724BBE1A" w14:textId="77777777" w:rsidR="00746D3C" w:rsidRDefault="00746D3C" w:rsidP="00746D3C">
      <w:pPr>
        <w:jc w:val="both"/>
        <w:rPr>
          <w:rFonts w:eastAsia="Calibri"/>
          <w:i/>
        </w:rPr>
      </w:pPr>
      <w:r w:rsidRPr="00D8247C">
        <w:rPr>
          <w:rFonts w:eastAsia="Calibri"/>
          <w:i/>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746D3C" w:rsidRPr="000A6B7F" w14:paraId="20C93FC2" w14:textId="77777777" w:rsidTr="007B3372">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5EC8E042" w14:textId="77777777" w:rsidR="00746D3C" w:rsidRPr="000A6B7F" w:rsidRDefault="00746D3C" w:rsidP="007B3372">
            <w:pPr>
              <w:jc w:val="center"/>
              <w:rPr>
                <w:b/>
                <w:bCs/>
                <w:color w:val="000000"/>
                <w:sz w:val="20"/>
                <w:szCs w:val="20"/>
              </w:rPr>
            </w:pPr>
            <w:r w:rsidRPr="000A6B7F">
              <w:rPr>
                <w:b/>
                <w:bCs/>
                <w:color w:val="000000"/>
                <w:sz w:val="20"/>
                <w:szCs w:val="20"/>
              </w:rPr>
              <w:t>P.č.</w:t>
            </w:r>
          </w:p>
        </w:tc>
        <w:tc>
          <w:tcPr>
            <w:tcW w:w="174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5B5024B5" w14:textId="77777777" w:rsidR="00746D3C" w:rsidRPr="000A6B7F" w:rsidRDefault="00746D3C" w:rsidP="007B3372">
            <w:pPr>
              <w:jc w:val="center"/>
              <w:rPr>
                <w:b/>
                <w:bCs/>
                <w:color w:val="000000"/>
                <w:sz w:val="20"/>
                <w:szCs w:val="20"/>
              </w:rPr>
            </w:pPr>
            <w:r w:rsidRPr="000A6B7F">
              <w:rPr>
                <w:b/>
                <w:bCs/>
                <w:color w:val="000000"/>
                <w:sz w:val="20"/>
                <w:szCs w:val="20"/>
              </w:rPr>
              <w:t xml:space="preserve">Zrozumiteľný a stručný opis regulácie </w:t>
            </w:r>
            <w:r w:rsidRPr="000A6B7F">
              <w:rPr>
                <w:b/>
                <w:bCs/>
                <w:color w:val="000000"/>
                <w:sz w:val="20"/>
                <w:szCs w:val="20"/>
              </w:rPr>
              <w:br/>
              <w:t>(dôvod zvýšenia/zníženia nákladov na PP</w:t>
            </w:r>
            <w:r>
              <w:rPr>
                <w:b/>
                <w:bCs/>
                <w:color w:val="000000"/>
                <w:sz w:val="20"/>
                <w:szCs w:val="20"/>
              </w:rPr>
              <w:t xml:space="preserve"> a dôvod ponechania nákladov na PP, ktoré sú goldplatngom</w:t>
            </w:r>
            <w:r w:rsidRPr="000A6B7F">
              <w:rPr>
                <w:b/>
                <w:bCs/>
                <w:color w:val="000000"/>
                <w:sz w:val="20"/>
                <w:szCs w:val="20"/>
              </w:rPr>
              <w:t>)</w:t>
            </w:r>
          </w:p>
        </w:tc>
        <w:tc>
          <w:tcPr>
            <w:tcW w:w="992" w:type="dxa"/>
            <w:tcBorders>
              <w:top w:val="single" w:sz="4" w:space="0" w:color="auto"/>
              <w:left w:val="single" w:sz="4" w:space="0" w:color="auto"/>
              <w:bottom w:val="single" w:sz="4" w:space="0" w:color="000000"/>
              <w:right w:val="single" w:sz="4" w:space="0" w:color="auto"/>
            </w:tcBorders>
            <w:shd w:val="clear" w:color="auto" w:fill="D1D1D1" w:themeFill="background2" w:themeFillShade="E6"/>
            <w:vAlign w:val="center"/>
            <w:hideMark/>
          </w:tcPr>
          <w:p w14:paraId="2C9D20B3" w14:textId="77777777" w:rsidR="00746D3C" w:rsidRPr="000A6B7F" w:rsidRDefault="00746D3C" w:rsidP="007B3372">
            <w:pPr>
              <w:jc w:val="center"/>
              <w:rPr>
                <w:b/>
                <w:bCs/>
                <w:color w:val="000000"/>
                <w:sz w:val="20"/>
                <w:szCs w:val="20"/>
              </w:rPr>
            </w:pPr>
            <w:r w:rsidRPr="000A6B7F">
              <w:rPr>
                <w:b/>
                <w:bCs/>
                <w:color w:val="000000"/>
                <w:sz w:val="20"/>
                <w:szCs w:val="20"/>
              </w:rPr>
              <w:t>Číslo normy</w:t>
            </w:r>
            <w:r w:rsidRPr="000A6B7F">
              <w:rPr>
                <w:b/>
                <w:bCs/>
                <w:color w:val="000000"/>
                <w:sz w:val="20"/>
                <w:szCs w:val="20"/>
              </w:rPr>
              <w:br/>
            </w:r>
            <w:r w:rsidRPr="000A6B7F">
              <w:rPr>
                <w:color w:val="000000"/>
                <w:sz w:val="20"/>
                <w:szCs w:val="20"/>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1D1D1" w:themeFill="background2" w:themeFillShade="E6"/>
            <w:vAlign w:val="center"/>
            <w:hideMark/>
          </w:tcPr>
          <w:p w14:paraId="22FC50EA" w14:textId="77777777" w:rsidR="00746D3C" w:rsidRPr="000A6B7F" w:rsidRDefault="00746D3C" w:rsidP="007B3372">
            <w:pPr>
              <w:jc w:val="center"/>
              <w:rPr>
                <w:b/>
                <w:bCs/>
                <w:color w:val="000000"/>
                <w:sz w:val="20"/>
                <w:szCs w:val="20"/>
              </w:rPr>
            </w:pPr>
            <w:r w:rsidRPr="000A6B7F">
              <w:rPr>
                <w:b/>
                <w:bCs/>
                <w:color w:val="000000"/>
                <w:sz w:val="20"/>
                <w:szCs w:val="20"/>
              </w:rPr>
              <w:t>Lokalizácia</w:t>
            </w:r>
            <w:r w:rsidRPr="000A6B7F">
              <w:rPr>
                <w:b/>
                <w:bCs/>
                <w:color w:val="000000"/>
                <w:sz w:val="20"/>
                <w:szCs w:val="20"/>
              </w:rPr>
              <w:br/>
              <w:t>(§, ods.</w:t>
            </w:r>
            <w:r>
              <w:rPr>
                <w:b/>
                <w:bCs/>
                <w:color w:val="000000"/>
                <w:sz w:val="20"/>
                <w:szCs w:val="20"/>
              </w:rPr>
              <w:t>, čl.,...</w:t>
            </w:r>
            <w:r w:rsidRPr="000A6B7F">
              <w:rPr>
                <w:b/>
                <w:bCs/>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44B8EB56" w14:textId="77777777" w:rsidR="00746D3C" w:rsidRDefault="00746D3C" w:rsidP="007B3372">
            <w:pPr>
              <w:jc w:val="center"/>
              <w:rPr>
                <w:color w:val="000000"/>
                <w:sz w:val="20"/>
                <w:szCs w:val="20"/>
              </w:rPr>
            </w:pPr>
            <w:r w:rsidRPr="000A6B7F">
              <w:rPr>
                <w:b/>
                <w:bCs/>
                <w:color w:val="000000"/>
                <w:sz w:val="20"/>
                <w:szCs w:val="20"/>
              </w:rPr>
              <w:t xml:space="preserve">Pôvod regulácie: </w:t>
            </w:r>
            <w:r w:rsidRPr="000A6B7F">
              <w:rPr>
                <w:b/>
                <w:bCs/>
                <w:color w:val="000000"/>
                <w:sz w:val="20"/>
                <w:szCs w:val="20"/>
              </w:rPr>
              <w:br/>
            </w:r>
            <w:r>
              <w:rPr>
                <w:color w:val="000000"/>
                <w:sz w:val="20"/>
                <w:szCs w:val="20"/>
              </w:rPr>
              <w:t>SK</w:t>
            </w:r>
            <w:r w:rsidRPr="000A6B7F">
              <w:rPr>
                <w:color w:val="000000"/>
                <w:sz w:val="20"/>
                <w:szCs w:val="20"/>
              </w:rPr>
              <w:t>/EÚ úplná harm./</w:t>
            </w:r>
          </w:p>
          <w:p w14:paraId="05292347" w14:textId="77777777" w:rsidR="00746D3C" w:rsidRPr="000A6B7F" w:rsidRDefault="00746D3C" w:rsidP="007B3372">
            <w:pPr>
              <w:jc w:val="center"/>
              <w:rPr>
                <w:b/>
                <w:bCs/>
                <w:color w:val="000000"/>
                <w:sz w:val="20"/>
                <w:szCs w:val="20"/>
              </w:rPr>
            </w:pPr>
            <w:r>
              <w:rPr>
                <w:color w:val="000000"/>
                <w:sz w:val="20"/>
                <w:szCs w:val="20"/>
              </w:rPr>
              <w:t>G</w:t>
            </w:r>
            <w:r w:rsidRPr="000A6B7F">
              <w:rPr>
                <w:color w:val="000000"/>
                <w:sz w:val="20"/>
                <w:szCs w:val="20"/>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63B16E3" w14:textId="77777777" w:rsidR="00746D3C" w:rsidRPr="000A6B7F" w:rsidRDefault="00746D3C" w:rsidP="007B3372">
            <w:pPr>
              <w:jc w:val="center"/>
              <w:rPr>
                <w:b/>
                <w:bCs/>
                <w:color w:val="000000"/>
                <w:sz w:val="20"/>
                <w:szCs w:val="20"/>
              </w:rPr>
            </w:pPr>
            <w:r w:rsidRPr="000A6B7F">
              <w:rPr>
                <w:b/>
                <w:bCs/>
                <w:color w:val="000000"/>
                <w:sz w:val="20"/>
                <w:szCs w:val="20"/>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3E9CFDD" w14:textId="77777777" w:rsidR="00746D3C" w:rsidRPr="000A6B7F" w:rsidRDefault="00746D3C" w:rsidP="007B3372">
            <w:pPr>
              <w:jc w:val="center"/>
              <w:rPr>
                <w:b/>
                <w:bCs/>
                <w:color w:val="000000"/>
                <w:sz w:val="20"/>
                <w:szCs w:val="20"/>
              </w:rPr>
            </w:pPr>
            <w:r w:rsidRPr="000A6B7F">
              <w:rPr>
                <w:b/>
                <w:bCs/>
                <w:color w:val="000000"/>
                <w:sz w:val="20"/>
                <w:szCs w:val="20"/>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BD84379" w14:textId="77777777" w:rsidR="00746D3C" w:rsidRDefault="00746D3C" w:rsidP="007B3372">
            <w:pPr>
              <w:jc w:val="center"/>
              <w:rPr>
                <w:b/>
                <w:bCs/>
                <w:color w:val="000000"/>
                <w:sz w:val="20"/>
                <w:szCs w:val="20"/>
              </w:rPr>
            </w:pPr>
            <w:r w:rsidRPr="00895898">
              <w:rPr>
                <w:b/>
                <w:bCs/>
                <w:color w:val="000000"/>
                <w:sz w:val="20"/>
                <w:szCs w:val="20"/>
              </w:rPr>
              <w:t xml:space="preserve">Počet </w:t>
            </w:r>
          </w:p>
          <w:p w14:paraId="62A17244" w14:textId="77777777" w:rsidR="00746D3C" w:rsidRPr="00895898" w:rsidRDefault="00746D3C" w:rsidP="007B3372">
            <w:pPr>
              <w:jc w:val="center"/>
              <w:rPr>
                <w:b/>
                <w:bCs/>
                <w:color w:val="000000"/>
                <w:sz w:val="20"/>
                <w:szCs w:val="20"/>
              </w:rPr>
            </w:pPr>
            <w:r>
              <w:rPr>
                <w:b/>
                <w:bCs/>
                <w:color w:val="000000"/>
                <w:sz w:val="20"/>
                <w:szCs w:val="20"/>
              </w:rPr>
              <w:t>dotk.</w:t>
            </w:r>
            <w:r w:rsidRPr="00895898">
              <w:rPr>
                <w:b/>
                <w:bCs/>
                <w:color w:val="000000"/>
                <w:sz w:val="20"/>
                <w:szCs w:val="20"/>
              </w:rPr>
              <w:t xml:space="preserve"> subjektov </w:t>
            </w:r>
            <w:r>
              <w:rPr>
                <w:b/>
                <w:bCs/>
                <w:color w:val="000000"/>
                <w:sz w:val="20"/>
                <w:szCs w:val="20"/>
              </w:rPr>
              <w:t>spolu</w:t>
            </w:r>
            <w:r w:rsidRPr="00895898">
              <w:rPr>
                <w:b/>
                <w:bCs/>
                <w:color w:val="00000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66A9778A" w14:textId="77777777" w:rsidR="00746D3C" w:rsidRPr="000A6B7F" w:rsidRDefault="00746D3C" w:rsidP="007B3372">
            <w:pPr>
              <w:jc w:val="center"/>
              <w:rPr>
                <w:b/>
                <w:bCs/>
                <w:color w:val="000000"/>
                <w:sz w:val="20"/>
                <w:szCs w:val="20"/>
              </w:rPr>
            </w:pPr>
            <w:r w:rsidRPr="000A6B7F">
              <w:rPr>
                <w:b/>
                <w:bCs/>
                <w:color w:val="000000"/>
                <w:sz w:val="20"/>
                <w:szCs w:val="20"/>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0E5BC500" w14:textId="77777777" w:rsidR="00746D3C" w:rsidRPr="000A6B7F" w:rsidRDefault="00746D3C" w:rsidP="007B3372">
            <w:pPr>
              <w:jc w:val="center"/>
              <w:rPr>
                <w:b/>
                <w:bCs/>
                <w:color w:val="000000"/>
                <w:sz w:val="20"/>
                <w:szCs w:val="20"/>
              </w:rPr>
            </w:pPr>
            <w:r>
              <w:rPr>
                <w:b/>
                <w:bCs/>
                <w:color w:val="000000"/>
                <w:sz w:val="20"/>
                <w:szCs w:val="20"/>
              </w:rPr>
              <w:t>Vplyv na kateg. dotk. subjekt.</w:t>
            </w:r>
            <w:r w:rsidRPr="000A6B7F">
              <w:rPr>
                <w:b/>
                <w:bCs/>
                <w:color w:val="000000"/>
                <w:sz w:val="20"/>
                <w:szCs w:val="20"/>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1A138A2" w14:textId="77777777" w:rsidR="00746D3C" w:rsidRPr="00895898" w:rsidRDefault="00746D3C" w:rsidP="007B3372">
            <w:pPr>
              <w:jc w:val="center"/>
              <w:rPr>
                <w:bCs/>
                <w:color w:val="000000"/>
                <w:sz w:val="20"/>
                <w:szCs w:val="20"/>
              </w:rPr>
            </w:pPr>
            <w:r w:rsidRPr="000A6B7F">
              <w:rPr>
                <w:b/>
                <w:bCs/>
                <w:color w:val="000000"/>
                <w:sz w:val="20"/>
                <w:szCs w:val="20"/>
              </w:rPr>
              <w:t>Druh vplyvu</w:t>
            </w:r>
            <w:r w:rsidRPr="000A6B7F">
              <w:rPr>
                <w:b/>
                <w:bCs/>
                <w:color w:val="000000"/>
                <w:sz w:val="20"/>
                <w:szCs w:val="20"/>
              </w:rPr>
              <w:br/>
            </w:r>
            <w:r w:rsidRPr="00895898">
              <w:rPr>
                <w:bCs/>
                <w:color w:val="000000"/>
                <w:sz w:val="20"/>
                <w:szCs w:val="20"/>
              </w:rPr>
              <w:t xml:space="preserve">In (zvyšuje náklady) / </w:t>
            </w:r>
          </w:p>
          <w:p w14:paraId="5106A26D" w14:textId="77777777" w:rsidR="00746D3C" w:rsidRPr="00895898" w:rsidRDefault="00746D3C" w:rsidP="007B3372">
            <w:pPr>
              <w:jc w:val="center"/>
              <w:rPr>
                <w:b/>
                <w:bCs/>
                <w:color w:val="000000"/>
                <w:sz w:val="20"/>
                <w:szCs w:val="20"/>
              </w:rPr>
            </w:pPr>
            <w:r w:rsidRPr="00895898">
              <w:rPr>
                <w:bCs/>
                <w:color w:val="000000"/>
                <w:sz w:val="20"/>
                <w:szCs w:val="20"/>
              </w:rPr>
              <w:t>Out (znižuje náklady</w:t>
            </w:r>
            <w:r w:rsidRPr="00895898">
              <w:rPr>
                <w:b/>
                <w:bCs/>
                <w:color w:val="000000"/>
                <w:sz w:val="20"/>
                <w:szCs w:val="20"/>
              </w:rPr>
              <w:t>)</w:t>
            </w:r>
          </w:p>
          <w:p w14:paraId="069207F1" w14:textId="77777777" w:rsidR="00746D3C" w:rsidRPr="000A6B7F" w:rsidRDefault="00746D3C" w:rsidP="007B3372">
            <w:pPr>
              <w:jc w:val="center"/>
              <w:rPr>
                <w:b/>
                <w:bCs/>
                <w:color w:val="000000"/>
                <w:sz w:val="20"/>
                <w:szCs w:val="20"/>
              </w:rPr>
            </w:pPr>
            <w:r w:rsidRPr="000A6B7F">
              <w:rPr>
                <w:color w:val="000000"/>
                <w:sz w:val="20"/>
                <w:szCs w:val="20"/>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2B4761F3" w14:textId="77777777" w:rsidR="00746D3C" w:rsidRPr="006B5D74" w:rsidRDefault="00746D3C" w:rsidP="007B3372">
            <w:pPr>
              <w:jc w:val="center"/>
              <w:rPr>
                <w:b/>
                <w:bCs/>
                <w:color w:val="000000"/>
                <w:sz w:val="18"/>
                <w:szCs w:val="18"/>
              </w:rPr>
            </w:pPr>
            <w:r w:rsidRPr="006B5D74">
              <w:rPr>
                <w:b/>
                <w:bCs/>
                <w:color w:val="000000"/>
                <w:sz w:val="18"/>
                <w:szCs w:val="18"/>
              </w:rPr>
              <w:t>1in</w:t>
            </w:r>
          </w:p>
          <w:p w14:paraId="6C855FFF" w14:textId="77777777" w:rsidR="00746D3C" w:rsidRPr="006B5D74" w:rsidRDefault="00746D3C" w:rsidP="007B3372">
            <w:pPr>
              <w:jc w:val="center"/>
              <w:rPr>
                <w:b/>
                <w:bCs/>
                <w:color w:val="000000"/>
                <w:sz w:val="18"/>
                <w:szCs w:val="18"/>
              </w:rPr>
            </w:pPr>
            <w:r w:rsidRPr="006B5D74">
              <w:rPr>
                <w:b/>
                <w:bCs/>
                <w:color w:val="000000"/>
                <w:sz w:val="18"/>
                <w:szCs w:val="18"/>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53C0A6BB" w14:textId="77777777" w:rsidR="00746D3C" w:rsidRPr="006B5D74" w:rsidRDefault="00746D3C" w:rsidP="007B3372">
            <w:pPr>
              <w:jc w:val="center"/>
              <w:rPr>
                <w:b/>
                <w:bCs/>
                <w:color w:val="000000"/>
                <w:sz w:val="18"/>
                <w:szCs w:val="18"/>
              </w:rPr>
            </w:pPr>
            <w:r w:rsidRPr="006B5D74">
              <w:rPr>
                <w:b/>
                <w:bCs/>
                <w:color w:val="000000"/>
                <w:sz w:val="18"/>
                <w:szCs w:val="18"/>
              </w:rPr>
              <w:t>Goldplating celkom</w:t>
            </w:r>
          </w:p>
        </w:tc>
      </w:tr>
      <w:tr w:rsidR="00746D3C" w:rsidRPr="00895898" w14:paraId="43EBE029"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39FB790" w14:textId="77777777" w:rsidR="00746D3C" w:rsidRPr="006B6335" w:rsidRDefault="00746D3C" w:rsidP="007B3372">
            <w:pPr>
              <w:jc w:val="center"/>
              <w:rPr>
                <w:sz w:val="20"/>
                <w:szCs w:val="20"/>
              </w:rPr>
            </w:pPr>
            <w:r w:rsidRPr="003E2A75">
              <w:rPr>
                <w:color w:val="000000"/>
                <w:sz w:val="20"/>
                <w:szCs w:val="20"/>
              </w:rPr>
              <w:t>1</w:t>
            </w:r>
          </w:p>
        </w:tc>
        <w:tc>
          <w:tcPr>
            <w:tcW w:w="1740" w:type="dxa"/>
            <w:shd w:val="clear" w:color="auto" w:fill="auto"/>
            <w:vAlign w:val="center"/>
          </w:tcPr>
          <w:p w14:paraId="0151F119" w14:textId="77777777" w:rsidR="00746D3C" w:rsidRPr="006B6335" w:rsidRDefault="00746D3C" w:rsidP="007B3372">
            <w:pPr>
              <w:jc w:val="center"/>
              <w:rPr>
                <w:sz w:val="20"/>
                <w:szCs w:val="20"/>
              </w:rPr>
            </w:pPr>
            <w:r w:rsidRPr="003E2A75">
              <w:rPr>
                <w:color w:val="000000"/>
                <w:sz w:val="20"/>
                <w:szCs w:val="20"/>
              </w:rPr>
              <w:t>Registrácia skupiny z úradnej moci - určenie spoločného zástupcu</w:t>
            </w:r>
          </w:p>
        </w:tc>
        <w:tc>
          <w:tcPr>
            <w:tcW w:w="992" w:type="dxa"/>
            <w:vAlign w:val="center"/>
          </w:tcPr>
          <w:p w14:paraId="3F9B0122"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38873FE8" w14:textId="77777777" w:rsidR="00746D3C" w:rsidRPr="006B6335" w:rsidRDefault="00746D3C" w:rsidP="007B3372">
            <w:pPr>
              <w:jc w:val="center"/>
              <w:rPr>
                <w:sz w:val="20"/>
                <w:szCs w:val="20"/>
              </w:rPr>
            </w:pPr>
            <w:r w:rsidRPr="003E2A75">
              <w:rPr>
                <w:color w:val="000000"/>
                <w:sz w:val="20"/>
                <w:szCs w:val="20"/>
              </w:rPr>
              <w:t>§ 4c ods. 2</w:t>
            </w:r>
          </w:p>
        </w:tc>
        <w:tc>
          <w:tcPr>
            <w:tcW w:w="1843" w:type="dxa"/>
            <w:shd w:val="clear" w:color="auto" w:fill="auto"/>
            <w:vAlign w:val="center"/>
          </w:tcPr>
          <w:p w14:paraId="37AB8252" w14:textId="77777777" w:rsidR="00746D3C" w:rsidRPr="006B6335"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49B351DD" w14:textId="77777777" w:rsidR="00746D3C" w:rsidRPr="006B6335" w:rsidRDefault="00746D3C" w:rsidP="007B3372">
            <w:pPr>
              <w:jc w:val="center"/>
              <w:rPr>
                <w:color w:val="000000"/>
                <w:sz w:val="20"/>
                <w:szCs w:val="20"/>
              </w:rPr>
            </w:pPr>
            <w:r w:rsidRPr="003E2A75">
              <w:rPr>
                <w:color w:val="000000"/>
                <w:sz w:val="20"/>
                <w:szCs w:val="20"/>
              </w:rPr>
              <w:t>01.01.26</w:t>
            </w:r>
          </w:p>
        </w:tc>
        <w:tc>
          <w:tcPr>
            <w:tcW w:w="1160" w:type="dxa"/>
            <w:shd w:val="clear" w:color="auto" w:fill="auto"/>
            <w:noWrap/>
            <w:vAlign w:val="center"/>
          </w:tcPr>
          <w:p w14:paraId="7F586F76" w14:textId="77777777" w:rsidR="00746D3C" w:rsidRPr="006B6335" w:rsidRDefault="00746D3C" w:rsidP="007B3372">
            <w:pPr>
              <w:jc w:val="center"/>
              <w:rPr>
                <w:color w:val="000000"/>
                <w:sz w:val="20"/>
                <w:szCs w:val="20"/>
              </w:rPr>
            </w:pPr>
            <w:r w:rsidRPr="003E2A75">
              <w:rPr>
                <w:color w:val="000000"/>
                <w:sz w:val="20"/>
                <w:szCs w:val="20"/>
              </w:rPr>
              <w:t>zdaniteľné osoby</w:t>
            </w:r>
          </w:p>
        </w:tc>
        <w:tc>
          <w:tcPr>
            <w:tcW w:w="1108" w:type="dxa"/>
            <w:vAlign w:val="center"/>
          </w:tcPr>
          <w:p w14:paraId="7EB8FC72" w14:textId="77777777" w:rsidR="00746D3C" w:rsidRPr="006B6335" w:rsidRDefault="00746D3C" w:rsidP="007B3372">
            <w:pPr>
              <w:jc w:val="center"/>
              <w:rPr>
                <w:sz w:val="20"/>
                <w:szCs w:val="20"/>
              </w:rPr>
            </w:pPr>
            <w:r w:rsidRPr="003E2A75">
              <w:rPr>
                <w:color w:val="000000"/>
                <w:sz w:val="20"/>
                <w:szCs w:val="20"/>
              </w:rPr>
              <w:t xml:space="preserve">2 000 </w:t>
            </w:r>
          </w:p>
        </w:tc>
        <w:tc>
          <w:tcPr>
            <w:tcW w:w="851" w:type="dxa"/>
            <w:shd w:val="clear" w:color="auto" w:fill="auto"/>
            <w:noWrap/>
            <w:vAlign w:val="center"/>
          </w:tcPr>
          <w:p w14:paraId="19B9A7EA" w14:textId="77777777" w:rsidR="00746D3C" w:rsidRPr="006B6335" w:rsidRDefault="00746D3C" w:rsidP="007B3372">
            <w:pPr>
              <w:jc w:val="center"/>
              <w:rPr>
                <w:sz w:val="20"/>
                <w:szCs w:val="20"/>
              </w:rPr>
            </w:pPr>
            <w:r w:rsidRPr="003E2A75">
              <w:rPr>
                <w:color w:val="000000"/>
                <w:sz w:val="20"/>
                <w:szCs w:val="20"/>
              </w:rPr>
              <w:t>2</w:t>
            </w:r>
          </w:p>
        </w:tc>
        <w:tc>
          <w:tcPr>
            <w:tcW w:w="843" w:type="dxa"/>
            <w:shd w:val="clear" w:color="auto" w:fill="auto"/>
            <w:noWrap/>
            <w:vAlign w:val="center"/>
          </w:tcPr>
          <w:p w14:paraId="026B7149" w14:textId="77777777" w:rsidR="00746D3C" w:rsidRPr="006B6335" w:rsidRDefault="00746D3C" w:rsidP="007B3372">
            <w:pPr>
              <w:jc w:val="center"/>
              <w:rPr>
                <w:color w:val="000000"/>
                <w:sz w:val="20"/>
                <w:szCs w:val="20"/>
              </w:rPr>
            </w:pPr>
            <w:r w:rsidRPr="003E2A75">
              <w:rPr>
                <w:color w:val="000000"/>
                <w:sz w:val="20"/>
                <w:szCs w:val="20"/>
              </w:rPr>
              <w:t>3 243</w:t>
            </w:r>
          </w:p>
        </w:tc>
        <w:tc>
          <w:tcPr>
            <w:tcW w:w="1000" w:type="dxa"/>
            <w:shd w:val="clear" w:color="auto" w:fill="auto"/>
            <w:noWrap/>
            <w:vAlign w:val="center"/>
          </w:tcPr>
          <w:p w14:paraId="6EE5B69D" w14:textId="77777777" w:rsidR="00746D3C" w:rsidRPr="006B6335" w:rsidRDefault="00746D3C" w:rsidP="007B3372">
            <w:pPr>
              <w:jc w:val="center"/>
              <w:rPr>
                <w:sz w:val="20"/>
                <w:szCs w:val="20"/>
              </w:rPr>
            </w:pPr>
            <w:r w:rsidRPr="003E2A75">
              <w:rPr>
                <w:color w:val="000000"/>
                <w:sz w:val="20"/>
                <w:szCs w:val="20"/>
              </w:rPr>
              <w:t>In (zvyšuje náklady)</w:t>
            </w:r>
          </w:p>
        </w:tc>
        <w:tc>
          <w:tcPr>
            <w:tcW w:w="708" w:type="dxa"/>
            <w:shd w:val="clear" w:color="auto" w:fill="auto"/>
            <w:noWrap/>
            <w:vAlign w:val="center"/>
          </w:tcPr>
          <w:p w14:paraId="7D9B8E9C"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53BAE4E4"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4AE8BDC9"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B035CDC" w14:textId="77777777" w:rsidR="00746D3C" w:rsidRPr="006B6335" w:rsidRDefault="00746D3C" w:rsidP="007B3372">
            <w:pPr>
              <w:jc w:val="center"/>
              <w:rPr>
                <w:sz w:val="20"/>
                <w:szCs w:val="20"/>
              </w:rPr>
            </w:pPr>
            <w:r w:rsidRPr="003E2A75">
              <w:rPr>
                <w:color w:val="000000"/>
                <w:sz w:val="20"/>
                <w:szCs w:val="20"/>
              </w:rPr>
              <w:t>2</w:t>
            </w:r>
          </w:p>
        </w:tc>
        <w:tc>
          <w:tcPr>
            <w:tcW w:w="1740" w:type="dxa"/>
            <w:shd w:val="clear" w:color="auto" w:fill="auto"/>
            <w:vAlign w:val="center"/>
          </w:tcPr>
          <w:p w14:paraId="5B0E4733" w14:textId="77777777" w:rsidR="00746D3C" w:rsidRPr="006B6335" w:rsidRDefault="00746D3C" w:rsidP="007B3372">
            <w:pPr>
              <w:jc w:val="center"/>
              <w:rPr>
                <w:sz w:val="20"/>
                <w:szCs w:val="20"/>
              </w:rPr>
            </w:pPr>
            <w:r w:rsidRPr="003E2A75">
              <w:rPr>
                <w:color w:val="000000"/>
                <w:sz w:val="20"/>
                <w:szCs w:val="20"/>
              </w:rPr>
              <w:t>Registrácia skupiny z úradnej moci - vyjadrenie k registrácii</w:t>
            </w:r>
          </w:p>
        </w:tc>
        <w:tc>
          <w:tcPr>
            <w:tcW w:w="992" w:type="dxa"/>
            <w:vAlign w:val="center"/>
          </w:tcPr>
          <w:p w14:paraId="4DCE6337"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01C12035" w14:textId="77777777" w:rsidR="00746D3C" w:rsidRPr="006B6335" w:rsidRDefault="00746D3C" w:rsidP="007B3372">
            <w:pPr>
              <w:jc w:val="center"/>
              <w:rPr>
                <w:sz w:val="20"/>
                <w:szCs w:val="20"/>
              </w:rPr>
            </w:pPr>
            <w:r w:rsidRPr="003E2A75">
              <w:rPr>
                <w:color w:val="000000"/>
                <w:sz w:val="20"/>
                <w:szCs w:val="20"/>
              </w:rPr>
              <w:t>§ 4c ods. 3</w:t>
            </w:r>
          </w:p>
        </w:tc>
        <w:tc>
          <w:tcPr>
            <w:tcW w:w="1843" w:type="dxa"/>
            <w:shd w:val="clear" w:color="auto" w:fill="auto"/>
            <w:vAlign w:val="center"/>
          </w:tcPr>
          <w:p w14:paraId="68FD41F5"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56D83064" w14:textId="77777777" w:rsidR="00746D3C" w:rsidRPr="006B6335" w:rsidRDefault="00746D3C" w:rsidP="007B3372">
            <w:pPr>
              <w:jc w:val="center"/>
              <w:rPr>
                <w:color w:val="000000"/>
                <w:sz w:val="20"/>
                <w:szCs w:val="20"/>
              </w:rPr>
            </w:pPr>
            <w:r w:rsidRPr="003E2A75">
              <w:rPr>
                <w:color w:val="000000"/>
                <w:sz w:val="20"/>
                <w:szCs w:val="20"/>
              </w:rPr>
              <w:t>01.01.26</w:t>
            </w:r>
          </w:p>
        </w:tc>
        <w:tc>
          <w:tcPr>
            <w:tcW w:w="1160" w:type="dxa"/>
            <w:shd w:val="clear" w:color="auto" w:fill="auto"/>
            <w:noWrap/>
            <w:vAlign w:val="center"/>
          </w:tcPr>
          <w:p w14:paraId="3EC55BBF" w14:textId="77777777" w:rsidR="00746D3C" w:rsidRPr="006B6335" w:rsidRDefault="00746D3C" w:rsidP="007B3372">
            <w:pPr>
              <w:jc w:val="center"/>
              <w:rPr>
                <w:color w:val="000000"/>
                <w:sz w:val="20"/>
                <w:szCs w:val="20"/>
              </w:rPr>
            </w:pPr>
            <w:r w:rsidRPr="003E2A75">
              <w:rPr>
                <w:color w:val="000000"/>
                <w:sz w:val="20"/>
                <w:szCs w:val="20"/>
              </w:rPr>
              <w:t>zdaniteľné osoby</w:t>
            </w:r>
          </w:p>
        </w:tc>
        <w:tc>
          <w:tcPr>
            <w:tcW w:w="1108" w:type="dxa"/>
            <w:vAlign w:val="center"/>
          </w:tcPr>
          <w:p w14:paraId="345D8C0C" w14:textId="77777777" w:rsidR="00746D3C" w:rsidRPr="006B6335" w:rsidRDefault="00746D3C" w:rsidP="007B3372">
            <w:pPr>
              <w:jc w:val="center"/>
              <w:rPr>
                <w:sz w:val="20"/>
                <w:szCs w:val="20"/>
              </w:rPr>
            </w:pPr>
            <w:r w:rsidRPr="003E2A75">
              <w:rPr>
                <w:color w:val="000000"/>
                <w:sz w:val="20"/>
                <w:szCs w:val="20"/>
              </w:rPr>
              <w:t xml:space="preserve">600 </w:t>
            </w:r>
          </w:p>
        </w:tc>
        <w:tc>
          <w:tcPr>
            <w:tcW w:w="851" w:type="dxa"/>
            <w:shd w:val="clear" w:color="auto" w:fill="auto"/>
            <w:noWrap/>
            <w:vAlign w:val="center"/>
          </w:tcPr>
          <w:p w14:paraId="03D28427" w14:textId="77777777" w:rsidR="00746D3C" w:rsidRPr="006B6335" w:rsidRDefault="00746D3C" w:rsidP="007B3372">
            <w:pPr>
              <w:jc w:val="center"/>
              <w:rPr>
                <w:sz w:val="20"/>
                <w:szCs w:val="20"/>
              </w:rPr>
            </w:pPr>
            <w:r w:rsidRPr="003E2A75">
              <w:rPr>
                <w:color w:val="000000"/>
                <w:sz w:val="20"/>
                <w:szCs w:val="20"/>
              </w:rPr>
              <w:t>2</w:t>
            </w:r>
          </w:p>
        </w:tc>
        <w:tc>
          <w:tcPr>
            <w:tcW w:w="843" w:type="dxa"/>
            <w:shd w:val="clear" w:color="auto" w:fill="auto"/>
            <w:noWrap/>
            <w:vAlign w:val="center"/>
          </w:tcPr>
          <w:p w14:paraId="3E246CD6" w14:textId="77777777" w:rsidR="00746D3C" w:rsidRPr="006B6335" w:rsidRDefault="00746D3C" w:rsidP="007B3372">
            <w:pPr>
              <w:jc w:val="center"/>
              <w:rPr>
                <w:color w:val="000000"/>
                <w:sz w:val="20"/>
                <w:szCs w:val="20"/>
              </w:rPr>
            </w:pPr>
            <w:r w:rsidRPr="003E2A75">
              <w:rPr>
                <w:color w:val="000000"/>
                <w:sz w:val="20"/>
                <w:szCs w:val="20"/>
              </w:rPr>
              <w:t>973</w:t>
            </w:r>
          </w:p>
        </w:tc>
        <w:tc>
          <w:tcPr>
            <w:tcW w:w="1000" w:type="dxa"/>
            <w:shd w:val="clear" w:color="auto" w:fill="auto"/>
            <w:noWrap/>
            <w:vAlign w:val="center"/>
          </w:tcPr>
          <w:p w14:paraId="16702F14" w14:textId="77777777" w:rsidR="00746D3C" w:rsidRPr="006B6335" w:rsidRDefault="00746D3C" w:rsidP="007B3372">
            <w:pPr>
              <w:jc w:val="center"/>
              <w:rPr>
                <w:sz w:val="20"/>
                <w:szCs w:val="20"/>
              </w:rPr>
            </w:pPr>
            <w:r w:rsidRPr="003E2A75">
              <w:rPr>
                <w:color w:val="000000"/>
                <w:sz w:val="20"/>
                <w:szCs w:val="20"/>
              </w:rPr>
              <w:t>In (zvyšuje náklady)</w:t>
            </w:r>
          </w:p>
        </w:tc>
        <w:tc>
          <w:tcPr>
            <w:tcW w:w="708" w:type="dxa"/>
            <w:shd w:val="clear" w:color="auto" w:fill="auto"/>
            <w:noWrap/>
            <w:vAlign w:val="center"/>
          </w:tcPr>
          <w:p w14:paraId="68CAC3DE"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45C8FEEE"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5308F025"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DC5B33E" w14:textId="77777777" w:rsidR="00746D3C" w:rsidRPr="006B6335" w:rsidRDefault="00746D3C" w:rsidP="007B3372">
            <w:pPr>
              <w:jc w:val="center"/>
              <w:rPr>
                <w:sz w:val="20"/>
                <w:szCs w:val="20"/>
              </w:rPr>
            </w:pPr>
            <w:r w:rsidRPr="003E2A75">
              <w:rPr>
                <w:color w:val="000000"/>
                <w:sz w:val="20"/>
                <w:szCs w:val="20"/>
              </w:rPr>
              <w:t>3</w:t>
            </w:r>
          </w:p>
        </w:tc>
        <w:tc>
          <w:tcPr>
            <w:tcW w:w="1740" w:type="dxa"/>
            <w:shd w:val="clear" w:color="auto" w:fill="auto"/>
            <w:vAlign w:val="center"/>
          </w:tcPr>
          <w:p w14:paraId="047A2898" w14:textId="77777777" w:rsidR="00746D3C" w:rsidRPr="006B6335" w:rsidRDefault="00746D3C" w:rsidP="007B3372">
            <w:pPr>
              <w:jc w:val="center"/>
              <w:rPr>
                <w:sz w:val="20"/>
                <w:szCs w:val="20"/>
              </w:rPr>
            </w:pPr>
            <w:r w:rsidRPr="003E2A75">
              <w:rPr>
                <w:color w:val="000000"/>
                <w:sz w:val="20"/>
                <w:szCs w:val="20"/>
              </w:rPr>
              <w:t>Registrácia skupiny z úradnej moci - administratívne povinnosti</w:t>
            </w:r>
          </w:p>
        </w:tc>
        <w:tc>
          <w:tcPr>
            <w:tcW w:w="992" w:type="dxa"/>
            <w:vAlign w:val="center"/>
          </w:tcPr>
          <w:p w14:paraId="5D74053E"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46F9F3F0" w14:textId="77777777" w:rsidR="00746D3C" w:rsidRPr="006B6335" w:rsidRDefault="00746D3C" w:rsidP="007B3372">
            <w:pPr>
              <w:jc w:val="center"/>
              <w:rPr>
                <w:sz w:val="20"/>
                <w:szCs w:val="20"/>
              </w:rPr>
            </w:pPr>
            <w:r w:rsidRPr="003E2A75">
              <w:rPr>
                <w:color w:val="000000"/>
                <w:sz w:val="20"/>
                <w:szCs w:val="20"/>
              </w:rPr>
              <w:t>§ 4c</w:t>
            </w:r>
          </w:p>
        </w:tc>
        <w:tc>
          <w:tcPr>
            <w:tcW w:w="1843" w:type="dxa"/>
            <w:shd w:val="clear" w:color="auto" w:fill="auto"/>
            <w:vAlign w:val="center"/>
          </w:tcPr>
          <w:p w14:paraId="7E1024E9"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4C64FFF8" w14:textId="77777777" w:rsidR="00746D3C" w:rsidRPr="006B6335" w:rsidRDefault="00746D3C" w:rsidP="007B3372">
            <w:pPr>
              <w:jc w:val="center"/>
              <w:rPr>
                <w:color w:val="000000"/>
                <w:sz w:val="20"/>
                <w:szCs w:val="20"/>
              </w:rPr>
            </w:pPr>
            <w:r w:rsidRPr="003E2A75">
              <w:rPr>
                <w:color w:val="000000"/>
                <w:sz w:val="20"/>
                <w:szCs w:val="20"/>
              </w:rPr>
              <w:t>01.01.26</w:t>
            </w:r>
          </w:p>
        </w:tc>
        <w:tc>
          <w:tcPr>
            <w:tcW w:w="1160" w:type="dxa"/>
            <w:shd w:val="clear" w:color="auto" w:fill="auto"/>
            <w:noWrap/>
            <w:vAlign w:val="center"/>
          </w:tcPr>
          <w:p w14:paraId="59BCBAB6" w14:textId="77777777" w:rsidR="00746D3C" w:rsidRPr="006B6335" w:rsidRDefault="00746D3C" w:rsidP="007B3372">
            <w:pPr>
              <w:jc w:val="center"/>
              <w:rPr>
                <w:color w:val="000000"/>
                <w:sz w:val="20"/>
                <w:szCs w:val="20"/>
              </w:rPr>
            </w:pPr>
            <w:r w:rsidRPr="003E2A75">
              <w:rPr>
                <w:color w:val="000000"/>
                <w:sz w:val="20"/>
                <w:szCs w:val="20"/>
              </w:rPr>
              <w:t>platitelia dane</w:t>
            </w:r>
          </w:p>
        </w:tc>
        <w:tc>
          <w:tcPr>
            <w:tcW w:w="1108" w:type="dxa"/>
            <w:vAlign w:val="center"/>
          </w:tcPr>
          <w:p w14:paraId="3853CE5B" w14:textId="77777777" w:rsidR="00746D3C" w:rsidRPr="006B6335" w:rsidRDefault="00746D3C" w:rsidP="007B3372">
            <w:pPr>
              <w:jc w:val="center"/>
              <w:rPr>
                <w:sz w:val="20"/>
                <w:szCs w:val="20"/>
              </w:rPr>
            </w:pPr>
            <w:r w:rsidRPr="003E2A75">
              <w:rPr>
                <w:color w:val="000000"/>
                <w:sz w:val="20"/>
                <w:szCs w:val="20"/>
              </w:rPr>
              <w:t xml:space="preserve">600 </w:t>
            </w:r>
          </w:p>
        </w:tc>
        <w:tc>
          <w:tcPr>
            <w:tcW w:w="851" w:type="dxa"/>
            <w:shd w:val="clear" w:color="auto" w:fill="auto"/>
            <w:noWrap/>
            <w:vAlign w:val="center"/>
          </w:tcPr>
          <w:p w14:paraId="022044AA" w14:textId="77777777" w:rsidR="00746D3C" w:rsidRPr="006B6335" w:rsidRDefault="00746D3C" w:rsidP="007B3372">
            <w:pPr>
              <w:jc w:val="center"/>
              <w:rPr>
                <w:sz w:val="20"/>
                <w:szCs w:val="20"/>
              </w:rPr>
            </w:pPr>
            <w:r w:rsidRPr="003E2A75">
              <w:rPr>
                <w:color w:val="000000"/>
                <w:sz w:val="20"/>
                <w:szCs w:val="20"/>
              </w:rPr>
              <w:t>104</w:t>
            </w:r>
          </w:p>
        </w:tc>
        <w:tc>
          <w:tcPr>
            <w:tcW w:w="843" w:type="dxa"/>
            <w:shd w:val="clear" w:color="auto" w:fill="auto"/>
            <w:noWrap/>
            <w:vAlign w:val="center"/>
          </w:tcPr>
          <w:p w14:paraId="2AF6EBCD" w14:textId="77777777" w:rsidR="00746D3C" w:rsidRPr="006B6335" w:rsidRDefault="00746D3C" w:rsidP="007B3372">
            <w:pPr>
              <w:jc w:val="center"/>
              <w:rPr>
                <w:color w:val="000000"/>
                <w:sz w:val="20"/>
                <w:szCs w:val="20"/>
              </w:rPr>
            </w:pPr>
            <w:r w:rsidRPr="003E2A75">
              <w:rPr>
                <w:color w:val="000000"/>
                <w:sz w:val="20"/>
                <w:szCs w:val="20"/>
              </w:rPr>
              <w:t>62 270</w:t>
            </w:r>
          </w:p>
        </w:tc>
        <w:tc>
          <w:tcPr>
            <w:tcW w:w="1000" w:type="dxa"/>
            <w:shd w:val="clear" w:color="auto" w:fill="auto"/>
            <w:noWrap/>
            <w:vAlign w:val="center"/>
          </w:tcPr>
          <w:p w14:paraId="5DC0DA3C" w14:textId="77777777" w:rsidR="00746D3C" w:rsidRPr="006B6335" w:rsidRDefault="00746D3C" w:rsidP="007B3372">
            <w:pPr>
              <w:jc w:val="center"/>
              <w:rPr>
                <w:sz w:val="20"/>
                <w:szCs w:val="20"/>
              </w:rPr>
            </w:pPr>
            <w:r w:rsidRPr="003E2A75">
              <w:rPr>
                <w:color w:val="000000"/>
                <w:sz w:val="20"/>
                <w:szCs w:val="20"/>
              </w:rPr>
              <w:t>In (zvyšuje náklady)</w:t>
            </w:r>
          </w:p>
        </w:tc>
        <w:tc>
          <w:tcPr>
            <w:tcW w:w="708" w:type="dxa"/>
            <w:shd w:val="clear" w:color="auto" w:fill="auto"/>
            <w:noWrap/>
            <w:vAlign w:val="center"/>
          </w:tcPr>
          <w:p w14:paraId="4A811A92"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55E526A8"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2AF70E37"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8F1919D" w14:textId="77777777" w:rsidR="00746D3C" w:rsidRPr="006B6335" w:rsidRDefault="00746D3C" w:rsidP="007B3372">
            <w:pPr>
              <w:jc w:val="center"/>
              <w:rPr>
                <w:sz w:val="20"/>
                <w:szCs w:val="20"/>
              </w:rPr>
            </w:pPr>
            <w:r w:rsidRPr="003E2A75">
              <w:rPr>
                <w:color w:val="000000"/>
                <w:sz w:val="20"/>
                <w:szCs w:val="20"/>
              </w:rPr>
              <w:t>4</w:t>
            </w:r>
          </w:p>
        </w:tc>
        <w:tc>
          <w:tcPr>
            <w:tcW w:w="1740" w:type="dxa"/>
            <w:shd w:val="clear" w:color="auto" w:fill="auto"/>
            <w:vAlign w:val="center"/>
          </w:tcPr>
          <w:p w14:paraId="066BE32B" w14:textId="77777777" w:rsidR="00746D3C" w:rsidRPr="006B6335" w:rsidRDefault="00746D3C" w:rsidP="007B3372">
            <w:pPr>
              <w:jc w:val="center"/>
              <w:rPr>
                <w:sz w:val="20"/>
                <w:szCs w:val="20"/>
              </w:rPr>
            </w:pPr>
            <w:r w:rsidRPr="003E2A75">
              <w:rPr>
                <w:color w:val="000000"/>
                <w:sz w:val="20"/>
                <w:szCs w:val="20"/>
              </w:rPr>
              <w:t>Úprava vzniku daňovej povinnosti - intrakomunitárne dodanie</w:t>
            </w:r>
          </w:p>
        </w:tc>
        <w:tc>
          <w:tcPr>
            <w:tcW w:w="992" w:type="dxa"/>
            <w:vAlign w:val="center"/>
          </w:tcPr>
          <w:p w14:paraId="73F6A5C2"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58420C12" w14:textId="77777777" w:rsidR="00746D3C" w:rsidRPr="006B6335" w:rsidRDefault="00746D3C" w:rsidP="007B3372">
            <w:pPr>
              <w:jc w:val="center"/>
              <w:rPr>
                <w:sz w:val="20"/>
                <w:szCs w:val="20"/>
              </w:rPr>
            </w:pPr>
            <w:r w:rsidRPr="003E2A75">
              <w:rPr>
                <w:color w:val="000000"/>
                <w:sz w:val="20"/>
                <w:szCs w:val="20"/>
              </w:rPr>
              <w:t>§ 19 ods. 8</w:t>
            </w:r>
          </w:p>
        </w:tc>
        <w:tc>
          <w:tcPr>
            <w:tcW w:w="1843" w:type="dxa"/>
            <w:shd w:val="clear" w:color="auto" w:fill="auto"/>
            <w:vAlign w:val="center"/>
          </w:tcPr>
          <w:p w14:paraId="78D5ED78"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42041A1E" w14:textId="77777777" w:rsidR="00746D3C" w:rsidRPr="006B6335" w:rsidRDefault="00746D3C" w:rsidP="007B3372">
            <w:pPr>
              <w:jc w:val="center"/>
              <w:rPr>
                <w:color w:val="000000"/>
                <w:sz w:val="20"/>
                <w:szCs w:val="20"/>
              </w:rPr>
            </w:pPr>
            <w:r w:rsidRPr="003E2A75">
              <w:rPr>
                <w:color w:val="000000"/>
                <w:sz w:val="20"/>
                <w:szCs w:val="20"/>
              </w:rPr>
              <w:t>01.07.30</w:t>
            </w:r>
          </w:p>
        </w:tc>
        <w:tc>
          <w:tcPr>
            <w:tcW w:w="1160" w:type="dxa"/>
            <w:shd w:val="clear" w:color="auto" w:fill="auto"/>
            <w:noWrap/>
            <w:vAlign w:val="center"/>
          </w:tcPr>
          <w:p w14:paraId="326ABEC0" w14:textId="77777777" w:rsidR="00746D3C" w:rsidRPr="006B6335" w:rsidRDefault="00746D3C" w:rsidP="007B3372">
            <w:pPr>
              <w:jc w:val="center"/>
              <w:rPr>
                <w:color w:val="000000"/>
                <w:sz w:val="20"/>
                <w:szCs w:val="20"/>
              </w:rPr>
            </w:pPr>
            <w:r w:rsidRPr="003E2A75">
              <w:rPr>
                <w:color w:val="000000"/>
                <w:sz w:val="20"/>
                <w:szCs w:val="20"/>
              </w:rPr>
              <w:t>platitelia dane a osoby registrované pre daň podľa § 7 a §7a</w:t>
            </w:r>
          </w:p>
        </w:tc>
        <w:tc>
          <w:tcPr>
            <w:tcW w:w="1108" w:type="dxa"/>
            <w:vAlign w:val="center"/>
          </w:tcPr>
          <w:p w14:paraId="44249B06" w14:textId="77777777" w:rsidR="00746D3C" w:rsidRPr="006B6335" w:rsidRDefault="00746D3C" w:rsidP="007B3372">
            <w:pPr>
              <w:jc w:val="center"/>
              <w:rPr>
                <w:sz w:val="20"/>
                <w:szCs w:val="20"/>
              </w:rPr>
            </w:pPr>
            <w:r w:rsidRPr="003E2A75">
              <w:rPr>
                <w:color w:val="000000"/>
                <w:sz w:val="20"/>
                <w:szCs w:val="20"/>
              </w:rPr>
              <w:t xml:space="preserve">290 425 </w:t>
            </w:r>
          </w:p>
        </w:tc>
        <w:tc>
          <w:tcPr>
            <w:tcW w:w="851" w:type="dxa"/>
            <w:shd w:val="clear" w:color="auto" w:fill="auto"/>
            <w:noWrap/>
            <w:vAlign w:val="center"/>
          </w:tcPr>
          <w:p w14:paraId="4B5C15C3" w14:textId="77777777" w:rsidR="00746D3C" w:rsidRPr="006B6335" w:rsidRDefault="00746D3C" w:rsidP="007B3372">
            <w:pPr>
              <w:jc w:val="center"/>
              <w:rPr>
                <w:sz w:val="20"/>
                <w:szCs w:val="20"/>
              </w:rPr>
            </w:pPr>
            <w:r w:rsidRPr="003E2A75">
              <w:rPr>
                <w:color w:val="000000"/>
                <w:sz w:val="20"/>
                <w:szCs w:val="20"/>
              </w:rPr>
              <w:t>3</w:t>
            </w:r>
          </w:p>
        </w:tc>
        <w:tc>
          <w:tcPr>
            <w:tcW w:w="843" w:type="dxa"/>
            <w:shd w:val="clear" w:color="auto" w:fill="auto"/>
            <w:noWrap/>
            <w:vAlign w:val="center"/>
          </w:tcPr>
          <w:p w14:paraId="26BBB8DA" w14:textId="77777777" w:rsidR="00746D3C" w:rsidRPr="006B6335" w:rsidRDefault="00746D3C" w:rsidP="007B3372">
            <w:pPr>
              <w:jc w:val="center"/>
              <w:rPr>
                <w:color w:val="000000"/>
                <w:sz w:val="20"/>
                <w:szCs w:val="20"/>
              </w:rPr>
            </w:pPr>
            <w:r w:rsidRPr="003E2A75">
              <w:rPr>
                <w:color w:val="000000"/>
                <w:sz w:val="20"/>
                <w:szCs w:val="20"/>
              </w:rPr>
              <w:t>941 921</w:t>
            </w:r>
          </w:p>
        </w:tc>
        <w:tc>
          <w:tcPr>
            <w:tcW w:w="1000" w:type="dxa"/>
            <w:shd w:val="clear" w:color="auto" w:fill="auto"/>
            <w:noWrap/>
            <w:vAlign w:val="center"/>
          </w:tcPr>
          <w:p w14:paraId="0AAF42F6" w14:textId="77777777" w:rsidR="00746D3C" w:rsidRPr="006B6335" w:rsidRDefault="00746D3C" w:rsidP="007B3372">
            <w:pPr>
              <w:jc w:val="center"/>
              <w:rPr>
                <w:sz w:val="20"/>
                <w:szCs w:val="20"/>
              </w:rPr>
            </w:pPr>
            <w:r w:rsidRPr="003E2A75">
              <w:rPr>
                <w:color w:val="000000"/>
                <w:sz w:val="20"/>
                <w:szCs w:val="20"/>
              </w:rPr>
              <w:t>In (zvyšuje náklady)</w:t>
            </w:r>
          </w:p>
        </w:tc>
        <w:tc>
          <w:tcPr>
            <w:tcW w:w="708" w:type="dxa"/>
            <w:shd w:val="clear" w:color="auto" w:fill="auto"/>
            <w:noWrap/>
            <w:vAlign w:val="center"/>
          </w:tcPr>
          <w:p w14:paraId="00A8A0F3"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60334BFD"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476BDEFF"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2E92919" w14:textId="77777777" w:rsidR="00746D3C" w:rsidRPr="006B6335" w:rsidRDefault="00746D3C" w:rsidP="007B3372">
            <w:pPr>
              <w:jc w:val="center"/>
              <w:rPr>
                <w:sz w:val="20"/>
                <w:szCs w:val="20"/>
              </w:rPr>
            </w:pPr>
            <w:r w:rsidRPr="003E2A75">
              <w:rPr>
                <w:color w:val="000000"/>
                <w:sz w:val="20"/>
                <w:szCs w:val="20"/>
              </w:rPr>
              <w:t>5</w:t>
            </w:r>
          </w:p>
        </w:tc>
        <w:tc>
          <w:tcPr>
            <w:tcW w:w="1740" w:type="dxa"/>
            <w:shd w:val="clear" w:color="auto" w:fill="auto"/>
            <w:vAlign w:val="center"/>
          </w:tcPr>
          <w:p w14:paraId="25DA8B1C" w14:textId="77777777" w:rsidR="00746D3C" w:rsidRPr="006B6335" w:rsidRDefault="00746D3C" w:rsidP="007B3372">
            <w:pPr>
              <w:jc w:val="center"/>
              <w:rPr>
                <w:sz w:val="20"/>
                <w:szCs w:val="20"/>
              </w:rPr>
            </w:pPr>
            <w:r w:rsidRPr="003E2A75">
              <w:rPr>
                <w:color w:val="000000"/>
                <w:sz w:val="20"/>
                <w:szCs w:val="20"/>
              </w:rPr>
              <w:t>Úprava vzniku daňovej povinnosti - intrakomunitárne nadobudnutie</w:t>
            </w:r>
          </w:p>
        </w:tc>
        <w:tc>
          <w:tcPr>
            <w:tcW w:w="992" w:type="dxa"/>
            <w:vAlign w:val="center"/>
          </w:tcPr>
          <w:p w14:paraId="4C1781A5"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3CD573EE" w14:textId="77777777" w:rsidR="00746D3C" w:rsidRPr="006B6335" w:rsidRDefault="00746D3C" w:rsidP="007B3372">
            <w:pPr>
              <w:jc w:val="center"/>
              <w:rPr>
                <w:sz w:val="20"/>
                <w:szCs w:val="20"/>
              </w:rPr>
            </w:pPr>
            <w:r w:rsidRPr="003E2A75">
              <w:rPr>
                <w:color w:val="000000"/>
                <w:sz w:val="20"/>
                <w:szCs w:val="20"/>
              </w:rPr>
              <w:t>§ 20 ods. 1</w:t>
            </w:r>
          </w:p>
        </w:tc>
        <w:tc>
          <w:tcPr>
            <w:tcW w:w="1843" w:type="dxa"/>
            <w:shd w:val="clear" w:color="auto" w:fill="auto"/>
            <w:vAlign w:val="center"/>
          </w:tcPr>
          <w:p w14:paraId="63CD34E5"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52732150" w14:textId="77777777" w:rsidR="00746D3C" w:rsidRPr="006B6335" w:rsidRDefault="00746D3C" w:rsidP="007B3372">
            <w:pPr>
              <w:jc w:val="center"/>
              <w:rPr>
                <w:color w:val="000000"/>
                <w:sz w:val="20"/>
                <w:szCs w:val="20"/>
              </w:rPr>
            </w:pPr>
            <w:r w:rsidRPr="003E2A75">
              <w:rPr>
                <w:color w:val="000000"/>
                <w:sz w:val="20"/>
                <w:szCs w:val="20"/>
              </w:rPr>
              <w:t>01.07.30</w:t>
            </w:r>
          </w:p>
        </w:tc>
        <w:tc>
          <w:tcPr>
            <w:tcW w:w="1160" w:type="dxa"/>
            <w:shd w:val="clear" w:color="auto" w:fill="auto"/>
            <w:noWrap/>
            <w:vAlign w:val="center"/>
          </w:tcPr>
          <w:p w14:paraId="25D1D806" w14:textId="77777777" w:rsidR="00746D3C" w:rsidRPr="006B6335" w:rsidRDefault="00746D3C" w:rsidP="007B3372">
            <w:pPr>
              <w:jc w:val="center"/>
              <w:rPr>
                <w:color w:val="000000"/>
                <w:sz w:val="20"/>
                <w:szCs w:val="20"/>
              </w:rPr>
            </w:pPr>
            <w:r w:rsidRPr="003E2A75">
              <w:rPr>
                <w:color w:val="000000"/>
                <w:sz w:val="20"/>
                <w:szCs w:val="20"/>
              </w:rPr>
              <w:t xml:space="preserve">platitelia dane a osoby registrované pre daň </w:t>
            </w:r>
            <w:r w:rsidRPr="003E2A75">
              <w:rPr>
                <w:color w:val="000000"/>
                <w:sz w:val="20"/>
                <w:szCs w:val="20"/>
              </w:rPr>
              <w:lastRenderedPageBreak/>
              <w:t>podľa § 7 a §7a</w:t>
            </w:r>
          </w:p>
        </w:tc>
        <w:tc>
          <w:tcPr>
            <w:tcW w:w="1108" w:type="dxa"/>
            <w:vAlign w:val="center"/>
          </w:tcPr>
          <w:p w14:paraId="7E592F79" w14:textId="77777777" w:rsidR="00746D3C" w:rsidRPr="006B6335" w:rsidRDefault="00746D3C" w:rsidP="007B3372">
            <w:pPr>
              <w:jc w:val="center"/>
              <w:rPr>
                <w:sz w:val="20"/>
                <w:szCs w:val="20"/>
              </w:rPr>
            </w:pPr>
            <w:r w:rsidRPr="003E2A75">
              <w:rPr>
                <w:color w:val="000000"/>
                <w:sz w:val="20"/>
                <w:szCs w:val="20"/>
              </w:rPr>
              <w:lastRenderedPageBreak/>
              <w:t xml:space="preserve">290 425 </w:t>
            </w:r>
          </w:p>
        </w:tc>
        <w:tc>
          <w:tcPr>
            <w:tcW w:w="851" w:type="dxa"/>
            <w:shd w:val="clear" w:color="auto" w:fill="auto"/>
            <w:noWrap/>
            <w:vAlign w:val="center"/>
          </w:tcPr>
          <w:p w14:paraId="3E7F383B" w14:textId="77777777" w:rsidR="00746D3C" w:rsidRPr="006B6335" w:rsidRDefault="00746D3C" w:rsidP="007B3372">
            <w:pPr>
              <w:jc w:val="center"/>
              <w:rPr>
                <w:sz w:val="20"/>
                <w:szCs w:val="20"/>
              </w:rPr>
            </w:pPr>
            <w:r w:rsidRPr="003E2A75">
              <w:rPr>
                <w:color w:val="000000"/>
                <w:sz w:val="20"/>
                <w:szCs w:val="20"/>
              </w:rPr>
              <w:t>3</w:t>
            </w:r>
          </w:p>
        </w:tc>
        <w:tc>
          <w:tcPr>
            <w:tcW w:w="843" w:type="dxa"/>
            <w:shd w:val="clear" w:color="auto" w:fill="auto"/>
            <w:noWrap/>
            <w:vAlign w:val="center"/>
          </w:tcPr>
          <w:p w14:paraId="319D1244" w14:textId="77777777" w:rsidR="00746D3C" w:rsidRPr="006B6335" w:rsidRDefault="00746D3C" w:rsidP="007B3372">
            <w:pPr>
              <w:jc w:val="center"/>
              <w:rPr>
                <w:color w:val="000000"/>
                <w:sz w:val="20"/>
                <w:szCs w:val="20"/>
              </w:rPr>
            </w:pPr>
            <w:r w:rsidRPr="003E2A75">
              <w:rPr>
                <w:color w:val="000000"/>
                <w:sz w:val="20"/>
                <w:szCs w:val="20"/>
              </w:rPr>
              <w:t>941 921</w:t>
            </w:r>
          </w:p>
        </w:tc>
        <w:tc>
          <w:tcPr>
            <w:tcW w:w="1000" w:type="dxa"/>
            <w:shd w:val="clear" w:color="auto" w:fill="auto"/>
            <w:noWrap/>
            <w:vAlign w:val="center"/>
          </w:tcPr>
          <w:p w14:paraId="71D28494" w14:textId="77777777" w:rsidR="00746D3C" w:rsidRPr="006B6335" w:rsidRDefault="00746D3C" w:rsidP="007B3372">
            <w:pPr>
              <w:jc w:val="center"/>
              <w:rPr>
                <w:sz w:val="20"/>
                <w:szCs w:val="20"/>
              </w:rPr>
            </w:pPr>
            <w:r w:rsidRPr="003E2A75">
              <w:rPr>
                <w:color w:val="000000"/>
                <w:sz w:val="20"/>
                <w:szCs w:val="20"/>
              </w:rPr>
              <w:t>In (zvyšuje náklady)</w:t>
            </w:r>
          </w:p>
        </w:tc>
        <w:tc>
          <w:tcPr>
            <w:tcW w:w="708" w:type="dxa"/>
            <w:shd w:val="clear" w:color="auto" w:fill="auto"/>
            <w:noWrap/>
            <w:vAlign w:val="center"/>
          </w:tcPr>
          <w:p w14:paraId="343525B7"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75F4B25F"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2F9A314B"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056B97A" w14:textId="77777777" w:rsidR="00746D3C" w:rsidRPr="006B6335" w:rsidRDefault="00746D3C" w:rsidP="007B3372">
            <w:pPr>
              <w:jc w:val="center"/>
              <w:rPr>
                <w:sz w:val="20"/>
                <w:szCs w:val="20"/>
                <w:highlight w:val="yellow"/>
              </w:rPr>
            </w:pPr>
            <w:r w:rsidRPr="003E2A75">
              <w:rPr>
                <w:color w:val="000000"/>
                <w:sz w:val="20"/>
                <w:szCs w:val="20"/>
              </w:rPr>
              <w:t>6</w:t>
            </w:r>
          </w:p>
        </w:tc>
        <w:tc>
          <w:tcPr>
            <w:tcW w:w="1740" w:type="dxa"/>
            <w:shd w:val="clear" w:color="auto" w:fill="auto"/>
            <w:vAlign w:val="center"/>
          </w:tcPr>
          <w:p w14:paraId="6A1632D1" w14:textId="77777777" w:rsidR="00746D3C" w:rsidRPr="006B6335" w:rsidRDefault="00746D3C" w:rsidP="007B3372">
            <w:pPr>
              <w:jc w:val="center"/>
              <w:rPr>
                <w:sz w:val="20"/>
                <w:szCs w:val="20"/>
                <w:highlight w:val="yellow"/>
              </w:rPr>
            </w:pPr>
            <w:r w:rsidRPr="003E2A75">
              <w:rPr>
                <w:color w:val="000000"/>
                <w:sz w:val="20"/>
                <w:szCs w:val="20"/>
              </w:rPr>
              <w:t>Povinnosť zabezpečiť zaslanie a prijatie elektronickej faktúry doručovacou službou</w:t>
            </w:r>
          </w:p>
        </w:tc>
        <w:tc>
          <w:tcPr>
            <w:tcW w:w="992" w:type="dxa"/>
            <w:vAlign w:val="center"/>
          </w:tcPr>
          <w:p w14:paraId="70A87049" w14:textId="77777777" w:rsidR="00746D3C" w:rsidRPr="006B6335" w:rsidRDefault="00746D3C" w:rsidP="007B3372">
            <w:pPr>
              <w:jc w:val="center"/>
              <w:rPr>
                <w:sz w:val="20"/>
                <w:szCs w:val="20"/>
                <w:highlight w:val="yellow"/>
              </w:rPr>
            </w:pPr>
            <w:r w:rsidRPr="003E2A75">
              <w:rPr>
                <w:color w:val="000000"/>
                <w:sz w:val="20"/>
                <w:szCs w:val="20"/>
              </w:rPr>
              <w:t>zákon č. 222/2004 Z. z.</w:t>
            </w:r>
          </w:p>
        </w:tc>
        <w:tc>
          <w:tcPr>
            <w:tcW w:w="1134" w:type="dxa"/>
            <w:vAlign w:val="center"/>
          </w:tcPr>
          <w:p w14:paraId="08E8A419" w14:textId="77777777" w:rsidR="00746D3C" w:rsidRPr="006B6335" w:rsidRDefault="00746D3C" w:rsidP="007B3372">
            <w:pPr>
              <w:jc w:val="center"/>
              <w:rPr>
                <w:sz w:val="20"/>
                <w:szCs w:val="20"/>
                <w:highlight w:val="yellow"/>
              </w:rPr>
            </w:pPr>
            <w:r w:rsidRPr="003E2A75">
              <w:rPr>
                <w:color w:val="000000"/>
                <w:sz w:val="20"/>
                <w:szCs w:val="20"/>
              </w:rPr>
              <w:t>§ 71 ods. 5, § 76a</w:t>
            </w:r>
          </w:p>
        </w:tc>
        <w:tc>
          <w:tcPr>
            <w:tcW w:w="1843" w:type="dxa"/>
            <w:shd w:val="clear" w:color="auto" w:fill="auto"/>
            <w:vAlign w:val="center"/>
          </w:tcPr>
          <w:p w14:paraId="5FEC050F"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highlight w:val="yellow"/>
              </w:rPr>
            </w:pPr>
            <w:r w:rsidRPr="003E2A75">
              <w:rPr>
                <w:rFonts w:ascii="Times New Roman" w:hAnsi="Times New Roman" w:cs="Times New Roman"/>
                <w:color w:val="000000"/>
                <w:sz w:val="20"/>
                <w:szCs w:val="20"/>
              </w:rPr>
              <w:t>2. EÚ úplná harmonizácia</w:t>
            </w:r>
          </w:p>
        </w:tc>
        <w:tc>
          <w:tcPr>
            <w:tcW w:w="992" w:type="dxa"/>
            <w:vAlign w:val="center"/>
          </w:tcPr>
          <w:p w14:paraId="7C8AF034" w14:textId="77777777" w:rsidR="00746D3C" w:rsidRPr="006B6335" w:rsidRDefault="00746D3C" w:rsidP="007B3372">
            <w:pPr>
              <w:jc w:val="center"/>
              <w:rPr>
                <w:color w:val="000000"/>
                <w:sz w:val="20"/>
                <w:szCs w:val="20"/>
                <w:highlight w:val="yellow"/>
              </w:rPr>
            </w:pPr>
            <w:r w:rsidRPr="003E2A75">
              <w:rPr>
                <w:color w:val="000000"/>
                <w:sz w:val="20"/>
                <w:szCs w:val="20"/>
              </w:rPr>
              <w:t>01.01.27</w:t>
            </w:r>
          </w:p>
        </w:tc>
        <w:tc>
          <w:tcPr>
            <w:tcW w:w="1160" w:type="dxa"/>
            <w:shd w:val="clear" w:color="auto" w:fill="auto"/>
            <w:noWrap/>
            <w:vAlign w:val="center"/>
          </w:tcPr>
          <w:p w14:paraId="792E0056" w14:textId="77777777" w:rsidR="00746D3C" w:rsidRPr="006B6335" w:rsidRDefault="00746D3C" w:rsidP="007B3372">
            <w:pPr>
              <w:jc w:val="center"/>
              <w:rPr>
                <w:color w:val="000000"/>
                <w:sz w:val="20"/>
                <w:szCs w:val="20"/>
                <w:highlight w:val="yellow"/>
              </w:rPr>
            </w:pPr>
            <w:r w:rsidRPr="003E2A75">
              <w:rPr>
                <w:color w:val="000000"/>
                <w:sz w:val="20"/>
                <w:szCs w:val="20"/>
              </w:rPr>
              <w:t>platitelia dane, osoby registrované pre daň podľa § 7 a § 7a, zdaniteľné osoby</w:t>
            </w:r>
          </w:p>
        </w:tc>
        <w:tc>
          <w:tcPr>
            <w:tcW w:w="1108" w:type="dxa"/>
            <w:vAlign w:val="center"/>
          </w:tcPr>
          <w:p w14:paraId="74CFD069" w14:textId="77777777" w:rsidR="00746D3C" w:rsidRPr="006B6335" w:rsidRDefault="00746D3C" w:rsidP="007B3372">
            <w:pPr>
              <w:jc w:val="center"/>
              <w:rPr>
                <w:sz w:val="20"/>
                <w:szCs w:val="20"/>
                <w:highlight w:val="yellow"/>
              </w:rPr>
            </w:pPr>
            <w:r w:rsidRPr="003E2A75">
              <w:rPr>
                <w:color w:val="000000"/>
                <w:sz w:val="20"/>
                <w:szCs w:val="20"/>
              </w:rPr>
              <w:t xml:space="preserve">530 726 </w:t>
            </w:r>
          </w:p>
        </w:tc>
        <w:tc>
          <w:tcPr>
            <w:tcW w:w="851" w:type="dxa"/>
            <w:shd w:val="clear" w:color="auto" w:fill="auto"/>
            <w:noWrap/>
            <w:vAlign w:val="center"/>
          </w:tcPr>
          <w:p w14:paraId="637B3F02" w14:textId="77777777" w:rsidR="00746D3C" w:rsidRPr="006B6335" w:rsidRDefault="00746D3C" w:rsidP="007B3372">
            <w:pPr>
              <w:jc w:val="center"/>
              <w:rPr>
                <w:sz w:val="20"/>
                <w:szCs w:val="20"/>
                <w:highlight w:val="yellow"/>
              </w:rPr>
            </w:pPr>
            <w:r w:rsidRPr="003E2A75">
              <w:rPr>
                <w:color w:val="000000"/>
                <w:sz w:val="20"/>
                <w:szCs w:val="20"/>
              </w:rPr>
              <w:t>26</w:t>
            </w:r>
          </w:p>
        </w:tc>
        <w:tc>
          <w:tcPr>
            <w:tcW w:w="843" w:type="dxa"/>
            <w:shd w:val="clear" w:color="auto" w:fill="auto"/>
            <w:noWrap/>
            <w:vAlign w:val="center"/>
          </w:tcPr>
          <w:p w14:paraId="0A2D1B1A" w14:textId="77777777" w:rsidR="00746D3C" w:rsidRPr="006B6335" w:rsidRDefault="00746D3C" w:rsidP="007B3372">
            <w:pPr>
              <w:jc w:val="center"/>
              <w:rPr>
                <w:color w:val="000000"/>
                <w:sz w:val="20"/>
                <w:szCs w:val="20"/>
                <w:highlight w:val="yellow"/>
              </w:rPr>
            </w:pPr>
            <w:r w:rsidRPr="003E2A75">
              <w:rPr>
                <w:color w:val="000000"/>
                <w:sz w:val="20"/>
                <w:szCs w:val="20"/>
              </w:rPr>
              <w:t>13 770 217</w:t>
            </w:r>
          </w:p>
        </w:tc>
        <w:tc>
          <w:tcPr>
            <w:tcW w:w="1000" w:type="dxa"/>
            <w:shd w:val="clear" w:color="auto" w:fill="auto"/>
            <w:noWrap/>
            <w:vAlign w:val="center"/>
          </w:tcPr>
          <w:p w14:paraId="7F757315" w14:textId="77777777" w:rsidR="00746D3C" w:rsidRPr="006B6335" w:rsidRDefault="00746D3C" w:rsidP="007B3372">
            <w:pPr>
              <w:jc w:val="center"/>
              <w:rPr>
                <w:sz w:val="20"/>
                <w:szCs w:val="20"/>
                <w:highlight w:val="yellow"/>
              </w:rPr>
            </w:pPr>
            <w:r w:rsidRPr="003E2A75">
              <w:rPr>
                <w:color w:val="000000"/>
                <w:sz w:val="20"/>
                <w:szCs w:val="20"/>
              </w:rPr>
              <w:t>In (zvyšuje náklady)</w:t>
            </w:r>
          </w:p>
        </w:tc>
        <w:tc>
          <w:tcPr>
            <w:tcW w:w="708" w:type="dxa"/>
            <w:shd w:val="clear" w:color="auto" w:fill="auto"/>
            <w:noWrap/>
            <w:vAlign w:val="center"/>
          </w:tcPr>
          <w:p w14:paraId="57CCE723" w14:textId="77777777" w:rsidR="00746D3C" w:rsidRPr="006B6335" w:rsidRDefault="00746D3C" w:rsidP="007B3372">
            <w:pPr>
              <w:jc w:val="center"/>
              <w:rPr>
                <w:color w:val="000000"/>
                <w:sz w:val="20"/>
                <w:szCs w:val="20"/>
                <w:highlight w:val="yellow"/>
              </w:rPr>
            </w:pPr>
            <w:r w:rsidRPr="003E2A75">
              <w:rPr>
                <w:sz w:val="20"/>
                <w:szCs w:val="20"/>
              </w:rPr>
              <w:t>0</w:t>
            </w:r>
          </w:p>
        </w:tc>
        <w:tc>
          <w:tcPr>
            <w:tcW w:w="1134" w:type="dxa"/>
            <w:vAlign w:val="center"/>
          </w:tcPr>
          <w:p w14:paraId="6ACC02F4" w14:textId="77777777" w:rsidR="00746D3C" w:rsidRPr="006B6335" w:rsidRDefault="00746D3C" w:rsidP="007B3372">
            <w:pPr>
              <w:jc w:val="center"/>
              <w:rPr>
                <w:sz w:val="20"/>
                <w:szCs w:val="20"/>
                <w:highlight w:val="yellow"/>
              </w:rPr>
            </w:pPr>
            <w:r w:rsidRPr="003E2A75">
              <w:rPr>
                <w:color w:val="000000"/>
                <w:sz w:val="20"/>
                <w:szCs w:val="20"/>
              </w:rPr>
              <w:t>0</w:t>
            </w:r>
          </w:p>
        </w:tc>
      </w:tr>
      <w:tr w:rsidR="00746D3C" w:rsidRPr="00895898" w14:paraId="044959CB"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961DE64" w14:textId="77777777" w:rsidR="00746D3C" w:rsidRPr="006B6335" w:rsidRDefault="00746D3C" w:rsidP="007B3372">
            <w:pPr>
              <w:jc w:val="center"/>
              <w:rPr>
                <w:sz w:val="20"/>
                <w:szCs w:val="20"/>
              </w:rPr>
            </w:pPr>
            <w:r w:rsidRPr="003E2A75">
              <w:rPr>
                <w:color w:val="000000"/>
                <w:sz w:val="20"/>
                <w:szCs w:val="20"/>
              </w:rPr>
              <w:t>7</w:t>
            </w:r>
          </w:p>
        </w:tc>
        <w:tc>
          <w:tcPr>
            <w:tcW w:w="1740" w:type="dxa"/>
            <w:shd w:val="clear" w:color="auto" w:fill="auto"/>
            <w:vAlign w:val="center"/>
          </w:tcPr>
          <w:p w14:paraId="4A9D7B7E" w14:textId="77777777" w:rsidR="00746D3C" w:rsidRPr="006B6335" w:rsidRDefault="00746D3C" w:rsidP="007B3372">
            <w:pPr>
              <w:jc w:val="center"/>
              <w:rPr>
                <w:sz w:val="20"/>
                <w:szCs w:val="20"/>
              </w:rPr>
            </w:pPr>
            <w:r w:rsidRPr="003E2A75">
              <w:rPr>
                <w:color w:val="000000"/>
                <w:sz w:val="20"/>
                <w:szCs w:val="20"/>
              </w:rPr>
              <w:t>Skrátenie lehoty na vyhotovenie faktúry (tuzemské a cezhraničné transakcie)</w:t>
            </w:r>
          </w:p>
        </w:tc>
        <w:tc>
          <w:tcPr>
            <w:tcW w:w="992" w:type="dxa"/>
            <w:vAlign w:val="center"/>
          </w:tcPr>
          <w:p w14:paraId="16977076"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4AC2109F" w14:textId="77777777" w:rsidR="00746D3C" w:rsidRPr="006B6335" w:rsidRDefault="00746D3C" w:rsidP="007B3372">
            <w:pPr>
              <w:jc w:val="center"/>
              <w:rPr>
                <w:sz w:val="20"/>
                <w:szCs w:val="20"/>
              </w:rPr>
            </w:pPr>
            <w:r w:rsidRPr="003E2A75">
              <w:rPr>
                <w:color w:val="000000"/>
                <w:sz w:val="20"/>
                <w:szCs w:val="20"/>
              </w:rPr>
              <w:t>§ 73 a § 75</w:t>
            </w:r>
          </w:p>
        </w:tc>
        <w:tc>
          <w:tcPr>
            <w:tcW w:w="1843" w:type="dxa"/>
            <w:shd w:val="clear" w:color="auto" w:fill="auto"/>
            <w:vAlign w:val="center"/>
          </w:tcPr>
          <w:p w14:paraId="12046E9E"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4F14687B" w14:textId="77777777" w:rsidR="00746D3C" w:rsidRPr="006B6335" w:rsidRDefault="00746D3C" w:rsidP="007B3372">
            <w:pPr>
              <w:jc w:val="center"/>
              <w:rPr>
                <w:color w:val="000000"/>
                <w:sz w:val="20"/>
                <w:szCs w:val="20"/>
              </w:rPr>
            </w:pPr>
            <w:r w:rsidRPr="003E2A75">
              <w:rPr>
                <w:color w:val="000000"/>
                <w:sz w:val="20"/>
                <w:szCs w:val="20"/>
              </w:rPr>
              <w:t>01.07.30</w:t>
            </w:r>
          </w:p>
        </w:tc>
        <w:tc>
          <w:tcPr>
            <w:tcW w:w="1160" w:type="dxa"/>
            <w:shd w:val="clear" w:color="auto" w:fill="auto"/>
            <w:noWrap/>
            <w:vAlign w:val="center"/>
          </w:tcPr>
          <w:p w14:paraId="5CF922A7" w14:textId="77777777" w:rsidR="00746D3C" w:rsidRPr="006B6335" w:rsidRDefault="00746D3C" w:rsidP="007B3372">
            <w:pPr>
              <w:jc w:val="center"/>
              <w:rPr>
                <w:color w:val="000000"/>
                <w:sz w:val="20"/>
                <w:szCs w:val="20"/>
              </w:rPr>
            </w:pPr>
            <w:r w:rsidRPr="003E2A75">
              <w:rPr>
                <w:color w:val="000000"/>
                <w:sz w:val="20"/>
                <w:szCs w:val="20"/>
              </w:rPr>
              <w:t>platitelia dane</w:t>
            </w:r>
          </w:p>
        </w:tc>
        <w:tc>
          <w:tcPr>
            <w:tcW w:w="1108" w:type="dxa"/>
            <w:vAlign w:val="center"/>
          </w:tcPr>
          <w:p w14:paraId="5CB3570E" w14:textId="77777777" w:rsidR="00746D3C" w:rsidRPr="006B6335" w:rsidRDefault="00746D3C" w:rsidP="007B3372">
            <w:pPr>
              <w:jc w:val="center"/>
              <w:rPr>
                <w:sz w:val="20"/>
                <w:szCs w:val="20"/>
              </w:rPr>
            </w:pPr>
            <w:r w:rsidRPr="003E2A75">
              <w:rPr>
                <w:color w:val="000000"/>
                <w:sz w:val="20"/>
                <w:szCs w:val="20"/>
              </w:rPr>
              <w:t xml:space="preserve">225 206 </w:t>
            </w:r>
          </w:p>
        </w:tc>
        <w:tc>
          <w:tcPr>
            <w:tcW w:w="851" w:type="dxa"/>
            <w:shd w:val="clear" w:color="auto" w:fill="auto"/>
            <w:noWrap/>
            <w:vAlign w:val="center"/>
          </w:tcPr>
          <w:p w14:paraId="671F8DA0" w14:textId="77777777" w:rsidR="00746D3C" w:rsidRPr="006B6335" w:rsidRDefault="00746D3C" w:rsidP="007B3372">
            <w:pPr>
              <w:jc w:val="center"/>
              <w:rPr>
                <w:sz w:val="20"/>
                <w:szCs w:val="20"/>
              </w:rPr>
            </w:pPr>
            <w:r w:rsidRPr="003E2A75">
              <w:rPr>
                <w:color w:val="000000"/>
                <w:sz w:val="20"/>
                <w:szCs w:val="20"/>
              </w:rPr>
              <w:t>6,4865</w:t>
            </w:r>
          </w:p>
        </w:tc>
        <w:tc>
          <w:tcPr>
            <w:tcW w:w="843" w:type="dxa"/>
            <w:shd w:val="clear" w:color="auto" w:fill="auto"/>
            <w:noWrap/>
            <w:vAlign w:val="center"/>
          </w:tcPr>
          <w:p w14:paraId="40890F49" w14:textId="77777777" w:rsidR="00746D3C" w:rsidRPr="006B6335" w:rsidRDefault="00746D3C" w:rsidP="007B3372">
            <w:pPr>
              <w:jc w:val="center"/>
              <w:rPr>
                <w:color w:val="000000"/>
                <w:sz w:val="20"/>
                <w:szCs w:val="20"/>
              </w:rPr>
            </w:pPr>
            <w:r w:rsidRPr="003E2A75">
              <w:rPr>
                <w:color w:val="000000"/>
                <w:sz w:val="20"/>
                <w:szCs w:val="20"/>
              </w:rPr>
              <w:t>1460798,719</w:t>
            </w:r>
          </w:p>
        </w:tc>
        <w:tc>
          <w:tcPr>
            <w:tcW w:w="1000" w:type="dxa"/>
            <w:shd w:val="clear" w:color="auto" w:fill="auto"/>
            <w:noWrap/>
            <w:vAlign w:val="center"/>
          </w:tcPr>
          <w:p w14:paraId="651C4D64" w14:textId="77777777" w:rsidR="00746D3C" w:rsidRPr="006B6335" w:rsidRDefault="00746D3C" w:rsidP="007B3372">
            <w:pPr>
              <w:jc w:val="center"/>
              <w:rPr>
                <w:sz w:val="20"/>
                <w:szCs w:val="20"/>
              </w:rPr>
            </w:pPr>
            <w:r w:rsidRPr="003E2A75">
              <w:rPr>
                <w:color w:val="000000"/>
                <w:sz w:val="20"/>
                <w:szCs w:val="20"/>
              </w:rPr>
              <w:t>In (zvyšuje náklady)</w:t>
            </w:r>
          </w:p>
        </w:tc>
        <w:tc>
          <w:tcPr>
            <w:tcW w:w="708" w:type="dxa"/>
            <w:shd w:val="clear" w:color="auto" w:fill="auto"/>
            <w:noWrap/>
            <w:vAlign w:val="center"/>
          </w:tcPr>
          <w:p w14:paraId="09D1E86C" w14:textId="77777777" w:rsidR="00746D3C" w:rsidRPr="006B6335" w:rsidRDefault="00746D3C" w:rsidP="007B3372">
            <w:pPr>
              <w:jc w:val="center"/>
              <w:rPr>
                <w:color w:val="000000"/>
                <w:sz w:val="20"/>
                <w:szCs w:val="20"/>
              </w:rPr>
            </w:pPr>
            <w:r w:rsidRPr="003E2A75">
              <w:rPr>
                <w:color w:val="000000"/>
                <w:sz w:val="20"/>
                <w:szCs w:val="20"/>
              </w:rPr>
              <w:t>0</w:t>
            </w:r>
          </w:p>
        </w:tc>
        <w:tc>
          <w:tcPr>
            <w:tcW w:w="1134" w:type="dxa"/>
            <w:vAlign w:val="center"/>
          </w:tcPr>
          <w:p w14:paraId="54CE2AB6"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05BBEF98"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D0673C7" w14:textId="77777777" w:rsidR="00746D3C" w:rsidRPr="006B6335" w:rsidRDefault="00746D3C" w:rsidP="007B3372">
            <w:pPr>
              <w:jc w:val="center"/>
              <w:rPr>
                <w:sz w:val="20"/>
                <w:szCs w:val="20"/>
              </w:rPr>
            </w:pPr>
            <w:r w:rsidRPr="003E2A75">
              <w:rPr>
                <w:color w:val="000000"/>
                <w:sz w:val="20"/>
                <w:szCs w:val="20"/>
              </w:rPr>
              <w:t>8</w:t>
            </w:r>
          </w:p>
        </w:tc>
        <w:tc>
          <w:tcPr>
            <w:tcW w:w="1740" w:type="dxa"/>
            <w:shd w:val="clear" w:color="auto" w:fill="auto"/>
            <w:vAlign w:val="center"/>
          </w:tcPr>
          <w:p w14:paraId="4B944128" w14:textId="77777777" w:rsidR="00746D3C" w:rsidRPr="006B6335" w:rsidRDefault="00746D3C" w:rsidP="007B3372">
            <w:pPr>
              <w:jc w:val="center"/>
              <w:rPr>
                <w:sz w:val="20"/>
                <w:szCs w:val="20"/>
              </w:rPr>
            </w:pPr>
            <w:r w:rsidRPr="003E2A75">
              <w:rPr>
                <w:color w:val="000000"/>
                <w:sz w:val="20"/>
                <w:szCs w:val="20"/>
              </w:rPr>
              <w:t>Vyhotovenie elektronickej faktúry platiteľom dane (tuzemské transakcie)</w:t>
            </w:r>
          </w:p>
        </w:tc>
        <w:tc>
          <w:tcPr>
            <w:tcW w:w="992" w:type="dxa"/>
            <w:vAlign w:val="center"/>
          </w:tcPr>
          <w:p w14:paraId="11946749"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054B2780" w14:textId="77777777" w:rsidR="00746D3C" w:rsidRPr="006B6335" w:rsidRDefault="00746D3C" w:rsidP="007B3372">
            <w:pPr>
              <w:jc w:val="center"/>
              <w:rPr>
                <w:sz w:val="20"/>
                <w:szCs w:val="20"/>
              </w:rPr>
            </w:pPr>
            <w:r w:rsidRPr="003E2A75">
              <w:rPr>
                <w:color w:val="000000"/>
                <w:sz w:val="20"/>
                <w:szCs w:val="20"/>
              </w:rPr>
              <w:t>§ 71 ods. 1 písm. b),  § 85n</w:t>
            </w:r>
          </w:p>
        </w:tc>
        <w:tc>
          <w:tcPr>
            <w:tcW w:w="1843" w:type="dxa"/>
            <w:shd w:val="clear" w:color="auto" w:fill="auto"/>
            <w:vAlign w:val="center"/>
          </w:tcPr>
          <w:p w14:paraId="2F371405"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 xml:space="preserve">3b)  Navýšenie  požiadaviek nad rámec minimálnych požiadaviek smernice EÚ, </w:t>
            </w:r>
          </w:p>
        </w:tc>
        <w:tc>
          <w:tcPr>
            <w:tcW w:w="992" w:type="dxa"/>
            <w:vAlign w:val="center"/>
          </w:tcPr>
          <w:p w14:paraId="6F07D855" w14:textId="77777777" w:rsidR="00746D3C" w:rsidRPr="006B6335" w:rsidRDefault="00746D3C" w:rsidP="007B3372">
            <w:pPr>
              <w:jc w:val="center"/>
              <w:rPr>
                <w:color w:val="000000"/>
                <w:sz w:val="20"/>
                <w:szCs w:val="20"/>
              </w:rPr>
            </w:pPr>
            <w:r w:rsidRPr="003E2A75">
              <w:rPr>
                <w:color w:val="000000"/>
                <w:sz w:val="20"/>
                <w:szCs w:val="20"/>
              </w:rPr>
              <w:t>1.1.2027 a 1.7.2030</w:t>
            </w:r>
          </w:p>
        </w:tc>
        <w:tc>
          <w:tcPr>
            <w:tcW w:w="1160" w:type="dxa"/>
            <w:shd w:val="clear" w:color="auto" w:fill="auto"/>
            <w:noWrap/>
            <w:vAlign w:val="center"/>
          </w:tcPr>
          <w:p w14:paraId="1B0330E3" w14:textId="77777777" w:rsidR="00746D3C" w:rsidRPr="006B6335" w:rsidRDefault="00746D3C" w:rsidP="007B3372">
            <w:pPr>
              <w:jc w:val="center"/>
              <w:rPr>
                <w:color w:val="000000"/>
                <w:sz w:val="20"/>
                <w:szCs w:val="20"/>
              </w:rPr>
            </w:pPr>
            <w:r w:rsidRPr="003E2A75">
              <w:rPr>
                <w:color w:val="000000"/>
                <w:sz w:val="20"/>
                <w:szCs w:val="20"/>
              </w:rPr>
              <w:t>platitelia dane</w:t>
            </w:r>
          </w:p>
        </w:tc>
        <w:tc>
          <w:tcPr>
            <w:tcW w:w="1108" w:type="dxa"/>
            <w:vAlign w:val="center"/>
          </w:tcPr>
          <w:p w14:paraId="64773F9E" w14:textId="77777777" w:rsidR="00746D3C" w:rsidRPr="006B6335" w:rsidRDefault="00746D3C" w:rsidP="007B3372">
            <w:pPr>
              <w:jc w:val="center"/>
              <w:rPr>
                <w:sz w:val="20"/>
                <w:szCs w:val="20"/>
              </w:rPr>
            </w:pPr>
            <w:r w:rsidRPr="003E2A75">
              <w:rPr>
                <w:color w:val="000000"/>
                <w:sz w:val="20"/>
                <w:szCs w:val="20"/>
              </w:rPr>
              <w:t xml:space="preserve">225 206 </w:t>
            </w:r>
          </w:p>
        </w:tc>
        <w:tc>
          <w:tcPr>
            <w:tcW w:w="851" w:type="dxa"/>
            <w:shd w:val="clear" w:color="auto" w:fill="auto"/>
            <w:noWrap/>
            <w:vAlign w:val="center"/>
          </w:tcPr>
          <w:p w14:paraId="4DD0715B" w14:textId="77777777" w:rsidR="00746D3C" w:rsidRPr="006B6335" w:rsidRDefault="00746D3C" w:rsidP="007B3372">
            <w:pPr>
              <w:jc w:val="center"/>
              <w:rPr>
                <w:sz w:val="20"/>
                <w:szCs w:val="20"/>
              </w:rPr>
            </w:pPr>
            <w:r w:rsidRPr="003E2A75">
              <w:rPr>
                <w:color w:val="000000"/>
                <w:sz w:val="20"/>
                <w:szCs w:val="20"/>
              </w:rPr>
              <w:t>108</w:t>
            </w:r>
          </w:p>
        </w:tc>
        <w:tc>
          <w:tcPr>
            <w:tcW w:w="843" w:type="dxa"/>
            <w:shd w:val="clear" w:color="auto" w:fill="auto"/>
            <w:noWrap/>
            <w:vAlign w:val="center"/>
          </w:tcPr>
          <w:p w14:paraId="50998B8C" w14:textId="77777777" w:rsidR="00746D3C" w:rsidRPr="006B6335" w:rsidRDefault="00746D3C" w:rsidP="007B3372">
            <w:pPr>
              <w:jc w:val="center"/>
              <w:rPr>
                <w:color w:val="000000"/>
                <w:sz w:val="20"/>
                <w:szCs w:val="20"/>
              </w:rPr>
            </w:pPr>
            <w:r w:rsidRPr="003E2A75">
              <w:rPr>
                <w:color w:val="000000"/>
                <w:sz w:val="20"/>
                <w:szCs w:val="20"/>
              </w:rPr>
              <w:t>24 322 248</w:t>
            </w:r>
          </w:p>
        </w:tc>
        <w:tc>
          <w:tcPr>
            <w:tcW w:w="1000" w:type="dxa"/>
            <w:shd w:val="clear" w:color="auto" w:fill="auto"/>
            <w:noWrap/>
            <w:vAlign w:val="center"/>
          </w:tcPr>
          <w:p w14:paraId="2D8B4B62"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53D7BA0E" w14:textId="77777777" w:rsidR="00746D3C" w:rsidRPr="006B6335" w:rsidRDefault="00746D3C" w:rsidP="007B3372">
            <w:pPr>
              <w:jc w:val="center"/>
              <w:rPr>
                <w:color w:val="000000"/>
                <w:sz w:val="20"/>
                <w:szCs w:val="20"/>
              </w:rPr>
            </w:pPr>
            <w:r w:rsidRPr="003E2A75">
              <w:rPr>
                <w:sz w:val="20"/>
                <w:szCs w:val="20"/>
              </w:rPr>
              <w:t>24 322 248</w:t>
            </w:r>
          </w:p>
        </w:tc>
        <w:tc>
          <w:tcPr>
            <w:tcW w:w="1134" w:type="dxa"/>
            <w:vAlign w:val="center"/>
          </w:tcPr>
          <w:p w14:paraId="1609818E" w14:textId="77777777" w:rsidR="00746D3C" w:rsidRPr="006B6335" w:rsidRDefault="00746D3C" w:rsidP="007B3372">
            <w:pPr>
              <w:jc w:val="center"/>
              <w:rPr>
                <w:sz w:val="20"/>
                <w:szCs w:val="20"/>
              </w:rPr>
            </w:pPr>
            <w:r w:rsidRPr="003E2A75">
              <w:rPr>
                <w:color w:val="000000"/>
                <w:sz w:val="20"/>
                <w:szCs w:val="20"/>
              </w:rPr>
              <w:t>24 322 248</w:t>
            </w:r>
          </w:p>
        </w:tc>
      </w:tr>
      <w:tr w:rsidR="00746D3C" w:rsidRPr="00895898" w14:paraId="3B65741A"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5E346E1" w14:textId="77777777" w:rsidR="00746D3C" w:rsidRPr="006B6335" w:rsidRDefault="00746D3C" w:rsidP="007B3372">
            <w:pPr>
              <w:jc w:val="center"/>
              <w:rPr>
                <w:sz w:val="20"/>
                <w:szCs w:val="20"/>
              </w:rPr>
            </w:pPr>
            <w:r w:rsidRPr="003E2A75">
              <w:rPr>
                <w:color w:val="000000"/>
                <w:sz w:val="20"/>
                <w:szCs w:val="20"/>
              </w:rPr>
              <w:t>9</w:t>
            </w:r>
          </w:p>
        </w:tc>
        <w:tc>
          <w:tcPr>
            <w:tcW w:w="1740" w:type="dxa"/>
            <w:shd w:val="clear" w:color="auto" w:fill="auto"/>
            <w:vAlign w:val="center"/>
          </w:tcPr>
          <w:p w14:paraId="4B22E31B" w14:textId="77777777" w:rsidR="00746D3C" w:rsidRPr="006B6335" w:rsidRDefault="00746D3C" w:rsidP="007B3372">
            <w:pPr>
              <w:jc w:val="center"/>
              <w:rPr>
                <w:sz w:val="20"/>
                <w:szCs w:val="20"/>
              </w:rPr>
            </w:pPr>
            <w:r w:rsidRPr="003E2A75">
              <w:rPr>
                <w:color w:val="000000"/>
                <w:sz w:val="20"/>
                <w:szCs w:val="20"/>
              </w:rPr>
              <w:t>Prijatie elektronickej faktúry platiteľom dane (tuzemské transakcie)</w:t>
            </w:r>
          </w:p>
        </w:tc>
        <w:tc>
          <w:tcPr>
            <w:tcW w:w="992" w:type="dxa"/>
            <w:vAlign w:val="center"/>
          </w:tcPr>
          <w:p w14:paraId="146F5396"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0DE64DA1" w14:textId="77777777" w:rsidR="00746D3C" w:rsidRPr="006B6335" w:rsidRDefault="00746D3C" w:rsidP="007B3372">
            <w:pPr>
              <w:jc w:val="center"/>
              <w:rPr>
                <w:sz w:val="20"/>
                <w:szCs w:val="20"/>
              </w:rPr>
            </w:pPr>
            <w:r w:rsidRPr="003E2A75">
              <w:rPr>
                <w:color w:val="000000"/>
                <w:sz w:val="20"/>
                <w:szCs w:val="20"/>
              </w:rPr>
              <w:t>§ 71 ods. 1 písm. b),  § 85n</w:t>
            </w:r>
          </w:p>
        </w:tc>
        <w:tc>
          <w:tcPr>
            <w:tcW w:w="1843" w:type="dxa"/>
            <w:shd w:val="clear" w:color="auto" w:fill="auto"/>
            <w:vAlign w:val="center"/>
          </w:tcPr>
          <w:p w14:paraId="573CCC70"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 xml:space="preserve">3b)  Navýšenie  požiadaviek nad rámec minimálnych požiadaviek smernice EÚ, </w:t>
            </w:r>
          </w:p>
        </w:tc>
        <w:tc>
          <w:tcPr>
            <w:tcW w:w="992" w:type="dxa"/>
            <w:vAlign w:val="center"/>
          </w:tcPr>
          <w:p w14:paraId="527BD24F" w14:textId="77777777" w:rsidR="00746D3C" w:rsidRPr="006B6335" w:rsidRDefault="00746D3C" w:rsidP="007B3372">
            <w:pPr>
              <w:jc w:val="center"/>
              <w:rPr>
                <w:color w:val="000000"/>
                <w:sz w:val="20"/>
                <w:szCs w:val="20"/>
              </w:rPr>
            </w:pPr>
            <w:r w:rsidRPr="003E2A75">
              <w:rPr>
                <w:color w:val="000000"/>
                <w:sz w:val="20"/>
                <w:szCs w:val="20"/>
              </w:rPr>
              <w:t>1.1.2027 a 1.7.2030</w:t>
            </w:r>
          </w:p>
        </w:tc>
        <w:tc>
          <w:tcPr>
            <w:tcW w:w="1160" w:type="dxa"/>
            <w:shd w:val="clear" w:color="auto" w:fill="auto"/>
            <w:noWrap/>
            <w:vAlign w:val="center"/>
          </w:tcPr>
          <w:p w14:paraId="733FF092" w14:textId="77777777" w:rsidR="00746D3C" w:rsidRPr="006B6335" w:rsidRDefault="00746D3C" w:rsidP="007B3372">
            <w:pPr>
              <w:jc w:val="center"/>
              <w:rPr>
                <w:color w:val="000000"/>
                <w:sz w:val="20"/>
                <w:szCs w:val="20"/>
              </w:rPr>
            </w:pPr>
            <w:r w:rsidRPr="003E2A75">
              <w:rPr>
                <w:color w:val="000000"/>
                <w:sz w:val="20"/>
                <w:szCs w:val="20"/>
              </w:rPr>
              <w:t>platitelia dane</w:t>
            </w:r>
          </w:p>
        </w:tc>
        <w:tc>
          <w:tcPr>
            <w:tcW w:w="1108" w:type="dxa"/>
            <w:vAlign w:val="center"/>
          </w:tcPr>
          <w:p w14:paraId="76FD0301" w14:textId="77777777" w:rsidR="00746D3C" w:rsidRPr="006B6335" w:rsidRDefault="00746D3C" w:rsidP="007B3372">
            <w:pPr>
              <w:jc w:val="center"/>
              <w:rPr>
                <w:sz w:val="20"/>
                <w:szCs w:val="20"/>
              </w:rPr>
            </w:pPr>
            <w:r w:rsidRPr="003E2A75">
              <w:rPr>
                <w:color w:val="000000"/>
                <w:sz w:val="20"/>
                <w:szCs w:val="20"/>
              </w:rPr>
              <w:t xml:space="preserve">225 206 </w:t>
            </w:r>
          </w:p>
        </w:tc>
        <w:tc>
          <w:tcPr>
            <w:tcW w:w="851" w:type="dxa"/>
            <w:shd w:val="clear" w:color="auto" w:fill="auto"/>
            <w:noWrap/>
            <w:vAlign w:val="center"/>
          </w:tcPr>
          <w:p w14:paraId="636921D7" w14:textId="77777777" w:rsidR="00746D3C" w:rsidRPr="006B6335" w:rsidRDefault="00746D3C" w:rsidP="007B3372">
            <w:pPr>
              <w:jc w:val="center"/>
              <w:rPr>
                <w:sz w:val="20"/>
                <w:szCs w:val="20"/>
              </w:rPr>
            </w:pPr>
            <w:r w:rsidRPr="003E2A75">
              <w:rPr>
                <w:color w:val="000000"/>
                <w:sz w:val="20"/>
                <w:szCs w:val="20"/>
              </w:rPr>
              <w:t>43</w:t>
            </w:r>
          </w:p>
        </w:tc>
        <w:tc>
          <w:tcPr>
            <w:tcW w:w="843" w:type="dxa"/>
            <w:shd w:val="clear" w:color="auto" w:fill="auto"/>
            <w:noWrap/>
            <w:vAlign w:val="center"/>
          </w:tcPr>
          <w:p w14:paraId="53442546" w14:textId="77777777" w:rsidR="00746D3C" w:rsidRPr="006B6335" w:rsidRDefault="00746D3C" w:rsidP="007B3372">
            <w:pPr>
              <w:jc w:val="center"/>
              <w:rPr>
                <w:color w:val="000000"/>
                <w:sz w:val="20"/>
                <w:szCs w:val="20"/>
              </w:rPr>
            </w:pPr>
            <w:r w:rsidRPr="003E2A75">
              <w:rPr>
                <w:color w:val="000000"/>
                <w:sz w:val="20"/>
                <w:szCs w:val="20"/>
              </w:rPr>
              <w:t>9 683 858</w:t>
            </w:r>
          </w:p>
        </w:tc>
        <w:tc>
          <w:tcPr>
            <w:tcW w:w="1000" w:type="dxa"/>
            <w:shd w:val="clear" w:color="auto" w:fill="auto"/>
            <w:noWrap/>
            <w:vAlign w:val="center"/>
          </w:tcPr>
          <w:p w14:paraId="7856C50B"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33D2364D" w14:textId="77777777" w:rsidR="00746D3C" w:rsidRPr="006B6335" w:rsidRDefault="00746D3C" w:rsidP="007B3372">
            <w:pPr>
              <w:jc w:val="center"/>
              <w:rPr>
                <w:color w:val="000000"/>
                <w:sz w:val="20"/>
                <w:szCs w:val="20"/>
              </w:rPr>
            </w:pPr>
            <w:r w:rsidRPr="003E2A75">
              <w:rPr>
                <w:sz w:val="20"/>
                <w:szCs w:val="20"/>
              </w:rPr>
              <w:t>9 683 858</w:t>
            </w:r>
          </w:p>
        </w:tc>
        <w:tc>
          <w:tcPr>
            <w:tcW w:w="1134" w:type="dxa"/>
            <w:vAlign w:val="center"/>
          </w:tcPr>
          <w:p w14:paraId="2279F2D4" w14:textId="77777777" w:rsidR="00746D3C" w:rsidRPr="006B6335" w:rsidRDefault="00746D3C" w:rsidP="007B3372">
            <w:pPr>
              <w:jc w:val="center"/>
              <w:rPr>
                <w:sz w:val="20"/>
                <w:szCs w:val="20"/>
              </w:rPr>
            </w:pPr>
            <w:r w:rsidRPr="003E2A75">
              <w:rPr>
                <w:color w:val="000000"/>
                <w:sz w:val="20"/>
                <w:szCs w:val="20"/>
              </w:rPr>
              <w:t>9 683 858</w:t>
            </w:r>
          </w:p>
        </w:tc>
      </w:tr>
      <w:tr w:rsidR="00746D3C" w:rsidRPr="00895898" w14:paraId="134AE865"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E23CF0E" w14:textId="77777777" w:rsidR="00746D3C" w:rsidRPr="006B6335" w:rsidRDefault="00746D3C" w:rsidP="007B3372">
            <w:pPr>
              <w:jc w:val="center"/>
              <w:rPr>
                <w:sz w:val="20"/>
                <w:szCs w:val="20"/>
              </w:rPr>
            </w:pPr>
            <w:r w:rsidRPr="003E2A75">
              <w:rPr>
                <w:color w:val="000000"/>
                <w:sz w:val="20"/>
                <w:szCs w:val="20"/>
              </w:rPr>
              <w:t>10</w:t>
            </w:r>
          </w:p>
        </w:tc>
        <w:tc>
          <w:tcPr>
            <w:tcW w:w="1740" w:type="dxa"/>
            <w:shd w:val="clear" w:color="auto" w:fill="auto"/>
            <w:vAlign w:val="center"/>
          </w:tcPr>
          <w:p w14:paraId="7ECB1C1B" w14:textId="77777777" w:rsidR="00746D3C" w:rsidRPr="006B6335" w:rsidRDefault="00746D3C" w:rsidP="007B3372">
            <w:pPr>
              <w:jc w:val="center"/>
              <w:rPr>
                <w:sz w:val="20"/>
                <w:szCs w:val="20"/>
              </w:rPr>
            </w:pPr>
            <w:r w:rsidRPr="003E2A75">
              <w:rPr>
                <w:color w:val="000000"/>
                <w:sz w:val="20"/>
                <w:szCs w:val="20"/>
              </w:rPr>
              <w:t>Prijatie elektronickej faktúry zdaniteľnou osobou (tuzemské transakcie)</w:t>
            </w:r>
          </w:p>
        </w:tc>
        <w:tc>
          <w:tcPr>
            <w:tcW w:w="992" w:type="dxa"/>
            <w:vAlign w:val="center"/>
          </w:tcPr>
          <w:p w14:paraId="510237B6"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5D201D5A" w14:textId="77777777" w:rsidR="00746D3C" w:rsidRPr="006B6335" w:rsidRDefault="00746D3C" w:rsidP="007B3372">
            <w:pPr>
              <w:jc w:val="center"/>
              <w:rPr>
                <w:sz w:val="20"/>
                <w:szCs w:val="20"/>
              </w:rPr>
            </w:pPr>
            <w:r w:rsidRPr="003E2A75">
              <w:rPr>
                <w:color w:val="000000"/>
                <w:sz w:val="20"/>
                <w:szCs w:val="20"/>
              </w:rPr>
              <w:t>§ 71 ods. 1 písm. b),  § 85n</w:t>
            </w:r>
          </w:p>
        </w:tc>
        <w:tc>
          <w:tcPr>
            <w:tcW w:w="1843" w:type="dxa"/>
            <w:shd w:val="clear" w:color="auto" w:fill="auto"/>
            <w:vAlign w:val="center"/>
          </w:tcPr>
          <w:p w14:paraId="3412F68A"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 xml:space="preserve">3b)  Navýšenie  požiadaviek nad rámec minimálnych požiadaviek smernice EÚ, </w:t>
            </w:r>
          </w:p>
        </w:tc>
        <w:tc>
          <w:tcPr>
            <w:tcW w:w="992" w:type="dxa"/>
            <w:vAlign w:val="center"/>
          </w:tcPr>
          <w:p w14:paraId="5688D4BD" w14:textId="77777777" w:rsidR="00746D3C" w:rsidRPr="006B6335" w:rsidRDefault="00746D3C" w:rsidP="007B3372">
            <w:pPr>
              <w:jc w:val="center"/>
              <w:rPr>
                <w:color w:val="000000"/>
                <w:sz w:val="20"/>
                <w:szCs w:val="20"/>
              </w:rPr>
            </w:pPr>
            <w:r w:rsidRPr="003E2A75">
              <w:rPr>
                <w:color w:val="000000"/>
                <w:sz w:val="20"/>
                <w:szCs w:val="20"/>
              </w:rPr>
              <w:t>1.1.2027 a 1.7.2030</w:t>
            </w:r>
          </w:p>
        </w:tc>
        <w:tc>
          <w:tcPr>
            <w:tcW w:w="1160" w:type="dxa"/>
            <w:shd w:val="clear" w:color="auto" w:fill="auto"/>
            <w:noWrap/>
            <w:vAlign w:val="center"/>
          </w:tcPr>
          <w:p w14:paraId="5A5630DF" w14:textId="77777777" w:rsidR="00746D3C" w:rsidRPr="006B6335" w:rsidRDefault="00746D3C" w:rsidP="007B3372">
            <w:pPr>
              <w:jc w:val="center"/>
              <w:rPr>
                <w:color w:val="000000"/>
                <w:sz w:val="20"/>
                <w:szCs w:val="20"/>
              </w:rPr>
            </w:pPr>
            <w:r w:rsidRPr="003E2A75">
              <w:rPr>
                <w:color w:val="000000"/>
                <w:sz w:val="20"/>
                <w:szCs w:val="20"/>
              </w:rPr>
              <w:t>zdaniteľné osoby</w:t>
            </w:r>
          </w:p>
        </w:tc>
        <w:tc>
          <w:tcPr>
            <w:tcW w:w="1108" w:type="dxa"/>
            <w:vAlign w:val="center"/>
          </w:tcPr>
          <w:p w14:paraId="379DCF87" w14:textId="77777777" w:rsidR="00746D3C" w:rsidRPr="006B6335" w:rsidRDefault="00746D3C" w:rsidP="007B3372">
            <w:pPr>
              <w:jc w:val="center"/>
              <w:rPr>
                <w:sz w:val="20"/>
                <w:szCs w:val="20"/>
              </w:rPr>
            </w:pPr>
            <w:r w:rsidRPr="003E2A75">
              <w:rPr>
                <w:color w:val="000000"/>
                <w:sz w:val="20"/>
                <w:szCs w:val="20"/>
              </w:rPr>
              <w:t xml:space="preserve">240 301 </w:t>
            </w:r>
          </w:p>
        </w:tc>
        <w:tc>
          <w:tcPr>
            <w:tcW w:w="851" w:type="dxa"/>
            <w:shd w:val="clear" w:color="auto" w:fill="auto"/>
            <w:noWrap/>
            <w:vAlign w:val="center"/>
          </w:tcPr>
          <w:p w14:paraId="3C2F32D4" w14:textId="77777777" w:rsidR="00746D3C" w:rsidRPr="006B6335" w:rsidRDefault="00746D3C" w:rsidP="007B3372">
            <w:pPr>
              <w:jc w:val="center"/>
              <w:rPr>
                <w:sz w:val="20"/>
                <w:szCs w:val="20"/>
              </w:rPr>
            </w:pPr>
            <w:r w:rsidRPr="003E2A75">
              <w:rPr>
                <w:color w:val="000000"/>
                <w:sz w:val="20"/>
                <w:szCs w:val="20"/>
              </w:rPr>
              <w:t>17</w:t>
            </w:r>
          </w:p>
        </w:tc>
        <w:tc>
          <w:tcPr>
            <w:tcW w:w="843" w:type="dxa"/>
            <w:shd w:val="clear" w:color="auto" w:fill="auto"/>
            <w:noWrap/>
            <w:vAlign w:val="center"/>
          </w:tcPr>
          <w:p w14:paraId="79BDBF1C" w14:textId="77777777" w:rsidR="00746D3C" w:rsidRPr="006B6335" w:rsidRDefault="00746D3C" w:rsidP="007B3372">
            <w:pPr>
              <w:jc w:val="center"/>
              <w:rPr>
                <w:color w:val="000000"/>
                <w:sz w:val="20"/>
                <w:szCs w:val="20"/>
              </w:rPr>
            </w:pPr>
            <w:r w:rsidRPr="003E2A75">
              <w:rPr>
                <w:color w:val="000000"/>
                <w:sz w:val="20"/>
                <w:szCs w:val="20"/>
              </w:rPr>
              <w:t>3 988 997</w:t>
            </w:r>
          </w:p>
        </w:tc>
        <w:tc>
          <w:tcPr>
            <w:tcW w:w="1000" w:type="dxa"/>
            <w:shd w:val="clear" w:color="auto" w:fill="auto"/>
            <w:noWrap/>
            <w:vAlign w:val="center"/>
          </w:tcPr>
          <w:p w14:paraId="7F599C0A"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2BC42A0A" w14:textId="77777777" w:rsidR="00746D3C" w:rsidRPr="006B6335" w:rsidRDefault="00746D3C" w:rsidP="007B3372">
            <w:pPr>
              <w:jc w:val="center"/>
              <w:rPr>
                <w:color w:val="000000"/>
                <w:sz w:val="20"/>
                <w:szCs w:val="20"/>
              </w:rPr>
            </w:pPr>
            <w:r w:rsidRPr="003E2A75">
              <w:rPr>
                <w:sz w:val="20"/>
                <w:szCs w:val="20"/>
              </w:rPr>
              <w:t>3 988 997</w:t>
            </w:r>
          </w:p>
        </w:tc>
        <w:tc>
          <w:tcPr>
            <w:tcW w:w="1134" w:type="dxa"/>
            <w:vAlign w:val="center"/>
          </w:tcPr>
          <w:p w14:paraId="1F8D8598" w14:textId="77777777" w:rsidR="00746D3C" w:rsidRPr="006B6335" w:rsidRDefault="00746D3C" w:rsidP="007B3372">
            <w:pPr>
              <w:jc w:val="center"/>
              <w:rPr>
                <w:sz w:val="20"/>
                <w:szCs w:val="20"/>
              </w:rPr>
            </w:pPr>
            <w:r w:rsidRPr="003E2A75">
              <w:rPr>
                <w:color w:val="000000"/>
                <w:sz w:val="20"/>
                <w:szCs w:val="20"/>
              </w:rPr>
              <w:t>3 988 997</w:t>
            </w:r>
          </w:p>
        </w:tc>
      </w:tr>
      <w:tr w:rsidR="00746D3C" w:rsidRPr="00895898" w14:paraId="0E8B0B35"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BC22BCE" w14:textId="77777777" w:rsidR="00746D3C" w:rsidRPr="006B6335" w:rsidRDefault="00746D3C" w:rsidP="007B3372">
            <w:pPr>
              <w:jc w:val="center"/>
              <w:rPr>
                <w:sz w:val="20"/>
                <w:szCs w:val="20"/>
              </w:rPr>
            </w:pPr>
            <w:r w:rsidRPr="003E2A75">
              <w:rPr>
                <w:color w:val="000000"/>
                <w:sz w:val="20"/>
                <w:szCs w:val="20"/>
              </w:rPr>
              <w:t>11</w:t>
            </w:r>
          </w:p>
        </w:tc>
        <w:tc>
          <w:tcPr>
            <w:tcW w:w="1740" w:type="dxa"/>
            <w:shd w:val="clear" w:color="auto" w:fill="auto"/>
            <w:vAlign w:val="center"/>
          </w:tcPr>
          <w:p w14:paraId="231751C2" w14:textId="77777777" w:rsidR="00746D3C" w:rsidRPr="006B6335" w:rsidRDefault="00746D3C" w:rsidP="007B3372">
            <w:pPr>
              <w:jc w:val="center"/>
              <w:rPr>
                <w:sz w:val="20"/>
                <w:szCs w:val="20"/>
              </w:rPr>
            </w:pPr>
            <w:r w:rsidRPr="003E2A75">
              <w:rPr>
                <w:color w:val="000000"/>
                <w:sz w:val="20"/>
                <w:szCs w:val="20"/>
              </w:rPr>
              <w:t>Vyhotovenie opravnej elektronickej faktúry platiteľom dane (tuzemské transakcie)</w:t>
            </w:r>
          </w:p>
        </w:tc>
        <w:tc>
          <w:tcPr>
            <w:tcW w:w="992" w:type="dxa"/>
            <w:vAlign w:val="center"/>
          </w:tcPr>
          <w:p w14:paraId="50A843BC"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623B6F57" w14:textId="77777777" w:rsidR="00746D3C" w:rsidRPr="006B6335" w:rsidRDefault="00746D3C" w:rsidP="007B3372">
            <w:pPr>
              <w:jc w:val="center"/>
              <w:rPr>
                <w:sz w:val="20"/>
                <w:szCs w:val="20"/>
              </w:rPr>
            </w:pPr>
            <w:r w:rsidRPr="003E2A75">
              <w:rPr>
                <w:color w:val="000000"/>
                <w:sz w:val="20"/>
                <w:szCs w:val="20"/>
              </w:rPr>
              <w:t>§ 71 ods. 2, § 85n</w:t>
            </w:r>
          </w:p>
        </w:tc>
        <w:tc>
          <w:tcPr>
            <w:tcW w:w="1843" w:type="dxa"/>
            <w:shd w:val="clear" w:color="auto" w:fill="auto"/>
            <w:vAlign w:val="center"/>
          </w:tcPr>
          <w:p w14:paraId="1D2B59F7"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 xml:space="preserve">3b)  Navýšenie  požiadaviek nad rámec minimálnych požiadaviek smernice EÚ, </w:t>
            </w:r>
          </w:p>
        </w:tc>
        <w:tc>
          <w:tcPr>
            <w:tcW w:w="992" w:type="dxa"/>
            <w:vAlign w:val="center"/>
          </w:tcPr>
          <w:p w14:paraId="232707CA" w14:textId="77777777" w:rsidR="00746D3C" w:rsidRPr="006B6335" w:rsidRDefault="00746D3C" w:rsidP="007B3372">
            <w:pPr>
              <w:jc w:val="center"/>
              <w:rPr>
                <w:color w:val="000000"/>
                <w:sz w:val="20"/>
                <w:szCs w:val="20"/>
              </w:rPr>
            </w:pPr>
            <w:r w:rsidRPr="003E2A75">
              <w:rPr>
                <w:color w:val="000000"/>
                <w:sz w:val="20"/>
                <w:szCs w:val="20"/>
              </w:rPr>
              <w:t>1.1.2027 a 1.7.2030</w:t>
            </w:r>
          </w:p>
        </w:tc>
        <w:tc>
          <w:tcPr>
            <w:tcW w:w="1160" w:type="dxa"/>
            <w:shd w:val="clear" w:color="auto" w:fill="auto"/>
            <w:noWrap/>
            <w:vAlign w:val="center"/>
          </w:tcPr>
          <w:p w14:paraId="2B62868F" w14:textId="77777777" w:rsidR="00746D3C" w:rsidRPr="006B6335" w:rsidRDefault="00746D3C" w:rsidP="007B3372">
            <w:pPr>
              <w:jc w:val="center"/>
              <w:rPr>
                <w:color w:val="000000"/>
                <w:sz w:val="20"/>
                <w:szCs w:val="20"/>
              </w:rPr>
            </w:pPr>
            <w:r w:rsidRPr="003E2A75">
              <w:rPr>
                <w:color w:val="000000"/>
                <w:sz w:val="20"/>
                <w:szCs w:val="20"/>
              </w:rPr>
              <w:t>platitelia dane</w:t>
            </w:r>
          </w:p>
        </w:tc>
        <w:tc>
          <w:tcPr>
            <w:tcW w:w="1108" w:type="dxa"/>
            <w:vAlign w:val="center"/>
          </w:tcPr>
          <w:p w14:paraId="7DD0DBEF" w14:textId="77777777" w:rsidR="00746D3C" w:rsidRPr="006B6335" w:rsidRDefault="00746D3C" w:rsidP="007B3372">
            <w:pPr>
              <w:jc w:val="center"/>
              <w:rPr>
                <w:sz w:val="20"/>
                <w:szCs w:val="20"/>
              </w:rPr>
            </w:pPr>
            <w:r w:rsidRPr="003E2A75">
              <w:rPr>
                <w:color w:val="000000"/>
                <w:sz w:val="20"/>
                <w:szCs w:val="20"/>
              </w:rPr>
              <w:t xml:space="preserve">225 206 </w:t>
            </w:r>
          </w:p>
        </w:tc>
        <w:tc>
          <w:tcPr>
            <w:tcW w:w="851" w:type="dxa"/>
            <w:shd w:val="clear" w:color="auto" w:fill="auto"/>
            <w:noWrap/>
            <w:vAlign w:val="center"/>
          </w:tcPr>
          <w:p w14:paraId="509264AC" w14:textId="77777777" w:rsidR="00746D3C" w:rsidRPr="006B6335" w:rsidRDefault="00746D3C" w:rsidP="007B3372">
            <w:pPr>
              <w:jc w:val="center"/>
              <w:rPr>
                <w:sz w:val="20"/>
                <w:szCs w:val="20"/>
              </w:rPr>
            </w:pPr>
            <w:r w:rsidRPr="003E2A75">
              <w:rPr>
                <w:color w:val="000000"/>
                <w:sz w:val="20"/>
                <w:szCs w:val="20"/>
              </w:rPr>
              <w:t>7</w:t>
            </w:r>
          </w:p>
        </w:tc>
        <w:tc>
          <w:tcPr>
            <w:tcW w:w="843" w:type="dxa"/>
            <w:shd w:val="clear" w:color="auto" w:fill="auto"/>
            <w:noWrap/>
            <w:vAlign w:val="center"/>
          </w:tcPr>
          <w:p w14:paraId="1B2CF646" w14:textId="77777777" w:rsidR="00746D3C" w:rsidRPr="006B6335" w:rsidRDefault="00746D3C" w:rsidP="007B3372">
            <w:pPr>
              <w:jc w:val="center"/>
              <w:rPr>
                <w:color w:val="000000"/>
                <w:sz w:val="20"/>
                <w:szCs w:val="20"/>
              </w:rPr>
            </w:pPr>
            <w:r w:rsidRPr="003E2A75">
              <w:rPr>
                <w:color w:val="000000"/>
                <w:sz w:val="20"/>
                <w:szCs w:val="20"/>
              </w:rPr>
              <w:t>1 531 401</w:t>
            </w:r>
          </w:p>
        </w:tc>
        <w:tc>
          <w:tcPr>
            <w:tcW w:w="1000" w:type="dxa"/>
            <w:shd w:val="clear" w:color="auto" w:fill="auto"/>
            <w:noWrap/>
            <w:vAlign w:val="center"/>
          </w:tcPr>
          <w:p w14:paraId="26F0A277"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78956A32" w14:textId="77777777" w:rsidR="00746D3C" w:rsidRPr="006B6335" w:rsidRDefault="00746D3C" w:rsidP="007B3372">
            <w:pPr>
              <w:jc w:val="center"/>
              <w:rPr>
                <w:color w:val="000000"/>
                <w:sz w:val="20"/>
                <w:szCs w:val="20"/>
              </w:rPr>
            </w:pPr>
            <w:r w:rsidRPr="003E2A75">
              <w:rPr>
                <w:sz w:val="20"/>
                <w:szCs w:val="20"/>
              </w:rPr>
              <w:t>1 531 401</w:t>
            </w:r>
          </w:p>
        </w:tc>
        <w:tc>
          <w:tcPr>
            <w:tcW w:w="1134" w:type="dxa"/>
            <w:vAlign w:val="center"/>
          </w:tcPr>
          <w:p w14:paraId="1717FE7F" w14:textId="77777777" w:rsidR="00746D3C" w:rsidRPr="006B6335" w:rsidRDefault="00746D3C" w:rsidP="007B3372">
            <w:pPr>
              <w:jc w:val="center"/>
              <w:rPr>
                <w:sz w:val="20"/>
                <w:szCs w:val="20"/>
              </w:rPr>
            </w:pPr>
            <w:r w:rsidRPr="003E2A75">
              <w:rPr>
                <w:color w:val="000000"/>
                <w:sz w:val="20"/>
                <w:szCs w:val="20"/>
              </w:rPr>
              <w:t>1 531 401</w:t>
            </w:r>
          </w:p>
        </w:tc>
      </w:tr>
      <w:tr w:rsidR="00746D3C" w:rsidRPr="00895898" w14:paraId="436E6BF0"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739A528" w14:textId="77777777" w:rsidR="00746D3C" w:rsidRPr="006B6335" w:rsidRDefault="00746D3C" w:rsidP="007B3372">
            <w:pPr>
              <w:jc w:val="center"/>
              <w:rPr>
                <w:sz w:val="20"/>
                <w:szCs w:val="20"/>
              </w:rPr>
            </w:pPr>
            <w:r w:rsidRPr="003E2A75">
              <w:rPr>
                <w:color w:val="000000"/>
                <w:sz w:val="20"/>
                <w:szCs w:val="20"/>
              </w:rPr>
              <w:lastRenderedPageBreak/>
              <w:t>12</w:t>
            </w:r>
          </w:p>
        </w:tc>
        <w:tc>
          <w:tcPr>
            <w:tcW w:w="1740" w:type="dxa"/>
            <w:shd w:val="clear" w:color="auto" w:fill="auto"/>
            <w:vAlign w:val="center"/>
          </w:tcPr>
          <w:p w14:paraId="4981AC26" w14:textId="77777777" w:rsidR="00746D3C" w:rsidRPr="006B6335" w:rsidRDefault="00746D3C" w:rsidP="007B3372">
            <w:pPr>
              <w:jc w:val="center"/>
              <w:rPr>
                <w:sz w:val="20"/>
                <w:szCs w:val="20"/>
              </w:rPr>
            </w:pPr>
            <w:r w:rsidRPr="003E2A75">
              <w:rPr>
                <w:color w:val="000000"/>
                <w:sz w:val="20"/>
                <w:szCs w:val="20"/>
              </w:rPr>
              <w:t>Prijatie opravnej elektronickej faktúry platiteľom dane (tuzemské transakcie)</w:t>
            </w:r>
          </w:p>
        </w:tc>
        <w:tc>
          <w:tcPr>
            <w:tcW w:w="992" w:type="dxa"/>
            <w:vAlign w:val="center"/>
          </w:tcPr>
          <w:p w14:paraId="0EB605A0"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78027A1A" w14:textId="77777777" w:rsidR="00746D3C" w:rsidRPr="006B6335" w:rsidRDefault="00746D3C" w:rsidP="007B3372">
            <w:pPr>
              <w:jc w:val="center"/>
              <w:rPr>
                <w:sz w:val="20"/>
                <w:szCs w:val="20"/>
              </w:rPr>
            </w:pPr>
            <w:r w:rsidRPr="003E2A75">
              <w:rPr>
                <w:color w:val="000000"/>
                <w:sz w:val="20"/>
                <w:szCs w:val="20"/>
              </w:rPr>
              <w:t>§ 71 ods. 2, § 85n</w:t>
            </w:r>
          </w:p>
        </w:tc>
        <w:tc>
          <w:tcPr>
            <w:tcW w:w="1843" w:type="dxa"/>
            <w:shd w:val="clear" w:color="auto" w:fill="auto"/>
            <w:vAlign w:val="center"/>
          </w:tcPr>
          <w:p w14:paraId="12133361"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 xml:space="preserve">3b)  Navýšenie  požiadaviek nad rámec minimálnych požiadaviek smernice EÚ, </w:t>
            </w:r>
          </w:p>
        </w:tc>
        <w:tc>
          <w:tcPr>
            <w:tcW w:w="992" w:type="dxa"/>
            <w:vAlign w:val="center"/>
          </w:tcPr>
          <w:p w14:paraId="05A6D480" w14:textId="77777777" w:rsidR="00746D3C" w:rsidRPr="006B6335" w:rsidRDefault="00746D3C" w:rsidP="007B3372">
            <w:pPr>
              <w:jc w:val="center"/>
              <w:rPr>
                <w:color w:val="000000"/>
                <w:sz w:val="20"/>
                <w:szCs w:val="20"/>
              </w:rPr>
            </w:pPr>
            <w:r w:rsidRPr="003E2A75">
              <w:rPr>
                <w:color w:val="000000"/>
                <w:sz w:val="20"/>
                <w:szCs w:val="20"/>
              </w:rPr>
              <w:t>1.1.2027 a 1.7.2030</w:t>
            </w:r>
          </w:p>
        </w:tc>
        <w:tc>
          <w:tcPr>
            <w:tcW w:w="1160" w:type="dxa"/>
            <w:shd w:val="clear" w:color="auto" w:fill="auto"/>
            <w:noWrap/>
            <w:vAlign w:val="center"/>
          </w:tcPr>
          <w:p w14:paraId="6C32F82E" w14:textId="77777777" w:rsidR="00746D3C" w:rsidRPr="006B6335" w:rsidRDefault="00746D3C" w:rsidP="007B3372">
            <w:pPr>
              <w:jc w:val="center"/>
              <w:rPr>
                <w:color w:val="000000"/>
                <w:sz w:val="20"/>
                <w:szCs w:val="20"/>
              </w:rPr>
            </w:pPr>
            <w:r w:rsidRPr="003E2A75">
              <w:rPr>
                <w:color w:val="000000"/>
                <w:sz w:val="20"/>
                <w:szCs w:val="20"/>
              </w:rPr>
              <w:t>platitelia dane</w:t>
            </w:r>
          </w:p>
        </w:tc>
        <w:tc>
          <w:tcPr>
            <w:tcW w:w="1108" w:type="dxa"/>
            <w:vAlign w:val="center"/>
          </w:tcPr>
          <w:p w14:paraId="7A67FA10" w14:textId="77777777" w:rsidR="00746D3C" w:rsidRPr="006B6335" w:rsidRDefault="00746D3C" w:rsidP="007B3372">
            <w:pPr>
              <w:jc w:val="center"/>
              <w:rPr>
                <w:sz w:val="20"/>
                <w:szCs w:val="20"/>
              </w:rPr>
            </w:pPr>
            <w:r w:rsidRPr="003E2A75">
              <w:rPr>
                <w:color w:val="000000"/>
                <w:sz w:val="20"/>
                <w:szCs w:val="20"/>
              </w:rPr>
              <w:t xml:space="preserve">225 206 </w:t>
            </w:r>
          </w:p>
        </w:tc>
        <w:tc>
          <w:tcPr>
            <w:tcW w:w="851" w:type="dxa"/>
            <w:shd w:val="clear" w:color="auto" w:fill="auto"/>
            <w:noWrap/>
            <w:vAlign w:val="center"/>
          </w:tcPr>
          <w:p w14:paraId="01F133AC" w14:textId="77777777" w:rsidR="00746D3C" w:rsidRPr="006B6335" w:rsidRDefault="00746D3C" w:rsidP="007B3372">
            <w:pPr>
              <w:jc w:val="center"/>
              <w:rPr>
                <w:sz w:val="20"/>
                <w:szCs w:val="20"/>
              </w:rPr>
            </w:pPr>
            <w:r w:rsidRPr="003E2A75">
              <w:rPr>
                <w:color w:val="000000"/>
                <w:sz w:val="20"/>
                <w:szCs w:val="20"/>
              </w:rPr>
              <w:t>2</w:t>
            </w:r>
          </w:p>
        </w:tc>
        <w:tc>
          <w:tcPr>
            <w:tcW w:w="843" w:type="dxa"/>
            <w:shd w:val="clear" w:color="auto" w:fill="auto"/>
            <w:noWrap/>
            <w:vAlign w:val="center"/>
          </w:tcPr>
          <w:p w14:paraId="1D580AB4" w14:textId="77777777" w:rsidR="00746D3C" w:rsidRPr="006B6335" w:rsidRDefault="00746D3C" w:rsidP="007B3372">
            <w:pPr>
              <w:jc w:val="center"/>
              <w:rPr>
                <w:color w:val="000000"/>
                <w:sz w:val="20"/>
                <w:szCs w:val="20"/>
              </w:rPr>
            </w:pPr>
            <w:r w:rsidRPr="003E2A75">
              <w:rPr>
                <w:color w:val="000000"/>
                <w:sz w:val="20"/>
                <w:szCs w:val="20"/>
              </w:rPr>
              <w:t>450 412</w:t>
            </w:r>
          </w:p>
        </w:tc>
        <w:tc>
          <w:tcPr>
            <w:tcW w:w="1000" w:type="dxa"/>
            <w:shd w:val="clear" w:color="auto" w:fill="auto"/>
            <w:noWrap/>
            <w:vAlign w:val="center"/>
          </w:tcPr>
          <w:p w14:paraId="559F5E3A"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5DEEC8CF" w14:textId="77777777" w:rsidR="00746D3C" w:rsidRPr="006B6335" w:rsidRDefault="00746D3C" w:rsidP="007B3372">
            <w:pPr>
              <w:jc w:val="center"/>
              <w:rPr>
                <w:color w:val="000000"/>
                <w:sz w:val="20"/>
                <w:szCs w:val="20"/>
              </w:rPr>
            </w:pPr>
            <w:r w:rsidRPr="003E2A75">
              <w:rPr>
                <w:sz w:val="20"/>
                <w:szCs w:val="20"/>
              </w:rPr>
              <w:t>450 412</w:t>
            </w:r>
          </w:p>
        </w:tc>
        <w:tc>
          <w:tcPr>
            <w:tcW w:w="1134" w:type="dxa"/>
            <w:vAlign w:val="center"/>
          </w:tcPr>
          <w:p w14:paraId="2C9AA310" w14:textId="77777777" w:rsidR="00746D3C" w:rsidRPr="006B6335" w:rsidRDefault="00746D3C" w:rsidP="007B3372">
            <w:pPr>
              <w:jc w:val="center"/>
              <w:rPr>
                <w:sz w:val="20"/>
                <w:szCs w:val="20"/>
              </w:rPr>
            </w:pPr>
            <w:r w:rsidRPr="003E2A75">
              <w:rPr>
                <w:color w:val="000000"/>
                <w:sz w:val="20"/>
                <w:szCs w:val="20"/>
              </w:rPr>
              <w:t>450 412</w:t>
            </w:r>
          </w:p>
        </w:tc>
      </w:tr>
      <w:tr w:rsidR="00746D3C" w:rsidRPr="00895898" w14:paraId="2671262E"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E2FA8D4" w14:textId="77777777" w:rsidR="00746D3C" w:rsidRPr="006B6335" w:rsidRDefault="00746D3C" w:rsidP="007B3372">
            <w:pPr>
              <w:jc w:val="center"/>
              <w:rPr>
                <w:sz w:val="20"/>
                <w:szCs w:val="20"/>
              </w:rPr>
            </w:pPr>
            <w:r w:rsidRPr="003E2A75">
              <w:rPr>
                <w:color w:val="000000"/>
                <w:sz w:val="20"/>
                <w:szCs w:val="20"/>
              </w:rPr>
              <w:t>13</w:t>
            </w:r>
          </w:p>
        </w:tc>
        <w:tc>
          <w:tcPr>
            <w:tcW w:w="1740" w:type="dxa"/>
            <w:shd w:val="clear" w:color="auto" w:fill="auto"/>
            <w:vAlign w:val="center"/>
          </w:tcPr>
          <w:p w14:paraId="056CDAA2" w14:textId="77777777" w:rsidR="00746D3C" w:rsidRPr="006B6335" w:rsidRDefault="00746D3C" w:rsidP="007B3372">
            <w:pPr>
              <w:jc w:val="center"/>
              <w:rPr>
                <w:sz w:val="20"/>
                <w:szCs w:val="20"/>
              </w:rPr>
            </w:pPr>
            <w:r w:rsidRPr="003E2A75">
              <w:rPr>
                <w:color w:val="000000"/>
                <w:sz w:val="20"/>
                <w:szCs w:val="20"/>
              </w:rPr>
              <w:t>Prijatie opravnej elektronickej faktúry zdaniteľnou osobou (tuzemské transakcie)</w:t>
            </w:r>
          </w:p>
        </w:tc>
        <w:tc>
          <w:tcPr>
            <w:tcW w:w="992" w:type="dxa"/>
            <w:vAlign w:val="center"/>
          </w:tcPr>
          <w:p w14:paraId="3C0C3804"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3BCDD003" w14:textId="77777777" w:rsidR="00746D3C" w:rsidRPr="006B6335" w:rsidRDefault="00746D3C" w:rsidP="007B3372">
            <w:pPr>
              <w:jc w:val="center"/>
              <w:rPr>
                <w:sz w:val="20"/>
                <w:szCs w:val="20"/>
              </w:rPr>
            </w:pPr>
            <w:r w:rsidRPr="003E2A75">
              <w:rPr>
                <w:color w:val="000000"/>
                <w:sz w:val="20"/>
                <w:szCs w:val="20"/>
              </w:rPr>
              <w:t>§ 71 ods. 2, § 85n</w:t>
            </w:r>
          </w:p>
        </w:tc>
        <w:tc>
          <w:tcPr>
            <w:tcW w:w="1843" w:type="dxa"/>
            <w:shd w:val="clear" w:color="auto" w:fill="auto"/>
            <w:vAlign w:val="center"/>
          </w:tcPr>
          <w:p w14:paraId="61B1E5C5"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 xml:space="preserve">3b)  Navýšenie  požiadaviek nad rámec minimálnych požiadaviek smernice EÚ, </w:t>
            </w:r>
          </w:p>
        </w:tc>
        <w:tc>
          <w:tcPr>
            <w:tcW w:w="992" w:type="dxa"/>
            <w:vAlign w:val="center"/>
          </w:tcPr>
          <w:p w14:paraId="00C898E0" w14:textId="77777777" w:rsidR="00746D3C" w:rsidRPr="006B6335" w:rsidRDefault="00746D3C" w:rsidP="007B3372">
            <w:pPr>
              <w:jc w:val="center"/>
              <w:rPr>
                <w:color w:val="000000"/>
                <w:sz w:val="20"/>
                <w:szCs w:val="20"/>
              </w:rPr>
            </w:pPr>
            <w:r w:rsidRPr="003E2A75">
              <w:rPr>
                <w:color w:val="000000"/>
                <w:sz w:val="20"/>
                <w:szCs w:val="20"/>
              </w:rPr>
              <w:t>1.1.2027 a 1.7.2030</w:t>
            </w:r>
          </w:p>
        </w:tc>
        <w:tc>
          <w:tcPr>
            <w:tcW w:w="1160" w:type="dxa"/>
            <w:shd w:val="clear" w:color="auto" w:fill="auto"/>
            <w:noWrap/>
            <w:vAlign w:val="center"/>
          </w:tcPr>
          <w:p w14:paraId="2A9D88D7" w14:textId="77777777" w:rsidR="00746D3C" w:rsidRPr="006B6335" w:rsidRDefault="00746D3C" w:rsidP="007B3372">
            <w:pPr>
              <w:jc w:val="center"/>
              <w:rPr>
                <w:color w:val="000000"/>
                <w:sz w:val="20"/>
                <w:szCs w:val="20"/>
              </w:rPr>
            </w:pPr>
            <w:r w:rsidRPr="003E2A75">
              <w:rPr>
                <w:color w:val="000000"/>
                <w:sz w:val="20"/>
                <w:szCs w:val="20"/>
              </w:rPr>
              <w:t>zdaniteľné osoby</w:t>
            </w:r>
          </w:p>
        </w:tc>
        <w:tc>
          <w:tcPr>
            <w:tcW w:w="1108" w:type="dxa"/>
            <w:vAlign w:val="center"/>
          </w:tcPr>
          <w:p w14:paraId="7897742C" w14:textId="77777777" w:rsidR="00746D3C" w:rsidRPr="006B6335" w:rsidRDefault="00746D3C" w:rsidP="007B3372">
            <w:pPr>
              <w:jc w:val="center"/>
              <w:rPr>
                <w:sz w:val="20"/>
                <w:szCs w:val="20"/>
              </w:rPr>
            </w:pPr>
            <w:r w:rsidRPr="003E2A75">
              <w:rPr>
                <w:color w:val="000000"/>
                <w:sz w:val="20"/>
                <w:szCs w:val="20"/>
              </w:rPr>
              <w:t xml:space="preserve">240 301 </w:t>
            </w:r>
          </w:p>
        </w:tc>
        <w:tc>
          <w:tcPr>
            <w:tcW w:w="851" w:type="dxa"/>
            <w:shd w:val="clear" w:color="auto" w:fill="auto"/>
            <w:noWrap/>
            <w:vAlign w:val="center"/>
          </w:tcPr>
          <w:p w14:paraId="6550C00B" w14:textId="77777777" w:rsidR="00746D3C" w:rsidRPr="006B6335" w:rsidRDefault="00746D3C" w:rsidP="007B3372">
            <w:pPr>
              <w:jc w:val="center"/>
              <w:rPr>
                <w:sz w:val="20"/>
                <w:szCs w:val="20"/>
              </w:rPr>
            </w:pPr>
            <w:r w:rsidRPr="003E2A75">
              <w:rPr>
                <w:color w:val="000000"/>
                <w:sz w:val="20"/>
                <w:szCs w:val="20"/>
              </w:rPr>
              <w:t>1</w:t>
            </w:r>
          </w:p>
        </w:tc>
        <w:tc>
          <w:tcPr>
            <w:tcW w:w="843" w:type="dxa"/>
            <w:shd w:val="clear" w:color="auto" w:fill="auto"/>
            <w:noWrap/>
            <w:vAlign w:val="center"/>
          </w:tcPr>
          <w:p w14:paraId="65E4588F" w14:textId="77777777" w:rsidR="00746D3C" w:rsidRPr="006B6335" w:rsidRDefault="00746D3C" w:rsidP="007B3372">
            <w:pPr>
              <w:jc w:val="center"/>
              <w:rPr>
                <w:color w:val="000000"/>
                <w:sz w:val="20"/>
                <w:szCs w:val="20"/>
              </w:rPr>
            </w:pPr>
            <w:r w:rsidRPr="003E2A75">
              <w:rPr>
                <w:color w:val="000000"/>
                <w:sz w:val="20"/>
                <w:szCs w:val="20"/>
              </w:rPr>
              <w:t>312 391</w:t>
            </w:r>
          </w:p>
        </w:tc>
        <w:tc>
          <w:tcPr>
            <w:tcW w:w="1000" w:type="dxa"/>
            <w:shd w:val="clear" w:color="auto" w:fill="auto"/>
            <w:noWrap/>
            <w:vAlign w:val="center"/>
          </w:tcPr>
          <w:p w14:paraId="04265BBE"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4E9A29D1" w14:textId="77777777" w:rsidR="00746D3C" w:rsidRPr="006B6335" w:rsidRDefault="00746D3C" w:rsidP="007B3372">
            <w:pPr>
              <w:jc w:val="center"/>
              <w:rPr>
                <w:color w:val="000000"/>
                <w:sz w:val="20"/>
                <w:szCs w:val="20"/>
              </w:rPr>
            </w:pPr>
            <w:r w:rsidRPr="003E2A75">
              <w:rPr>
                <w:sz w:val="20"/>
                <w:szCs w:val="20"/>
              </w:rPr>
              <w:t>312 391</w:t>
            </w:r>
          </w:p>
        </w:tc>
        <w:tc>
          <w:tcPr>
            <w:tcW w:w="1134" w:type="dxa"/>
            <w:vAlign w:val="center"/>
          </w:tcPr>
          <w:p w14:paraId="0B430DB2" w14:textId="77777777" w:rsidR="00746D3C" w:rsidRPr="006B6335" w:rsidRDefault="00746D3C" w:rsidP="007B3372">
            <w:pPr>
              <w:jc w:val="center"/>
              <w:rPr>
                <w:sz w:val="20"/>
                <w:szCs w:val="20"/>
              </w:rPr>
            </w:pPr>
            <w:r w:rsidRPr="003E2A75">
              <w:rPr>
                <w:color w:val="000000"/>
                <w:sz w:val="20"/>
                <w:szCs w:val="20"/>
              </w:rPr>
              <w:t>312 391</w:t>
            </w:r>
          </w:p>
        </w:tc>
      </w:tr>
      <w:tr w:rsidR="00746D3C" w:rsidRPr="00895898" w14:paraId="10EA1CB7"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DD2753F" w14:textId="77777777" w:rsidR="00746D3C" w:rsidRPr="006B6335" w:rsidRDefault="00746D3C" w:rsidP="007B3372">
            <w:pPr>
              <w:jc w:val="center"/>
              <w:rPr>
                <w:sz w:val="20"/>
                <w:szCs w:val="20"/>
              </w:rPr>
            </w:pPr>
            <w:r w:rsidRPr="003E2A75">
              <w:rPr>
                <w:color w:val="000000"/>
                <w:sz w:val="20"/>
                <w:szCs w:val="20"/>
              </w:rPr>
              <w:t>14</w:t>
            </w:r>
          </w:p>
        </w:tc>
        <w:tc>
          <w:tcPr>
            <w:tcW w:w="1740" w:type="dxa"/>
            <w:shd w:val="clear" w:color="auto" w:fill="auto"/>
            <w:vAlign w:val="center"/>
          </w:tcPr>
          <w:p w14:paraId="6DE8D71D" w14:textId="77777777" w:rsidR="00746D3C" w:rsidRPr="006B6335" w:rsidRDefault="00746D3C" w:rsidP="007B3372">
            <w:pPr>
              <w:jc w:val="center"/>
              <w:rPr>
                <w:sz w:val="20"/>
                <w:szCs w:val="20"/>
              </w:rPr>
            </w:pPr>
            <w:r w:rsidRPr="003E2A75">
              <w:rPr>
                <w:color w:val="000000"/>
                <w:sz w:val="20"/>
                <w:szCs w:val="20"/>
              </w:rPr>
              <w:t>Vyhotovenie elektronickej faktúry platiteľom dane (cezhraničné transakcie)</w:t>
            </w:r>
          </w:p>
        </w:tc>
        <w:tc>
          <w:tcPr>
            <w:tcW w:w="992" w:type="dxa"/>
            <w:vAlign w:val="center"/>
          </w:tcPr>
          <w:p w14:paraId="18915C96"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1B99B372" w14:textId="77777777" w:rsidR="00746D3C" w:rsidRPr="006B6335" w:rsidRDefault="00746D3C" w:rsidP="007B3372">
            <w:pPr>
              <w:jc w:val="center"/>
              <w:rPr>
                <w:sz w:val="20"/>
                <w:szCs w:val="20"/>
              </w:rPr>
            </w:pPr>
            <w:r w:rsidRPr="003E2A75">
              <w:rPr>
                <w:color w:val="000000"/>
                <w:sz w:val="20"/>
                <w:szCs w:val="20"/>
              </w:rPr>
              <w:t>§ 71 ods. 1 písm. b)</w:t>
            </w:r>
          </w:p>
        </w:tc>
        <w:tc>
          <w:tcPr>
            <w:tcW w:w="1843" w:type="dxa"/>
            <w:shd w:val="clear" w:color="auto" w:fill="auto"/>
            <w:vAlign w:val="center"/>
          </w:tcPr>
          <w:p w14:paraId="7285E4CB"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15A72B6C" w14:textId="77777777" w:rsidR="00746D3C" w:rsidRPr="006B6335" w:rsidRDefault="00746D3C" w:rsidP="007B3372">
            <w:pPr>
              <w:jc w:val="center"/>
              <w:rPr>
                <w:color w:val="000000"/>
                <w:sz w:val="20"/>
                <w:szCs w:val="20"/>
              </w:rPr>
            </w:pPr>
            <w:r w:rsidRPr="003E2A75">
              <w:rPr>
                <w:color w:val="000000"/>
                <w:sz w:val="20"/>
                <w:szCs w:val="20"/>
              </w:rPr>
              <w:t>01.07.30</w:t>
            </w:r>
          </w:p>
        </w:tc>
        <w:tc>
          <w:tcPr>
            <w:tcW w:w="1160" w:type="dxa"/>
            <w:shd w:val="clear" w:color="auto" w:fill="auto"/>
            <w:noWrap/>
            <w:vAlign w:val="center"/>
          </w:tcPr>
          <w:p w14:paraId="49398276" w14:textId="77777777" w:rsidR="00746D3C" w:rsidRPr="006B6335" w:rsidRDefault="00746D3C" w:rsidP="007B3372">
            <w:pPr>
              <w:jc w:val="center"/>
              <w:rPr>
                <w:color w:val="000000"/>
                <w:sz w:val="20"/>
                <w:szCs w:val="20"/>
              </w:rPr>
            </w:pPr>
            <w:r w:rsidRPr="003E2A75">
              <w:rPr>
                <w:color w:val="000000"/>
                <w:sz w:val="20"/>
                <w:szCs w:val="20"/>
              </w:rPr>
              <w:t>platitelia dane</w:t>
            </w:r>
          </w:p>
        </w:tc>
        <w:tc>
          <w:tcPr>
            <w:tcW w:w="1108" w:type="dxa"/>
            <w:vAlign w:val="center"/>
          </w:tcPr>
          <w:p w14:paraId="3E4EB37F" w14:textId="77777777" w:rsidR="00746D3C" w:rsidRPr="006B6335" w:rsidRDefault="00746D3C" w:rsidP="007B3372">
            <w:pPr>
              <w:jc w:val="center"/>
              <w:rPr>
                <w:sz w:val="20"/>
                <w:szCs w:val="20"/>
              </w:rPr>
            </w:pPr>
            <w:r w:rsidRPr="003E2A75">
              <w:rPr>
                <w:color w:val="000000"/>
                <w:sz w:val="20"/>
                <w:szCs w:val="20"/>
              </w:rPr>
              <w:t xml:space="preserve">225 206 </w:t>
            </w:r>
          </w:p>
        </w:tc>
        <w:tc>
          <w:tcPr>
            <w:tcW w:w="851" w:type="dxa"/>
            <w:shd w:val="clear" w:color="auto" w:fill="auto"/>
            <w:noWrap/>
            <w:vAlign w:val="center"/>
          </w:tcPr>
          <w:p w14:paraId="6C48E5AD" w14:textId="77777777" w:rsidR="00746D3C" w:rsidRPr="006B6335" w:rsidRDefault="00746D3C" w:rsidP="007B3372">
            <w:pPr>
              <w:jc w:val="center"/>
              <w:rPr>
                <w:sz w:val="20"/>
                <w:szCs w:val="20"/>
              </w:rPr>
            </w:pPr>
            <w:r w:rsidRPr="003E2A75">
              <w:rPr>
                <w:color w:val="000000"/>
                <w:sz w:val="20"/>
                <w:szCs w:val="20"/>
              </w:rPr>
              <w:t>18</w:t>
            </w:r>
          </w:p>
        </w:tc>
        <w:tc>
          <w:tcPr>
            <w:tcW w:w="843" w:type="dxa"/>
            <w:shd w:val="clear" w:color="auto" w:fill="auto"/>
            <w:noWrap/>
            <w:vAlign w:val="center"/>
          </w:tcPr>
          <w:p w14:paraId="43A0162F" w14:textId="77777777" w:rsidR="00746D3C" w:rsidRPr="006B6335" w:rsidRDefault="00746D3C" w:rsidP="007B3372">
            <w:pPr>
              <w:jc w:val="center"/>
              <w:rPr>
                <w:color w:val="000000"/>
                <w:sz w:val="20"/>
                <w:szCs w:val="20"/>
              </w:rPr>
            </w:pPr>
            <w:r w:rsidRPr="003E2A75">
              <w:rPr>
                <w:color w:val="000000"/>
                <w:sz w:val="20"/>
                <w:szCs w:val="20"/>
              </w:rPr>
              <w:t>3 963 626</w:t>
            </w:r>
          </w:p>
        </w:tc>
        <w:tc>
          <w:tcPr>
            <w:tcW w:w="1000" w:type="dxa"/>
            <w:shd w:val="clear" w:color="auto" w:fill="auto"/>
            <w:noWrap/>
            <w:vAlign w:val="center"/>
          </w:tcPr>
          <w:p w14:paraId="6F7FD81F"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16930F4E"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22BEE87F"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0238D5CD"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05C6463" w14:textId="77777777" w:rsidR="00746D3C" w:rsidRPr="006B6335" w:rsidRDefault="00746D3C" w:rsidP="007B3372">
            <w:pPr>
              <w:jc w:val="center"/>
              <w:rPr>
                <w:sz w:val="20"/>
                <w:szCs w:val="20"/>
              </w:rPr>
            </w:pPr>
            <w:r w:rsidRPr="003E2A75">
              <w:rPr>
                <w:color w:val="000000"/>
                <w:sz w:val="20"/>
                <w:szCs w:val="20"/>
              </w:rPr>
              <w:t>15</w:t>
            </w:r>
          </w:p>
        </w:tc>
        <w:tc>
          <w:tcPr>
            <w:tcW w:w="1740" w:type="dxa"/>
            <w:shd w:val="clear" w:color="auto" w:fill="auto"/>
            <w:vAlign w:val="center"/>
          </w:tcPr>
          <w:p w14:paraId="7383DD83" w14:textId="77777777" w:rsidR="00746D3C" w:rsidRPr="006B6335" w:rsidRDefault="00746D3C" w:rsidP="007B3372">
            <w:pPr>
              <w:jc w:val="center"/>
              <w:rPr>
                <w:sz w:val="20"/>
                <w:szCs w:val="20"/>
              </w:rPr>
            </w:pPr>
            <w:r w:rsidRPr="003E2A75">
              <w:rPr>
                <w:color w:val="000000"/>
                <w:sz w:val="20"/>
                <w:szCs w:val="20"/>
              </w:rPr>
              <w:t>Prijatie elektronickej faktúry osobou registrovanou pre daň (cezhraničné transakcie)</w:t>
            </w:r>
          </w:p>
        </w:tc>
        <w:tc>
          <w:tcPr>
            <w:tcW w:w="992" w:type="dxa"/>
            <w:vAlign w:val="center"/>
          </w:tcPr>
          <w:p w14:paraId="24D5E999"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3D6F4FF3" w14:textId="77777777" w:rsidR="00746D3C" w:rsidRPr="006B6335" w:rsidRDefault="00746D3C" w:rsidP="007B3372">
            <w:pPr>
              <w:jc w:val="center"/>
              <w:rPr>
                <w:sz w:val="20"/>
                <w:szCs w:val="20"/>
              </w:rPr>
            </w:pPr>
            <w:r w:rsidRPr="003E2A75">
              <w:rPr>
                <w:color w:val="000000"/>
                <w:sz w:val="20"/>
                <w:szCs w:val="20"/>
              </w:rPr>
              <w:t>§ 71 ods. 1 písm. b)</w:t>
            </w:r>
          </w:p>
        </w:tc>
        <w:tc>
          <w:tcPr>
            <w:tcW w:w="1843" w:type="dxa"/>
            <w:shd w:val="clear" w:color="auto" w:fill="auto"/>
            <w:vAlign w:val="center"/>
          </w:tcPr>
          <w:p w14:paraId="725AEE0C"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256B3B38" w14:textId="77777777" w:rsidR="00746D3C" w:rsidRPr="006B6335" w:rsidRDefault="00746D3C" w:rsidP="007B3372">
            <w:pPr>
              <w:jc w:val="center"/>
              <w:rPr>
                <w:color w:val="000000"/>
                <w:sz w:val="20"/>
                <w:szCs w:val="20"/>
              </w:rPr>
            </w:pPr>
            <w:r w:rsidRPr="003E2A75">
              <w:rPr>
                <w:color w:val="000000"/>
                <w:sz w:val="20"/>
                <w:szCs w:val="20"/>
              </w:rPr>
              <w:t>01.07.30</w:t>
            </w:r>
          </w:p>
        </w:tc>
        <w:tc>
          <w:tcPr>
            <w:tcW w:w="1160" w:type="dxa"/>
            <w:shd w:val="clear" w:color="auto" w:fill="auto"/>
            <w:noWrap/>
            <w:vAlign w:val="center"/>
          </w:tcPr>
          <w:p w14:paraId="1DCBACBC" w14:textId="77777777" w:rsidR="00746D3C" w:rsidRPr="006B6335" w:rsidRDefault="00746D3C" w:rsidP="007B3372">
            <w:pPr>
              <w:jc w:val="center"/>
              <w:rPr>
                <w:color w:val="000000"/>
                <w:sz w:val="20"/>
                <w:szCs w:val="20"/>
              </w:rPr>
            </w:pPr>
            <w:r w:rsidRPr="003E2A75">
              <w:rPr>
                <w:color w:val="000000"/>
                <w:sz w:val="20"/>
                <w:szCs w:val="20"/>
              </w:rPr>
              <w:t>osoby registrované pre daň podľa § 7 a § 7a</w:t>
            </w:r>
          </w:p>
        </w:tc>
        <w:tc>
          <w:tcPr>
            <w:tcW w:w="1108" w:type="dxa"/>
            <w:vAlign w:val="center"/>
          </w:tcPr>
          <w:p w14:paraId="29AE7686" w14:textId="77777777" w:rsidR="00746D3C" w:rsidRPr="006B6335" w:rsidRDefault="00746D3C" w:rsidP="007B3372">
            <w:pPr>
              <w:jc w:val="center"/>
              <w:rPr>
                <w:sz w:val="20"/>
                <w:szCs w:val="20"/>
              </w:rPr>
            </w:pPr>
            <w:r w:rsidRPr="003E2A75">
              <w:rPr>
                <w:color w:val="000000"/>
                <w:sz w:val="20"/>
                <w:szCs w:val="20"/>
              </w:rPr>
              <w:t xml:space="preserve">65 219 </w:t>
            </w:r>
          </w:p>
        </w:tc>
        <w:tc>
          <w:tcPr>
            <w:tcW w:w="851" w:type="dxa"/>
            <w:shd w:val="clear" w:color="auto" w:fill="auto"/>
            <w:noWrap/>
            <w:vAlign w:val="center"/>
          </w:tcPr>
          <w:p w14:paraId="2505BE6F" w14:textId="77777777" w:rsidR="00746D3C" w:rsidRPr="006B6335" w:rsidRDefault="00746D3C" w:rsidP="007B3372">
            <w:pPr>
              <w:jc w:val="center"/>
              <w:rPr>
                <w:sz w:val="20"/>
                <w:szCs w:val="20"/>
              </w:rPr>
            </w:pPr>
            <w:r w:rsidRPr="003E2A75">
              <w:rPr>
                <w:color w:val="000000"/>
                <w:sz w:val="20"/>
                <w:szCs w:val="20"/>
              </w:rPr>
              <w:t>2</w:t>
            </w:r>
          </w:p>
        </w:tc>
        <w:tc>
          <w:tcPr>
            <w:tcW w:w="843" w:type="dxa"/>
            <w:shd w:val="clear" w:color="auto" w:fill="auto"/>
            <w:noWrap/>
            <w:vAlign w:val="center"/>
          </w:tcPr>
          <w:p w14:paraId="6867744D" w14:textId="77777777" w:rsidR="00746D3C" w:rsidRPr="006B6335" w:rsidRDefault="00746D3C" w:rsidP="007B3372">
            <w:pPr>
              <w:jc w:val="center"/>
              <w:rPr>
                <w:color w:val="000000"/>
                <w:sz w:val="20"/>
                <w:szCs w:val="20"/>
              </w:rPr>
            </w:pPr>
            <w:r w:rsidRPr="003E2A75">
              <w:rPr>
                <w:color w:val="000000"/>
                <w:sz w:val="20"/>
                <w:szCs w:val="20"/>
              </w:rPr>
              <w:t>97 829</w:t>
            </w:r>
          </w:p>
        </w:tc>
        <w:tc>
          <w:tcPr>
            <w:tcW w:w="1000" w:type="dxa"/>
            <w:shd w:val="clear" w:color="auto" w:fill="auto"/>
            <w:noWrap/>
            <w:vAlign w:val="center"/>
          </w:tcPr>
          <w:p w14:paraId="63E58EDA"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78A63C13"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1C5BA0E9"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5F6CA0F7"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96ED411" w14:textId="77777777" w:rsidR="00746D3C" w:rsidRPr="006B6335" w:rsidRDefault="00746D3C" w:rsidP="007B3372">
            <w:pPr>
              <w:jc w:val="center"/>
              <w:rPr>
                <w:sz w:val="20"/>
                <w:szCs w:val="20"/>
              </w:rPr>
            </w:pPr>
            <w:r w:rsidRPr="003E2A75">
              <w:rPr>
                <w:color w:val="000000"/>
                <w:sz w:val="20"/>
                <w:szCs w:val="20"/>
              </w:rPr>
              <w:t>16</w:t>
            </w:r>
          </w:p>
        </w:tc>
        <w:tc>
          <w:tcPr>
            <w:tcW w:w="1740" w:type="dxa"/>
            <w:shd w:val="clear" w:color="auto" w:fill="auto"/>
            <w:vAlign w:val="center"/>
          </w:tcPr>
          <w:p w14:paraId="0BCA6BAB" w14:textId="77777777" w:rsidR="00746D3C" w:rsidRPr="006B6335" w:rsidRDefault="00746D3C" w:rsidP="007B3372">
            <w:pPr>
              <w:jc w:val="center"/>
              <w:rPr>
                <w:sz w:val="20"/>
                <w:szCs w:val="20"/>
              </w:rPr>
            </w:pPr>
            <w:r w:rsidRPr="003E2A75">
              <w:rPr>
                <w:color w:val="000000"/>
                <w:sz w:val="20"/>
                <w:szCs w:val="20"/>
              </w:rPr>
              <w:t>Vyhotovenie opravnej elektronickej faktúry platiteľom dane (cezhraničné transakcie)</w:t>
            </w:r>
          </w:p>
        </w:tc>
        <w:tc>
          <w:tcPr>
            <w:tcW w:w="992" w:type="dxa"/>
            <w:vAlign w:val="center"/>
          </w:tcPr>
          <w:p w14:paraId="6F914148"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32824FE8" w14:textId="77777777" w:rsidR="00746D3C" w:rsidRPr="006B6335" w:rsidRDefault="00746D3C" w:rsidP="007B3372">
            <w:pPr>
              <w:jc w:val="center"/>
              <w:rPr>
                <w:sz w:val="20"/>
                <w:szCs w:val="20"/>
              </w:rPr>
            </w:pPr>
            <w:r w:rsidRPr="003E2A75">
              <w:rPr>
                <w:color w:val="000000"/>
                <w:sz w:val="20"/>
                <w:szCs w:val="20"/>
              </w:rPr>
              <w:t>§ 71 ods. 1 písm. b)</w:t>
            </w:r>
          </w:p>
        </w:tc>
        <w:tc>
          <w:tcPr>
            <w:tcW w:w="1843" w:type="dxa"/>
            <w:shd w:val="clear" w:color="auto" w:fill="auto"/>
            <w:vAlign w:val="center"/>
          </w:tcPr>
          <w:p w14:paraId="4C404EB9"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5A18E812" w14:textId="77777777" w:rsidR="00746D3C" w:rsidRPr="006B6335" w:rsidRDefault="00746D3C" w:rsidP="007B3372">
            <w:pPr>
              <w:jc w:val="center"/>
              <w:rPr>
                <w:color w:val="000000"/>
                <w:sz w:val="20"/>
                <w:szCs w:val="20"/>
              </w:rPr>
            </w:pPr>
            <w:r w:rsidRPr="003E2A75">
              <w:rPr>
                <w:color w:val="000000"/>
                <w:sz w:val="20"/>
                <w:szCs w:val="20"/>
              </w:rPr>
              <w:t>01.07.30</w:t>
            </w:r>
          </w:p>
        </w:tc>
        <w:tc>
          <w:tcPr>
            <w:tcW w:w="1160" w:type="dxa"/>
            <w:shd w:val="clear" w:color="auto" w:fill="auto"/>
            <w:noWrap/>
            <w:vAlign w:val="center"/>
          </w:tcPr>
          <w:p w14:paraId="088BE4B7" w14:textId="77777777" w:rsidR="00746D3C" w:rsidRPr="006B6335" w:rsidRDefault="00746D3C" w:rsidP="007B3372">
            <w:pPr>
              <w:jc w:val="center"/>
              <w:rPr>
                <w:color w:val="000000"/>
                <w:sz w:val="20"/>
                <w:szCs w:val="20"/>
              </w:rPr>
            </w:pPr>
            <w:r w:rsidRPr="003E2A75">
              <w:rPr>
                <w:color w:val="000000"/>
                <w:sz w:val="20"/>
                <w:szCs w:val="20"/>
              </w:rPr>
              <w:t>platitelia dane</w:t>
            </w:r>
          </w:p>
        </w:tc>
        <w:tc>
          <w:tcPr>
            <w:tcW w:w="1108" w:type="dxa"/>
            <w:vAlign w:val="center"/>
          </w:tcPr>
          <w:p w14:paraId="79D202B7" w14:textId="77777777" w:rsidR="00746D3C" w:rsidRPr="006B6335" w:rsidRDefault="00746D3C" w:rsidP="007B3372">
            <w:pPr>
              <w:jc w:val="center"/>
              <w:rPr>
                <w:sz w:val="20"/>
                <w:szCs w:val="20"/>
              </w:rPr>
            </w:pPr>
            <w:r w:rsidRPr="003E2A75">
              <w:rPr>
                <w:color w:val="000000"/>
                <w:sz w:val="20"/>
                <w:szCs w:val="20"/>
              </w:rPr>
              <w:t xml:space="preserve">225 206 </w:t>
            </w:r>
          </w:p>
        </w:tc>
        <w:tc>
          <w:tcPr>
            <w:tcW w:w="851" w:type="dxa"/>
            <w:shd w:val="clear" w:color="auto" w:fill="auto"/>
            <w:noWrap/>
            <w:vAlign w:val="center"/>
          </w:tcPr>
          <w:p w14:paraId="08BF1634" w14:textId="77777777" w:rsidR="00746D3C" w:rsidRPr="006B6335" w:rsidRDefault="00746D3C" w:rsidP="007B3372">
            <w:pPr>
              <w:jc w:val="center"/>
              <w:rPr>
                <w:sz w:val="20"/>
                <w:szCs w:val="20"/>
              </w:rPr>
            </w:pPr>
            <w:r w:rsidRPr="003E2A75">
              <w:rPr>
                <w:color w:val="000000"/>
                <w:sz w:val="20"/>
                <w:szCs w:val="20"/>
              </w:rPr>
              <w:t>1</w:t>
            </w:r>
          </w:p>
        </w:tc>
        <w:tc>
          <w:tcPr>
            <w:tcW w:w="843" w:type="dxa"/>
            <w:shd w:val="clear" w:color="auto" w:fill="auto"/>
            <w:noWrap/>
            <w:vAlign w:val="center"/>
          </w:tcPr>
          <w:p w14:paraId="25C375C6" w14:textId="77777777" w:rsidR="00746D3C" w:rsidRPr="006B6335" w:rsidRDefault="00746D3C" w:rsidP="007B3372">
            <w:pPr>
              <w:jc w:val="center"/>
              <w:rPr>
                <w:color w:val="000000"/>
                <w:sz w:val="20"/>
                <w:szCs w:val="20"/>
              </w:rPr>
            </w:pPr>
            <w:r w:rsidRPr="003E2A75">
              <w:rPr>
                <w:color w:val="000000"/>
                <w:sz w:val="20"/>
                <w:szCs w:val="20"/>
              </w:rPr>
              <w:t>247 727</w:t>
            </w:r>
          </w:p>
        </w:tc>
        <w:tc>
          <w:tcPr>
            <w:tcW w:w="1000" w:type="dxa"/>
            <w:shd w:val="clear" w:color="auto" w:fill="auto"/>
            <w:noWrap/>
            <w:vAlign w:val="center"/>
          </w:tcPr>
          <w:p w14:paraId="5689FF33"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0710324E"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13668798"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437C253E"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5682042" w14:textId="77777777" w:rsidR="00746D3C" w:rsidRPr="006B6335" w:rsidRDefault="00746D3C" w:rsidP="007B3372">
            <w:pPr>
              <w:jc w:val="center"/>
              <w:rPr>
                <w:sz w:val="20"/>
                <w:szCs w:val="20"/>
              </w:rPr>
            </w:pPr>
            <w:r w:rsidRPr="003E2A75">
              <w:rPr>
                <w:color w:val="000000"/>
                <w:sz w:val="20"/>
                <w:szCs w:val="20"/>
              </w:rPr>
              <w:t>17</w:t>
            </w:r>
          </w:p>
        </w:tc>
        <w:tc>
          <w:tcPr>
            <w:tcW w:w="1740" w:type="dxa"/>
            <w:shd w:val="clear" w:color="auto" w:fill="auto"/>
            <w:vAlign w:val="center"/>
          </w:tcPr>
          <w:p w14:paraId="66AA7FD5" w14:textId="77777777" w:rsidR="00746D3C" w:rsidRPr="006B6335" w:rsidRDefault="00746D3C" w:rsidP="007B3372">
            <w:pPr>
              <w:jc w:val="center"/>
              <w:rPr>
                <w:sz w:val="20"/>
                <w:szCs w:val="20"/>
              </w:rPr>
            </w:pPr>
            <w:r w:rsidRPr="003E2A75">
              <w:rPr>
                <w:color w:val="000000"/>
                <w:sz w:val="20"/>
                <w:szCs w:val="20"/>
              </w:rPr>
              <w:t>Prijatie opravnej elektronickej faktúry platiteľom dane (cezhraničné transakcie)</w:t>
            </w:r>
          </w:p>
        </w:tc>
        <w:tc>
          <w:tcPr>
            <w:tcW w:w="992" w:type="dxa"/>
            <w:vAlign w:val="center"/>
          </w:tcPr>
          <w:p w14:paraId="35F6F1E2"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5DAA4D55" w14:textId="77777777" w:rsidR="00746D3C" w:rsidRPr="006B6335" w:rsidRDefault="00746D3C" w:rsidP="007B3372">
            <w:pPr>
              <w:jc w:val="center"/>
              <w:rPr>
                <w:sz w:val="20"/>
                <w:szCs w:val="20"/>
              </w:rPr>
            </w:pPr>
            <w:r w:rsidRPr="003E2A75">
              <w:rPr>
                <w:color w:val="000000"/>
                <w:sz w:val="20"/>
                <w:szCs w:val="20"/>
              </w:rPr>
              <w:t>§ 71 ods. 1 písm. b)</w:t>
            </w:r>
          </w:p>
        </w:tc>
        <w:tc>
          <w:tcPr>
            <w:tcW w:w="1843" w:type="dxa"/>
            <w:shd w:val="clear" w:color="auto" w:fill="auto"/>
            <w:vAlign w:val="center"/>
          </w:tcPr>
          <w:p w14:paraId="696594BC"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7907EED9" w14:textId="77777777" w:rsidR="00746D3C" w:rsidRPr="006B6335" w:rsidRDefault="00746D3C" w:rsidP="007B3372">
            <w:pPr>
              <w:jc w:val="center"/>
              <w:rPr>
                <w:color w:val="000000"/>
                <w:sz w:val="20"/>
                <w:szCs w:val="20"/>
              </w:rPr>
            </w:pPr>
            <w:r w:rsidRPr="003E2A75">
              <w:rPr>
                <w:color w:val="000000"/>
                <w:sz w:val="20"/>
                <w:szCs w:val="20"/>
              </w:rPr>
              <w:t>01.07.30</w:t>
            </w:r>
          </w:p>
        </w:tc>
        <w:tc>
          <w:tcPr>
            <w:tcW w:w="1160" w:type="dxa"/>
            <w:shd w:val="clear" w:color="auto" w:fill="auto"/>
            <w:noWrap/>
            <w:vAlign w:val="center"/>
          </w:tcPr>
          <w:p w14:paraId="4062F304" w14:textId="77777777" w:rsidR="00746D3C" w:rsidRPr="006B6335" w:rsidRDefault="00746D3C" w:rsidP="007B3372">
            <w:pPr>
              <w:jc w:val="center"/>
              <w:rPr>
                <w:color w:val="000000"/>
                <w:sz w:val="20"/>
                <w:szCs w:val="20"/>
              </w:rPr>
            </w:pPr>
            <w:r w:rsidRPr="003E2A75">
              <w:rPr>
                <w:color w:val="000000"/>
                <w:sz w:val="20"/>
                <w:szCs w:val="20"/>
              </w:rPr>
              <w:t>platitelia dane</w:t>
            </w:r>
          </w:p>
        </w:tc>
        <w:tc>
          <w:tcPr>
            <w:tcW w:w="1108" w:type="dxa"/>
            <w:vAlign w:val="center"/>
          </w:tcPr>
          <w:p w14:paraId="2F11C7C8" w14:textId="77777777" w:rsidR="00746D3C" w:rsidRPr="006B6335" w:rsidRDefault="00746D3C" w:rsidP="007B3372">
            <w:pPr>
              <w:jc w:val="center"/>
              <w:rPr>
                <w:sz w:val="20"/>
                <w:szCs w:val="20"/>
              </w:rPr>
            </w:pPr>
            <w:r w:rsidRPr="003E2A75">
              <w:rPr>
                <w:color w:val="000000"/>
                <w:sz w:val="20"/>
                <w:szCs w:val="20"/>
              </w:rPr>
              <w:t xml:space="preserve">225 206 </w:t>
            </w:r>
          </w:p>
        </w:tc>
        <w:tc>
          <w:tcPr>
            <w:tcW w:w="851" w:type="dxa"/>
            <w:shd w:val="clear" w:color="auto" w:fill="auto"/>
            <w:noWrap/>
            <w:vAlign w:val="center"/>
          </w:tcPr>
          <w:p w14:paraId="582A09A3" w14:textId="77777777" w:rsidR="00746D3C" w:rsidRPr="006B6335" w:rsidRDefault="00746D3C" w:rsidP="007B3372">
            <w:pPr>
              <w:jc w:val="center"/>
              <w:rPr>
                <w:sz w:val="20"/>
                <w:szCs w:val="20"/>
              </w:rPr>
            </w:pPr>
            <w:r w:rsidRPr="003E2A75">
              <w:rPr>
                <w:color w:val="000000"/>
                <w:sz w:val="20"/>
                <w:szCs w:val="20"/>
              </w:rPr>
              <w:t>1</w:t>
            </w:r>
          </w:p>
        </w:tc>
        <w:tc>
          <w:tcPr>
            <w:tcW w:w="843" w:type="dxa"/>
            <w:shd w:val="clear" w:color="auto" w:fill="auto"/>
            <w:noWrap/>
            <w:vAlign w:val="center"/>
          </w:tcPr>
          <w:p w14:paraId="5FC0A514" w14:textId="77777777" w:rsidR="00746D3C" w:rsidRPr="006B6335" w:rsidRDefault="00746D3C" w:rsidP="007B3372">
            <w:pPr>
              <w:jc w:val="center"/>
              <w:rPr>
                <w:color w:val="000000"/>
                <w:sz w:val="20"/>
                <w:szCs w:val="20"/>
              </w:rPr>
            </w:pPr>
            <w:r w:rsidRPr="003E2A75">
              <w:rPr>
                <w:color w:val="000000"/>
                <w:sz w:val="20"/>
                <w:szCs w:val="20"/>
              </w:rPr>
              <w:t>119 359</w:t>
            </w:r>
          </w:p>
        </w:tc>
        <w:tc>
          <w:tcPr>
            <w:tcW w:w="1000" w:type="dxa"/>
            <w:shd w:val="clear" w:color="auto" w:fill="auto"/>
            <w:noWrap/>
            <w:vAlign w:val="center"/>
          </w:tcPr>
          <w:p w14:paraId="7C89DB8F"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4FB90159"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07758BAD"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2BE7353F"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CAD9A9C" w14:textId="77777777" w:rsidR="00746D3C" w:rsidRPr="006B6335" w:rsidRDefault="00746D3C" w:rsidP="007B3372">
            <w:pPr>
              <w:jc w:val="center"/>
              <w:rPr>
                <w:sz w:val="20"/>
                <w:szCs w:val="20"/>
              </w:rPr>
            </w:pPr>
            <w:r w:rsidRPr="003E2A75">
              <w:rPr>
                <w:color w:val="000000"/>
                <w:sz w:val="20"/>
                <w:szCs w:val="20"/>
              </w:rPr>
              <w:t>18</w:t>
            </w:r>
          </w:p>
        </w:tc>
        <w:tc>
          <w:tcPr>
            <w:tcW w:w="1740" w:type="dxa"/>
            <w:shd w:val="clear" w:color="auto" w:fill="auto"/>
            <w:vAlign w:val="center"/>
          </w:tcPr>
          <w:p w14:paraId="7B111967" w14:textId="77777777" w:rsidR="00746D3C" w:rsidRPr="006B6335" w:rsidRDefault="00746D3C" w:rsidP="007B3372">
            <w:pPr>
              <w:jc w:val="center"/>
              <w:rPr>
                <w:sz w:val="20"/>
                <w:szCs w:val="20"/>
              </w:rPr>
            </w:pPr>
            <w:r w:rsidRPr="003E2A75">
              <w:rPr>
                <w:color w:val="000000"/>
                <w:sz w:val="20"/>
                <w:szCs w:val="20"/>
              </w:rPr>
              <w:t>Prijatie opravnej elektronickej faktúry osobou registrovanou pre daň (cezhraničné transakcie)</w:t>
            </w:r>
          </w:p>
        </w:tc>
        <w:tc>
          <w:tcPr>
            <w:tcW w:w="992" w:type="dxa"/>
            <w:vAlign w:val="center"/>
          </w:tcPr>
          <w:p w14:paraId="5A08703D"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10C6BCB0" w14:textId="77777777" w:rsidR="00746D3C" w:rsidRPr="006B6335" w:rsidRDefault="00746D3C" w:rsidP="007B3372">
            <w:pPr>
              <w:jc w:val="center"/>
              <w:rPr>
                <w:sz w:val="20"/>
                <w:szCs w:val="20"/>
              </w:rPr>
            </w:pPr>
            <w:r w:rsidRPr="003E2A75">
              <w:rPr>
                <w:color w:val="000000"/>
                <w:sz w:val="20"/>
                <w:szCs w:val="20"/>
              </w:rPr>
              <w:t>§ 71 ods. 1 písm. b)</w:t>
            </w:r>
          </w:p>
        </w:tc>
        <w:tc>
          <w:tcPr>
            <w:tcW w:w="1843" w:type="dxa"/>
            <w:shd w:val="clear" w:color="auto" w:fill="auto"/>
            <w:vAlign w:val="center"/>
          </w:tcPr>
          <w:p w14:paraId="33416E53"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70323D71" w14:textId="77777777" w:rsidR="00746D3C" w:rsidRPr="006B6335" w:rsidRDefault="00746D3C" w:rsidP="007B3372">
            <w:pPr>
              <w:jc w:val="center"/>
              <w:rPr>
                <w:color w:val="000000"/>
                <w:sz w:val="20"/>
                <w:szCs w:val="20"/>
              </w:rPr>
            </w:pPr>
            <w:r w:rsidRPr="003E2A75">
              <w:rPr>
                <w:color w:val="000000"/>
                <w:sz w:val="20"/>
                <w:szCs w:val="20"/>
              </w:rPr>
              <w:t>01.07.30</w:t>
            </w:r>
          </w:p>
        </w:tc>
        <w:tc>
          <w:tcPr>
            <w:tcW w:w="1160" w:type="dxa"/>
            <w:shd w:val="clear" w:color="auto" w:fill="auto"/>
            <w:noWrap/>
            <w:vAlign w:val="center"/>
          </w:tcPr>
          <w:p w14:paraId="526C0957" w14:textId="77777777" w:rsidR="00746D3C" w:rsidRPr="006B6335" w:rsidRDefault="00746D3C" w:rsidP="007B3372">
            <w:pPr>
              <w:jc w:val="center"/>
              <w:rPr>
                <w:color w:val="000000"/>
                <w:sz w:val="20"/>
                <w:szCs w:val="20"/>
              </w:rPr>
            </w:pPr>
            <w:r w:rsidRPr="003E2A75">
              <w:rPr>
                <w:color w:val="000000"/>
                <w:sz w:val="20"/>
                <w:szCs w:val="20"/>
              </w:rPr>
              <w:t>osoby registrované pre daň podľa § 7 a § 7a</w:t>
            </w:r>
          </w:p>
        </w:tc>
        <w:tc>
          <w:tcPr>
            <w:tcW w:w="1108" w:type="dxa"/>
            <w:vAlign w:val="center"/>
          </w:tcPr>
          <w:p w14:paraId="15AF4106" w14:textId="77777777" w:rsidR="00746D3C" w:rsidRPr="006B6335" w:rsidRDefault="00746D3C" w:rsidP="007B3372">
            <w:pPr>
              <w:jc w:val="center"/>
              <w:rPr>
                <w:sz w:val="20"/>
                <w:szCs w:val="20"/>
              </w:rPr>
            </w:pPr>
            <w:r w:rsidRPr="003E2A75">
              <w:rPr>
                <w:color w:val="000000"/>
                <w:sz w:val="20"/>
                <w:szCs w:val="20"/>
              </w:rPr>
              <w:t xml:space="preserve">65 219 </w:t>
            </w:r>
          </w:p>
        </w:tc>
        <w:tc>
          <w:tcPr>
            <w:tcW w:w="851" w:type="dxa"/>
            <w:shd w:val="clear" w:color="auto" w:fill="auto"/>
            <w:noWrap/>
            <w:vAlign w:val="center"/>
          </w:tcPr>
          <w:p w14:paraId="7F5E44AA" w14:textId="77777777" w:rsidR="00746D3C" w:rsidRPr="006B6335" w:rsidRDefault="00746D3C" w:rsidP="007B3372">
            <w:pPr>
              <w:jc w:val="center"/>
              <w:rPr>
                <w:sz w:val="20"/>
                <w:szCs w:val="20"/>
              </w:rPr>
            </w:pPr>
            <w:r w:rsidRPr="003E2A75">
              <w:rPr>
                <w:color w:val="000000"/>
                <w:sz w:val="20"/>
                <w:szCs w:val="20"/>
              </w:rPr>
              <w:t>0</w:t>
            </w:r>
          </w:p>
        </w:tc>
        <w:tc>
          <w:tcPr>
            <w:tcW w:w="843" w:type="dxa"/>
            <w:shd w:val="clear" w:color="auto" w:fill="auto"/>
            <w:noWrap/>
            <w:vAlign w:val="center"/>
          </w:tcPr>
          <w:p w14:paraId="5E7D2485" w14:textId="77777777" w:rsidR="00746D3C" w:rsidRPr="006B6335" w:rsidRDefault="00746D3C" w:rsidP="007B3372">
            <w:pPr>
              <w:jc w:val="center"/>
              <w:rPr>
                <w:color w:val="000000"/>
                <w:sz w:val="20"/>
                <w:szCs w:val="20"/>
              </w:rPr>
            </w:pPr>
            <w:r w:rsidRPr="003E2A75">
              <w:rPr>
                <w:color w:val="000000"/>
                <w:sz w:val="20"/>
                <w:szCs w:val="20"/>
              </w:rPr>
              <w:t>6 522</w:t>
            </w:r>
          </w:p>
        </w:tc>
        <w:tc>
          <w:tcPr>
            <w:tcW w:w="1000" w:type="dxa"/>
            <w:shd w:val="clear" w:color="auto" w:fill="auto"/>
            <w:noWrap/>
            <w:vAlign w:val="center"/>
          </w:tcPr>
          <w:p w14:paraId="01EED86A"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42F102AB"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330041C0"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00C8808F"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FF28B33" w14:textId="77777777" w:rsidR="00746D3C" w:rsidRPr="006B6335" w:rsidRDefault="00746D3C" w:rsidP="007B3372">
            <w:pPr>
              <w:jc w:val="center"/>
              <w:rPr>
                <w:sz w:val="20"/>
                <w:szCs w:val="20"/>
              </w:rPr>
            </w:pPr>
            <w:r w:rsidRPr="003E2A75">
              <w:rPr>
                <w:color w:val="000000"/>
                <w:sz w:val="20"/>
                <w:szCs w:val="20"/>
              </w:rPr>
              <w:lastRenderedPageBreak/>
              <w:t>19</w:t>
            </w:r>
          </w:p>
        </w:tc>
        <w:tc>
          <w:tcPr>
            <w:tcW w:w="1740" w:type="dxa"/>
            <w:shd w:val="clear" w:color="auto" w:fill="auto"/>
            <w:vAlign w:val="center"/>
          </w:tcPr>
          <w:p w14:paraId="76D31125" w14:textId="77777777" w:rsidR="00746D3C" w:rsidRPr="006B6335" w:rsidRDefault="00746D3C" w:rsidP="007B3372">
            <w:pPr>
              <w:jc w:val="center"/>
              <w:rPr>
                <w:sz w:val="20"/>
                <w:szCs w:val="20"/>
              </w:rPr>
            </w:pPr>
            <w:r w:rsidRPr="003E2A75">
              <w:rPr>
                <w:color w:val="000000"/>
                <w:sz w:val="20"/>
                <w:szCs w:val="20"/>
              </w:rPr>
              <w:t>Rozšírenie a úprava obsahových náležitostí faktúry</w:t>
            </w:r>
          </w:p>
        </w:tc>
        <w:tc>
          <w:tcPr>
            <w:tcW w:w="992" w:type="dxa"/>
            <w:vAlign w:val="center"/>
          </w:tcPr>
          <w:p w14:paraId="1A45AEAE"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7E4B14F6" w14:textId="77777777" w:rsidR="00746D3C" w:rsidRPr="006B6335" w:rsidRDefault="00746D3C" w:rsidP="007B3372">
            <w:pPr>
              <w:jc w:val="center"/>
              <w:rPr>
                <w:sz w:val="20"/>
                <w:szCs w:val="20"/>
              </w:rPr>
            </w:pPr>
            <w:r w:rsidRPr="003E2A75">
              <w:rPr>
                <w:color w:val="000000"/>
                <w:sz w:val="20"/>
                <w:szCs w:val="20"/>
              </w:rPr>
              <w:t>§ 74 ods. 1 písm. c), k), p) a q)</w:t>
            </w:r>
          </w:p>
        </w:tc>
        <w:tc>
          <w:tcPr>
            <w:tcW w:w="1843" w:type="dxa"/>
            <w:shd w:val="clear" w:color="auto" w:fill="auto"/>
            <w:vAlign w:val="center"/>
          </w:tcPr>
          <w:p w14:paraId="217013B6"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63B0E7C9" w14:textId="77777777" w:rsidR="00746D3C" w:rsidRPr="006B6335" w:rsidRDefault="00746D3C" w:rsidP="007B3372">
            <w:pPr>
              <w:jc w:val="center"/>
              <w:rPr>
                <w:color w:val="000000"/>
                <w:sz w:val="20"/>
                <w:szCs w:val="20"/>
              </w:rPr>
            </w:pPr>
            <w:r w:rsidRPr="003E2A75">
              <w:rPr>
                <w:color w:val="000000"/>
                <w:sz w:val="20"/>
                <w:szCs w:val="20"/>
              </w:rPr>
              <w:t>1.1.2027 a 1.7.2030</w:t>
            </w:r>
          </w:p>
        </w:tc>
        <w:tc>
          <w:tcPr>
            <w:tcW w:w="1160" w:type="dxa"/>
            <w:shd w:val="clear" w:color="auto" w:fill="auto"/>
            <w:noWrap/>
            <w:vAlign w:val="center"/>
          </w:tcPr>
          <w:p w14:paraId="14B8EC7A" w14:textId="77777777" w:rsidR="00746D3C" w:rsidRPr="006B6335" w:rsidRDefault="00746D3C" w:rsidP="007B3372">
            <w:pPr>
              <w:jc w:val="center"/>
              <w:rPr>
                <w:color w:val="000000"/>
                <w:sz w:val="20"/>
                <w:szCs w:val="20"/>
              </w:rPr>
            </w:pPr>
            <w:r w:rsidRPr="003E2A75">
              <w:rPr>
                <w:color w:val="000000"/>
                <w:sz w:val="20"/>
                <w:szCs w:val="20"/>
              </w:rPr>
              <w:t>platitelia dane</w:t>
            </w:r>
          </w:p>
        </w:tc>
        <w:tc>
          <w:tcPr>
            <w:tcW w:w="1108" w:type="dxa"/>
            <w:vAlign w:val="center"/>
          </w:tcPr>
          <w:p w14:paraId="1554D1B9" w14:textId="77777777" w:rsidR="00746D3C" w:rsidRPr="006B6335" w:rsidRDefault="00746D3C" w:rsidP="007B3372">
            <w:pPr>
              <w:jc w:val="center"/>
              <w:rPr>
                <w:sz w:val="20"/>
                <w:szCs w:val="20"/>
              </w:rPr>
            </w:pPr>
            <w:r w:rsidRPr="003E2A75">
              <w:rPr>
                <w:color w:val="000000"/>
                <w:sz w:val="20"/>
                <w:szCs w:val="20"/>
              </w:rPr>
              <w:t xml:space="preserve">225 206 </w:t>
            </w:r>
          </w:p>
        </w:tc>
        <w:tc>
          <w:tcPr>
            <w:tcW w:w="851" w:type="dxa"/>
            <w:shd w:val="clear" w:color="auto" w:fill="auto"/>
            <w:noWrap/>
            <w:vAlign w:val="center"/>
          </w:tcPr>
          <w:p w14:paraId="71FE7208" w14:textId="77777777" w:rsidR="00746D3C" w:rsidRPr="006B6335" w:rsidRDefault="00746D3C" w:rsidP="007B3372">
            <w:pPr>
              <w:jc w:val="center"/>
              <w:rPr>
                <w:sz w:val="20"/>
                <w:szCs w:val="20"/>
              </w:rPr>
            </w:pPr>
            <w:r w:rsidRPr="003E2A75">
              <w:rPr>
                <w:color w:val="000000"/>
                <w:sz w:val="20"/>
                <w:szCs w:val="20"/>
              </w:rPr>
              <w:t>6</w:t>
            </w:r>
          </w:p>
        </w:tc>
        <w:tc>
          <w:tcPr>
            <w:tcW w:w="843" w:type="dxa"/>
            <w:shd w:val="clear" w:color="auto" w:fill="auto"/>
            <w:noWrap/>
            <w:vAlign w:val="center"/>
          </w:tcPr>
          <w:p w14:paraId="49699637" w14:textId="77777777" w:rsidR="00746D3C" w:rsidRPr="006B6335" w:rsidRDefault="00746D3C" w:rsidP="007B3372">
            <w:pPr>
              <w:jc w:val="center"/>
              <w:rPr>
                <w:color w:val="000000"/>
                <w:sz w:val="20"/>
                <w:szCs w:val="20"/>
              </w:rPr>
            </w:pPr>
            <w:r w:rsidRPr="003E2A75">
              <w:rPr>
                <w:color w:val="000000"/>
                <w:sz w:val="20"/>
                <w:szCs w:val="20"/>
              </w:rPr>
              <w:t>1 460 799</w:t>
            </w:r>
          </w:p>
        </w:tc>
        <w:tc>
          <w:tcPr>
            <w:tcW w:w="1000" w:type="dxa"/>
            <w:shd w:val="clear" w:color="auto" w:fill="auto"/>
            <w:noWrap/>
            <w:vAlign w:val="center"/>
          </w:tcPr>
          <w:p w14:paraId="72B498D0" w14:textId="77777777" w:rsidR="00746D3C" w:rsidRPr="006B6335" w:rsidRDefault="00746D3C" w:rsidP="007B3372">
            <w:pPr>
              <w:jc w:val="center"/>
              <w:rPr>
                <w:sz w:val="20"/>
                <w:szCs w:val="20"/>
              </w:rPr>
            </w:pPr>
            <w:r w:rsidRPr="003E2A75">
              <w:rPr>
                <w:color w:val="000000"/>
                <w:sz w:val="20"/>
                <w:szCs w:val="20"/>
              </w:rPr>
              <w:t>In (zvyšuje náklady)</w:t>
            </w:r>
          </w:p>
        </w:tc>
        <w:tc>
          <w:tcPr>
            <w:tcW w:w="708" w:type="dxa"/>
            <w:shd w:val="clear" w:color="auto" w:fill="auto"/>
            <w:noWrap/>
            <w:vAlign w:val="center"/>
          </w:tcPr>
          <w:p w14:paraId="155765CA"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54E8C488"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1605797F"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6F897B0" w14:textId="77777777" w:rsidR="00746D3C" w:rsidRPr="006B6335" w:rsidRDefault="00746D3C" w:rsidP="007B3372">
            <w:pPr>
              <w:jc w:val="center"/>
              <w:rPr>
                <w:sz w:val="20"/>
                <w:szCs w:val="20"/>
              </w:rPr>
            </w:pPr>
            <w:r w:rsidRPr="003E2A75">
              <w:rPr>
                <w:color w:val="000000"/>
                <w:sz w:val="20"/>
                <w:szCs w:val="20"/>
              </w:rPr>
              <w:t>20</w:t>
            </w:r>
          </w:p>
        </w:tc>
        <w:tc>
          <w:tcPr>
            <w:tcW w:w="1740" w:type="dxa"/>
            <w:shd w:val="clear" w:color="auto" w:fill="auto"/>
            <w:vAlign w:val="center"/>
          </w:tcPr>
          <w:p w14:paraId="29DFF516" w14:textId="77777777" w:rsidR="00746D3C" w:rsidRPr="006B6335" w:rsidRDefault="00746D3C" w:rsidP="007B3372">
            <w:pPr>
              <w:jc w:val="center"/>
              <w:rPr>
                <w:sz w:val="20"/>
                <w:szCs w:val="20"/>
              </w:rPr>
            </w:pPr>
            <w:r w:rsidRPr="003E2A75">
              <w:rPr>
                <w:color w:val="000000"/>
                <w:sz w:val="20"/>
                <w:szCs w:val="20"/>
              </w:rPr>
              <w:t>Zrušenie povinnosti podávať kontrolný výkaz</w:t>
            </w:r>
          </w:p>
        </w:tc>
        <w:tc>
          <w:tcPr>
            <w:tcW w:w="992" w:type="dxa"/>
            <w:vAlign w:val="center"/>
          </w:tcPr>
          <w:p w14:paraId="0FCA0A2D"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54F50C84" w14:textId="77777777" w:rsidR="00746D3C" w:rsidRPr="006B6335" w:rsidRDefault="00746D3C" w:rsidP="007B3372">
            <w:pPr>
              <w:jc w:val="center"/>
              <w:rPr>
                <w:sz w:val="20"/>
                <w:szCs w:val="20"/>
              </w:rPr>
            </w:pPr>
            <w:r w:rsidRPr="003E2A75">
              <w:rPr>
                <w:color w:val="000000"/>
                <w:sz w:val="20"/>
                <w:szCs w:val="20"/>
              </w:rPr>
              <w:t>§ 78a</w:t>
            </w:r>
          </w:p>
        </w:tc>
        <w:tc>
          <w:tcPr>
            <w:tcW w:w="1843" w:type="dxa"/>
            <w:shd w:val="clear" w:color="auto" w:fill="auto"/>
            <w:vAlign w:val="center"/>
          </w:tcPr>
          <w:p w14:paraId="57EE13EF"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637F903D" w14:textId="77777777" w:rsidR="00746D3C" w:rsidRPr="006B6335" w:rsidRDefault="00746D3C" w:rsidP="007B3372">
            <w:pPr>
              <w:jc w:val="center"/>
              <w:rPr>
                <w:color w:val="000000"/>
                <w:sz w:val="20"/>
                <w:szCs w:val="20"/>
              </w:rPr>
            </w:pPr>
            <w:r w:rsidRPr="003E2A75">
              <w:rPr>
                <w:color w:val="000000"/>
                <w:sz w:val="20"/>
                <w:szCs w:val="20"/>
              </w:rPr>
              <w:t>01.07.30</w:t>
            </w:r>
          </w:p>
        </w:tc>
        <w:tc>
          <w:tcPr>
            <w:tcW w:w="1160" w:type="dxa"/>
            <w:shd w:val="clear" w:color="auto" w:fill="auto"/>
            <w:noWrap/>
            <w:vAlign w:val="center"/>
          </w:tcPr>
          <w:p w14:paraId="2FCD5AE3" w14:textId="77777777" w:rsidR="00746D3C" w:rsidRPr="006B6335" w:rsidRDefault="00746D3C" w:rsidP="007B3372">
            <w:pPr>
              <w:jc w:val="center"/>
              <w:rPr>
                <w:color w:val="000000"/>
                <w:sz w:val="20"/>
                <w:szCs w:val="20"/>
              </w:rPr>
            </w:pPr>
            <w:r w:rsidRPr="003E2A75">
              <w:rPr>
                <w:color w:val="000000"/>
                <w:sz w:val="20"/>
                <w:szCs w:val="20"/>
              </w:rPr>
              <w:t>platitelia dane</w:t>
            </w:r>
          </w:p>
        </w:tc>
        <w:tc>
          <w:tcPr>
            <w:tcW w:w="1108" w:type="dxa"/>
            <w:vAlign w:val="center"/>
          </w:tcPr>
          <w:p w14:paraId="7424916D" w14:textId="77777777" w:rsidR="00746D3C" w:rsidRPr="006B6335" w:rsidRDefault="00746D3C" w:rsidP="007B3372">
            <w:pPr>
              <w:jc w:val="center"/>
              <w:rPr>
                <w:sz w:val="20"/>
                <w:szCs w:val="20"/>
              </w:rPr>
            </w:pPr>
            <w:r w:rsidRPr="003E2A75">
              <w:rPr>
                <w:color w:val="000000"/>
                <w:sz w:val="20"/>
                <w:szCs w:val="20"/>
              </w:rPr>
              <w:t xml:space="preserve">225 206 </w:t>
            </w:r>
          </w:p>
        </w:tc>
        <w:tc>
          <w:tcPr>
            <w:tcW w:w="851" w:type="dxa"/>
            <w:shd w:val="clear" w:color="auto" w:fill="auto"/>
            <w:noWrap/>
            <w:vAlign w:val="center"/>
          </w:tcPr>
          <w:p w14:paraId="39EBF012" w14:textId="77777777" w:rsidR="00746D3C" w:rsidRPr="006B6335" w:rsidRDefault="00746D3C" w:rsidP="007B3372">
            <w:pPr>
              <w:jc w:val="center"/>
              <w:rPr>
                <w:sz w:val="20"/>
                <w:szCs w:val="20"/>
              </w:rPr>
            </w:pPr>
            <w:r w:rsidRPr="003E2A75">
              <w:rPr>
                <w:color w:val="000000"/>
                <w:sz w:val="20"/>
                <w:szCs w:val="20"/>
              </w:rPr>
              <w:t>39</w:t>
            </w:r>
          </w:p>
        </w:tc>
        <w:tc>
          <w:tcPr>
            <w:tcW w:w="843" w:type="dxa"/>
            <w:shd w:val="clear" w:color="auto" w:fill="auto"/>
            <w:noWrap/>
            <w:vAlign w:val="center"/>
          </w:tcPr>
          <w:p w14:paraId="2B65A48D" w14:textId="77777777" w:rsidR="00746D3C" w:rsidRPr="006B6335" w:rsidRDefault="00746D3C" w:rsidP="007B3372">
            <w:pPr>
              <w:jc w:val="center"/>
              <w:rPr>
                <w:color w:val="000000"/>
                <w:sz w:val="20"/>
                <w:szCs w:val="20"/>
              </w:rPr>
            </w:pPr>
            <w:r w:rsidRPr="003E2A75">
              <w:rPr>
                <w:color w:val="000000"/>
                <w:sz w:val="20"/>
                <w:szCs w:val="20"/>
              </w:rPr>
              <w:t>8 764 792</w:t>
            </w:r>
          </w:p>
        </w:tc>
        <w:tc>
          <w:tcPr>
            <w:tcW w:w="1000" w:type="dxa"/>
            <w:shd w:val="clear" w:color="auto" w:fill="auto"/>
            <w:noWrap/>
            <w:vAlign w:val="center"/>
          </w:tcPr>
          <w:p w14:paraId="75669008"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7AB088CD"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617D1117"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2067FCA1"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B12C451" w14:textId="77777777" w:rsidR="00746D3C" w:rsidRPr="006B6335" w:rsidRDefault="00746D3C" w:rsidP="007B3372">
            <w:pPr>
              <w:jc w:val="center"/>
              <w:rPr>
                <w:sz w:val="20"/>
                <w:szCs w:val="20"/>
              </w:rPr>
            </w:pPr>
            <w:r w:rsidRPr="003E2A75">
              <w:rPr>
                <w:color w:val="000000"/>
                <w:sz w:val="20"/>
                <w:szCs w:val="20"/>
              </w:rPr>
              <w:t>21</w:t>
            </w:r>
          </w:p>
        </w:tc>
        <w:tc>
          <w:tcPr>
            <w:tcW w:w="1740" w:type="dxa"/>
            <w:shd w:val="clear" w:color="auto" w:fill="auto"/>
            <w:vAlign w:val="center"/>
          </w:tcPr>
          <w:p w14:paraId="4A0246B2" w14:textId="77777777" w:rsidR="00746D3C" w:rsidRPr="006B6335" w:rsidRDefault="00746D3C" w:rsidP="007B3372">
            <w:pPr>
              <w:jc w:val="center"/>
              <w:rPr>
                <w:sz w:val="20"/>
                <w:szCs w:val="20"/>
              </w:rPr>
            </w:pPr>
            <w:r w:rsidRPr="003E2A75">
              <w:rPr>
                <w:color w:val="000000"/>
                <w:sz w:val="20"/>
                <w:szCs w:val="20"/>
              </w:rPr>
              <w:t>Zrušenie povinnosti podávať súhrnný výkaz</w:t>
            </w:r>
          </w:p>
        </w:tc>
        <w:tc>
          <w:tcPr>
            <w:tcW w:w="992" w:type="dxa"/>
            <w:vAlign w:val="center"/>
          </w:tcPr>
          <w:p w14:paraId="545EEA76"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58559BDD" w14:textId="77777777" w:rsidR="00746D3C" w:rsidRPr="006B6335" w:rsidRDefault="00746D3C" w:rsidP="007B3372">
            <w:pPr>
              <w:jc w:val="center"/>
              <w:rPr>
                <w:sz w:val="20"/>
                <w:szCs w:val="20"/>
              </w:rPr>
            </w:pPr>
            <w:r w:rsidRPr="003E2A75">
              <w:rPr>
                <w:color w:val="000000"/>
                <w:sz w:val="20"/>
                <w:szCs w:val="20"/>
              </w:rPr>
              <w:t>§ 80</w:t>
            </w:r>
          </w:p>
        </w:tc>
        <w:tc>
          <w:tcPr>
            <w:tcW w:w="1843" w:type="dxa"/>
            <w:shd w:val="clear" w:color="auto" w:fill="auto"/>
            <w:vAlign w:val="center"/>
          </w:tcPr>
          <w:p w14:paraId="674955CF"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2. EÚ úplná harmonizácia</w:t>
            </w:r>
          </w:p>
        </w:tc>
        <w:tc>
          <w:tcPr>
            <w:tcW w:w="992" w:type="dxa"/>
            <w:vAlign w:val="center"/>
          </w:tcPr>
          <w:p w14:paraId="036DCEF4" w14:textId="77777777" w:rsidR="00746D3C" w:rsidRPr="006B6335" w:rsidRDefault="00746D3C" w:rsidP="007B3372">
            <w:pPr>
              <w:jc w:val="center"/>
              <w:rPr>
                <w:color w:val="000000"/>
                <w:sz w:val="20"/>
                <w:szCs w:val="20"/>
              </w:rPr>
            </w:pPr>
            <w:r w:rsidRPr="003E2A75">
              <w:rPr>
                <w:color w:val="000000"/>
                <w:sz w:val="20"/>
                <w:szCs w:val="20"/>
              </w:rPr>
              <w:t>01.07.30</w:t>
            </w:r>
          </w:p>
        </w:tc>
        <w:tc>
          <w:tcPr>
            <w:tcW w:w="1160" w:type="dxa"/>
            <w:shd w:val="clear" w:color="auto" w:fill="auto"/>
            <w:noWrap/>
            <w:vAlign w:val="center"/>
          </w:tcPr>
          <w:p w14:paraId="26A91792" w14:textId="77777777" w:rsidR="00746D3C" w:rsidRPr="006B6335" w:rsidRDefault="00746D3C" w:rsidP="007B3372">
            <w:pPr>
              <w:jc w:val="center"/>
              <w:rPr>
                <w:color w:val="000000"/>
                <w:sz w:val="20"/>
                <w:szCs w:val="20"/>
              </w:rPr>
            </w:pPr>
            <w:r w:rsidRPr="003E2A75">
              <w:rPr>
                <w:color w:val="000000"/>
                <w:sz w:val="20"/>
                <w:szCs w:val="20"/>
              </w:rPr>
              <w:t>platitelia dane</w:t>
            </w:r>
          </w:p>
        </w:tc>
        <w:tc>
          <w:tcPr>
            <w:tcW w:w="1108" w:type="dxa"/>
            <w:vAlign w:val="center"/>
          </w:tcPr>
          <w:p w14:paraId="3FFA06F8" w14:textId="77777777" w:rsidR="00746D3C" w:rsidRPr="006B6335" w:rsidRDefault="00746D3C" w:rsidP="007B3372">
            <w:pPr>
              <w:jc w:val="center"/>
              <w:rPr>
                <w:sz w:val="20"/>
                <w:szCs w:val="20"/>
              </w:rPr>
            </w:pPr>
            <w:r w:rsidRPr="003E2A75">
              <w:rPr>
                <w:color w:val="000000"/>
                <w:sz w:val="20"/>
                <w:szCs w:val="20"/>
              </w:rPr>
              <w:t xml:space="preserve">225 206 </w:t>
            </w:r>
          </w:p>
        </w:tc>
        <w:tc>
          <w:tcPr>
            <w:tcW w:w="851" w:type="dxa"/>
            <w:shd w:val="clear" w:color="auto" w:fill="auto"/>
            <w:noWrap/>
            <w:vAlign w:val="center"/>
          </w:tcPr>
          <w:p w14:paraId="75EA2425" w14:textId="77777777" w:rsidR="00746D3C" w:rsidRPr="006B6335" w:rsidRDefault="00746D3C" w:rsidP="007B3372">
            <w:pPr>
              <w:jc w:val="center"/>
              <w:rPr>
                <w:sz w:val="20"/>
                <w:szCs w:val="20"/>
              </w:rPr>
            </w:pPr>
            <w:r w:rsidRPr="003E2A75">
              <w:rPr>
                <w:color w:val="000000"/>
                <w:sz w:val="20"/>
                <w:szCs w:val="20"/>
              </w:rPr>
              <w:t>9</w:t>
            </w:r>
          </w:p>
        </w:tc>
        <w:tc>
          <w:tcPr>
            <w:tcW w:w="843" w:type="dxa"/>
            <w:shd w:val="clear" w:color="auto" w:fill="auto"/>
            <w:noWrap/>
            <w:vAlign w:val="center"/>
          </w:tcPr>
          <w:p w14:paraId="3279874B" w14:textId="77777777" w:rsidR="00746D3C" w:rsidRPr="006B6335" w:rsidRDefault="00746D3C" w:rsidP="007B3372">
            <w:pPr>
              <w:jc w:val="center"/>
              <w:rPr>
                <w:color w:val="000000"/>
                <w:sz w:val="20"/>
                <w:szCs w:val="20"/>
              </w:rPr>
            </w:pPr>
            <w:r w:rsidRPr="003E2A75">
              <w:rPr>
                <w:color w:val="000000"/>
                <w:sz w:val="20"/>
                <w:szCs w:val="20"/>
              </w:rPr>
              <w:t>1 947 732</w:t>
            </w:r>
          </w:p>
        </w:tc>
        <w:tc>
          <w:tcPr>
            <w:tcW w:w="1000" w:type="dxa"/>
            <w:shd w:val="clear" w:color="auto" w:fill="auto"/>
            <w:noWrap/>
            <w:vAlign w:val="center"/>
          </w:tcPr>
          <w:p w14:paraId="7B4818CA" w14:textId="77777777" w:rsidR="00746D3C" w:rsidRPr="006B6335" w:rsidRDefault="00746D3C" w:rsidP="007B3372">
            <w:pPr>
              <w:jc w:val="center"/>
              <w:rPr>
                <w:sz w:val="20"/>
                <w:szCs w:val="20"/>
              </w:rPr>
            </w:pPr>
            <w:r w:rsidRPr="003E2A75">
              <w:rPr>
                <w:color w:val="000000"/>
                <w:sz w:val="20"/>
                <w:szCs w:val="20"/>
              </w:rPr>
              <w:t>Out (znižuje náklady)</w:t>
            </w:r>
          </w:p>
        </w:tc>
        <w:tc>
          <w:tcPr>
            <w:tcW w:w="708" w:type="dxa"/>
            <w:shd w:val="clear" w:color="auto" w:fill="auto"/>
            <w:noWrap/>
            <w:vAlign w:val="center"/>
          </w:tcPr>
          <w:p w14:paraId="17EC07B4" w14:textId="77777777" w:rsidR="00746D3C" w:rsidRPr="006B6335" w:rsidRDefault="00746D3C" w:rsidP="007B3372">
            <w:pPr>
              <w:jc w:val="center"/>
              <w:rPr>
                <w:color w:val="000000"/>
                <w:sz w:val="20"/>
                <w:szCs w:val="20"/>
              </w:rPr>
            </w:pPr>
            <w:r w:rsidRPr="003E2A75">
              <w:rPr>
                <w:sz w:val="20"/>
                <w:szCs w:val="20"/>
              </w:rPr>
              <w:t>0</w:t>
            </w:r>
          </w:p>
        </w:tc>
        <w:tc>
          <w:tcPr>
            <w:tcW w:w="1134" w:type="dxa"/>
            <w:vAlign w:val="center"/>
          </w:tcPr>
          <w:p w14:paraId="54F043DB" w14:textId="77777777" w:rsidR="00746D3C" w:rsidRPr="006B6335" w:rsidRDefault="00746D3C" w:rsidP="007B3372">
            <w:pPr>
              <w:jc w:val="center"/>
              <w:rPr>
                <w:sz w:val="20"/>
                <w:szCs w:val="20"/>
              </w:rPr>
            </w:pPr>
            <w:r w:rsidRPr="003E2A75">
              <w:rPr>
                <w:color w:val="000000"/>
                <w:sz w:val="20"/>
                <w:szCs w:val="20"/>
              </w:rPr>
              <w:t>0</w:t>
            </w:r>
          </w:p>
        </w:tc>
      </w:tr>
      <w:tr w:rsidR="00746D3C" w:rsidRPr="00895898" w14:paraId="02FF60D9" w14:textId="77777777" w:rsidTr="007B3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0537EAF" w14:textId="77777777" w:rsidR="00746D3C" w:rsidRPr="006B6335" w:rsidRDefault="00746D3C" w:rsidP="007B3372">
            <w:pPr>
              <w:jc w:val="center"/>
              <w:rPr>
                <w:sz w:val="20"/>
                <w:szCs w:val="20"/>
              </w:rPr>
            </w:pPr>
            <w:r w:rsidRPr="003E2A75">
              <w:rPr>
                <w:color w:val="000000"/>
                <w:sz w:val="20"/>
                <w:szCs w:val="20"/>
              </w:rPr>
              <w:t>22</w:t>
            </w:r>
          </w:p>
        </w:tc>
        <w:tc>
          <w:tcPr>
            <w:tcW w:w="1740" w:type="dxa"/>
            <w:shd w:val="clear" w:color="auto" w:fill="auto"/>
            <w:vAlign w:val="center"/>
          </w:tcPr>
          <w:p w14:paraId="2E2FE361" w14:textId="77777777" w:rsidR="00746D3C" w:rsidRPr="006B6335" w:rsidRDefault="00746D3C" w:rsidP="007B3372">
            <w:pPr>
              <w:jc w:val="center"/>
              <w:rPr>
                <w:sz w:val="20"/>
                <w:szCs w:val="20"/>
              </w:rPr>
            </w:pPr>
            <w:r w:rsidRPr="003E2A75">
              <w:rPr>
                <w:color w:val="000000"/>
                <w:sz w:val="20"/>
                <w:szCs w:val="20"/>
              </w:rPr>
              <w:t>Oznamovanie údajov finančnému riaditeľstvo pri dodaní a nadobudnutí tovaru a služby</w:t>
            </w:r>
          </w:p>
        </w:tc>
        <w:tc>
          <w:tcPr>
            <w:tcW w:w="992" w:type="dxa"/>
            <w:vAlign w:val="center"/>
          </w:tcPr>
          <w:p w14:paraId="7E32D7FA" w14:textId="77777777" w:rsidR="00746D3C" w:rsidRPr="006B6335" w:rsidRDefault="00746D3C" w:rsidP="007B3372">
            <w:pPr>
              <w:jc w:val="center"/>
              <w:rPr>
                <w:sz w:val="20"/>
                <w:szCs w:val="20"/>
              </w:rPr>
            </w:pPr>
            <w:r w:rsidRPr="003E2A75">
              <w:rPr>
                <w:color w:val="000000"/>
                <w:sz w:val="20"/>
                <w:szCs w:val="20"/>
              </w:rPr>
              <w:t>zákon č. 222/2004 Z. z.</w:t>
            </w:r>
          </w:p>
        </w:tc>
        <w:tc>
          <w:tcPr>
            <w:tcW w:w="1134" w:type="dxa"/>
            <w:vAlign w:val="center"/>
          </w:tcPr>
          <w:p w14:paraId="7F94868E" w14:textId="77777777" w:rsidR="00746D3C" w:rsidRPr="006B6335" w:rsidRDefault="00746D3C" w:rsidP="007B3372">
            <w:pPr>
              <w:jc w:val="center"/>
              <w:rPr>
                <w:sz w:val="20"/>
                <w:szCs w:val="20"/>
              </w:rPr>
            </w:pPr>
            <w:r w:rsidRPr="003E2A75">
              <w:rPr>
                <w:color w:val="000000"/>
                <w:sz w:val="20"/>
                <w:szCs w:val="20"/>
              </w:rPr>
              <w:t>§ 80, § 80a, § 85n</w:t>
            </w:r>
          </w:p>
        </w:tc>
        <w:tc>
          <w:tcPr>
            <w:tcW w:w="1843" w:type="dxa"/>
            <w:shd w:val="clear" w:color="auto" w:fill="auto"/>
            <w:vAlign w:val="center"/>
          </w:tcPr>
          <w:p w14:paraId="7FFAF5C9" w14:textId="77777777" w:rsidR="00746D3C" w:rsidRPr="006B6335" w:rsidDel="00801596" w:rsidRDefault="00746D3C" w:rsidP="007B3372">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3E2A75">
              <w:rPr>
                <w:rFonts w:ascii="Times New Roman" w:hAnsi="Times New Roman" w:cs="Times New Roman"/>
                <w:color w:val="000000"/>
                <w:sz w:val="20"/>
                <w:szCs w:val="20"/>
              </w:rPr>
              <w:t xml:space="preserve">3b)  Navýšenie  požiadaviek nad rámec minimálnych požiadaviek smernice EÚ, </w:t>
            </w:r>
          </w:p>
        </w:tc>
        <w:tc>
          <w:tcPr>
            <w:tcW w:w="992" w:type="dxa"/>
            <w:vAlign w:val="center"/>
          </w:tcPr>
          <w:p w14:paraId="59B41821" w14:textId="77777777" w:rsidR="00746D3C" w:rsidRPr="006B6335" w:rsidRDefault="00746D3C" w:rsidP="007B3372">
            <w:pPr>
              <w:jc w:val="center"/>
              <w:rPr>
                <w:color w:val="000000"/>
                <w:sz w:val="20"/>
                <w:szCs w:val="20"/>
              </w:rPr>
            </w:pPr>
            <w:r w:rsidRPr="003E2A75">
              <w:rPr>
                <w:color w:val="000000"/>
                <w:sz w:val="20"/>
                <w:szCs w:val="20"/>
              </w:rPr>
              <w:t xml:space="preserve">1.1.2027 a 1.7.2030 </w:t>
            </w:r>
          </w:p>
        </w:tc>
        <w:tc>
          <w:tcPr>
            <w:tcW w:w="1160" w:type="dxa"/>
            <w:shd w:val="clear" w:color="auto" w:fill="auto"/>
            <w:noWrap/>
            <w:vAlign w:val="center"/>
          </w:tcPr>
          <w:p w14:paraId="6D0E8A6B" w14:textId="77777777" w:rsidR="00746D3C" w:rsidRPr="006B6335" w:rsidRDefault="00746D3C" w:rsidP="007B3372">
            <w:pPr>
              <w:jc w:val="center"/>
              <w:rPr>
                <w:color w:val="000000"/>
                <w:sz w:val="20"/>
                <w:szCs w:val="20"/>
              </w:rPr>
            </w:pPr>
            <w:r w:rsidRPr="003E2A75">
              <w:rPr>
                <w:color w:val="000000"/>
                <w:sz w:val="20"/>
                <w:szCs w:val="20"/>
              </w:rPr>
              <w:t>platitelia dane, osoby registrované pre daň podľa § 7 a § 7a, zdaniteľné osoby</w:t>
            </w:r>
          </w:p>
        </w:tc>
        <w:tc>
          <w:tcPr>
            <w:tcW w:w="1108" w:type="dxa"/>
            <w:vAlign w:val="center"/>
          </w:tcPr>
          <w:p w14:paraId="61E1224E" w14:textId="77777777" w:rsidR="00746D3C" w:rsidRPr="006B6335" w:rsidRDefault="00746D3C" w:rsidP="007B3372">
            <w:pPr>
              <w:jc w:val="center"/>
              <w:rPr>
                <w:sz w:val="20"/>
                <w:szCs w:val="20"/>
              </w:rPr>
            </w:pPr>
            <w:r w:rsidRPr="003E2A75">
              <w:rPr>
                <w:color w:val="000000"/>
                <w:sz w:val="20"/>
                <w:szCs w:val="20"/>
              </w:rPr>
              <w:t xml:space="preserve">530 726 </w:t>
            </w:r>
          </w:p>
        </w:tc>
        <w:tc>
          <w:tcPr>
            <w:tcW w:w="851" w:type="dxa"/>
            <w:shd w:val="clear" w:color="auto" w:fill="auto"/>
            <w:noWrap/>
            <w:vAlign w:val="center"/>
          </w:tcPr>
          <w:p w14:paraId="14EDF8DC" w14:textId="77777777" w:rsidR="00746D3C" w:rsidRPr="006B6335" w:rsidRDefault="00746D3C" w:rsidP="007B3372">
            <w:pPr>
              <w:jc w:val="center"/>
              <w:rPr>
                <w:sz w:val="20"/>
                <w:szCs w:val="20"/>
              </w:rPr>
            </w:pPr>
            <w:r w:rsidRPr="003E2A75">
              <w:rPr>
                <w:color w:val="000000"/>
                <w:sz w:val="20"/>
                <w:szCs w:val="20"/>
              </w:rPr>
              <w:t>32</w:t>
            </w:r>
          </w:p>
        </w:tc>
        <w:tc>
          <w:tcPr>
            <w:tcW w:w="843" w:type="dxa"/>
            <w:shd w:val="clear" w:color="auto" w:fill="auto"/>
            <w:noWrap/>
            <w:vAlign w:val="center"/>
          </w:tcPr>
          <w:p w14:paraId="0870C054" w14:textId="77777777" w:rsidR="00746D3C" w:rsidRPr="006B6335" w:rsidRDefault="00746D3C" w:rsidP="007B3372">
            <w:pPr>
              <w:jc w:val="center"/>
              <w:rPr>
                <w:color w:val="000000"/>
                <w:sz w:val="20"/>
                <w:szCs w:val="20"/>
              </w:rPr>
            </w:pPr>
            <w:r w:rsidRPr="003E2A75">
              <w:rPr>
                <w:color w:val="000000"/>
                <w:sz w:val="20"/>
                <w:szCs w:val="20"/>
              </w:rPr>
              <w:t>16 983 232</w:t>
            </w:r>
          </w:p>
        </w:tc>
        <w:tc>
          <w:tcPr>
            <w:tcW w:w="1000" w:type="dxa"/>
            <w:shd w:val="clear" w:color="auto" w:fill="auto"/>
            <w:noWrap/>
            <w:vAlign w:val="center"/>
          </w:tcPr>
          <w:p w14:paraId="688F1707" w14:textId="77777777" w:rsidR="00746D3C" w:rsidRPr="006B6335" w:rsidRDefault="00746D3C" w:rsidP="007B3372">
            <w:pPr>
              <w:jc w:val="center"/>
              <w:rPr>
                <w:sz w:val="20"/>
                <w:szCs w:val="20"/>
              </w:rPr>
            </w:pPr>
            <w:r w:rsidRPr="003E2A75">
              <w:rPr>
                <w:color w:val="000000"/>
                <w:sz w:val="20"/>
                <w:szCs w:val="20"/>
              </w:rPr>
              <w:t>In (zvyšuje náklady)</w:t>
            </w:r>
          </w:p>
        </w:tc>
        <w:tc>
          <w:tcPr>
            <w:tcW w:w="708" w:type="dxa"/>
            <w:shd w:val="clear" w:color="auto" w:fill="auto"/>
            <w:noWrap/>
            <w:vAlign w:val="center"/>
          </w:tcPr>
          <w:p w14:paraId="54735071" w14:textId="77777777" w:rsidR="00746D3C" w:rsidRPr="006B6335" w:rsidRDefault="00746D3C" w:rsidP="007B3372">
            <w:pPr>
              <w:jc w:val="center"/>
              <w:rPr>
                <w:color w:val="000000"/>
                <w:sz w:val="20"/>
                <w:szCs w:val="20"/>
              </w:rPr>
            </w:pPr>
            <w:r w:rsidRPr="003E2A75">
              <w:rPr>
                <w:sz w:val="20"/>
                <w:szCs w:val="20"/>
              </w:rPr>
              <w:t>16 983 232</w:t>
            </w:r>
          </w:p>
        </w:tc>
        <w:tc>
          <w:tcPr>
            <w:tcW w:w="1134" w:type="dxa"/>
            <w:vAlign w:val="center"/>
          </w:tcPr>
          <w:p w14:paraId="66E1E447" w14:textId="77777777" w:rsidR="00746D3C" w:rsidRPr="006B6335" w:rsidRDefault="00746D3C" w:rsidP="007B3372">
            <w:pPr>
              <w:jc w:val="center"/>
              <w:rPr>
                <w:sz w:val="20"/>
                <w:szCs w:val="20"/>
              </w:rPr>
            </w:pPr>
            <w:r w:rsidRPr="003E2A75">
              <w:rPr>
                <w:color w:val="000000"/>
                <w:sz w:val="20"/>
                <w:szCs w:val="20"/>
              </w:rPr>
              <w:t>16 983 232</w:t>
            </w:r>
          </w:p>
        </w:tc>
      </w:tr>
    </w:tbl>
    <w:p w14:paraId="1A330B46" w14:textId="77777777" w:rsidR="00746D3C" w:rsidRPr="00895898" w:rsidRDefault="00746D3C" w:rsidP="00746D3C">
      <w:pPr>
        <w:jc w:val="both"/>
        <w:rPr>
          <w:rFonts w:eastAsia="Calibri"/>
          <w:i/>
        </w:rPr>
      </w:pPr>
    </w:p>
    <w:p w14:paraId="334436E1" w14:textId="77777777" w:rsidR="00746D3C" w:rsidRPr="00895898" w:rsidRDefault="00746D3C" w:rsidP="00746D3C">
      <w:pPr>
        <w:jc w:val="both"/>
        <w:rPr>
          <w:rFonts w:eastAsia="Calibri"/>
          <w:b/>
          <w:bCs/>
          <w:i/>
        </w:rPr>
        <w:sectPr w:rsidR="00746D3C" w:rsidRPr="00895898" w:rsidSect="00746D3C">
          <w:pgSz w:w="16838" w:h="11906" w:orient="landscape"/>
          <w:pgMar w:top="1417" w:right="1417" w:bottom="1417" w:left="1417" w:header="708" w:footer="708" w:gutter="0"/>
          <w:cols w:space="708"/>
          <w:docGrid w:linePitch="360"/>
        </w:sectPr>
      </w:pPr>
    </w:p>
    <w:p w14:paraId="5AFA13ED" w14:textId="77777777" w:rsidR="00746D3C" w:rsidRPr="001F1B43" w:rsidRDefault="00746D3C" w:rsidP="00746D3C">
      <w:pPr>
        <w:jc w:val="both"/>
        <w:rPr>
          <w:rFonts w:eastAsia="Calibri"/>
          <w:b/>
          <w:bCs/>
          <w:i/>
          <w:u w:val="single"/>
        </w:rPr>
      </w:pPr>
      <w:r>
        <w:rPr>
          <w:rFonts w:eastAsia="Calibri"/>
          <w:b/>
          <w:bCs/>
          <w:i/>
          <w:u w:val="single"/>
        </w:rPr>
        <w:lastRenderedPageBreak/>
        <w:t xml:space="preserve">3.1.3 </w:t>
      </w:r>
      <w:r w:rsidRPr="001F1B43">
        <w:rPr>
          <w:rFonts w:eastAsia="Calibri"/>
          <w:b/>
          <w:bCs/>
          <w:i/>
          <w:u w:val="single"/>
        </w:rPr>
        <w:t xml:space="preserve">Doplňujúce informácie k spôsobu výpočtu vplyvov jednotlivých regulácií na zmenu nákladov </w:t>
      </w:r>
    </w:p>
    <w:p w14:paraId="46DB6229" w14:textId="77777777" w:rsidR="00746D3C" w:rsidRDefault="00746D3C" w:rsidP="00746D3C">
      <w:pPr>
        <w:jc w:val="both"/>
        <w:rPr>
          <w:rFonts w:eastAsia="Calibri"/>
          <w:bCs/>
          <w:color w:val="000000"/>
        </w:rPr>
      </w:pPr>
      <w:r w:rsidRPr="00D8247C">
        <w:rPr>
          <w:rFonts w:eastAsia="Calibri"/>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eastAsia="Calibri"/>
          <w:bCs/>
          <w:i/>
          <w:iCs/>
          <w:color w:val="000000"/>
        </w:rPr>
        <w:t xml:space="preserve"> </w:t>
      </w:r>
      <w:r w:rsidRPr="00A000DA">
        <w:rPr>
          <w:rFonts w:eastAsia="Calibri"/>
          <w:bCs/>
          <w:i/>
          <w:iCs/>
          <w:color w:val="000000"/>
        </w:rPr>
        <w:t>a poplatky, ktorých cieľom je znižovať negatívne externality</w:t>
      </w:r>
      <w:r w:rsidRPr="00D8247C">
        <w:rPr>
          <w:rFonts w:eastAsia="Calibri"/>
          <w:bCs/>
          <w:i/>
          <w:iCs/>
          <w:color w:val="000000"/>
        </w:rPr>
        <w:t xml:space="preserve">, B. </w:t>
      </w:r>
      <w:r>
        <w:rPr>
          <w:rFonts w:eastAsia="Calibri"/>
          <w:bCs/>
          <w:i/>
          <w:iCs/>
          <w:color w:val="000000"/>
        </w:rPr>
        <w:t>Iné p</w:t>
      </w:r>
      <w:r w:rsidRPr="00D8247C">
        <w:rPr>
          <w:rFonts w:eastAsia="Calibri"/>
          <w:bCs/>
          <w:i/>
          <w:iCs/>
          <w:color w:val="000000"/>
        </w:rPr>
        <w:t>oplatky</w:t>
      </w:r>
      <w:r w:rsidRPr="00952CF6">
        <w:rPr>
          <w:rFonts w:eastAsia="Calibri"/>
          <w:bCs/>
          <w:i/>
          <w:iCs/>
          <w:color w:val="000000"/>
        </w:rPr>
        <w:t>,</w:t>
      </w:r>
      <w:r w:rsidRPr="00D8247C">
        <w:rPr>
          <w:rFonts w:eastAsia="Calibri"/>
          <w:bCs/>
          <w:i/>
          <w:iCs/>
          <w:color w:val="000000"/>
        </w:rPr>
        <w:t xml:space="preserve"> C. </w:t>
      </w:r>
      <w:r>
        <w:rPr>
          <w:rFonts w:eastAsia="Calibri"/>
          <w:bCs/>
          <w:i/>
          <w:iCs/>
          <w:color w:val="000000"/>
        </w:rPr>
        <w:t>Sankcie</w:t>
      </w:r>
      <w:r w:rsidRPr="00D8247C">
        <w:rPr>
          <w:rFonts w:eastAsia="Calibri"/>
          <w:bCs/>
          <w:i/>
          <w:iCs/>
          <w:color w:val="000000"/>
        </w:rPr>
        <w:t xml:space="preserve">, D. </w:t>
      </w:r>
      <w:r>
        <w:rPr>
          <w:rFonts w:eastAsia="Calibri"/>
          <w:bCs/>
          <w:i/>
          <w:iCs/>
          <w:color w:val="000000"/>
        </w:rPr>
        <w:t xml:space="preserve">Nepriame finančné náklady, E. </w:t>
      </w:r>
      <w:r w:rsidRPr="00D8247C">
        <w:rPr>
          <w:rFonts w:eastAsia="Calibri"/>
          <w:bCs/>
          <w:i/>
          <w:iCs/>
          <w:color w:val="000000"/>
        </w:rPr>
        <w:t>Administratívne náklady). Rozčleňte ich a vypočítajte v súlade s metodickým postupom.</w:t>
      </w:r>
    </w:p>
    <w:p w14:paraId="69518A6C" w14:textId="77777777" w:rsidR="00746D3C" w:rsidRDefault="00746D3C" w:rsidP="00746D3C">
      <w:pPr>
        <w:jc w:val="both"/>
      </w:pPr>
    </w:p>
    <w:p w14:paraId="78382EAB" w14:textId="77777777" w:rsidR="00746D3C" w:rsidRDefault="00746D3C" w:rsidP="00746D3C">
      <w:pPr>
        <w:jc w:val="both"/>
      </w:pPr>
      <w:r w:rsidRPr="006D3174">
        <w:t>V predkladanom návrhu zákona</w:t>
      </w:r>
      <w:r>
        <w:t>,</w:t>
      </w:r>
      <w:r w:rsidRPr="00AD02C7">
        <w:t xml:space="preserve"> ktorým sa mení a dopĺňa zákon č. 222/2004 Z. z. o dani z pridanej hodnoty</w:t>
      </w:r>
      <w:r>
        <w:t xml:space="preserve"> </w:t>
      </w:r>
      <w:r w:rsidRPr="00AD02C7">
        <w:t>v znení neskorších predpisov a ktorým sa menia a dopĺňajú niektoré zákony</w:t>
      </w:r>
      <w:r w:rsidRPr="006D3174">
        <w:t xml:space="preserve"> </w:t>
      </w:r>
      <w:r>
        <w:t xml:space="preserve">(ďalej len „návrh zákona“), </w:t>
      </w:r>
      <w:r w:rsidRPr="006D3174">
        <w:t xml:space="preserve">bolo </w:t>
      </w:r>
      <w:r w:rsidRPr="00A579AA">
        <w:t>identifikovaných 2</w:t>
      </w:r>
      <w:r>
        <w:t>2</w:t>
      </w:r>
      <w:r w:rsidRPr="00A579AA">
        <w:t xml:space="preserve"> regulácií</w:t>
      </w:r>
      <w:r w:rsidRPr="006D3174">
        <w:t xml:space="preserve"> s vplyvom na podnikateľské prostredie. Predmetom Kalkulačky nákladov sú regulácie súvisiace so znížením alebo zvýšením administratívnej záťaže:</w:t>
      </w:r>
    </w:p>
    <w:p w14:paraId="1E63435E" w14:textId="77777777" w:rsidR="00746D3C" w:rsidRPr="006D3174" w:rsidRDefault="00746D3C" w:rsidP="00746D3C">
      <w:pPr>
        <w:jc w:val="both"/>
        <w:rPr>
          <w:rFonts w:eastAsia="Calibri"/>
          <w:bCs/>
          <w:i/>
          <w:iCs/>
          <w:color w:val="000000"/>
        </w:rPr>
      </w:pPr>
    </w:p>
    <w:p w14:paraId="611C40B1" w14:textId="77777777" w:rsidR="00746D3C" w:rsidRPr="006D3174" w:rsidRDefault="00746D3C" w:rsidP="00746D3C">
      <w:pPr>
        <w:jc w:val="both"/>
        <w:rPr>
          <w:i/>
          <w:color w:val="FF0000"/>
        </w:rPr>
      </w:pPr>
      <w:r w:rsidRPr="006D3174">
        <w:rPr>
          <w:b/>
          <w:i/>
          <w:color w:val="000000"/>
        </w:rPr>
        <w:t xml:space="preserve">1. Registrácia skupiny z úradnej moci </w:t>
      </w:r>
      <w:r>
        <w:rPr>
          <w:b/>
          <w:i/>
          <w:color w:val="000000"/>
        </w:rPr>
        <w:t>–</w:t>
      </w:r>
      <w:r w:rsidRPr="006D3174">
        <w:rPr>
          <w:b/>
          <w:i/>
          <w:color w:val="000000"/>
        </w:rPr>
        <w:t xml:space="preserve"> </w:t>
      </w:r>
      <w:r>
        <w:rPr>
          <w:b/>
          <w:i/>
          <w:color w:val="000000"/>
        </w:rPr>
        <w:t>určenie spoločného zástupcu</w:t>
      </w:r>
    </w:p>
    <w:p w14:paraId="13EAB473" w14:textId="77777777" w:rsidR="00746D3C" w:rsidRPr="006D3174" w:rsidRDefault="00746D3C" w:rsidP="00746D3C">
      <w:pPr>
        <w:rPr>
          <w:color w:val="FF0000"/>
        </w:rPr>
      </w:pPr>
    </w:p>
    <w:p w14:paraId="2E1953B4" w14:textId="77777777" w:rsidR="00746D3C" w:rsidRDefault="00746D3C" w:rsidP="00746D3C">
      <w:pPr>
        <w:jc w:val="both"/>
        <w:rPr>
          <w:shd w:val="clear" w:color="auto" w:fill="FFFFFF"/>
        </w:rPr>
      </w:pPr>
      <w:r>
        <w:rPr>
          <w:shd w:val="clear" w:color="auto" w:fill="FFFFFF"/>
        </w:rPr>
        <w:t>Navrhovaná</w:t>
      </w:r>
      <w:r w:rsidRPr="006D3174">
        <w:rPr>
          <w:shd w:val="clear" w:color="auto" w:fill="FFFFFF"/>
        </w:rPr>
        <w:t xml:space="preserve"> reguláci</w:t>
      </w:r>
      <w:r>
        <w:rPr>
          <w:shd w:val="clear" w:color="auto" w:fill="FFFFFF"/>
        </w:rPr>
        <w:t>a</w:t>
      </w:r>
      <w:r w:rsidRPr="006D3174">
        <w:rPr>
          <w:shd w:val="clear" w:color="auto" w:fill="FFFFFF"/>
        </w:rPr>
        <w:t xml:space="preserve"> dotknutým subjektom zvyšuje náklady.</w:t>
      </w:r>
      <w:r w:rsidRPr="00A73FAE">
        <w:t xml:space="preserve"> </w:t>
      </w:r>
      <w:r w:rsidRPr="00A73FAE">
        <w:rPr>
          <w:shd w:val="clear" w:color="auto" w:fill="FFFFFF"/>
        </w:rPr>
        <w:t>Ak z podkladov získaných pri výkone správy daní alebo na základe výsledkov činnosti Finančného riaditeľstva Slovenskej republiky</w:t>
      </w:r>
      <w:r>
        <w:rPr>
          <w:shd w:val="clear" w:color="auto" w:fill="FFFFFF"/>
        </w:rPr>
        <w:t xml:space="preserve"> (ďalej len „FRSR“)</w:t>
      </w:r>
      <w:r w:rsidRPr="00A73FAE">
        <w:rPr>
          <w:shd w:val="clear" w:color="auto" w:fill="FFFFFF"/>
        </w:rPr>
        <w:t xml:space="preserve"> vyplýva, že nastali dôvody na registráciu skupiny z úradnej moci, Daňový úrad Banská Bystrica vyzve predpokladaných členov skupiny, aby spomedzi seba určili spoločného zástupcu na účely registračného konania z úradnej moci. Ak tak neurobia</w:t>
      </w:r>
      <w:r>
        <w:rPr>
          <w:shd w:val="clear" w:color="auto" w:fill="FFFFFF"/>
        </w:rPr>
        <w:t xml:space="preserve">, </w:t>
      </w:r>
      <w:r w:rsidRPr="00A73FAE">
        <w:rPr>
          <w:shd w:val="clear" w:color="auto" w:fill="FFFFFF"/>
        </w:rPr>
        <w:t xml:space="preserve">spoločného zástupcu </w:t>
      </w:r>
      <w:r>
        <w:rPr>
          <w:shd w:val="clear" w:color="auto" w:fill="FFFFFF"/>
        </w:rPr>
        <w:t>určí daňový úrad. Následne daňový úrad</w:t>
      </w:r>
      <w:r w:rsidRPr="0044536B">
        <w:rPr>
          <w:shd w:val="clear" w:color="auto" w:fill="FFFFFF"/>
        </w:rPr>
        <w:t xml:space="preserve"> zašle zástupcovi skupiny výzvu, aby sa k</w:t>
      </w:r>
      <w:r>
        <w:rPr>
          <w:shd w:val="clear" w:color="auto" w:fill="FFFFFF"/>
        </w:rPr>
        <w:t> </w:t>
      </w:r>
      <w:r w:rsidRPr="0044536B">
        <w:rPr>
          <w:shd w:val="clear" w:color="auto" w:fill="FFFFFF"/>
        </w:rPr>
        <w:t>dôvodom</w:t>
      </w:r>
      <w:r>
        <w:rPr>
          <w:shd w:val="clear" w:color="auto" w:fill="FFFFFF"/>
        </w:rPr>
        <w:t xml:space="preserve"> na registráciu</w:t>
      </w:r>
      <w:r w:rsidRPr="0044536B">
        <w:rPr>
          <w:shd w:val="clear" w:color="auto" w:fill="FFFFFF"/>
        </w:rPr>
        <w:t xml:space="preserve"> v určenej lehote vyjadril</w:t>
      </w:r>
      <w:r>
        <w:rPr>
          <w:shd w:val="clear" w:color="auto" w:fill="FFFFFF"/>
        </w:rPr>
        <w:t>.</w:t>
      </w:r>
    </w:p>
    <w:p w14:paraId="1CACF583" w14:textId="77777777" w:rsidR="00746D3C" w:rsidRDefault="00746D3C" w:rsidP="00746D3C">
      <w:pPr>
        <w:jc w:val="both"/>
        <w:rPr>
          <w:shd w:val="clear" w:color="auto" w:fill="FFFFFF"/>
        </w:rPr>
      </w:pPr>
    </w:p>
    <w:p w14:paraId="32536341" w14:textId="77777777" w:rsidR="00746D3C" w:rsidRPr="00DF0C2D" w:rsidRDefault="00746D3C" w:rsidP="00746D3C">
      <w:pPr>
        <w:jc w:val="both"/>
        <w:rPr>
          <w:shd w:val="clear" w:color="auto" w:fill="FFFFFF"/>
        </w:rPr>
      </w:pPr>
      <w:r w:rsidRPr="00DF0C2D">
        <w:rPr>
          <w:shd w:val="clear" w:color="auto" w:fill="FFFFFF"/>
        </w:rPr>
        <w:t xml:space="preserve">Predmetná regulácia pre dotknuté subjekty predstavuje administratívny vplyv. </w:t>
      </w:r>
      <w:r w:rsidRPr="00DF0C2D">
        <w:t xml:space="preserve">Počet dotknutých subjektov, ktorých sa bude týkať táto </w:t>
      </w:r>
      <w:r>
        <w:t>regulácia, vychádza z</w:t>
      </w:r>
      <w:r w:rsidRPr="00DF0C2D">
        <w:t xml:space="preserve"> analýzy FRSR </w:t>
      </w:r>
      <w:r>
        <w:t xml:space="preserve">na základe </w:t>
      </w:r>
      <w:r w:rsidRPr="00DF0C2D">
        <w:t>údajov z Obchodného registra Slovenskej republiky, účtovných závierok a registrácie na DPH</w:t>
      </w:r>
      <w:r>
        <w:t>. FRSR</w:t>
      </w:r>
      <w:r w:rsidRPr="00DF0C2D">
        <w:t xml:space="preserve"> identifikovalo personálne prepojené siete</w:t>
      </w:r>
      <w:r>
        <w:t xml:space="preserve"> (cca 600)</w:t>
      </w:r>
      <w:r w:rsidRPr="00DF0C2D">
        <w:t xml:space="preserve"> so zvýšeným rizikom prerozdeľovania príjmov. V rámci nich boli ako kritické, t. j. potenciálne zdaniteľné, identifikované právnické osoby v celkovom počte cca 2000. </w:t>
      </w:r>
      <w:r w:rsidRPr="00DF0C2D">
        <w:rPr>
          <w:shd w:val="clear" w:color="auto" w:fill="FFFFFF"/>
        </w:rPr>
        <w:t xml:space="preserve">Náklady regulácie boli určené ako administratívne. Pri kvantifikácii bol zvolený postup na základe alternatívy č. 2. Frekvencia plnenia bola určená jednorazovo. </w:t>
      </w:r>
      <w:r w:rsidRPr="003B75A5">
        <w:t xml:space="preserve">Na základe výpočtu Kalkulačky nákladov na podnikateľské prostredie sa v súvislosti s touto reguláciou predpokladá </w:t>
      </w:r>
      <w:r>
        <w:t>suma</w:t>
      </w:r>
      <w:r w:rsidRPr="003B75A5">
        <w:t xml:space="preserve"> administratívnych nákladov na podnikateľské prostredie (IN) vo výške</w:t>
      </w:r>
      <w:r>
        <w:t xml:space="preserve"> 3 243</w:t>
      </w:r>
      <w:r w:rsidRPr="003B75A5">
        <w:t xml:space="preserve"> E</w:t>
      </w:r>
      <w:r>
        <w:t>UR</w:t>
      </w:r>
      <w:r w:rsidRPr="003B75A5">
        <w:t>.</w:t>
      </w:r>
    </w:p>
    <w:p w14:paraId="44138516" w14:textId="77777777" w:rsidR="00746D3C" w:rsidRDefault="00746D3C" w:rsidP="00746D3C">
      <w:pPr>
        <w:jc w:val="both"/>
        <w:rPr>
          <w:shd w:val="clear" w:color="auto" w:fill="FFFFFF"/>
        </w:rPr>
      </w:pPr>
    </w:p>
    <w:p w14:paraId="3BE579FB" w14:textId="77777777" w:rsidR="00746D3C" w:rsidRDefault="00746D3C" w:rsidP="00746D3C">
      <w:pPr>
        <w:jc w:val="both"/>
        <w:rPr>
          <w:b/>
          <w:i/>
          <w:color w:val="000000"/>
        </w:rPr>
      </w:pPr>
      <w:r>
        <w:rPr>
          <w:b/>
          <w:i/>
          <w:color w:val="000000"/>
        </w:rPr>
        <w:t>2</w:t>
      </w:r>
      <w:r w:rsidRPr="006D3174">
        <w:rPr>
          <w:b/>
          <w:i/>
          <w:color w:val="000000"/>
        </w:rPr>
        <w:t xml:space="preserve">. Registrácia skupiny z úradnej moci </w:t>
      </w:r>
      <w:r>
        <w:rPr>
          <w:b/>
          <w:i/>
          <w:color w:val="000000"/>
        </w:rPr>
        <w:t>– vyjadrenie k registrácii</w:t>
      </w:r>
    </w:p>
    <w:p w14:paraId="6D85559E" w14:textId="77777777" w:rsidR="00746D3C" w:rsidRDefault="00746D3C" w:rsidP="00746D3C">
      <w:pPr>
        <w:jc w:val="both"/>
        <w:rPr>
          <w:b/>
          <w:i/>
          <w:color w:val="000000"/>
        </w:rPr>
      </w:pPr>
    </w:p>
    <w:p w14:paraId="2F327A85" w14:textId="77777777" w:rsidR="00746D3C" w:rsidRDefault="00746D3C" w:rsidP="00746D3C">
      <w:pPr>
        <w:jc w:val="both"/>
        <w:rPr>
          <w:shd w:val="clear" w:color="auto" w:fill="FFFFFF"/>
        </w:rPr>
      </w:pPr>
      <w:r>
        <w:rPr>
          <w:shd w:val="clear" w:color="auto" w:fill="FFFFFF"/>
        </w:rPr>
        <w:t>Navrhovaná</w:t>
      </w:r>
      <w:r w:rsidRPr="006D3174">
        <w:rPr>
          <w:shd w:val="clear" w:color="auto" w:fill="FFFFFF"/>
        </w:rPr>
        <w:t xml:space="preserve"> reguláci</w:t>
      </w:r>
      <w:r>
        <w:rPr>
          <w:shd w:val="clear" w:color="auto" w:fill="FFFFFF"/>
        </w:rPr>
        <w:t>a</w:t>
      </w:r>
      <w:r w:rsidRPr="006D3174">
        <w:rPr>
          <w:shd w:val="clear" w:color="auto" w:fill="FFFFFF"/>
        </w:rPr>
        <w:t xml:space="preserve"> dotknutým subjektom zvyšuje náklady.</w:t>
      </w:r>
      <w:r w:rsidRPr="00A73FAE">
        <w:t xml:space="preserve"> </w:t>
      </w:r>
      <w:r w:rsidRPr="00DF0C2D">
        <w:rPr>
          <w:shd w:val="clear" w:color="auto" w:fill="FFFFFF"/>
        </w:rPr>
        <w:t>Daňový úrad Banská Bystrica vyzve spoločného zástupcu, aby sa vyjadril k dôvodom na registráciu skupiny z úradnej moci v určenej lehote.</w:t>
      </w:r>
    </w:p>
    <w:p w14:paraId="3E931E5A" w14:textId="77777777" w:rsidR="00746D3C" w:rsidRDefault="00746D3C" w:rsidP="00746D3C">
      <w:pPr>
        <w:jc w:val="both"/>
        <w:rPr>
          <w:shd w:val="clear" w:color="auto" w:fill="FFFFFF"/>
        </w:rPr>
      </w:pPr>
    </w:p>
    <w:p w14:paraId="2D003AF6" w14:textId="77777777" w:rsidR="00746D3C" w:rsidRPr="006D3174" w:rsidRDefault="00746D3C" w:rsidP="00746D3C">
      <w:pPr>
        <w:jc w:val="both"/>
        <w:rPr>
          <w:i/>
          <w:color w:val="FF0000"/>
        </w:rPr>
      </w:pPr>
      <w:r w:rsidRPr="00DF0C2D">
        <w:rPr>
          <w:shd w:val="clear" w:color="auto" w:fill="FFFFFF"/>
        </w:rPr>
        <w:t xml:space="preserve">Predmetná regulácia pre dotknuté subjekty predstavuje administratívny vplyv. </w:t>
      </w:r>
      <w:r w:rsidRPr="00DF0C2D">
        <w:t xml:space="preserve">Počet dotknutých subjektov, ktorých sa bude týkať táto </w:t>
      </w:r>
      <w:r>
        <w:t>regulácia, vychádza z</w:t>
      </w:r>
      <w:r w:rsidRPr="00DF0C2D">
        <w:t xml:space="preserve"> analýzy FRSR </w:t>
      </w:r>
      <w:r>
        <w:t xml:space="preserve">na základe </w:t>
      </w:r>
      <w:r w:rsidRPr="00DF0C2D">
        <w:t>údajov z Obchodného registra Slovenskej republiky, účtovných závierok a registrácie na DPH</w:t>
      </w:r>
      <w:r>
        <w:t>. FRSR</w:t>
      </w:r>
      <w:r w:rsidRPr="00DF0C2D">
        <w:t xml:space="preserve"> identifikovalo personálne prepojené siete</w:t>
      </w:r>
      <w:r>
        <w:t xml:space="preserve"> (cca 600)</w:t>
      </w:r>
      <w:r w:rsidRPr="00DF0C2D">
        <w:t xml:space="preserve"> so zvýšeným rizikom prerozdeľovania príjmov. V rámci nich boli ako kritické, t. j. potenciálne zdaniteľné, identifikované právnické osoby v celkovom počte cca 2000.</w:t>
      </w:r>
      <w:r>
        <w:t xml:space="preserve"> Po určení spoločného zástupcu sa bude regulácia týkať len cca 600 subjektov.</w:t>
      </w:r>
      <w:r w:rsidRPr="00DF0C2D">
        <w:t xml:space="preserve"> </w:t>
      </w:r>
      <w:r w:rsidRPr="00DF0C2D">
        <w:rPr>
          <w:shd w:val="clear" w:color="auto" w:fill="FFFFFF"/>
        </w:rPr>
        <w:t xml:space="preserve">Náklady regulácie boli určené ako administratívne. Pri kvantifikácii bol zvolený postup na základe alternatívy č. 2. Frekvencia plnenia bola určená jednorazovo. </w:t>
      </w:r>
      <w:r w:rsidRPr="003B75A5">
        <w:t xml:space="preserve">Na základe výpočtu Kalkulačky nákladov na podnikateľské prostredie sa </w:t>
      </w:r>
      <w:r w:rsidRPr="003B75A5">
        <w:lastRenderedPageBreak/>
        <w:t xml:space="preserve">v súvislosti s touto reguláciou predpokladá </w:t>
      </w:r>
      <w:r>
        <w:t>suma</w:t>
      </w:r>
      <w:r w:rsidRPr="003B75A5">
        <w:t xml:space="preserve"> administratívnych nákladov na podnikateľské prostredie (IN) vo výške</w:t>
      </w:r>
      <w:r>
        <w:t xml:space="preserve"> 973</w:t>
      </w:r>
      <w:r w:rsidRPr="003B75A5">
        <w:t xml:space="preserve"> E</w:t>
      </w:r>
      <w:r>
        <w:t>UR</w:t>
      </w:r>
      <w:r w:rsidRPr="003B75A5">
        <w:t>.</w:t>
      </w:r>
      <w:r>
        <w:rPr>
          <w:b/>
          <w:i/>
          <w:color w:val="000000"/>
        </w:rPr>
        <w:t xml:space="preserve"> </w:t>
      </w:r>
    </w:p>
    <w:p w14:paraId="7CE2C827" w14:textId="77777777" w:rsidR="00746D3C" w:rsidRDefault="00746D3C" w:rsidP="00746D3C">
      <w:pPr>
        <w:jc w:val="both"/>
        <w:rPr>
          <w:shd w:val="clear" w:color="auto" w:fill="FFFFFF"/>
        </w:rPr>
      </w:pPr>
    </w:p>
    <w:p w14:paraId="232589BD" w14:textId="77777777" w:rsidR="00746D3C" w:rsidRPr="006D3174" w:rsidRDefault="00746D3C" w:rsidP="00746D3C">
      <w:pPr>
        <w:jc w:val="both"/>
        <w:rPr>
          <w:i/>
          <w:color w:val="FF0000"/>
        </w:rPr>
      </w:pPr>
      <w:r>
        <w:rPr>
          <w:b/>
          <w:i/>
          <w:color w:val="000000"/>
        </w:rPr>
        <w:t>3</w:t>
      </w:r>
      <w:r w:rsidRPr="006D3174">
        <w:rPr>
          <w:b/>
          <w:i/>
          <w:color w:val="000000"/>
        </w:rPr>
        <w:t>. Registrácia skupiny z úradnej moci - administratívne povinnosti</w:t>
      </w:r>
    </w:p>
    <w:p w14:paraId="7221DE04" w14:textId="77777777" w:rsidR="00746D3C" w:rsidRDefault="00746D3C" w:rsidP="00746D3C">
      <w:pPr>
        <w:jc w:val="both"/>
        <w:rPr>
          <w:shd w:val="clear" w:color="auto" w:fill="FFFFFF"/>
        </w:rPr>
      </w:pPr>
    </w:p>
    <w:p w14:paraId="184F2ECD" w14:textId="77777777" w:rsidR="00746D3C" w:rsidRDefault="00746D3C" w:rsidP="00746D3C">
      <w:pPr>
        <w:jc w:val="both"/>
        <w:rPr>
          <w:shd w:val="clear" w:color="auto" w:fill="FFFFFF"/>
        </w:rPr>
      </w:pPr>
      <w:r>
        <w:rPr>
          <w:shd w:val="clear" w:color="auto" w:fill="FFFFFF"/>
        </w:rPr>
        <w:t>Navrhovaná</w:t>
      </w:r>
      <w:r w:rsidRPr="006D3174">
        <w:rPr>
          <w:shd w:val="clear" w:color="auto" w:fill="FFFFFF"/>
        </w:rPr>
        <w:t xml:space="preserve"> reguláci</w:t>
      </w:r>
      <w:r>
        <w:rPr>
          <w:shd w:val="clear" w:color="auto" w:fill="FFFFFF"/>
        </w:rPr>
        <w:t>a</w:t>
      </w:r>
      <w:r w:rsidRPr="006D3174">
        <w:rPr>
          <w:shd w:val="clear" w:color="auto" w:fill="FFFFFF"/>
        </w:rPr>
        <w:t xml:space="preserve"> dotknutým subjektom zvyšuje náklady.</w:t>
      </w:r>
      <w:r w:rsidRPr="0044536B">
        <w:rPr>
          <w:shd w:val="clear" w:color="auto" w:fill="FFFFFF"/>
        </w:rPr>
        <w:t xml:space="preserve"> Ak sú dôvody</w:t>
      </w:r>
      <w:r>
        <w:rPr>
          <w:shd w:val="clear" w:color="auto" w:fill="FFFFFF"/>
        </w:rPr>
        <w:t xml:space="preserve"> na registráciu skupiny z úradnej moci</w:t>
      </w:r>
      <w:r w:rsidRPr="0044536B">
        <w:rPr>
          <w:shd w:val="clear" w:color="auto" w:fill="FFFFFF"/>
        </w:rPr>
        <w:t xml:space="preserve"> opodstatnené, Daňový úrad Banská Bystrica z úradnej moci skupinu zaregistruje pre daň, pridelí jej identifikačné číslo pre daň a určí jej zástupcu</w:t>
      </w:r>
      <w:r>
        <w:rPr>
          <w:shd w:val="clear" w:color="auto" w:fill="FFFFFF"/>
        </w:rPr>
        <w:t xml:space="preserve">. </w:t>
      </w:r>
      <w:r w:rsidRPr="00BE354A">
        <w:rPr>
          <w:shd w:val="clear" w:color="auto" w:fill="FFFFFF"/>
        </w:rPr>
        <w:t>Tieto subjekty budú musieť</w:t>
      </w:r>
      <w:r>
        <w:rPr>
          <w:shd w:val="clear" w:color="auto" w:fill="FFFFFF"/>
        </w:rPr>
        <w:t xml:space="preserve"> ako platitelia dane</w:t>
      </w:r>
      <w:r w:rsidRPr="00BE354A">
        <w:rPr>
          <w:shd w:val="clear" w:color="auto" w:fill="FFFFFF"/>
        </w:rPr>
        <w:t xml:space="preserve"> podávať daňové priznanie a kontrolný výkaz.</w:t>
      </w:r>
    </w:p>
    <w:p w14:paraId="30C31EF4" w14:textId="77777777" w:rsidR="00746D3C" w:rsidRDefault="00746D3C" w:rsidP="00746D3C">
      <w:pPr>
        <w:jc w:val="both"/>
        <w:rPr>
          <w:shd w:val="clear" w:color="auto" w:fill="FFFFFF"/>
        </w:rPr>
      </w:pPr>
    </w:p>
    <w:p w14:paraId="48873E1F" w14:textId="77777777" w:rsidR="00746D3C" w:rsidRDefault="00746D3C" w:rsidP="00746D3C">
      <w:pPr>
        <w:jc w:val="both"/>
        <w:rPr>
          <w:shd w:val="clear" w:color="auto" w:fill="FFFFFF"/>
        </w:rPr>
      </w:pPr>
      <w:r w:rsidRPr="00DF0C2D">
        <w:rPr>
          <w:shd w:val="clear" w:color="auto" w:fill="FFFFFF"/>
        </w:rPr>
        <w:t xml:space="preserve">Predmetná regulácia pre dotknuté subjekty predstavuje administratívny vplyv. </w:t>
      </w:r>
      <w:r w:rsidRPr="00DF0C2D">
        <w:t xml:space="preserve">Počet dotknutých subjektov, ktorých sa bude týkať táto </w:t>
      </w:r>
      <w:r>
        <w:t>regulácia, vychádza z</w:t>
      </w:r>
      <w:r w:rsidRPr="00DF0C2D">
        <w:t xml:space="preserve"> analýzy FRSR </w:t>
      </w:r>
      <w:r>
        <w:t xml:space="preserve">na základe </w:t>
      </w:r>
      <w:r w:rsidRPr="00DF0C2D">
        <w:t>údajov z Obchodného registra Slovenskej republiky, účtovných závierok a registrácie na DPH</w:t>
      </w:r>
      <w:r>
        <w:t>. FRSR</w:t>
      </w:r>
      <w:r w:rsidRPr="00DF0C2D">
        <w:t xml:space="preserve"> identifikovalo personálne prepojené siete</w:t>
      </w:r>
      <w:r>
        <w:t xml:space="preserve"> (cca 600)</w:t>
      </w:r>
      <w:r w:rsidRPr="00DF0C2D">
        <w:t xml:space="preserve"> so zvýšeným rizikom prerozdeľovania príjmov. V rámci nich boli ako kritické, t. j. potenciálne zdaniteľné, identifikované právnické osoby v celkovom počte cca 2000.</w:t>
      </w:r>
      <w:r>
        <w:t xml:space="preserve"> Po určení spoločného zástupcu sa bude regulácia týkať len cca 600 subjektov.</w:t>
      </w:r>
      <w:r w:rsidRPr="00DF0C2D">
        <w:t xml:space="preserve"> </w:t>
      </w:r>
      <w:r w:rsidRPr="00DF0C2D">
        <w:rPr>
          <w:shd w:val="clear" w:color="auto" w:fill="FFFFFF"/>
        </w:rPr>
        <w:t xml:space="preserve">Náklady regulácie boli určené ako administratívne. Pri kvantifikácii bol zvolený postup na základe alternatívy č. </w:t>
      </w:r>
      <w:r>
        <w:rPr>
          <w:shd w:val="clear" w:color="auto" w:fill="FFFFFF"/>
        </w:rPr>
        <w:t>1</w:t>
      </w:r>
      <w:r w:rsidRPr="00DF0C2D">
        <w:rPr>
          <w:shd w:val="clear" w:color="auto" w:fill="FFFFFF"/>
        </w:rPr>
        <w:t xml:space="preserve">. </w:t>
      </w:r>
      <w:r>
        <w:rPr>
          <w:shd w:val="clear" w:color="auto" w:fill="FFFFFF"/>
        </w:rPr>
        <w:t>E</w:t>
      </w:r>
      <w:r w:rsidRPr="00BE354A">
        <w:rPr>
          <w:shd w:val="clear" w:color="auto" w:fill="FFFFFF"/>
        </w:rPr>
        <w:t>xpertný odhad</w:t>
      </w:r>
      <w:r>
        <w:rPr>
          <w:shd w:val="clear" w:color="auto" w:fill="FFFFFF"/>
        </w:rPr>
        <w:t xml:space="preserve"> Ministerstva financií Slovenskej republiky (ďalej len „MFSR“)</w:t>
      </w:r>
      <w:r w:rsidRPr="00BE354A">
        <w:rPr>
          <w:shd w:val="clear" w:color="auto" w:fill="FFFFFF"/>
        </w:rPr>
        <w:t xml:space="preserve"> </w:t>
      </w:r>
      <w:r>
        <w:rPr>
          <w:shd w:val="clear" w:color="auto" w:fill="FFFFFF"/>
        </w:rPr>
        <w:t xml:space="preserve">na podanie daňového priznania a kontrolného výkazu, </w:t>
      </w:r>
      <w:r w:rsidRPr="00BE354A">
        <w:rPr>
          <w:shd w:val="clear" w:color="auto" w:fill="FFFFFF"/>
        </w:rPr>
        <w:t>za každú povinnosť samostatne</w:t>
      </w:r>
      <w:r>
        <w:rPr>
          <w:shd w:val="clear" w:color="auto" w:fill="FFFFFF"/>
        </w:rPr>
        <w:t xml:space="preserve">, </w:t>
      </w:r>
      <w:r w:rsidRPr="00BE354A">
        <w:rPr>
          <w:shd w:val="clear" w:color="auto" w:fill="FFFFFF"/>
        </w:rPr>
        <w:t>je cca 20 min</w:t>
      </w:r>
      <w:r>
        <w:rPr>
          <w:shd w:val="clear" w:color="auto" w:fill="FFFFFF"/>
        </w:rPr>
        <w:t>.</w:t>
      </w:r>
      <w:r w:rsidRPr="00DF0C2D">
        <w:rPr>
          <w:shd w:val="clear" w:color="auto" w:fill="FFFFFF"/>
        </w:rPr>
        <w:t xml:space="preserve"> Frekvencia plnenia bola určená jednorazovo. </w:t>
      </w:r>
      <w:r w:rsidRPr="003B75A5">
        <w:t xml:space="preserve">Na základe výpočtu Kalkulačky nákladov na podnikateľské prostredie sa v súvislosti s touto reguláciou predpokladá </w:t>
      </w:r>
      <w:r>
        <w:t>suma</w:t>
      </w:r>
      <w:r w:rsidRPr="003B75A5">
        <w:t xml:space="preserve"> administratívnych nákladov na podnikateľské prostredie (IN) vo výške</w:t>
      </w:r>
      <w:r>
        <w:t xml:space="preserve"> 62 270</w:t>
      </w:r>
      <w:r w:rsidRPr="003B75A5">
        <w:t xml:space="preserve"> E</w:t>
      </w:r>
      <w:r>
        <w:t>UR</w:t>
      </w:r>
      <w:r w:rsidRPr="003B75A5">
        <w:t>.</w:t>
      </w:r>
    </w:p>
    <w:p w14:paraId="0767100B" w14:textId="77777777" w:rsidR="00746D3C" w:rsidRDefault="00746D3C" w:rsidP="00746D3C">
      <w:pPr>
        <w:jc w:val="both"/>
        <w:rPr>
          <w:shd w:val="clear" w:color="auto" w:fill="FFFFFF"/>
        </w:rPr>
      </w:pPr>
    </w:p>
    <w:p w14:paraId="17DF353D" w14:textId="77777777" w:rsidR="00746D3C" w:rsidRPr="006D3174" w:rsidRDefault="00746D3C" w:rsidP="00746D3C">
      <w:pPr>
        <w:jc w:val="both"/>
        <w:rPr>
          <w:i/>
          <w:color w:val="FF0000"/>
        </w:rPr>
      </w:pPr>
      <w:r>
        <w:rPr>
          <w:b/>
          <w:i/>
          <w:color w:val="000000"/>
        </w:rPr>
        <w:t>4</w:t>
      </w:r>
      <w:r w:rsidRPr="006D3174">
        <w:rPr>
          <w:b/>
          <w:i/>
          <w:color w:val="000000"/>
        </w:rPr>
        <w:t xml:space="preserve">. </w:t>
      </w:r>
      <w:r w:rsidRPr="004A15F9">
        <w:rPr>
          <w:b/>
          <w:i/>
          <w:color w:val="000000"/>
        </w:rPr>
        <w:t>Úprava vzniku daňovej povinnosti - intrakomunitárne dodanie</w:t>
      </w:r>
    </w:p>
    <w:p w14:paraId="690A2453" w14:textId="77777777" w:rsidR="00746D3C" w:rsidRDefault="00746D3C" w:rsidP="00746D3C">
      <w:pPr>
        <w:jc w:val="both"/>
        <w:rPr>
          <w:shd w:val="clear" w:color="auto" w:fill="FFFFFF"/>
        </w:rPr>
      </w:pPr>
    </w:p>
    <w:p w14:paraId="452062B6" w14:textId="77777777" w:rsidR="00746D3C" w:rsidRDefault="00746D3C" w:rsidP="00746D3C">
      <w:pPr>
        <w:jc w:val="both"/>
        <w:rPr>
          <w:shd w:val="clear" w:color="auto" w:fill="FFFFFF"/>
        </w:rPr>
      </w:pPr>
      <w:r>
        <w:rPr>
          <w:shd w:val="clear" w:color="auto" w:fill="FFFFFF"/>
        </w:rPr>
        <w:t>Zmena r</w:t>
      </w:r>
      <w:r w:rsidRPr="006D3174">
        <w:rPr>
          <w:shd w:val="clear" w:color="auto" w:fill="FFFFFF"/>
        </w:rPr>
        <w:t>eguláci</w:t>
      </w:r>
      <w:r>
        <w:rPr>
          <w:shd w:val="clear" w:color="auto" w:fill="FFFFFF"/>
        </w:rPr>
        <w:t>e</w:t>
      </w:r>
      <w:r w:rsidRPr="006D3174">
        <w:rPr>
          <w:shd w:val="clear" w:color="auto" w:fill="FFFFFF"/>
        </w:rPr>
        <w:t xml:space="preserve"> dotknutým subjektom zvyšuje náklady.</w:t>
      </w:r>
      <w:r w:rsidRPr="0044536B">
        <w:rPr>
          <w:shd w:val="clear" w:color="auto" w:fill="FFFFFF"/>
        </w:rPr>
        <w:t xml:space="preserve"> </w:t>
      </w:r>
      <w:r>
        <w:rPr>
          <w:shd w:val="clear" w:color="auto" w:fill="FFFFFF"/>
        </w:rPr>
        <w:t>U</w:t>
      </w:r>
      <w:r w:rsidRPr="0095356E">
        <w:rPr>
          <w:shd w:val="clear" w:color="auto" w:fill="FFFFFF"/>
        </w:rPr>
        <w:t>prav</w:t>
      </w:r>
      <w:r>
        <w:rPr>
          <w:shd w:val="clear" w:color="auto" w:fill="FFFFFF"/>
        </w:rPr>
        <w:t>uje sa</w:t>
      </w:r>
      <w:r w:rsidRPr="0095356E">
        <w:rPr>
          <w:shd w:val="clear" w:color="auto" w:fill="FFFFFF"/>
        </w:rPr>
        <w:t xml:space="preserve"> okamih vzniku daňovej povinnosti pri cezhraničnom dodaní tovaru do iného členského štátu na desiaty deň odo dňa dodania tovaru </w:t>
      </w:r>
      <w:r w:rsidRPr="0095356E">
        <w:rPr>
          <w:color w:val="000000" w:themeColor="text1"/>
        </w:rPr>
        <w:t>v nadväznosti na skrátenie lehoty na vyhotovenie elektronickej faktúry</w:t>
      </w:r>
      <w:r>
        <w:rPr>
          <w:color w:val="000000" w:themeColor="text1"/>
        </w:rPr>
        <w:t>.</w:t>
      </w:r>
      <w:r w:rsidRPr="0095356E">
        <w:rPr>
          <w:shd w:val="clear" w:color="auto" w:fill="FFFFFF"/>
        </w:rPr>
        <w:t xml:space="preserve"> </w:t>
      </w:r>
      <w:r>
        <w:rPr>
          <w:shd w:val="clear" w:color="auto" w:fill="FFFFFF"/>
        </w:rPr>
        <w:t>O</w:t>
      </w:r>
      <w:r w:rsidRPr="0095356E">
        <w:rPr>
          <w:shd w:val="clear" w:color="auto" w:fill="FFFFFF"/>
        </w:rPr>
        <w:t>d tohto dňa sa odvíja aj</w:t>
      </w:r>
      <w:r>
        <w:rPr>
          <w:shd w:val="clear" w:color="auto" w:fill="FFFFFF"/>
        </w:rPr>
        <w:t xml:space="preserve"> </w:t>
      </w:r>
      <w:r w:rsidRPr="0095356E">
        <w:rPr>
          <w:shd w:val="clear" w:color="auto" w:fill="FFFFFF"/>
        </w:rPr>
        <w:t xml:space="preserve">plnenie iných povinností vyplývajúcich zo </w:t>
      </w:r>
      <w:r w:rsidRPr="00AD02C7">
        <w:rPr>
          <w:shd w:val="clear" w:color="auto" w:fill="FFFFFF"/>
        </w:rPr>
        <w:t>zákon</w:t>
      </w:r>
      <w:r>
        <w:rPr>
          <w:shd w:val="clear" w:color="auto" w:fill="FFFFFF"/>
        </w:rPr>
        <w:t>a</w:t>
      </w:r>
      <w:r w:rsidRPr="00AD02C7">
        <w:rPr>
          <w:shd w:val="clear" w:color="auto" w:fill="FFFFFF"/>
        </w:rPr>
        <w:t xml:space="preserve"> č. 222/2004 Z. z. o dani z pridanej hodnoty v znení neskorších predpisov </w:t>
      </w:r>
      <w:r>
        <w:rPr>
          <w:shd w:val="clear" w:color="auto" w:fill="FFFFFF"/>
        </w:rPr>
        <w:t>(ďalej len „</w:t>
      </w:r>
      <w:r w:rsidRPr="0095356E">
        <w:rPr>
          <w:shd w:val="clear" w:color="auto" w:fill="FFFFFF"/>
        </w:rPr>
        <w:t>zákon o</w:t>
      </w:r>
      <w:r>
        <w:rPr>
          <w:shd w:val="clear" w:color="auto" w:fill="FFFFFF"/>
        </w:rPr>
        <w:t> </w:t>
      </w:r>
      <w:r w:rsidRPr="0095356E">
        <w:rPr>
          <w:shd w:val="clear" w:color="auto" w:fill="FFFFFF"/>
        </w:rPr>
        <w:t>DPH</w:t>
      </w:r>
      <w:r>
        <w:rPr>
          <w:shd w:val="clear" w:color="auto" w:fill="FFFFFF"/>
        </w:rPr>
        <w:t>“)</w:t>
      </w:r>
      <w:r w:rsidRPr="0095356E">
        <w:rPr>
          <w:shd w:val="clear" w:color="auto" w:fill="FFFFFF"/>
        </w:rPr>
        <w:t xml:space="preserve"> (napr. lehota na vyhotovenie faktúry, uvedenie</w:t>
      </w:r>
      <w:r>
        <w:rPr>
          <w:shd w:val="clear" w:color="auto" w:fill="FFFFFF"/>
        </w:rPr>
        <w:t xml:space="preserve"> </w:t>
      </w:r>
      <w:r w:rsidRPr="0095356E">
        <w:rPr>
          <w:shd w:val="clear" w:color="auto" w:fill="FFFFFF"/>
        </w:rPr>
        <w:t>uskutočneného zdaniteľného obchodu do daňového priznania, súhrnného výkazu, kontrolného výkazu, atď.</w:t>
      </w:r>
      <w:r>
        <w:rPr>
          <w:shd w:val="clear" w:color="auto" w:fill="FFFFFF"/>
        </w:rPr>
        <w:t>).</w:t>
      </w:r>
    </w:p>
    <w:p w14:paraId="0677C2CD" w14:textId="77777777" w:rsidR="00746D3C" w:rsidRDefault="00746D3C" w:rsidP="00746D3C">
      <w:pPr>
        <w:jc w:val="both"/>
        <w:rPr>
          <w:shd w:val="clear" w:color="auto" w:fill="FFFFFF"/>
        </w:rPr>
      </w:pPr>
    </w:p>
    <w:p w14:paraId="3B78EE6A" w14:textId="77777777" w:rsidR="00746D3C" w:rsidRDefault="00746D3C" w:rsidP="00746D3C">
      <w:pPr>
        <w:jc w:val="both"/>
      </w:pPr>
      <w:r w:rsidRPr="0039695E">
        <w:rPr>
          <w:shd w:val="clear" w:color="auto" w:fill="FFFFFF"/>
        </w:rPr>
        <w:t xml:space="preserve">Predmetná regulácia pre dotknuté subjekty predstavuje administratívny vplyv. </w:t>
      </w:r>
      <w:r w:rsidRPr="00933E70">
        <w:rPr>
          <w:rFonts w:eastAsia="Calibri"/>
          <w:bCs/>
          <w:iCs/>
          <w:color w:val="000000"/>
        </w:rPr>
        <w:t>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registrovaných platiteľov dane z pridanej hodnoty (§ 4, § 4b a § 5 zákona o DPH) </w:t>
      </w:r>
      <w:r w:rsidRPr="00C938CC">
        <w:rPr>
          <w:rFonts w:eastAsia="Calibri"/>
          <w:bCs/>
          <w:iCs/>
          <w:color w:val="000000"/>
        </w:rPr>
        <w:t xml:space="preserve">225 206, pričom celkový počet daňových subjektov s prideleným IČ DPH (§ 4, § 4b, § 5, § 7 a § 7a zákona o DPH) bol 290 425. </w:t>
      </w:r>
      <w:r w:rsidRPr="00C938CC">
        <w:rPr>
          <w:shd w:val="clear" w:color="auto" w:fill="FFFFFF"/>
        </w:rPr>
        <w:t xml:space="preserve">Náklady regulácie boli určené ako administratívne. Pri kvantifikácii bol zvolený postup na základe alternatívy č. 2. Frekvencia plnenia bola určená jednorazovo. </w:t>
      </w:r>
      <w:r w:rsidRPr="00C938CC">
        <w:t xml:space="preserve">Na základe výpočtu Kalkulačky nákladov na podnikateľské prostredie sa v súvislosti s touto reguláciou predpokladá suma administratívnych nákladov na podnikateľské prostredie (IN) vo výške </w:t>
      </w:r>
      <w:r>
        <w:t>941 921</w:t>
      </w:r>
      <w:r w:rsidRPr="00C938CC">
        <w:t xml:space="preserve"> E</w:t>
      </w:r>
      <w:r>
        <w:t>UR</w:t>
      </w:r>
      <w:r w:rsidRPr="00C938CC">
        <w:t>.</w:t>
      </w:r>
    </w:p>
    <w:p w14:paraId="295F3E56" w14:textId="77777777" w:rsidR="00746D3C" w:rsidRDefault="00746D3C" w:rsidP="00746D3C">
      <w:pPr>
        <w:jc w:val="both"/>
        <w:rPr>
          <w:shd w:val="clear" w:color="auto" w:fill="FFFFFF"/>
        </w:rPr>
      </w:pPr>
    </w:p>
    <w:p w14:paraId="45E73D50" w14:textId="77777777" w:rsidR="00746D3C" w:rsidRDefault="00746D3C" w:rsidP="00746D3C">
      <w:pPr>
        <w:jc w:val="both"/>
        <w:rPr>
          <w:rFonts w:eastAsia="Calibri"/>
          <w:bCs/>
          <w:i/>
          <w:iCs/>
          <w:color w:val="000000"/>
        </w:rPr>
      </w:pPr>
      <w:r>
        <w:rPr>
          <w:b/>
          <w:i/>
          <w:color w:val="000000"/>
        </w:rPr>
        <w:t>5</w:t>
      </w:r>
      <w:r w:rsidRPr="006D3174">
        <w:rPr>
          <w:b/>
          <w:i/>
          <w:color w:val="000000"/>
        </w:rPr>
        <w:t xml:space="preserve">. </w:t>
      </w:r>
      <w:r w:rsidRPr="004A15F9">
        <w:rPr>
          <w:b/>
          <w:i/>
          <w:color w:val="000000"/>
        </w:rPr>
        <w:t xml:space="preserve">Úprava vzniku daňovej povinnosti - intrakomunitárne </w:t>
      </w:r>
      <w:r>
        <w:rPr>
          <w:b/>
          <w:i/>
          <w:color w:val="000000"/>
        </w:rPr>
        <w:t>nadobudnutie</w:t>
      </w:r>
    </w:p>
    <w:p w14:paraId="5327F842" w14:textId="77777777" w:rsidR="00746D3C" w:rsidRDefault="00746D3C" w:rsidP="00746D3C">
      <w:pPr>
        <w:jc w:val="both"/>
        <w:rPr>
          <w:color w:val="000000" w:themeColor="text1"/>
        </w:rPr>
      </w:pPr>
    </w:p>
    <w:p w14:paraId="3F6BDFC8" w14:textId="77777777" w:rsidR="00746D3C" w:rsidRDefault="00746D3C" w:rsidP="00746D3C">
      <w:pPr>
        <w:jc w:val="both"/>
        <w:rPr>
          <w:shd w:val="clear" w:color="auto" w:fill="FFFFFF"/>
        </w:rPr>
      </w:pPr>
      <w:r>
        <w:rPr>
          <w:shd w:val="clear" w:color="auto" w:fill="FFFFFF"/>
        </w:rPr>
        <w:t>Zmena r</w:t>
      </w:r>
      <w:r w:rsidRPr="006D3174">
        <w:rPr>
          <w:shd w:val="clear" w:color="auto" w:fill="FFFFFF"/>
        </w:rPr>
        <w:t>eguláci</w:t>
      </w:r>
      <w:r>
        <w:rPr>
          <w:shd w:val="clear" w:color="auto" w:fill="FFFFFF"/>
        </w:rPr>
        <w:t>e</w:t>
      </w:r>
      <w:r w:rsidRPr="006D3174">
        <w:rPr>
          <w:shd w:val="clear" w:color="auto" w:fill="FFFFFF"/>
        </w:rPr>
        <w:t xml:space="preserve"> dotknutým subjektom zvyšuje náklady.</w:t>
      </w:r>
      <w:r w:rsidRPr="0044536B">
        <w:rPr>
          <w:shd w:val="clear" w:color="auto" w:fill="FFFFFF"/>
        </w:rPr>
        <w:t xml:space="preserve"> </w:t>
      </w:r>
      <w:r>
        <w:rPr>
          <w:shd w:val="clear" w:color="auto" w:fill="FFFFFF"/>
        </w:rPr>
        <w:t>U</w:t>
      </w:r>
      <w:r w:rsidRPr="0095356E">
        <w:rPr>
          <w:shd w:val="clear" w:color="auto" w:fill="FFFFFF"/>
        </w:rPr>
        <w:t>prav</w:t>
      </w:r>
      <w:r>
        <w:rPr>
          <w:shd w:val="clear" w:color="auto" w:fill="FFFFFF"/>
        </w:rPr>
        <w:t>uje sa</w:t>
      </w:r>
      <w:r w:rsidRPr="0095356E">
        <w:rPr>
          <w:shd w:val="clear" w:color="auto" w:fill="FFFFFF"/>
        </w:rPr>
        <w:t xml:space="preserve"> okamih vzniku daňovej povinnosti pri cezhraničnom </w:t>
      </w:r>
      <w:r>
        <w:rPr>
          <w:shd w:val="clear" w:color="auto" w:fill="FFFFFF"/>
        </w:rPr>
        <w:t>nadobudnutí</w:t>
      </w:r>
      <w:r w:rsidRPr="0095356E">
        <w:rPr>
          <w:shd w:val="clear" w:color="auto" w:fill="FFFFFF"/>
        </w:rPr>
        <w:t xml:space="preserve"> tovaru </w:t>
      </w:r>
      <w:r>
        <w:rPr>
          <w:shd w:val="clear" w:color="auto" w:fill="FFFFFF"/>
        </w:rPr>
        <w:t>z</w:t>
      </w:r>
      <w:r w:rsidRPr="0095356E">
        <w:rPr>
          <w:shd w:val="clear" w:color="auto" w:fill="FFFFFF"/>
        </w:rPr>
        <w:t xml:space="preserve"> iného členského štátu na desiaty deň odo dňa </w:t>
      </w:r>
      <w:r>
        <w:rPr>
          <w:shd w:val="clear" w:color="auto" w:fill="FFFFFF"/>
        </w:rPr>
        <w:t>nadobudnutia</w:t>
      </w:r>
      <w:r w:rsidRPr="0095356E">
        <w:rPr>
          <w:shd w:val="clear" w:color="auto" w:fill="FFFFFF"/>
        </w:rPr>
        <w:t xml:space="preserve"> tovaru</w:t>
      </w:r>
      <w:r>
        <w:rPr>
          <w:color w:val="000000" w:themeColor="text1"/>
        </w:rPr>
        <w:t>.</w:t>
      </w:r>
      <w:r w:rsidRPr="0095356E">
        <w:rPr>
          <w:shd w:val="clear" w:color="auto" w:fill="FFFFFF"/>
        </w:rPr>
        <w:t xml:space="preserve"> </w:t>
      </w:r>
      <w:r>
        <w:rPr>
          <w:shd w:val="clear" w:color="auto" w:fill="FFFFFF"/>
        </w:rPr>
        <w:t>O</w:t>
      </w:r>
      <w:r w:rsidRPr="0095356E">
        <w:rPr>
          <w:shd w:val="clear" w:color="auto" w:fill="FFFFFF"/>
        </w:rPr>
        <w:t>d tohto dňa sa odvíja aj</w:t>
      </w:r>
      <w:r>
        <w:rPr>
          <w:shd w:val="clear" w:color="auto" w:fill="FFFFFF"/>
        </w:rPr>
        <w:t xml:space="preserve"> </w:t>
      </w:r>
      <w:r w:rsidRPr="0095356E">
        <w:rPr>
          <w:shd w:val="clear" w:color="auto" w:fill="FFFFFF"/>
        </w:rPr>
        <w:t>plnenie iných povinností vyplývajúcich zo zákona o DPH (napr. lehota na vyhotovenie faktúry, uvedenie</w:t>
      </w:r>
      <w:r>
        <w:rPr>
          <w:shd w:val="clear" w:color="auto" w:fill="FFFFFF"/>
        </w:rPr>
        <w:t xml:space="preserve"> </w:t>
      </w:r>
      <w:r w:rsidRPr="0095356E">
        <w:rPr>
          <w:shd w:val="clear" w:color="auto" w:fill="FFFFFF"/>
        </w:rPr>
        <w:t>uskutočneného zdaniteľného obchodu do daňového priznania, súhrnného výkazu, kontrolného výkazu, atď.</w:t>
      </w:r>
      <w:r>
        <w:rPr>
          <w:shd w:val="clear" w:color="auto" w:fill="FFFFFF"/>
        </w:rPr>
        <w:t>).</w:t>
      </w:r>
    </w:p>
    <w:p w14:paraId="2874D366" w14:textId="77777777" w:rsidR="00746D3C" w:rsidRDefault="00746D3C" w:rsidP="00746D3C">
      <w:pPr>
        <w:jc w:val="both"/>
        <w:rPr>
          <w:rFonts w:eastAsia="Calibri"/>
          <w:bCs/>
          <w:i/>
          <w:iCs/>
          <w:color w:val="000000"/>
        </w:rPr>
      </w:pPr>
    </w:p>
    <w:p w14:paraId="24DEBE6F" w14:textId="77777777" w:rsidR="00746D3C" w:rsidRDefault="00746D3C" w:rsidP="00746D3C">
      <w:pPr>
        <w:jc w:val="both"/>
      </w:pPr>
      <w:r w:rsidRPr="0039695E">
        <w:rPr>
          <w:shd w:val="clear" w:color="auto" w:fill="FFFFFF"/>
        </w:rPr>
        <w:lastRenderedPageBreak/>
        <w:t xml:space="preserve">Predmetná regulácia pre dotknuté subjekty predstavuje administratívny vplyv. </w:t>
      </w:r>
      <w:r w:rsidRPr="00933E70">
        <w:rPr>
          <w:rFonts w:eastAsia="Calibri"/>
          <w:bCs/>
          <w:iCs/>
          <w:color w:val="000000"/>
        </w:rPr>
        <w:t>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w:t>
      </w:r>
      <w:r w:rsidRPr="008E503D">
        <w:rPr>
          <w:rFonts w:eastAsia="Calibri"/>
          <w:bCs/>
          <w:iCs/>
          <w:color w:val="000000"/>
        </w:rPr>
        <w:t>registrovaných platiteľov dane z pridanej hodnoty (§ 4, § 4b a § 5 zákona o DPH) 225 206, pričom celkový počet daňových subjektov s prideleným IČ DPH (§ 4, § 4b, § 5, § 7 a § 7a zákona o DPH) bol 290 425.</w:t>
      </w:r>
      <w:r w:rsidRPr="008E503D">
        <w:rPr>
          <w:shd w:val="clear" w:color="auto" w:fill="FFFFFF"/>
        </w:rPr>
        <w:t xml:space="preserve"> Náklady regulácie boli určené ako administratívne. Pri kvantifikácii bol zvolený postup na základe alternatívy č. 2. Frekvencia plnenia bola určená jednorazovo. </w:t>
      </w:r>
      <w:r w:rsidRPr="008E503D">
        <w:t>Na základe výpočtu Kalkulačky nákladov na podnikateľské prostredie sa v súvislosti s touto reguláciou predpokladá suma administratívnych nákladov na podnikateľské prostredie (IN) vo výške 941 921 E</w:t>
      </w:r>
      <w:r>
        <w:t>UR</w:t>
      </w:r>
      <w:r w:rsidRPr="008E503D">
        <w:t>.</w:t>
      </w:r>
    </w:p>
    <w:p w14:paraId="103C5BA7" w14:textId="77777777" w:rsidR="00746D3C" w:rsidRDefault="00746D3C" w:rsidP="00746D3C">
      <w:pPr>
        <w:jc w:val="both"/>
      </w:pPr>
    </w:p>
    <w:p w14:paraId="7694D966" w14:textId="77777777" w:rsidR="00746D3C" w:rsidRPr="001406E4" w:rsidRDefault="00746D3C" w:rsidP="00746D3C">
      <w:pPr>
        <w:jc w:val="both"/>
        <w:rPr>
          <w:rFonts w:eastAsia="Calibri"/>
          <w:b/>
          <w:i/>
          <w:color w:val="000000"/>
        </w:rPr>
      </w:pPr>
      <w:r>
        <w:rPr>
          <w:rFonts w:eastAsia="Calibri"/>
          <w:b/>
          <w:i/>
          <w:color w:val="000000"/>
        </w:rPr>
        <w:t>6</w:t>
      </w:r>
      <w:r w:rsidRPr="001406E4">
        <w:rPr>
          <w:rFonts w:eastAsia="Calibri"/>
          <w:b/>
          <w:i/>
          <w:color w:val="000000"/>
        </w:rPr>
        <w:t>. Povinnosť zabezpečiť zaslanie a prijatie elektronickej faktúry doručovacou službou</w:t>
      </w:r>
    </w:p>
    <w:p w14:paraId="4765260D" w14:textId="77777777" w:rsidR="00746D3C" w:rsidRDefault="00746D3C" w:rsidP="00746D3C">
      <w:pPr>
        <w:jc w:val="both"/>
        <w:rPr>
          <w:rFonts w:eastAsia="Calibri"/>
          <w:b/>
          <w:iCs/>
          <w:color w:val="000000"/>
        </w:rPr>
      </w:pPr>
    </w:p>
    <w:p w14:paraId="0E718E47" w14:textId="77777777" w:rsidR="00746D3C" w:rsidRDefault="00746D3C" w:rsidP="00746D3C">
      <w:pPr>
        <w:jc w:val="both"/>
      </w:pPr>
      <w:r>
        <w:rPr>
          <w:rFonts w:eastAsia="Calibri"/>
          <w:bCs/>
          <w:iCs/>
          <w:color w:val="000000"/>
        </w:rPr>
        <w:t xml:space="preserve">Nová regulácia dotknutým subjektom </w:t>
      </w:r>
      <w:r w:rsidRPr="007572E4">
        <w:rPr>
          <w:rFonts w:eastAsia="Calibri"/>
          <w:bCs/>
          <w:iCs/>
          <w:color w:val="000000"/>
        </w:rPr>
        <w:t xml:space="preserve">zvyšuje náklady. Každá zdaniteľná osoba, ktorej sa týka povinnosť vyhotoviť elektronickú faktúru bude povinná zabezpečiť, aby mohla zaslať a prijať elektronickú faktúru doručovacou službou. Každá osoba, ktorej bude v tuzemsku dodaný tovar alebo služba, pri ktorej je povinnosť vyhotoviť elektronickú faktúru, bude povinná zabezpečiť, aby mohla prijať elektronickú faktúru zaslanú doručovacou službou. </w:t>
      </w:r>
      <w:r w:rsidRPr="007528EC">
        <w:t>Doručovacou službou bude služba zasielania a doručovania elektronickej faktúry, ktorú poskytuje certifikovaný poskytovateľ doručovacej služby.</w:t>
      </w:r>
    </w:p>
    <w:p w14:paraId="356BED32" w14:textId="77777777" w:rsidR="00746D3C" w:rsidRDefault="00746D3C" w:rsidP="00746D3C">
      <w:pPr>
        <w:jc w:val="both"/>
      </w:pPr>
    </w:p>
    <w:p w14:paraId="087761DF" w14:textId="77777777" w:rsidR="00746D3C" w:rsidRDefault="00746D3C" w:rsidP="00746D3C">
      <w:pPr>
        <w:jc w:val="both"/>
        <w:rPr>
          <w:rFonts w:eastAsia="Calibri"/>
          <w:bCs/>
          <w:iCs/>
          <w:color w:val="000000"/>
        </w:rPr>
      </w:pPr>
      <w:r w:rsidRPr="0039695E">
        <w:rPr>
          <w:shd w:val="clear" w:color="auto" w:fill="FFFFFF"/>
        </w:rPr>
        <w:t xml:space="preserve">Predmetná regulácia pre dotknuté subjekty predstavuje administratívny vplyv. </w:t>
      </w:r>
      <w:r w:rsidRPr="00933E70">
        <w:rPr>
          <w:rFonts w:eastAsia="Calibri"/>
          <w:bCs/>
          <w:iCs/>
          <w:color w:val="000000"/>
        </w:rPr>
        <w:t>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w:t>
      </w:r>
      <w:r>
        <w:rPr>
          <w:rFonts w:eastAsia="Calibri"/>
          <w:bCs/>
          <w:iCs/>
          <w:color w:val="000000"/>
        </w:rPr>
        <w:t> </w:t>
      </w:r>
      <w:r w:rsidRPr="00933E70">
        <w:rPr>
          <w:rFonts w:eastAsia="Calibri"/>
          <w:bCs/>
          <w:iCs/>
          <w:color w:val="000000"/>
        </w:rPr>
        <w:t>údajov poskytnutých FRSR</w:t>
      </w:r>
      <w:r>
        <w:rPr>
          <w:rFonts w:eastAsia="Calibri"/>
          <w:bCs/>
          <w:iCs/>
          <w:color w:val="000000"/>
        </w:rPr>
        <w:t xml:space="preserve"> a je špecifikovaný v rámci jednotlivých regulácií:</w:t>
      </w:r>
    </w:p>
    <w:p w14:paraId="66F25F28" w14:textId="77777777" w:rsidR="00746D3C" w:rsidRDefault="00746D3C" w:rsidP="00746D3C">
      <w:pPr>
        <w:jc w:val="both"/>
        <w:rPr>
          <w:rFonts w:eastAsia="Calibri"/>
          <w:bCs/>
          <w:iCs/>
          <w:color w:val="000000"/>
        </w:rPr>
      </w:pPr>
      <w:r>
        <w:rPr>
          <w:rFonts w:eastAsia="Calibri"/>
          <w:bCs/>
          <w:iCs/>
          <w:color w:val="000000"/>
        </w:rPr>
        <w:t xml:space="preserve">- </w:t>
      </w:r>
      <w:r w:rsidRPr="00933E70">
        <w:rPr>
          <w:rFonts w:eastAsia="Calibri"/>
          <w:bCs/>
          <w:iCs/>
          <w:color w:val="000000"/>
        </w:rPr>
        <w:t>celkový počet registrovaných platiteľov dane z pridanej hodnoty (§ 4, § 4b a § 5 zákona o DPH)</w:t>
      </w:r>
      <w:r>
        <w:rPr>
          <w:rFonts w:eastAsia="Calibri"/>
          <w:bCs/>
          <w:iCs/>
          <w:color w:val="000000"/>
        </w:rPr>
        <w:t xml:space="preserve"> -</w:t>
      </w:r>
      <w:r w:rsidRPr="00933E70">
        <w:rPr>
          <w:rFonts w:eastAsia="Calibri"/>
          <w:bCs/>
          <w:iCs/>
          <w:color w:val="000000"/>
        </w:rPr>
        <w:t xml:space="preserve"> 225</w:t>
      </w:r>
      <w:r>
        <w:rPr>
          <w:rFonts w:eastAsia="Calibri"/>
          <w:bCs/>
          <w:iCs/>
          <w:color w:val="000000"/>
        </w:rPr>
        <w:t> </w:t>
      </w:r>
      <w:r w:rsidRPr="00933E70">
        <w:rPr>
          <w:rFonts w:eastAsia="Calibri"/>
          <w:bCs/>
          <w:iCs/>
          <w:color w:val="000000"/>
        </w:rPr>
        <w:t>206</w:t>
      </w:r>
      <w:r>
        <w:rPr>
          <w:rFonts w:eastAsia="Calibri"/>
          <w:bCs/>
          <w:iCs/>
          <w:color w:val="000000"/>
        </w:rPr>
        <w:t>,</w:t>
      </w:r>
    </w:p>
    <w:p w14:paraId="7B3975BE" w14:textId="77777777" w:rsidR="00746D3C" w:rsidRDefault="00746D3C" w:rsidP="00746D3C">
      <w:pPr>
        <w:jc w:val="both"/>
      </w:pPr>
      <w:r>
        <w:t>- p</w:t>
      </w:r>
      <w:r>
        <w:rPr>
          <w:rFonts w:eastAsia="Calibri"/>
          <w:bCs/>
          <w:iCs/>
          <w:color w:val="000000"/>
        </w:rPr>
        <w:t>očet právnických osôb registrovaných na daň z príjmu, bez registrácie na DPH - 240 301</w:t>
      </w:r>
      <w:r>
        <w:t>,</w:t>
      </w:r>
    </w:p>
    <w:p w14:paraId="6666EFA9" w14:textId="77777777" w:rsidR="00746D3C" w:rsidRDefault="00746D3C" w:rsidP="00746D3C">
      <w:pPr>
        <w:jc w:val="both"/>
        <w:rPr>
          <w:rFonts w:eastAsia="Calibri"/>
          <w:bCs/>
          <w:iCs/>
          <w:color w:val="000000"/>
        </w:rPr>
      </w:pPr>
      <w:r>
        <w:rPr>
          <w:rFonts w:eastAsia="Calibri"/>
          <w:bCs/>
          <w:iCs/>
          <w:color w:val="000000"/>
        </w:rPr>
        <w:t xml:space="preserve">- </w:t>
      </w:r>
      <w:r w:rsidRPr="00933E70">
        <w:rPr>
          <w:rFonts w:eastAsia="Calibri"/>
          <w:bCs/>
          <w:iCs/>
          <w:color w:val="000000"/>
        </w:rPr>
        <w:t xml:space="preserve">celkový počet </w:t>
      </w:r>
      <w:r>
        <w:rPr>
          <w:rFonts w:eastAsia="Calibri"/>
          <w:bCs/>
          <w:iCs/>
          <w:color w:val="000000"/>
        </w:rPr>
        <w:t xml:space="preserve">osôb </w:t>
      </w:r>
      <w:r w:rsidRPr="00933E70">
        <w:rPr>
          <w:rFonts w:eastAsia="Calibri"/>
          <w:bCs/>
          <w:iCs/>
          <w:color w:val="000000"/>
        </w:rPr>
        <w:t xml:space="preserve">registrovaných </w:t>
      </w:r>
      <w:r>
        <w:rPr>
          <w:rFonts w:eastAsia="Calibri"/>
          <w:bCs/>
          <w:iCs/>
          <w:color w:val="000000"/>
        </w:rPr>
        <w:t>pre daň</w:t>
      </w:r>
      <w:r w:rsidRPr="00933E70">
        <w:rPr>
          <w:rFonts w:eastAsia="Calibri"/>
          <w:bCs/>
          <w:iCs/>
          <w:color w:val="000000"/>
        </w:rPr>
        <w:t xml:space="preserve"> z pridanej hodnoty (§ </w:t>
      </w:r>
      <w:r>
        <w:rPr>
          <w:rFonts w:eastAsia="Calibri"/>
          <w:bCs/>
          <w:iCs/>
          <w:color w:val="000000"/>
        </w:rPr>
        <w:t>7</w:t>
      </w:r>
      <w:r w:rsidRPr="00933E70">
        <w:rPr>
          <w:rFonts w:eastAsia="Calibri"/>
          <w:bCs/>
          <w:iCs/>
          <w:color w:val="000000"/>
        </w:rPr>
        <w:t xml:space="preserve"> </w:t>
      </w:r>
      <w:r>
        <w:rPr>
          <w:rFonts w:eastAsia="Calibri"/>
          <w:bCs/>
          <w:iCs/>
          <w:color w:val="000000"/>
        </w:rPr>
        <w:t xml:space="preserve">a </w:t>
      </w:r>
      <w:r w:rsidRPr="00933E70">
        <w:rPr>
          <w:rFonts w:eastAsia="Calibri"/>
          <w:bCs/>
          <w:iCs/>
          <w:color w:val="000000"/>
        </w:rPr>
        <w:t xml:space="preserve">§ </w:t>
      </w:r>
      <w:r>
        <w:rPr>
          <w:rFonts w:eastAsia="Calibri"/>
          <w:bCs/>
          <w:iCs/>
          <w:color w:val="000000"/>
        </w:rPr>
        <w:t>7a</w:t>
      </w:r>
      <w:r w:rsidRPr="00933E70">
        <w:rPr>
          <w:rFonts w:eastAsia="Calibri"/>
          <w:bCs/>
          <w:iCs/>
          <w:color w:val="000000"/>
        </w:rPr>
        <w:t xml:space="preserve"> zákona o DPH)</w:t>
      </w:r>
      <w:r>
        <w:rPr>
          <w:rFonts w:eastAsia="Calibri"/>
          <w:bCs/>
          <w:iCs/>
          <w:color w:val="000000"/>
        </w:rPr>
        <w:t xml:space="preserve"> -</w:t>
      </w:r>
      <w:r w:rsidRPr="00933E70">
        <w:rPr>
          <w:rFonts w:eastAsia="Calibri"/>
          <w:bCs/>
          <w:iCs/>
          <w:color w:val="000000"/>
        </w:rPr>
        <w:t xml:space="preserve"> </w:t>
      </w:r>
      <w:r>
        <w:rPr>
          <w:rFonts w:eastAsia="Calibri"/>
          <w:bCs/>
          <w:iCs/>
          <w:color w:val="000000"/>
        </w:rPr>
        <w:t>65 219.</w:t>
      </w:r>
    </w:p>
    <w:p w14:paraId="16050721" w14:textId="77777777" w:rsidR="00746D3C" w:rsidRDefault="00746D3C" w:rsidP="00746D3C">
      <w:pPr>
        <w:jc w:val="both"/>
        <w:rPr>
          <w:rFonts w:eastAsia="Calibri"/>
          <w:bCs/>
          <w:iCs/>
          <w:color w:val="000000"/>
        </w:rPr>
      </w:pPr>
    </w:p>
    <w:p w14:paraId="59EF4392" w14:textId="77777777" w:rsidR="00746D3C" w:rsidRDefault="00746D3C" w:rsidP="00746D3C">
      <w:pPr>
        <w:jc w:val="both"/>
      </w:pPr>
      <w:r w:rsidRPr="0076312F">
        <w:t xml:space="preserve">Náklady regulácie boli určené ako administratívne. Pri kvantifikácii bol zvolený postup na základe alternatívy č. </w:t>
      </w:r>
      <w:r>
        <w:t>2</w:t>
      </w:r>
      <w:r w:rsidRPr="0076312F">
        <w:t>.</w:t>
      </w:r>
      <w:r w:rsidRPr="0076312F">
        <w:rPr>
          <w:rFonts w:eastAsia="Calibri"/>
          <w:bCs/>
          <w:iCs/>
          <w:color w:val="000000"/>
        </w:rPr>
        <w:t xml:space="preserve"> </w:t>
      </w:r>
      <w:r w:rsidRPr="00933E70">
        <w:rPr>
          <w:rFonts w:eastAsia="Calibri"/>
          <w:bCs/>
          <w:iCs/>
          <w:color w:val="000000"/>
        </w:rPr>
        <w:t xml:space="preserve">Frekvencia plnenia bola určená </w:t>
      </w:r>
      <w:r>
        <w:rPr>
          <w:rFonts w:eastAsia="Calibri"/>
          <w:bCs/>
          <w:iCs/>
          <w:color w:val="000000"/>
        </w:rPr>
        <w:t>na 1-krát ročne</w:t>
      </w:r>
      <w:r w:rsidRPr="00933E70">
        <w:rPr>
          <w:rFonts w:eastAsia="Calibri"/>
          <w:bCs/>
          <w:iCs/>
          <w:color w:val="000000"/>
        </w:rPr>
        <w:t>. Na základe výpočtu Kalkulačky nákladov na podnikateľské prostredie sa v súvislosti s touto reguláciou predpokladá sum</w:t>
      </w:r>
      <w:r>
        <w:rPr>
          <w:rFonts w:eastAsia="Calibri"/>
          <w:bCs/>
          <w:iCs/>
          <w:color w:val="000000"/>
        </w:rPr>
        <w:t>a</w:t>
      </w:r>
      <w:r w:rsidRPr="00933E70">
        <w:rPr>
          <w:rFonts w:eastAsia="Calibri"/>
          <w:bCs/>
          <w:iCs/>
          <w:color w:val="000000"/>
        </w:rPr>
        <w:t xml:space="preserve"> administratívnych nákladov na podnikateľské prostredie (</w:t>
      </w:r>
      <w:r>
        <w:rPr>
          <w:rFonts w:eastAsia="Calibri"/>
          <w:bCs/>
          <w:iCs/>
          <w:color w:val="000000"/>
        </w:rPr>
        <w:t>IN</w:t>
      </w:r>
      <w:r w:rsidRPr="00933E70">
        <w:rPr>
          <w:rFonts w:eastAsia="Calibri"/>
          <w:bCs/>
          <w:iCs/>
          <w:color w:val="000000"/>
        </w:rPr>
        <w:t xml:space="preserve">) vo výške </w:t>
      </w:r>
      <w:r>
        <w:rPr>
          <w:rFonts w:eastAsia="Calibri"/>
          <w:bCs/>
          <w:iCs/>
          <w:color w:val="000000"/>
        </w:rPr>
        <w:t>13 770 217</w:t>
      </w:r>
      <w:r w:rsidRPr="00933E70">
        <w:rPr>
          <w:rFonts w:eastAsia="Calibri"/>
          <w:bCs/>
          <w:iCs/>
          <w:color w:val="000000"/>
        </w:rPr>
        <w:t xml:space="preserve"> E</w:t>
      </w:r>
      <w:r>
        <w:rPr>
          <w:rFonts w:eastAsia="Calibri"/>
          <w:bCs/>
          <w:iCs/>
          <w:color w:val="000000"/>
        </w:rPr>
        <w:t>UR</w:t>
      </w:r>
      <w:r w:rsidRPr="00933E70">
        <w:rPr>
          <w:rFonts w:eastAsia="Calibri"/>
          <w:bCs/>
          <w:iCs/>
          <w:color w:val="000000"/>
        </w:rPr>
        <w:t>.</w:t>
      </w:r>
    </w:p>
    <w:p w14:paraId="4B0015ED" w14:textId="77777777" w:rsidR="00746D3C" w:rsidRDefault="00746D3C" w:rsidP="00746D3C">
      <w:pPr>
        <w:jc w:val="both"/>
      </w:pPr>
    </w:p>
    <w:p w14:paraId="5D55EF6D" w14:textId="77777777" w:rsidR="00746D3C" w:rsidRPr="00490BCA" w:rsidRDefault="00746D3C" w:rsidP="00746D3C">
      <w:pPr>
        <w:jc w:val="both"/>
        <w:rPr>
          <w:b/>
          <w:i/>
          <w:color w:val="FF0000"/>
        </w:rPr>
      </w:pPr>
      <w:r>
        <w:rPr>
          <w:b/>
          <w:i/>
          <w:color w:val="000000"/>
        </w:rPr>
        <w:t>7</w:t>
      </w:r>
      <w:r w:rsidRPr="006D3174">
        <w:rPr>
          <w:b/>
          <w:i/>
          <w:color w:val="000000"/>
        </w:rPr>
        <w:t xml:space="preserve">. </w:t>
      </w:r>
      <w:r>
        <w:rPr>
          <w:b/>
          <w:i/>
          <w:color w:val="000000"/>
        </w:rPr>
        <w:t>Skrátenie lehoty na vyhotovenie</w:t>
      </w:r>
      <w:r w:rsidRPr="002065F9">
        <w:rPr>
          <w:b/>
          <w:i/>
          <w:color w:val="000000"/>
        </w:rPr>
        <w:t xml:space="preserve"> faktúr</w:t>
      </w:r>
      <w:r>
        <w:rPr>
          <w:b/>
          <w:i/>
          <w:color w:val="000000"/>
        </w:rPr>
        <w:t>y</w:t>
      </w:r>
      <w:r w:rsidRPr="002065F9">
        <w:rPr>
          <w:b/>
          <w:i/>
          <w:color w:val="000000"/>
        </w:rPr>
        <w:t xml:space="preserve"> </w:t>
      </w:r>
      <w:r>
        <w:rPr>
          <w:b/>
          <w:i/>
          <w:color w:val="000000"/>
        </w:rPr>
        <w:t>(tuzemské transakcie a cezhraničné transakcie)</w:t>
      </w:r>
    </w:p>
    <w:p w14:paraId="44CF09A1" w14:textId="77777777" w:rsidR="00746D3C" w:rsidRDefault="00746D3C" w:rsidP="00746D3C">
      <w:pPr>
        <w:jc w:val="both"/>
        <w:rPr>
          <w:b/>
          <w:i/>
          <w:color w:val="000000"/>
        </w:rPr>
      </w:pPr>
    </w:p>
    <w:p w14:paraId="55B147F1" w14:textId="77777777" w:rsidR="00746D3C" w:rsidRDefault="00746D3C" w:rsidP="00746D3C">
      <w:pPr>
        <w:jc w:val="both"/>
        <w:rPr>
          <w:shd w:val="clear" w:color="auto" w:fill="FFFFFF"/>
        </w:rPr>
      </w:pPr>
      <w:r>
        <w:rPr>
          <w:shd w:val="clear" w:color="auto" w:fill="FFFFFF"/>
        </w:rPr>
        <w:t>Zmena r</w:t>
      </w:r>
      <w:r w:rsidRPr="006D3174">
        <w:rPr>
          <w:shd w:val="clear" w:color="auto" w:fill="FFFFFF"/>
        </w:rPr>
        <w:t>eguláci</w:t>
      </w:r>
      <w:r>
        <w:rPr>
          <w:shd w:val="clear" w:color="auto" w:fill="FFFFFF"/>
        </w:rPr>
        <w:t>e</w:t>
      </w:r>
      <w:r w:rsidRPr="006D3174">
        <w:rPr>
          <w:shd w:val="clear" w:color="auto" w:fill="FFFFFF"/>
        </w:rPr>
        <w:t xml:space="preserve"> dotknutým subjektom zvyšuje náklady.</w:t>
      </w:r>
      <w:r w:rsidRPr="0044536B">
        <w:rPr>
          <w:shd w:val="clear" w:color="auto" w:fill="FFFFFF"/>
        </w:rPr>
        <w:t xml:space="preserve"> </w:t>
      </w:r>
      <w:r>
        <w:rPr>
          <w:shd w:val="clear" w:color="auto" w:fill="FFFFFF"/>
        </w:rPr>
        <w:t>U</w:t>
      </w:r>
      <w:r w:rsidRPr="0095356E">
        <w:rPr>
          <w:shd w:val="clear" w:color="auto" w:fill="FFFFFF"/>
        </w:rPr>
        <w:t>prav</w:t>
      </w:r>
      <w:r>
        <w:rPr>
          <w:shd w:val="clear" w:color="auto" w:fill="FFFFFF"/>
        </w:rPr>
        <w:t>uje sa lehota na vyhotovenie faktúry.</w:t>
      </w:r>
    </w:p>
    <w:p w14:paraId="0D21DC52" w14:textId="77777777" w:rsidR="00746D3C" w:rsidRDefault="00746D3C" w:rsidP="00746D3C">
      <w:pPr>
        <w:jc w:val="both"/>
        <w:rPr>
          <w:shd w:val="clear" w:color="auto" w:fill="FFFFFF"/>
        </w:rPr>
      </w:pPr>
    </w:p>
    <w:p w14:paraId="670DDB40" w14:textId="77777777" w:rsidR="00746D3C" w:rsidRDefault="00746D3C" w:rsidP="00746D3C">
      <w:pPr>
        <w:jc w:val="both"/>
      </w:pPr>
      <w:r w:rsidRPr="0039695E">
        <w:rPr>
          <w:shd w:val="clear" w:color="auto" w:fill="FFFFFF"/>
        </w:rPr>
        <w:t xml:space="preserve">Predmetná regulácia pre dotknuté subjekty predstavuje administratívny vplyv. </w:t>
      </w:r>
      <w:r w:rsidRPr="00933E70">
        <w:rPr>
          <w:rFonts w:eastAsia="Calibri"/>
          <w:bCs/>
          <w:iCs/>
          <w:color w:val="000000"/>
        </w:rPr>
        <w:t>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registrovaných platiteľov dane z pridanej hodnoty (§ 4, § 4b a § 5 zákona o DPH) 225</w:t>
      </w:r>
      <w:r>
        <w:rPr>
          <w:rFonts w:eastAsia="Calibri"/>
          <w:bCs/>
          <w:iCs/>
          <w:color w:val="000000"/>
        </w:rPr>
        <w:t> </w:t>
      </w:r>
      <w:r w:rsidRPr="00933E70">
        <w:rPr>
          <w:rFonts w:eastAsia="Calibri"/>
          <w:bCs/>
          <w:iCs/>
          <w:color w:val="000000"/>
        </w:rPr>
        <w:t>206.</w:t>
      </w:r>
      <w:r>
        <w:rPr>
          <w:rFonts w:eastAsia="Calibri"/>
          <w:bCs/>
          <w:iCs/>
          <w:color w:val="000000"/>
        </w:rPr>
        <w:t xml:space="preserve"> Do výpočtu neboli zahrnuté osoby registrované pre daň podľa § 7 a § 7a, keďže lehota na vyhotovenie faktúry sa týka len tých osôb registrovaných podľa § 7a zákona o DPH, ktoré </w:t>
      </w:r>
      <w:r w:rsidRPr="00D65339">
        <w:rPr>
          <w:rFonts w:eastAsia="Calibri"/>
          <w:bCs/>
          <w:iCs/>
          <w:color w:val="000000"/>
        </w:rPr>
        <w:t>dodáva</w:t>
      </w:r>
      <w:r>
        <w:rPr>
          <w:rFonts w:eastAsia="Calibri"/>
          <w:bCs/>
          <w:iCs/>
          <w:color w:val="000000"/>
        </w:rPr>
        <w:t>jú</w:t>
      </w:r>
      <w:r w:rsidRPr="00D65339">
        <w:rPr>
          <w:rFonts w:eastAsia="Calibri"/>
          <w:bCs/>
          <w:iCs/>
          <w:color w:val="000000"/>
        </w:rPr>
        <w:t xml:space="preserve"> službu, pri ktorej je miesto </w:t>
      </w:r>
      <w:r w:rsidRPr="00554627">
        <w:rPr>
          <w:rFonts w:eastAsia="Calibri"/>
          <w:bCs/>
          <w:iCs/>
          <w:color w:val="000000"/>
        </w:rPr>
        <w:t xml:space="preserve">dodania podľa § 15 ods. 1 v inom členskom štáte a osobou povinnou platiť daň je príjemca služby. </w:t>
      </w:r>
      <w:r w:rsidRPr="00554627">
        <w:rPr>
          <w:shd w:val="clear" w:color="auto" w:fill="FFFFFF"/>
        </w:rPr>
        <w:t xml:space="preserve">Náklady regulácie boli určené ako administratívne. Pri kvantifikácii bol zvolený postup na základe alternatívy č. 2. Frekvencia plnenia bola určená jednorazovo. </w:t>
      </w:r>
      <w:r w:rsidRPr="00554627">
        <w:t xml:space="preserve">Na základe výpočtu Kalkulačky nákladov na podnikateľské prostredie sa v súvislosti s touto reguláciou predpokladá suma administratívnych nákladov na podnikateľské prostredie (IN) vo výške </w:t>
      </w:r>
      <w:r>
        <w:t>1 460 799</w:t>
      </w:r>
      <w:r w:rsidRPr="00554627">
        <w:t xml:space="preserve"> E</w:t>
      </w:r>
      <w:r>
        <w:t>UR</w:t>
      </w:r>
      <w:r w:rsidRPr="00554627">
        <w:t>.</w:t>
      </w:r>
    </w:p>
    <w:p w14:paraId="19A11F90" w14:textId="77777777" w:rsidR="00746D3C" w:rsidRDefault="00746D3C" w:rsidP="00746D3C">
      <w:pPr>
        <w:jc w:val="both"/>
        <w:rPr>
          <w:rFonts w:eastAsia="Calibri"/>
          <w:bCs/>
          <w:iCs/>
          <w:color w:val="000000"/>
        </w:rPr>
      </w:pPr>
    </w:p>
    <w:p w14:paraId="55448DB6" w14:textId="77777777" w:rsidR="00746D3C" w:rsidRDefault="00746D3C" w:rsidP="00746D3C">
      <w:pPr>
        <w:jc w:val="both"/>
        <w:rPr>
          <w:b/>
          <w:i/>
          <w:color w:val="000000"/>
        </w:rPr>
      </w:pPr>
      <w:r>
        <w:rPr>
          <w:b/>
          <w:i/>
          <w:color w:val="000000"/>
        </w:rPr>
        <w:lastRenderedPageBreak/>
        <w:t>8</w:t>
      </w:r>
      <w:r w:rsidRPr="006D3174">
        <w:rPr>
          <w:b/>
          <w:i/>
          <w:color w:val="000000"/>
        </w:rPr>
        <w:t xml:space="preserve">. </w:t>
      </w:r>
      <w:r w:rsidRPr="002065F9">
        <w:rPr>
          <w:b/>
          <w:i/>
          <w:color w:val="000000"/>
        </w:rPr>
        <w:t>Vyhotovenie elektronickej faktúry platiteľom dane (tuzemské transakcie)</w:t>
      </w:r>
    </w:p>
    <w:p w14:paraId="41FD5403" w14:textId="77777777" w:rsidR="00746D3C" w:rsidRDefault="00746D3C" w:rsidP="00746D3C">
      <w:pPr>
        <w:jc w:val="both"/>
        <w:rPr>
          <w:b/>
          <w:i/>
          <w:color w:val="000000"/>
        </w:rPr>
      </w:pPr>
    </w:p>
    <w:p w14:paraId="2E8CC936" w14:textId="77777777" w:rsidR="00746D3C" w:rsidRPr="00933E70" w:rsidRDefault="00746D3C" w:rsidP="00746D3C">
      <w:pPr>
        <w:jc w:val="both"/>
        <w:rPr>
          <w:rFonts w:eastAsia="Calibri"/>
          <w:bCs/>
          <w:iCs/>
          <w:color w:val="000000"/>
        </w:rPr>
      </w:pPr>
      <w:r w:rsidRPr="00933E70">
        <w:rPr>
          <w:rFonts w:eastAsia="Calibri"/>
          <w:bCs/>
          <w:iCs/>
          <w:color w:val="000000"/>
        </w:rPr>
        <w:t>Zmena regulácie dotknutým subjektom znižuje náklady. Faktúra sa na účely zákona o DPH bude vyhotovovať</w:t>
      </w:r>
      <w:r>
        <w:rPr>
          <w:rFonts w:eastAsia="Calibri"/>
          <w:bCs/>
          <w:iCs/>
          <w:color w:val="000000"/>
        </w:rPr>
        <w:t xml:space="preserve"> a zasielať</w:t>
      </w:r>
      <w:r w:rsidRPr="00933E70">
        <w:rPr>
          <w:rFonts w:eastAsia="Calibri"/>
          <w:bCs/>
          <w:iCs/>
          <w:color w:val="000000"/>
        </w:rPr>
        <w:t xml:space="preserve"> zásadne ako elektronická</w:t>
      </w:r>
      <w:r>
        <w:rPr>
          <w:rFonts w:eastAsia="Calibri"/>
          <w:bCs/>
          <w:iCs/>
          <w:color w:val="000000"/>
        </w:rPr>
        <w:t xml:space="preserve"> faktúra</w:t>
      </w:r>
      <w:r w:rsidRPr="00933E70">
        <w:rPr>
          <w:rFonts w:eastAsia="Calibri"/>
          <w:bCs/>
          <w:iCs/>
          <w:color w:val="000000"/>
        </w:rPr>
        <w:t xml:space="preserve"> v zákonom ustanovenom formáte.</w:t>
      </w:r>
      <w:r>
        <w:rPr>
          <w:rFonts w:eastAsia="Calibri"/>
          <w:bCs/>
          <w:iCs/>
          <w:color w:val="000000"/>
        </w:rPr>
        <w:t xml:space="preserve"> E</w:t>
      </w:r>
      <w:r w:rsidRPr="000A5DC7">
        <w:rPr>
          <w:rFonts w:eastAsia="Calibri"/>
          <w:bCs/>
          <w:iCs/>
          <w:color w:val="000000"/>
        </w:rPr>
        <w:t>lektronickou faktúr</w:t>
      </w:r>
      <w:r>
        <w:rPr>
          <w:rFonts w:eastAsia="Calibri"/>
          <w:bCs/>
          <w:iCs/>
          <w:color w:val="000000"/>
        </w:rPr>
        <w:t xml:space="preserve">a je len taká faktúra, ktorá obsahuje </w:t>
      </w:r>
      <w:r w:rsidRPr="000A5DC7">
        <w:rPr>
          <w:rFonts w:eastAsia="Calibri"/>
          <w:bCs/>
          <w:iCs/>
          <w:color w:val="000000"/>
        </w:rPr>
        <w:t xml:space="preserve">náležitosti podľa </w:t>
      </w:r>
      <w:r>
        <w:rPr>
          <w:rFonts w:eastAsia="Calibri"/>
          <w:bCs/>
          <w:iCs/>
          <w:color w:val="000000"/>
        </w:rPr>
        <w:t>zákona o DPH a je</w:t>
      </w:r>
      <w:r w:rsidRPr="000A5DC7">
        <w:rPr>
          <w:rFonts w:eastAsia="Calibri"/>
          <w:bCs/>
          <w:iCs/>
          <w:color w:val="000000"/>
        </w:rPr>
        <w:t xml:space="preserve"> vyhotoven</w:t>
      </w:r>
      <w:r>
        <w:rPr>
          <w:rFonts w:eastAsia="Calibri"/>
          <w:bCs/>
          <w:iCs/>
          <w:color w:val="000000"/>
        </w:rPr>
        <w:t>á</w:t>
      </w:r>
      <w:r w:rsidRPr="000A5DC7">
        <w:rPr>
          <w:rFonts w:eastAsia="Calibri"/>
          <w:bCs/>
          <w:iCs/>
          <w:color w:val="000000"/>
        </w:rPr>
        <w:t>, zaslan</w:t>
      </w:r>
      <w:r>
        <w:rPr>
          <w:rFonts w:eastAsia="Calibri"/>
          <w:bCs/>
          <w:iCs/>
          <w:color w:val="000000"/>
        </w:rPr>
        <w:t>á</w:t>
      </w:r>
      <w:r w:rsidRPr="000A5DC7">
        <w:rPr>
          <w:rFonts w:eastAsia="Calibri"/>
          <w:bCs/>
          <w:iCs/>
          <w:color w:val="000000"/>
        </w:rPr>
        <w:t xml:space="preserve"> a prijat</w:t>
      </w:r>
      <w:r>
        <w:rPr>
          <w:rFonts w:eastAsia="Calibri"/>
          <w:bCs/>
          <w:iCs/>
          <w:color w:val="000000"/>
        </w:rPr>
        <w:t>á</w:t>
      </w:r>
      <w:r w:rsidRPr="000A5DC7">
        <w:rPr>
          <w:rFonts w:eastAsia="Calibri"/>
          <w:bCs/>
          <w:iCs/>
          <w:color w:val="000000"/>
        </w:rPr>
        <w:t xml:space="preserve"> v štruktúrovanom elektronickom formáte, ktorý umožňuje jeho automatizované a elektronické spracovanie</w:t>
      </w:r>
      <w:r>
        <w:rPr>
          <w:rFonts w:eastAsia="Calibri"/>
          <w:bCs/>
          <w:iCs/>
          <w:color w:val="000000"/>
        </w:rPr>
        <w:t>.</w:t>
      </w:r>
    </w:p>
    <w:p w14:paraId="6A0FF973" w14:textId="77777777" w:rsidR="00746D3C" w:rsidRPr="00933E70" w:rsidRDefault="00746D3C" w:rsidP="00746D3C">
      <w:pPr>
        <w:jc w:val="both"/>
        <w:rPr>
          <w:rFonts w:eastAsia="Calibri"/>
          <w:bCs/>
          <w:iCs/>
          <w:color w:val="000000"/>
        </w:rPr>
      </w:pPr>
    </w:p>
    <w:p w14:paraId="01E1B302" w14:textId="77777777" w:rsidR="00746D3C" w:rsidRPr="00933E70" w:rsidRDefault="00746D3C" w:rsidP="00746D3C">
      <w:pPr>
        <w:jc w:val="both"/>
        <w:rPr>
          <w:rFonts w:eastAsia="Calibri"/>
          <w:bCs/>
          <w:iCs/>
          <w:color w:val="000000"/>
        </w:rPr>
      </w:pPr>
      <w:bookmarkStart w:id="2" w:name="_Hlk202791860"/>
      <w:r w:rsidRPr="00933E70">
        <w:rPr>
          <w:rFonts w:eastAsia="Calibri"/>
          <w:bCs/>
          <w:iCs/>
          <w:color w:val="000000"/>
        </w:rPr>
        <w:t>Predmetná regulácia pre dotknuté subjekty predstavuje administratívny vplyv. 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registrovaných platiteľov dane z pridanej hodnoty (§ 4, § 4b a § 5 zákona o DPH) 225 206. </w:t>
      </w:r>
      <w:bookmarkStart w:id="3" w:name="_Hlk202791939"/>
      <w:r w:rsidRPr="00933E70">
        <w:rPr>
          <w:rFonts w:eastAsia="Calibri"/>
          <w:bCs/>
          <w:iCs/>
          <w:color w:val="000000"/>
        </w:rPr>
        <w:t xml:space="preserve">Títo platitelia dane </w:t>
      </w:r>
      <w:r>
        <w:rPr>
          <w:rFonts w:eastAsia="Calibri"/>
          <w:bCs/>
          <w:iCs/>
          <w:color w:val="000000"/>
        </w:rPr>
        <w:t xml:space="preserve">na základe údajov z FRSR </w:t>
      </w:r>
      <w:r w:rsidRPr="00933E70">
        <w:rPr>
          <w:rFonts w:eastAsia="Calibri"/>
          <w:bCs/>
          <w:iCs/>
          <w:color w:val="000000"/>
        </w:rPr>
        <w:t xml:space="preserve">vyhotovili v kalendárnom roku 2024 </w:t>
      </w:r>
      <w:r>
        <w:rPr>
          <w:rFonts w:eastAsia="Calibri"/>
          <w:bCs/>
          <w:iCs/>
          <w:color w:val="000000"/>
        </w:rPr>
        <w:t xml:space="preserve">celkovo </w:t>
      </w:r>
      <w:r w:rsidRPr="00933E70">
        <w:rPr>
          <w:rFonts w:eastAsia="Calibri"/>
          <w:bCs/>
          <w:iCs/>
          <w:color w:val="000000"/>
        </w:rPr>
        <w:t>101 310 277 faktúr v rôznej podobe,</w:t>
      </w:r>
      <w:bookmarkEnd w:id="2"/>
      <w:r w:rsidRPr="00933E70">
        <w:rPr>
          <w:rFonts w:eastAsia="Calibri"/>
          <w:bCs/>
          <w:iCs/>
          <w:color w:val="000000"/>
        </w:rPr>
        <w:t xml:space="preserve"> či už listinnej alebo elektronickej (e-mail, pdf, ...)</w:t>
      </w:r>
      <w:r>
        <w:rPr>
          <w:rFonts w:eastAsia="Calibri"/>
          <w:bCs/>
          <w:iCs/>
          <w:color w:val="000000"/>
        </w:rPr>
        <w:t xml:space="preserve"> pre tuzemské zdaniteľné osoby a právnické osoby, ktoré nie sú zdaniteľnými osobami</w:t>
      </w:r>
      <w:r w:rsidRPr="00933E70">
        <w:rPr>
          <w:rFonts w:eastAsia="Calibri"/>
          <w:bCs/>
          <w:iCs/>
          <w:color w:val="000000"/>
        </w:rPr>
        <w:t>.</w:t>
      </w:r>
      <w:bookmarkEnd w:id="3"/>
      <w:r w:rsidRPr="00933E70">
        <w:rPr>
          <w:rFonts w:eastAsia="Calibri"/>
          <w:bCs/>
          <w:iCs/>
          <w:color w:val="000000"/>
        </w:rPr>
        <w:t xml:space="preserve"> Na základe expertného odhadu MFSR a FRSR sa predpokladá, že 20 % z tohto počtu faktúr je vyhotovených v listinnej podobe. Elektronická faktúra však prináša úsporu až 80 % nákladov</w:t>
      </w:r>
      <w:r>
        <w:rPr>
          <w:rFonts w:eastAsia="Calibri"/>
          <w:bCs/>
          <w:iCs/>
          <w:color w:val="000000"/>
        </w:rPr>
        <w:t xml:space="preserve"> (papier, tlač, čas, poštovné, ručné spracovanie)</w:t>
      </w:r>
      <w:r w:rsidRPr="00933E70">
        <w:rPr>
          <w:rFonts w:eastAsia="Calibri"/>
          <w:bCs/>
          <w:iCs/>
          <w:color w:val="000000"/>
        </w:rPr>
        <w:t xml:space="preserve"> na</w:t>
      </w:r>
      <w:r>
        <w:rPr>
          <w:rFonts w:eastAsia="Calibri"/>
          <w:bCs/>
          <w:iCs/>
          <w:color w:val="000000"/>
        </w:rPr>
        <w:t xml:space="preserve"> vyhotovenie a</w:t>
      </w:r>
      <w:r w:rsidRPr="00933E70">
        <w:rPr>
          <w:rFonts w:eastAsia="Calibri"/>
          <w:bCs/>
          <w:iCs/>
          <w:color w:val="000000"/>
        </w:rPr>
        <w:t xml:space="preserve"> spracovanie faktúr, pričom náklady na 1 elektronickú faktúru sa odhadujú vo výške od 0,1 do 0,5 EUR (priemer 0,3 EUR). </w:t>
      </w:r>
      <w:r>
        <w:rPr>
          <w:rFonts w:eastAsia="Calibri"/>
          <w:bCs/>
          <w:iCs/>
          <w:color w:val="000000"/>
        </w:rPr>
        <w:t xml:space="preserve">Elektronická faktúra vyhotovená v štruktúrovanom formáte eliminuje chybovosť, šetrí náklady v porovnaní s listinnou faktúrou, prináša automatizáciu procesov a zrýchlenie platieb. </w:t>
      </w:r>
      <w:r w:rsidRPr="00933E70">
        <w:rPr>
          <w:rFonts w:eastAsia="Calibri"/>
          <w:bCs/>
          <w:iCs/>
          <w:color w:val="000000"/>
        </w:rPr>
        <w:t xml:space="preserve">Náklady regulácie boli určené ako </w:t>
      </w:r>
      <w:r>
        <w:rPr>
          <w:rFonts w:eastAsia="Calibri"/>
          <w:bCs/>
          <w:iCs/>
          <w:color w:val="000000"/>
        </w:rPr>
        <w:t>nepriame finančné náklady</w:t>
      </w:r>
      <w:r w:rsidRPr="00933E70">
        <w:rPr>
          <w:rFonts w:eastAsia="Calibri"/>
          <w:bCs/>
          <w:iCs/>
          <w:color w:val="000000"/>
        </w:rPr>
        <w:t>. Pri výpočte sa vychádzalo z toho, že zvyšných 20 %</w:t>
      </w:r>
      <w:r>
        <w:rPr>
          <w:rFonts w:eastAsia="Calibri"/>
          <w:bCs/>
          <w:iCs/>
          <w:color w:val="000000"/>
        </w:rPr>
        <w:t xml:space="preserve"> (t.j. 20 262 055 faktúr)</w:t>
      </w:r>
      <w:r w:rsidRPr="00933E70">
        <w:rPr>
          <w:rFonts w:eastAsia="Calibri"/>
          <w:bCs/>
          <w:iCs/>
          <w:color w:val="000000"/>
        </w:rPr>
        <w:t xml:space="preserve"> z celkového počtu vyhotovených faktúr platiteľmi dane bude vyhotovených elektronicky, čím sa znížia náklady na vyhotovenie 1 </w:t>
      </w:r>
      <w:r>
        <w:rPr>
          <w:rFonts w:eastAsia="Calibri"/>
          <w:bCs/>
          <w:iCs/>
          <w:color w:val="000000"/>
        </w:rPr>
        <w:t xml:space="preserve">elektronickej </w:t>
      </w:r>
      <w:r w:rsidRPr="00933E70">
        <w:rPr>
          <w:rFonts w:eastAsia="Calibri"/>
          <w:bCs/>
          <w:iCs/>
          <w:color w:val="000000"/>
        </w:rPr>
        <w:t>faktúry v priemere o 1,2 EUR</w:t>
      </w:r>
      <w:r>
        <w:rPr>
          <w:rFonts w:eastAsia="Calibri"/>
          <w:bCs/>
          <w:iCs/>
          <w:color w:val="000000"/>
        </w:rPr>
        <w:t>. Spôsob výpočtu hodnoty vloženej do stĺpca D – 20 262 055 x 1,2 = 24 314 466 ÷ 225 206 = 108</w:t>
      </w:r>
      <w:r w:rsidRPr="00933E70">
        <w:rPr>
          <w:rFonts w:eastAsia="Calibri"/>
          <w:bCs/>
          <w:iCs/>
          <w:color w:val="000000"/>
        </w:rPr>
        <w:t xml:space="preserve">. Frekvencia plnenia bola určená </w:t>
      </w:r>
      <w:r>
        <w:rPr>
          <w:rFonts w:eastAsia="Calibri"/>
          <w:bCs/>
          <w:iCs/>
          <w:color w:val="000000"/>
        </w:rPr>
        <w:t>na 1-krát ročne</w:t>
      </w:r>
      <w:r w:rsidRPr="00933E70">
        <w:rPr>
          <w:rFonts w:eastAsia="Calibri"/>
          <w:bCs/>
          <w:iCs/>
          <w:color w:val="000000"/>
        </w:rPr>
        <w:t xml:space="preserve">. Na základe výpočtu Kalkulačky nákladov na podnikateľské prostredie sa v súvislosti s touto reguláciou predpokladá </w:t>
      </w:r>
      <w:r>
        <w:rPr>
          <w:rFonts w:eastAsia="Calibri"/>
          <w:bCs/>
          <w:iCs/>
          <w:color w:val="000000"/>
        </w:rPr>
        <w:t xml:space="preserve">zníženie </w:t>
      </w:r>
      <w:r w:rsidRPr="00933E70">
        <w:rPr>
          <w:rFonts w:eastAsia="Calibri"/>
          <w:bCs/>
          <w:iCs/>
          <w:color w:val="000000"/>
        </w:rPr>
        <w:t>sum</w:t>
      </w:r>
      <w:r>
        <w:rPr>
          <w:rFonts w:eastAsia="Calibri"/>
          <w:bCs/>
          <w:iCs/>
          <w:color w:val="000000"/>
        </w:rPr>
        <w:t>y</w:t>
      </w:r>
      <w:r w:rsidRPr="00933E70">
        <w:rPr>
          <w:rFonts w:eastAsia="Calibri"/>
          <w:bCs/>
          <w:iCs/>
          <w:color w:val="000000"/>
        </w:rPr>
        <w:t xml:space="preserve"> administratívnych nákladov na podnikateľské prostredie (</w:t>
      </w:r>
      <w:r>
        <w:rPr>
          <w:rFonts w:eastAsia="Calibri"/>
          <w:bCs/>
          <w:iCs/>
          <w:color w:val="000000"/>
        </w:rPr>
        <w:t>OUT</w:t>
      </w:r>
      <w:r w:rsidRPr="00933E70">
        <w:rPr>
          <w:rFonts w:eastAsia="Calibri"/>
          <w:bCs/>
          <w:iCs/>
          <w:color w:val="000000"/>
        </w:rPr>
        <w:t xml:space="preserve">) vo výške </w:t>
      </w:r>
      <w:r>
        <w:rPr>
          <w:rFonts w:eastAsia="Calibri"/>
          <w:bCs/>
          <w:iCs/>
          <w:color w:val="000000"/>
        </w:rPr>
        <w:t>24 322 248</w:t>
      </w:r>
      <w:r w:rsidRPr="00933E70">
        <w:rPr>
          <w:rFonts w:eastAsia="Calibri"/>
          <w:bCs/>
          <w:iCs/>
          <w:color w:val="000000"/>
        </w:rPr>
        <w:t xml:space="preserve"> E</w:t>
      </w:r>
      <w:r>
        <w:rPr>
          <w:rFonts w:eastAsia="Calibri"/>
          <w:bCs/>
          <w:iCs/>
          <w:color w:val="000000"/>
        </w:rPr>
        <w:t>UR</w:t>
      </w:r>
      <w:r w:rsidRPr="00933E70">
        <w:rPr>
          <w:rFonts w:eastAsia="Calibri"/>
          <w:bCs/>
          <w:iCs/>
          <w:color w:val="000000"/>
        </w:rPr>
        <w:t>.</w:t>
      </w:r>
    </w:p>
    <w:p w14:paraId="4A9CFB5D" w14:textId="77777777" w:rsidR="00746D3C" w:rsidRDefault="00746D3C" w:rsidP="00746D3C">
      <w:pPr>
        <w:jc w:val="both"/>
        <w:rPr>
          <w:rFonts w:eastAsia="Calibri"/>
          <w:bCs/>
          <w:iCs/>
          <w:color w:val="000000"/>
        </w:rPr>
      </w:pPr>
    </w:p>
    <w:p w14:paraId="0363FC01" w14:textId="77777777" w:rsidR="00746D3C" w:rsidRDefault="00746D3C" w:rsidP="00746D3C">
      <w:pPr>
        <w:jc w:val="both"/>
        <w:rPr>
          <w:b/>
          <w:i/>
          <w:color w:val="000000"/>
        </w:rPr>
      </w:pPr>
      <w:r>
        <w:rPr>
          <w:b/>
          <w:i/>
          <w:color w:val="000000"/>
        </w:rPr>
        <w:t>9</w:t>
      </w:r>
      <w:r w:rsidRPr="006D3174">
        <w:rPr>
          <w:b/>
          <w:i/>
          <w:color w:val="000000"/>
        </w:rPr>
        <w:t>.</w:t>
      </w:r>
      <w:r>
        <w:rPr>
          <w:b/>
          <w:i/>
          <w:color w:val="000000"/>
        </w:rPr>
        <w:t xml:space="preserve"> Prijatie</w:t>
      </w:r>
      <w:r w:rsidRPr="002065F9">
        <w:rPr>
          <w:b/>
          <w:i/>
          <w:color w:val="000000"/>
        </w:rPr>
        <w:t xml:space="preserve"> elektronickej faktúry platiteľom dane (tuzemské transakcie</w:t>
      </w:r>
      <w:r>
        <w:rPr>
          <w:b/>
          <w:i/>
          <w:color w:val="000000"/>
        </w:rPr>
        <w:t xml:space="preserve"> a cezhraničné transakcie</w:t>
      </w:r>
      <w:r w:rsidRPr="002065F9">
        <w:rPr>
          <w:b/>
          <w:i/>
          <w:color w:val="000000"/>
        </w:rPr>
        <w:t>)</w:t>
      </w:r>
    </w:p>
    <w:p w14:paraId="2DC754FB" w14:textId="77777777" w:rsidR="00746D3C" w:rsidRDefault="00746D3C" w:rsidP="00746D3C">
      <w:pPr>
        <w:jc w:val="both"/>
        <w:rPr>
          <w:b/>
          <w:i/>
          <w:color w:val="000000"/>
        </w:rPr>
      </w:pPr>
    </w:p>
    <w:p w14:paraId="5313F7E0" w14:textId="77777777" w:rsidR="00746D3C" w:rsidRPr="00933E70" w:rsidRDefault="00746D3C" w:rsidP="00746D3C">
      <w:pPr>
        <w:jc w:val="both"/>
        <w:rPr>
          <w:rFonts w:eastAsia="Calibri"/>
          <w:bCs/>
          <w:iCs/>
          <w:color w:val="000000"/>
        </w:rPr>
      </w:pPr>
      <w:r w:rsidRPr="00933E70">
        <w:rPr>
          <w:rFonts w:eastAsia="Calibri"/>
          <w:bCs/>
          <w:iCs/>
          <w:color w:val="000000"/>
        </w:rPr>
        <w:t>Zmena regulácie dotknutým subjektom znižuje náklady. Faktúra sa na účely zákona o DPH bude vyhotovovať</w:t>
      </w:r>
      <w:r>
        <w:rPr>
          <w:rFonts w:eastAsia="Calibri"/>
          <w:bCs/>
          <w:iCs/>
          <w:color w:val="000000"/>
        </w:rPr>
        <w:t>, zasielať, ale aj prijímať</w:t>
      </w:r>
      <w:r w:rsidRPr="00933E70">
        <w:rPr>
          <w:rFonts w:eastAsia="Calibri"/>
          <w:bCs/>
          <w:iCs/>
          <w:color w:val="000000"/>
        </w:rPr>
        <w:t xml:space="preserve"> zásadne ako elektronická </w:t>
      </w:r>
      <w:r>
        <w:rPr>
          <w:rFonts w:eastAsia="Calibri"/>
          <w:bCs/>
          <w:iCs/>
          <w:color w:val="000000"/>
        </w:rPr>
        <w:t xml:space="preserve">faktúra </w:t>
      </w:r>
      <w:r w:rsidRPr="00933E70">
        <w:rPr>
          <w:rFonts w:eastAsia="Calibri"/>
          <w:bCs/>
          <w:iCs/>
          <w:color w:val="000000"/>
        </w:rPr>
        <w:t>v zákonom ustanovenom formáte.</w:t>
      </w:r>
      <w:r>
        <w:rPr>
          <w:rFonts w:eastAsia="Calibri"/>
          <w:bCs/>
          <w:iCs/>
          <w:color w:val="000000"/>
        </w:rPr>
        <w:t xml:space="preserve"> E</w:t>
      </w:r>
      <w:r w:rsidRPr="000A5DC7">
        <w:rPr>
          <w:rFonts w:eastAsia="Calibri"/>
          <w:bCs/>
          <w:iCs/>
          <w:color w:val="000000"/>
        </w:rPr>
        <w:t>lektronickou faktúr</w:t>
      </w:r>
      <w:r>
        <w:rPr>
          <w:rFonts w:eastAsia="Calibri"/>
          <w:bCs/>
          <w:iCs/>
          <w:color w:val="000000"/>
        </w:rPr>
        <w:t xml:space="preserve">a je len taká faktúra, ktorá obsahuje </w:t>
      </w:r>
      <w:r w:rsidRPr="000A5DC7">
        <w:rPr>
          <w:rFonts w:eastAsia="Calibri"/>
          <w:bCs/>
          <w:iCs/>
          <w:color w:val="000000"/>
        </w:rPr>
        <w:t xml:space="preserve">náležitosti podľa </w:t>
      </w:r>
      <w:r>
        <w:rPr>
          <w:rFonts w:eastAsia="Calibri"/>
          <w:bCs/>
          <w:iCs/>
          <w:color w:val="000000"/>
        </w:rPr>
        <w:t>zákona o DPH a je</w:t>
      </w:r>
      <w:r w:rsidRPr="000A5DC7">
        <w:rPr>
          <w:rFonts w:eastAsia="Calibri"/>
          <w:bCs/>
          <w:iCs/>
          <w:color w:val="000000"/>
        </w:rPr>
        <w:t xml:space="preserve"> vyhotoven</w:t>
      </w:r>
      <w:r>
        <w:rPr>
          <w:rFonts w:eastAsia="Calibri"/>
          <w:bCs/>
          <w:iCs/>
          <w:color w:val="000000"/>
        </w:rPr>
        <w:t>á</w:t>
      </w:r>
      <w:r w:rsidRPr="000A5DC7">
        <w:rPr>
          <w:rFonts w:eastAsia="Calibri"/>
          <w:bCs/>
          <w:iCs/>
          <w:color w:val="000000"/>
        </w:rPr>
        <w:t>, zaslan</w:t>
      </w:r>
      <w:r>
        <w:rPr>
          <w:rFonts w:eastAsia="Calibri"/>
          <w:bCs/>
          <w:iCs/>
          <w:color w:val="000000"/>
        </w:rPr>
        <w:t>á</w:t>
      </w:r>
      <w:r w:rsidRPr="000A5DC7">
        <w:rPr>
          <w:rFonts w:eastAsia="Calibri"/>
          <w:bCs/>
          <w:iCs/>
          <w:color w:val="000000"/>
        </w:rPr>
        <w:t xml:space="preserve"> a prijat</w:t>
      </w:r>
      <w:r>
        <w:rPr>
          <w:rFonts w:eastAsia="Calibri"/>
          <w:bCs/>
          <w:iCs/>
          <w:color w:val="000000"/>
        </w:rPr>
        <w:t>á</w:t>
      </w:r>
      <w:r w:rsidRPr="000A5DC7">
        <w:rPr>
          <w:rFonts w:eastAsia="Calibri"/>
          <w:bCs/>
          <w:iCs/>
          <w:color w:val="000000"/>
        </w:rPr>
        <w:t xml:space="preserve"> v štruktúrovanom elektronickom formáte, ktorý umožňuje jeho automatizované a elektronické spracovanie</w:t>
      </w:r>
      <w:r>
        <w:rPr>
          <w:rFonts w:eastAsia="Calibri"/>
          <w:bCs/>
          <w:iCs/>
          <w:color w:val="000000"/>
        </w:rPr>
        <w:t>.</w:t>
      </w:r>
    </w:p>
    <w:p w14:paraId="40192C49" w14:textId="77777777" w:rsidR="00746D3C" w:rsidRPr="00933E70" w:rsidRDefault="00746D3C" w:rsidP="00746D3C">
      <w:pPr>
        <w:jc w:val="both"/>
        <w:rPr>
          <w:rFonts w:eastAsia="Calibri"/>
          <w:bCs/>
          <w:iCs/>
          <w:color w:val="000000"/>
        </w:rPr>
      </w:pPr>
    </w:p>
    <w:p w14:paraId="20C4B32E" w14:textId="77777777" w:rsidR="00746D3C" w:rsidRPr="006B2B97" w:rsidRDefault="00746D3C" w:rsidP="00746D3C">
      <w:pPr>
        <w:jc w:val="both"/>
        <w:rPr>
          <w:rFonts w:eastAsia="Calibri"/>
          <w:bCs/>
          <w:iCs/>
          <w:color w:val="000000"/>
        </w:rPr>
      </w:pPr>
      <w:r w:rsidRPr="00933E70">
        <w:rPr>
          <w:rFonts w:eastAsia="Calibri"/>
          <w:bCs/>
          <w:iCs/>
          <w:color w:val="000000"/>
        </w:rPr>
        <w:t>Predmetná regulácia pre dotknuté subjekty predstavuje administratívny vplyv.</w:t>
      </w:r>
      <w:r>
        <w:rPr>
          <w:rFonts w:eastAsia="Calibri"/>
          <w:bCs/>
          <w:iCs/>
          <w:color w:val="000000"/>
        </w:rPr>
        <w:t xml:space="preserve"> </w:t>
      </w:r>
      <w:r w:rsidRPr="00933E70">
        <w:rPr>
          <w:rFonts w:eastAsia="Calibri"/>
          <w:bCs/>
          <w:iCs/>
          <w:color w:val="000000"/>
        </w:rPr>
        <w:t>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registrovaných platiteľov dane z pridanej hodnoty (§ 4, § 4b a § 5 zákona o DPH) 225 206. </w:t>
      </w:r>
      <w:bookmarkStart w:id="4" w:name="_Hlk202791954"/>
      <w:r w:rsidRPr="00933E70">
        <w:rPr>
          <w:rFonts w:eastAsia="Calibri"/>
          <w:bCs/>
          <w:iCs/>
          <w:color w:val="000000"/>
        </w:rPr>
        <w:t>Títo platitelia dane</w:t>
      </w:r>
      <w:r>
        <w:rPr>
          <w:rFonts w:eastAsia="Calibri"/>
          <w:bCs/>
          <w:iCs/>
          <w:color w:val="000000"/>
        </w:rPr>
        <w:t xml:space="preserve"> na základe údajov FRSR</w:t>
      </w:r>
      <w:r w:rsidRPr="00933E70">
        <w:rPr>
          <w:rFonts w:eastAsia="Calibri"/>
          <w:bCs/>
          <w:iCs/>
          <w:color w:val="000000"/>
        </w:rPr>
        <w:t xml:space="preserve"> </w:t>
      </w:r>
      <w:r>
        <w:rPr>
          <w:rFonts w:eastAsia="Calibri"/>
          <w:bCs/>
          <w:iCs/>
          <w:color w:val="000000"/>
        </w:rPr>
        <w:t>prijali</w:t>
      </w:r>
      <w:r w:rsidRPr="00933E70">
        <w:rPr>
          <w:rFonts w:eastAsia="Calibri"/>
          <w:bCs/>
          <w:iCs/>
          <w:color w:val="000000"/>
        </w:rPr>
        <w:t xml:space="preserve"> v kalendárnom roku 2024 </w:t>
      </w:r>
      <w:r>
        <w:rPr>
          <w:rFonts w:eastAsia="Calibri"/>
          <w:bCs/>
          <w:iCs/>
          <w:color w:val="000000"/>
        </w:rPr>
        <w:t>celkovo 80 834 873</w:t>
      </w:r>
      <w:r w:rsidRPr="00933E70">
        <w:rPr>
          <w:rFonts w:eastAsia="Calibri"/>
          <w:bCs/>
          <w:iCs/>
          <w:color w:val="000000"/>
        </w:rPr>
        <w:t xml:space="preserve"> faktúr v rôznej podobe, či už listinnej alebo elektronickej (e-mail, pdf, ...)</w:t>
      </w:r>
      <w:r>
        <w:rPr>
          <w:rFonts w:eastAsia="Calibri"/>
          <w:bCs/>
          <w:iCs/>
          <w:color w:val="000000"/>
        </w:rPr>
        <w:t>, či už od tuzemských alebo zahraničných dodávateľov.</w:t>
      </w:r>
      <w:bookmarkEnd w:id="4"/>
      <w:r w:rsidRPr="00933E70">
        <w:rPr>
          <w:rFonts w:eastAsia="Calibri"/>
          <w:bCs/>
          <w:iCs/>
          <w:color w:val="000000"/>
        </w:rPr>
        <w:t xml:space="preserve"> Na základe expertného odhadu MFSR a FRSR sa predpokladá, že 20 % z tohto počtu faktúr je </w:t>
      </w:r>
      <w:r>
        <w:rPr>
          <w:rFonts w:eastAsia="Calibri"/>
          <w:bCs/>
          <w:iCs/>
          <w:color w:val="000000"/>
        </w:rPr>
        <w:t>prijatých</w:t>
      </w:r>
      <w:r w:rsidRPr="00933E70">
        <w:rPr>
          <w:rFonts w:eastAsia="Calibri"/>
          <w:bCs/>
          <w:iCs/>
          <w:color w:val="000000"/>
        </w:rPr>
        <w:t xml:space="preserve"> v listinnej podobe. Elektronická faktúra však prináša úsporu až 80 % nákladov na spracovanie faktúr, pričom náklady na</w:t>
      </w:r>
      <w:r>
        <w:rPr>
          <w:rFonts w:eastAsia="Calibri"/>
          <w:bCs/>
          <w:iCs/>
          <w:color w:val="000000"/>
        </w:rPr>
        <w:t xml:space="preserve"> vyhotovenie </w:t>
      </w:r>
      <w:r w:rsidRPr="00933E70">
        <w:rPr>
          <w:rFonts w:eastAsia="Calibri"/>
          <w:bCs/>
          <w:iCs/>
          <w:color w:val="000000"/>
        </w:rPr>
        <w:t>1 elektronick</w:t>
      </w:r>
      <w:r>
        <w:rPr>
          <w:rFonts w:eastAsia="Calibri"/>
          <w:bCs/>
          <w:iCs/>
          <w:color w:val="000000"/>
        </w:rPr>
        <w:t>ej</w:t>
      </w:r>
      <w:r w:rsidRPr="00933E70">
        <w:rPr>
          <w:rFonts w:eastAsia="Calibri"/>
          <w:bCs/>
          <w:iCs/>
          <w:color w:val="000000"/>
        </w:rPr>
        <w:t xml:space="preserve"> faktúr</w:t>
      </w:r>
      <w:r>
        <w:rPr>
          <w:rFonts w:eastAsia="Calibri"/>
          <w:bCs/>
          <w:iCs/>
          <w:color w:val="000000"/>
        </w:rPr>
        <w:t>y</w:t>
      </w:r>
      <w:r w:rsidRPr="00933E70">
        <w:rPr>
          <w:rFonts w:eastAsia="Calibri"/>
          <w:bCs/>
          <w:iCs/>
          <w:color w:val="000000"/>
        </w:rPr>
        <w:t xml:space="preserve"> sa odhad</w:t>
      </w:r>
      <w:r>
        <w:rPr>
          <w:rFonts w:eastAsia="Calibri"/>
          <w:bCs/>
          <w:iCs/>
          <w:color w:val="000000"/>
        </w:rPr>
        <w:t>li</w:t>
      </w:r>
      <w:r w:rsidRPr="00933E70">
        <w:rPr>
          <w:rFonts w:eastAsia="Calibri"/>
          <w:bCs/>
          <w:iCs/>
          <w:color w:val="000000"/>
        </w:rPr>
        <w:t xml:space="preserve"> vo výške od 0,1 do 0,5 EUR (priemer 0,3 EUR).</w:t>
      </w:r>
      <w:r>
        <w:rPr>
          <w:rFonts w:eastAsia="Calibri"/>
          <w:bCs/>
          <w:iCs/>
          <w:color w:val="000000"/>
        </w:rPr>
        <w:t xml:space="preserve"> Náklady na spracovanie prijatej elektronickej faktúry sa odhadujú vo výške 50 % z nákladov na jej vyhotovenie a zaslanie, pričom priamo úmerne klesnú aj náklady na jej spracovanie.</w:t>
      </w:r>
      <w:r w:rsidRPr="00933E70">
        <w:rPr>
          <w:rFonts w:eastAsia="Calibri"/>
          <w:bCs/>
          <w:iCs/>
          <w:color w:val="000000"/>
        </w:rPr>
        <w:t xml:space="preserve"> Náklady regulácie boli určené ako </w:t>
      </w:r>
      <w:r>
        <w:rPr>
          <w:rFonts w:eastAsia="Calibri"/>
          <w:bCs/>
          <w:iCs/>
          <w:color w:val="000000"/>
        </w:rPr>
        <w:t>nepriame finančné náklady</w:t>
      </w:r>
      <w:r w:rsidRPr="00933E70">
        <w:rPr>
          <w:rFonts w:eastAsia="Calibri"/>
          <w:bCs/>
          <w:iCs/>
          <w:color w:val="000000"/>
        </w:rPr>
        <w:t>. Pri výpočte sa vychádzalo z toho, že zvyšných 20 %</w:t>
      </w:r>
      <w:r>
        <w:rPr>
          <w:rFonts w:eastAsia="Calibri"/>
          <w:bCs/>
          <w:iCs/>
          <w:color w:val="000000"/>
        </w:rPr>
        <w:t xml:space="preserve"> (t.j. 16 166 </w:t>
      </w:r>
      <w:r>
        <w:rPr>
          <w:rFonts w:eastAsia="Calibri"/>
          <w:bCs/>
          <w:iCs/>
          <w:color w:val="000000"/>
        </w:rPr>
        <w:lastRenderedPageBreak/>
        <w:t>975 faktúr)</w:t>
      </w:r>
      <w:r w:rsidRPr="00933E70">
        <w:rPr>
          <w:rFonts w:eastAsia="Calibri"/>
          <w:bCs/>
          <w:iCs/>
          <w:color w:val="000000"/>
        </w:rPr>
        <w:t xml:space="preserve"> z celkového počtu vyhotovených faktúr platiteľmi dane bude </w:t>
      </w:r>
      <w:r>
        <w:rPr>
          <w:rFonts w:eastAsia="Calibri"/>
          <w:bCs/>
          <w:iCs/>
          <w:color w:val="000000"/>
        </w:rPr>
        <w:t>prijatých</w:t>
      </w:r>
      <w:r w:rsidRPr="00933E70">
        <w:rPr>
          <w:rFonts w:eastAsia="Calibri"/>
          <w:bCs/>
          <w:iCs/>
          <w:color w:val="000000"/>
        </w:rPr>
        <w:t xml:space="preserve"> elektronicky, čím sa znížia náklady na </w:t>
      </w:r>
      <w:r>
        <w:rPr>
          <w:rFonts w:eastAsia="Calibri"/>
          <w:bCs/>
          <w:iCs/>
          <w:color w:val="000000"/>
        </w:rPr>
        <w:t>spracovanie</w:t>
      </w:r>
      <w:r w:rsidRPr="00933E70">
        <w:rPr>
          <w:rFonts w:eastAsia="Calibri"/>
          <w:bCs/>
          <w:iCs/>
          <w:color w:val="000000"/>
        </w:rPr>
        <w:t xml:space="preserve"> 1</w:t>
      </w:r>
      <w:r>
        <w:rPr>
          <w:rFonts w:eastAsia="Calibri"/>
          <w:bCs/>
          <w:iCs/>
          <w:color w:val="000000"/>
        </w:rPr>
        <w:t xml:space="preserve"> elektronickej</w:t>
      </w:r>
      <w:r w:rsidRPr="00933E70">
        <w:rPr>
          <w:rFonts w:eastAsia="Calibri"/>
          <w:bCs/>
          <w:iCs/>
          <w:color w:val="000000"/>
        </w:rPr>
        <w:t xml:space="preserve"> faktúry v priemere o</w:t>
      </w:r>
      <w:r>
        <w:rPr>
          <w:rFonts w:eastAsia="Calibri"/>
          <w:bCs/>
          <w:iCs/>
          <w:color w:val="000000"/>
        </w:rPr>
        <w:t> 0,6</w:t>
      </w:r>
      <w:r w:rsidRPr="00933E70">
        <w:rPr>
          <w:rFonts w:eastAsia="Calibri"/>
          <w:bCs/>
          <w:iCs/>
          <w:color w:val="000000"/>
        </w:rPr>
        <w:t xml:space="preserve"> EUR.</w:t>
      </w:r>
      <w:r>
        <w:rPr>
          <w:rFonts w:eastAsia="Calibri"/>
          <w:bCs/>
          <w:iCs/>
          <w:color w:val="000000"/>
        </w:rPr>
        <w:t xml:space="preserve"> Spôsob výpočtu hodnoty vloženej do stĺpca D – 16 166 975 x 0,6 = 9 700 185 ÷ 225 206 = 43</w:t>
      </w:r>
      <w:r w:rsidRPr="00933E70">
        <w:rPr>
          <w:rFonts w:eastAsia="Calibri"/>
          <w:bCs/>
          <w:iCs/>
          <w:color w:val="000000"/>
        </w:rPr>
        <w:t xml:space="preserve">. Frekvencia plnenia bola určená </w:t>
      </w:r>
      <w:r>
        <w:rPr>
          <w:rFonts w:eastAsia="Calibri"/>
          <w:bCs/>
          <w:iCs/>
          <w:color w:val="000000"/>
        </w:rPr>
        <w:t>na 1-krát ročne</w:t>
      </w:r>
      <w:r w:rsidRPr="00933E70">
        <w:rPr>
          <w:rFonts w:eastAsia="Calibri"/>
          <w:bCs/>
          <w:iCs/>
          <w:color w:val="000000"/>
        </w:rPr>
        <w:t xml:space="preserve">. Na základe výpočtu Kalkulačky nákladov na podnikateľské prostredie sa v súvislosti s touto reguláciou predpokladá </w:t>
      </w:r>
      <w:r>
        <w:rPr>
          <w:rFonts w:eastAsia="Calibri"/>
          <w:bCs/>
          <w:iCs/>
          <w:color w:val="000000"/>
        </w:rPr>
        <w:t xml:space="preserve">zníženie </w:t>
      </w:r>
      <w:r w:rsidRPr="00933E70">
        <w:rPr>
          <w:rFonts w:eastAsia="Calibri"/>
          <w:bCs/>
          <w:iCs/>
          <w:color w:val="000000"/>
        </w:rPr>
        <w:t>sum</w:t>
      </w:r>
      <w:r>
        <w:rPr>
          <w:rFonts w:eastAsia="Calibri"/>
          <w:bCs/>
          <w:iCs/>
          <w:color w:val="000000"/>
        </w:rPr>
        <w:t>y</w:t>
      </w:r>
      <w:r w:rsidRPr="00933E70">
        <w:rPr>
          <w:rFonts w:eastAsia="Calibri"/>
          <w:bCs/>
          <w:iCs/>
          <w:color w:val="000000"/>
        </w:rPr>
        <w:t xml:space="preserve"> administratívnych nákladov na podnikateľské prostredie (</w:t>
      </w:r>
      <w:r>
        <w:rPr>
          <w:rFonts w:eastAsia="Calibri"/>
          <w:bCs/>
          <w:iCs/>
          <w:color w:val="000000"/>
        </w:rPr>
        <w:t>OUT</w:t>
      </w:r>
      <w:r w:rsidRPr="00933E70">
        <w:rPr>
          <w:rFonts w:eastAsia="Calibri"/>
          <w:bCs/>
          <w:iCs/>
          <w:color w:val="000000"/>
        </w:rPr>
        <w:t xml:space="preserve">) vo výške </w:t>
      </w:r>
      <w:r>
        <w:rPr>
          <w:rFonts w:eastAsia="Calibri"/>
          <w:bCs/>
          <w:iCs/>
          <w:color w:val="000000"/>
        </w:rPr>
        <w:t>9 683 858</w:t>
      </w:r>
      <w:r w:rsidRPr="00933E70">
        <w:rPr>
          <w:rFonts w:eastAsia="Calibri"/>
          <w:bCs/>
          <w:iCs/>
          <w:color w:val="000000"/>
        </w:rPr>
        <w:t xml:space="preserve"> E</w:t>
      </w:r>
      <w:r>
        <w:rPr>
          <w:rFonts w:eastAsia="Calibri"/>
          <w:bCs/>
          <w:iCs/>
          <w:color w:val="000000"/>
        </w:rPr>
        <w:t>UR</w:t>
      </w:r>
      <w:r w:rsidRPr="00933E70">
        <w:rPr>
          <w:rFonts w:eastAsia="Calibri"/>
          <w:bCs/>
          <w:iCs/>
          <w:color w:val="000000"/>
        </w:rPr>
        <w:t>.</w:t>
      </w:r>
    </w:p>
    <w:p w14:paraId="351AAA34" w14:textId="77777777" w:rsidR="00746D3C" w:rsidRDefault="00746D3C" w:rsidP="00746D3C">
      <w:pPr>
        <w:jc w:val="both"/>
        <w:rPr>
          <w:b/>
          <w:i/>
          <w:color w:val="000000"/>
        </w:rPr>
      </w:pPr>
    </w:p>
    <w:p w14:paraId="5B005319" w14:textId="77777777" w:rsidR="00746D3C" w:rsidRDefault="00746D3C" w:rsidP="00746D3C">
      <w:pPr>
        <w:jc w:val="both"/>
        <w:rPr>
          <w:b/>
          <w:i/>
          <w:color w:val="000000"/>
        </w:rPr>
      </w:pPr>
      <w:r>
        <w:rPr>
          <w:b/>
          <w:i/>
          <w:color w:val="000000"/>
        </w:rPr>
        <w:t>10</w:t>
      </w:r>
      <w:r w:rsidRPr="006D3174">
        <w:rPr>
          <w:b/>
          <w:i/>
          <w:color w:val="000000"/>
        </w:rPr>
        <w:t xml:space="preserve">. </w:t>
      </w:r>
      <w:r>
        <w:rPr>
          <w:b/>
          <w:i/>
          <w:color w:val="000000"/>
        </w:rPr>
        <w:t xml:space="preserve">Prijatie elektronickej faktúry zdaniteľnou osobou </w:t>
      </w:r>
      <w:r w:rsidRPr="002065F9">
        <w:rPr>
          <w:b/>
          <w:i/>
          <w:color w:val="000000"/>
        </w:rPr>
        <w:t>(</w:t>
      </w:r>
      <w:r>
        <w:rPr>
          <w:b/>
          <w:i/>
          <w:color w:val="000000"/>
        </w:rPr>
        <w:t>tuzemské transakcie</w:t>
      </w:r>
      <w:r w:rsidRPr="002065F9">
        <w:rPr>
          <w:b/>
          <w:i/>
          <w:color w:val="000000"/>
        </w:rPr>
        <w:t>)</w:t>
      </w:r>
    </w:p>
    <w:p w14:paraId="3680C77D" w14:textId="77777777" w:rsidR="00746D3C" w:rsidRDefault="00746D3C" w:rsidP="00746D3C">
      <w:pPr>
        <w:jc w:val="both"/>
        <w:rPr>
          <w:b/>
          <w:i/>
          <w:color w:val="000000"/>
        </w:rPr>
      </w:pPr>
    </w:p>
    <w:p w14:paraId="0571E559" w14:textId="77777777" w:rsidR="00746D3C" w:rsidRPr="00933E70" w:rsidRDefault="00746D3C" w:rsidP="00746D3C">
      <w:pPr>
        <w:jc w:val="both"/>
        <w:rPr>
          <w:rFonts w:eastAsia="Calibri"/>
          <w:bCs/>
          <w:iCs/>
          <w:color w:val="000000"/>
        </w:rPr>
      </w:pPr>
      <w:r w:rsidRPr="00933E70">
        <w:rPr>
          <w:rFonts w:eastAsia="Calibri"/>
          <w:bCs/>
          <w:iCs/>
          <w:color w:val="000000"/>
        </w:rPr>
        <w:t>Zmena regulácie dotknutým subjektom znižuje náklady. Faktúra sa na účely zákona o DPH bude vyhotovovať</w:t>
      </w:r>
      <w:r>
        <w:rPr>
          <w:rFonts w:eastAsia="Calibri"/>
          <w:bCs/>
          <w:iCs/>
          <w:color w:val="000000"/>
        </w:rPr>
        <w:t>, zasielať, ale aj prijímať</w:t>
      </w:r>
      <w:r w:rsidRPr="00933E70">
        <w:rPr>
          <w:rFonts w:eastAsia="Calibri"/>
          <w:bCs/>
          <w:iCs/>
          <w:color w:val="000000"/>
        </w:rPr>
        <w:t xml:space="preserve"> zásadne ako elektronická </w:t>
      </w:r>
      <w:r>
        <w:rPr>
          <w:rFonts w:eastAsia="Calibri"/>
          <w:bCs/>
          <w:iCs/>
          <w:color w:val="000000"/>
        </w:rPr>
        <w:t xml:space="preserve">faktúra </w:t>
      </w:r>
      <w:r w:rsidRPr="00933E70">
        <w:rPr>
          <w:rFonts w:eastAsia="Calibri"/>
          <w:bCs/>
          <w:iCs/>
          <w:color w:val="000000"/>
        </w:rPr>
        <w:t>v zákonom ustanovenom formáte.</w:t>
      </w:r>
      <w:r>
        <w:rPr>
          <w:rFonts w:eastAsia="Calibri"/>
          <w:bCs/>
          <w:iCs/>
          <w:color w:val="000000"/>
        </w:rPr>
        <w:t xml:space="preserve"> E</w:t>
      </w:r>
      <w:r w:rsidRPr="000A5DC7">
        <w:rPr>
          <w:rFonts w:eastAsia="Calibri"/>
          <w:bCs/>
          <w:iCs/>
          <w:color w:val="000000"/>
        </w:rPr>
        <w:t>lektronickou faktúr</w:t>
      </w:r>
      <w:r>
        <w:rPr>
          <w:rFonts w:eastAsia="Calibri"/>
          <w:bCs/>
          <w:iCs/>
          <w:color w:val="000000"/>
        </w:rPr>
        <w:t xml:space="preserve">a je len taká faktúra, ktorá obsahuje </w:t>
      </w:r>
      <w:r w:rsidRPr="000A5DC7">
        <w:rPr>
          <w:rFonts w:eastAsia="Calibri"/>
          <w:bCs/>
          <w:iCs/>
          <w:color w:val="000000"/>
        </w:rPr>
        <w:t xml:space="preserve">náležitosti podľa </w:t>
      </w:r>
      <w:r>
        <w:rPr>
          <w:rFonts w:eastAsia="Calibri"/>
          <w:bCs/>
          <w:iCs/>
          <w:color w:val="000000"/>
        </w:rPr>
        <w:t>zákona o DPH a je</w:t>
      </w:r>
      <w:r w:rsidRPr="000A5DC7">
        <w:rPr>
          <w:rFonts w:eastAsia="Calibri"/>
          <w:bCs/>
          <w:iCs/>
          <w:color w:val="000000"/>
        </w:rPr>
        <w:t xml:space="preserve"> vyhotoven</w:t>
      </w:r>
      <w:r>
        <w:rPr>
          <w:rFonts w:eastAsia="Calibri"/>
          <w:bCs/>
          <w:iCs/>
          <w:color w:val="000000"/>
        </w:rPr>
        <w:t>á</w:t>
      </w:r>
      <w:r w:rsidRPr="000A5DC7">
        <w:rPr>
          <w:rFonts w:eastAsia="Calibri"/>
          <w:bCs/>
          <w:iCs/>
          <w:color w:val="000000"/>
        </w:rPr>
        <w:t>, zaslan</w:t>
      </w:r>
      <w:r>
        <w:rPr>
          <w:rFonts w:eastAsia="Calibri"/>
          <w:bCs/>
          <w:iCs/>
          <w:color w:val="000000"/>
        </w:rPr>
        <w:t>á</w:t>
      </w:r>
      <w:r w:rsidRPr="000A5DC7">
        <w:rPr>
          <w:rFonts w:eastAsia="Calibri"/>
          <w:bCs/>
          <w:iCs/>
          <w:color w:val="000000"/>
        </w:rPr>
        <w:t xml:space="preserve"> a prijat</w:t>
      </w:r>
      <w:r>
        <w:rPr>
          <w:rFonts w:eastAsia="Calibri"/>
          <w:bCs/>
          <w:iCs/>
          <w:color w:val="000000"/>
        </w:rPr>
        <w:t>á</w:t>
      </w:r>
      <w:r w:rsidRPr="000A5DC7">
        <w:rPr>
          <w:rFonts w:eastAsia="Calibri"/>
          <w:bCs/>
          <w:iCs/>
          <w:color w:val="000000"/>
        </w:rPr>
        <w:t xml:space="preserve"> v štruktúrovanom elektronickom formáte, ktorý umožňuje jeho automatizované a elektronické spracovanie</w:t>
      </w:r>
      <w:r>
        <w:rPr>
          <w:rFonts w:eastAsia="Calibri"/>
          <w:bCs/>
          <w:iCs/>
          <w:color w:val="000000"/>
        </w:rPr>
        <w:t>.</w:t>
      </w:r>
    </w:p>
    <w:p w14:paraId="7D784020" w14:textId="77777777" w:rsidR="00746D3C" w:rsidRPr="00933E70" w:rsidRDefault="00746D3C" w:rsidP="00746D3C">
      <w:pPr>
        <w:jc w:val="both"/>
        <w:rPr>
          <w:rFonts w:eastAsia="Calibri"/>
          <w:bCs/>
          <w:iCs/>
          <w:color w:val="000000"/>
        </w:rPr>
      </w:pPr>
    </w:p>
    <w:p w14:paraId="0940FFB1" w14:textId="77777777" w:rsidR="00746D3C" w:rsidRDefault="00746D3C" w:rsidP="00746D3C">
      <w:pPr>
        <w:jc w:val="both"/>
        <w:rPr>
          <w:rFonts w:eastAsia="Calibri"/>
          <w:bCs/>
          <w:iCs/>
          <w:color w:val="000000"/>
        </w:rPr>
      </w:pPr>
      <w:r w:rsidRPr="00933E70">
        <w:rPr>
          <w:rFonts w:eastAsia="Calibri"/>
          <w:bCs/>
          <w:iCs/>
          <w:color w:val="000000"/>
        </w:rPr>
        <w:t>Predmetná regulácia pre dotknuté subjekty predstavuje administratívny vplyv. 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w:t>
      </w:r>
      <w:r>
        <w:rPr>
          <w:rFonts w:eastAsia="Calibri"/>
          <w:bCs/>
          <w:iCs/>
          <w:color w:val="000000"/>
        </w:rPr>
        <w:t>. Počet právnických osôb registrovaných na daň z príjmu, bez registrácie na DPH bol k 30.4.2025 240 301 daňových subjektov (415 426 – 175 125).</w:t>
      </w:r>
      <w:r w:rsidRPr="00DF1578">
        <w:t xml:space="preserve"> </w:t>
      </w:r>
      <w:bookmarkStart w:id="5" w:name="_Hlk202791974"/>
      <w:r>
        <w:rPr>
          <w:rFonts w:eastAsia="Calibri"/>
          <w:bCs/>
          <w:iCs/>
          <w:color w:val="000000"/>
        </w:rPr>
        <w:t>T</w:t>
      </w:r>
      <w:r w:rsidRPr="00A37652">
        <w:rPr>
          <w:rFonts w:eastAsia="Calibri"/>
          <w:bCs/>
          <w:iCs/>
          <w:color w:val="000000"/>
        </w:rPr>
        <w:t>akéto zdaniteľné osoby na základe údajov FRSR prijali v</w:t>
      </w:r>
      <w:r w:rsidRPr="00933E70">
        <w:rPr>
          <w:rFonts w:eastAsia="Calibri"/>
          <w:bCs/>
          <w:iCs/>
          <w:color w:val="000000"/>
        </w:rPr>
        <w:t xml:space="preserve"> kalendárnom roku 2024 </w:t>
      </w:r>
      <w:r>
        <w:rPr>
          <w:rFonts w:eastAsia="Calibri"/>
          <w:bCs/>
          <w:iCs/>
          <w:color w:val="000000"/>
        </w:rPr>
        <w:t>celkovo 33 173 117</w:t>
      </w:r>
      <w:r w:rsidRPr="00933E70">
        <w:rPr>
          <w:rFonts w:eastAsia="Calibri"/>
          <w:bCs/>
          <w:iCs/>
          <w:color w:val="000000"/>
        </w:rPr>
        <w:t xml:space="preserve"> faktúr v rôznej podobe, či už listinnej alebo elektronickej (e-mail, pdf, ...)</w:t>
      </w:r>
      <w:r>
        <w:rPr>
          <w:rFonts w:eastAsia="Calibri"/>
          <w:bCs/>
          <w:iCs/>
          <w:color w:val="000000"/>
        </w:rPr>
        <w:t xml:space="preserve"> od tuzemských dodávateľov.</w:t>
      </w:r>
      <w:bookmarkEnd w:id="5"/>
      <w:r>
        <w:rPr>
          <w:rFonts w:eastAsia="Calibri"/>
          <w:bCs/>
          <w:iCs/>
          <w:color w:val="000000"/>
        </w:rPr>
        <w:t xml:space="preserve"> Časť týchto faktúr bola prijatá aj právnickými osobami, ktoré nie sú zdaniteľnými osobami, pri ktorých nebol vplyv na podnikateľské prostredie kvantifikovaný prostredníctvom kalkulačky nákladov podnikateľského prostredia, keďže ide prevažne o orgány verejnej moci.</w:t>
      </w:r>
      <w:r w:rsidRPr="00933E70">
        <w:rPr>
          <w:rFonts w:eastAsia="Calibri"/>
          <w:bCs/>
          <w:iCs/>
          <w:color w:val="000000"/>
        </w:rPr>
        <w:t xml:space="preserve"> Na základe expertného odhadu MFSR a FRSR sa</w:t>
      </w:r>
      <w:r>
        <w:rPr>
          <w:rFonts w:eastAsia="Calibri"/>
          <w:bCs/>
          <w:iCs/>
          <w:color w:val="000000"/>
        </w:rPr>
        <w:t xml:space="preserve"> obdobne ako pri výpočte v rámci regulácie č. 9</w:t>
      </w:r>
      <w:r w:rsidRPr="00933E70">
        <w:rPr>
          <w:rFonts w:eastAsia="Calibri"/>
          <w:bCs/>
          <w:iCs/>
          <w:color w:val="000000"/>
        </w:rPr>
        <w:t xml:space="preserve"> predpokladá, že 20 % z tohto počtu faktúr je </w:t>
      </w:r>
      <w:r>
        <w:rPr>
          <w:rFonts w:eastAsia="Calibri"/>
          <w:bCs/>
          <w:iCs/>
          <w:color w:val="000000"/>
        </w:rPr>
        <w:t>prijatých</w:t>
      </w:r>
      <w:r w:rsidRPr="00933E70">
        <w:rPr>
          <w:rFonts w:eastAsia="Calibri"/>
          <w:bCs/>
          <w:iCs/>
          <w:color w:val="000000"/>
        </w:rPr>
        <w:t xml:space="preserve"> v listinnej podobe. Elektronická faktúra však prináša úsporu až 80 % nákladov na spracovanie faktúr, pričom náklady na</w:t>
      </w:r>
      <w:r>
        <w:rPr>
          <w:rFonts w:eastAsia="Calibri"/>
          <w:bCs/>
          <w:iCs/>
          <w:color w:val="000000"/>
        </w:rPr>
        <w:t xml:space="preserve"> vyhotovenie </w:t>
      </w:r>
      <w:r w:rsidRPr="00933E70">
        <w:rPr>
          <w:rFonts w:eastAsia="Calibri"/>
          <w:bCs/>
          <w:iCs/>
          <w:color w:val="000000"/>
        </w:rPr>
        <w:t>1 elektronick</w:t>
      </w:r>
      <w:r>
        <w:rPr>
          <w:rFonts w:eastAsia="Calibri"/>
          <w:bCs/>
          <w:iCs/>
          <w:color w:val="000000"/>
        </w:rPr>
        <w:t>ej</w:t>
      </w:r>
      <w:r w:rsidRPr="00933E70">
        <w:rPr>
          <w:rFonts w:eastAsia="Calibri"/>
          <w:bCs/>
          <w:iCs/>
          <w:color w:val="000000"/>
        </w:rPr>
        <w:t xml:space="preserve"> faktúr</w:t>
      </w:r>
      <w:r>
        <w:rPr>
          <w:rFonts w:eastAsia="Calibri"/>
          <w:bCs/>
          <w:iCs/>
          <w:color w:val="000000"/>
        </w:rPr>
        <w:t>y</w:t>
      </w:r>
      <w:r w:rsidRPr="00933E70">
        <w:rPr>
          <w:rFonts w:eastAsia="Calibri"/>
          <w:bCs/>
          <w:iCs/>
          <w:color w:val="000000"/>
        </w:rPr>
        <w:t xml:space="preserve"> sa odhad</w:t>
      </w:r>
      <w:r>
        <w:rPr>
          <w:rFonts w:eastAsia="Calibri"/>
          <w:bCs/>
          <w:iCs/>
          <w:color w:val="000000"/>
        </w:rPr>
        <w:t>li</w:t>
      </w:r>
      <w:r w:rsidRPr="00933E70">
        <w:rPr>
          <w:rFonts w:eastAsia="Calibri"/>
          <w:bCs/>
          <w:iCs/>
          <w:color w:val="000000"/>
        </w:rPr>
        <w:t xml:space="preserve"> vo výške od 0,1 do 0,5 EUR (priemer 0,3 EUR).</w:t>
      </w:r>
      <w:r>
        <w:rPr>
          <w:rFonts w:eastAsia="Calibri"/>
          <w:bCs/>
          <w:iCs/>
          <w:color w:val="000000"/>
        </w:rPr>
        <w:t xml:space="preserve"> Náklady na spracovanie prijatej elektronickej faktúry sa odhadujú vo výške 50 % z nákladov na jej vyhotovenie a zaslanie, pričom priamo úmerne klesnú aj náklady na jej spracovanie.</w:t>
      </w:r>
      <w:r w:rsidRPr="00933E70">
        <w:rPr>
          <w:rFonts w:eastAsia="Calibri"/>
          <w:bCs/>
          <w:iCs/>
          <w:color w:val="000000"/>
        </w:rPr>
        <w:t xml:space="preserve"> Náklady regulácie boli určené ako </w:t>
      </w:r>
      <w:r>
        <w:rPr>
          <w:rFonts w:eastAsia="Calibri"/>
          <w:bCs/>
          <w:iCs/>
          <w:color w:val="000000"/>
        </w:rPr>
        <w:t>nepriame finančné náklady</w:t>
      </w:r>
      <w:r w:rsidRPr="00933E70">
        <w:rPr>
          <w:rFonts w:eastAsia="Calibri"/>
          <w:bCs/>
          <w:iCs/>
          <w:color w:val="000000"/>
        </w:rPr>
        <w:t>. Pri výpočte sa vychádzalo z toho,</w:t>
      </w:r>
      <w:r>
        <w:rPr>
          <w:rFonts w:eastAsia="Calibri"/>
          <w:bCs/>
          <w:iCs/>
          <w:color w:val="000000"/>
        </w:rPr>
        <w:t xml:space="preserve"> </w:t>
      </w:r>
      <w:r w:rsidRPr="00933E70">
        <w:rPr>
          <w:rFonts w:eastAsia="Calibri"/>
          <w:bCs/>
          <w:iCs/>
          <w:color w:val="000000"/>
        </w:rPr>
        <w:t>že</w:t>
      </w:r>
      <w:r>
        <w:rPr>
          <w:rFonts w:eastAsia="Calibri"/>
          <w:bCs/>
          <w:iCs/>
          <w:color w:val="000000"/>
        </w:rPr>
        <w:t xml:space="preserve"> aj</w:t>
      </w:r>
      <w:r w:rsidRPr="00933E70">
        <w:rPr>
          <w:rFonts w:eastAsia="Calibri"/>
          <w:bCs/>
          <w:iCs/>
          <w:color w:val="000000"/>
        </w:rPr>
        <w:t xml:space="preserve"> zvyšných 20 %</w:t>
      </w:r>
      <w:r>
        <w:rPr>
          <w:rFonts w:eastAsia="Calibri"/>
          <w:bCs/>
          <w:iCs/>
          <w:color w:val="000000"/>
        </w:rPr>
        <w:t xml:space="preserve"> (t.j. 6 634 623 faktúr)</w:t>
      </w:r>
      <w:r w:rsidRPr="00933E70">
        <w:rPr>
          <w:rFonts w:eastAsia="Calibri"/>
          <w:bCs/>
          <w:iCs/>
          <w:color w:val="000000"/>
        </w:rPr>
        <w:t xml:space="preserve"> z celkového počtu vyhotovených faktúr platiteľmi dane bude </w:t>
      </w:r>
      <w:r>
        <w:rPr>
          <w:rFonts w:eastAsia="Calibri"/>
          <w:bCs/>
          <w:iCs/>
          <w:color w:val="000000"/>
        </w:rPr>
        <w:t>prijatých</w:t>
      </w:r>
      <w:r w:rsidRPr="00933E70">
        <w:rPr>
          <w:rFonts w:eastAsia="Calibri"/>
          <w:bCs/>
          <w:iCs/>
          <w:color w:val="000000"/>
        </w:rPr>
        <w:t xml:space="preserve"> elektronicky, čím sa znížia náklady na </w:t>
      </w:r>
      <w:r>
        <w:rPr>
          <w:rFonts w:eastAsia="Calibri"/>
          <w:bCs/>
          <w:iCs/>
          <w:color w:val="000000"/>
        </w:rPr>
        <w:t>spracovanie</w:t>
      </w:r>
      <w:r w:rsidRPr="00933E70">
        <w:rPr>
          <w:rFonts w:eastAsia="Calibri"/>
          <w:bCs/>
          <w:iCs/>
          <w:color w:val="000000"/>
        </w:rPr>
        <w:t xml:space="preserve"> 1</w:t>
      </w:r>
      <w:r>
        <w:rPr>
          <w:rFonts w:eastAsia="Calibri"/>
          <w:bCs/>
          <w:iCs/>
          <w:color w:val="000000"/>
        </w:rPr>
        <w:t xml:space="preserve"> elektronickej</w:t>
      </w:r>
      <w:r w:rsidRPr="00933E70">
        <w:rPr>
          <w:rFonts w:eastAsia="Calibri"/>
          <w:bCs/>
          <w:iCs/>
          <w:color w:val="000000"/>
        </w:rPr>
        <w:t xml:space="preserve"> faktúry v priemere o</w:t>
      </w:r>
      <w:r>
        <w:rPr>
          <w:rFonts w:eastAsia="Calibri"/>
          <w:bCs/>
          <w:iCs/>
          <w:color w:val="000000"/>
        </w:rPr>
        <w:t> 0,6</w:t>
      </w:r>
      <w:r w:rsidRPr="00933E70">
        <w:rPr>
          <w:rFonts w:eastAsia="Calibri"/>
          <w:bCs/>
          <w:iCs/>
          <w:color w:val="000000"/>
        </w:rPr>
        <w:t xml:space="preserve"> EUR. </w:t>
      </w:r>
      <w:r>
        <w:rPr>
          <w:rFonts w:eastAsia="Calibri"/>
          <w:bCs/>
          <w:iCs/>
          <w:color w:val="000000"/>
        </w:rPr>
        <w:t>Spôsob výpočtu hodnoty vloženej do stĺpca D – 6 634 623 x 0,6 = 3 980 774 ÷ 240 301 = 16,6</w:t>
      </w:r>
      <w:r w:rsidRPr="00933E70">
        <w:rPr>
          <w:rFonts w:eastAsia="Calibri"/>
          <w:bCs/>
          <w:iCs/>
          <w:color w:val="000000"/>
        </w:rPr>
        <w:t>.</w:t>
      </w:r>
      <w:r>
        <w:rPr>
          <w:rFonts w:eastAsia="Calibri"/>
          <w:bCs/>
          <w:iCs/>
          <w:color w:val="000000"/>
        </w:rPr>
        <w:t xml:space="preserve"> </w:t>
      </w:r>
      <w:r w:rsidRPr="00933E70">
        <w:rPr>
          <w:rFonts w:eastAsia="Calibri"/>
          <w:bCs/>
          <w:iCs/>
          <w:color w:val="000000"/>
        </w:rPr>
        <w:t xml:space="preserve">Frekvencia plnenia bola určená </w:t>
      </w:r>
      <w:r>
        <w:rPr>
          <w:rFonts w:eastAsia="Calibri"/>
          <w:bCs/>
          <w:iCs/>
          <w:color w:val="000000"/>
        </w:rPr>
        <w:t>na 1-krát ročne</w:t>
      </w:r>
      <w:r w:rsidRPr="00933E70">
        <w:rPr>
          <w:rFonts w:eastAsia="Calibri"/>
          <w:bCs/>
          <w:iCs/>
          <w:color w:val="000000"/>
        </w:rPr>
        <w:t xml:space="preserve">. Na základe výpočtu Kalkulačky nákladov na podnikateľské prostredie sa v súvislosti s touto reguláciou predpokladá </w:t>
      </w:r>
      <w:r>
        <w:rPr>
          <w:rFonts w:eastAsia="Calibri"/>
          <w:bCs/>
          <w:iCs/>
          <w:color w:val="000000"/>
        </w:rPr>
        <w:t xml:space="preserve">zníženie </w:t>
      </w:r>
      <w:r w:rsidRPr="00933E70">
        <w:rPr>
          <w:rFonts w:eastAsia="Calibri"/>
          <w:bCs/>
          <w:iCs/>
          <w:color w:val="000000"/>
        </w:rPr>
        <w:t>sum</w:t>
      </w:r>
      <w:r>
        <w:rPr>
          <w:rFonts w:eastAsia="Calibri"/>
          <w:bCs/>
          <w:iCs/>
          <w:color w:val="000000"/>
        </w:rPr>
        <w:t>y</w:t>
      </w:r>
      <w:r w:rsidRPr="00933E70">
        <w:rPr>
          <w:rFonts w:eastAsia="Calibri"/>
          <w:bCs/>
          <w:iCs/>
          <w:color w:val="000000"/>
        </w:rPr>
        <w:t xml:space="preserve"> administratívnych nákladov na podnikateľské prostredie (</w:t>
      </w:r>
      <w:r>
        <w:rPr>
          <w:rFonts w:eastAsia="Calibri"/>
          <w:bCs/>
          <w:iCs/>
          <w:color w:val="000000"/>
        </w:rPr>
        <w:t>OUT</w:t>
      </w:r>
      <w:r w:rsidRPr="00933E70">
        <w:rPr>
          <w:rFonts w:eastAsia="Calibri"/>
          <w:bCs/>
          <w:iCs/>
          <w:color w:val="000000"/>
        </w:rPr>
        <w:t xml:space="preserve">) vo výške </w:t>
      </w:r>
      <w:r>
        <w:rPr>
          <w:rFonts w:eastAsia="Calibri"/>
          <w:bCs/>
          <w:iCs/>
          <w:color w:val="000000"/>
        </w:rPr>
        <w:t>3 988 997</w:t>
      </w:r>
      <w:r w:rsidRPr="00933E70">
        <w:rPr>
          <w:rFonts w:eastAsia="Calibri"/>
          <w:bCs/>
          <w:iCs/>
          <w:color w:val="000000"/>
        </w:rPr>
        <w:t xml:space="preserve"> E</w:t>
      </w:r>
      <w:r>
        <w:rPr>
          <w:rFonts w:eastAsia="Calibri"/>
          <w:bCs/>
          <w:iCs/>
          <w:color w:val="000000"/>
        </w:rPr>
        <w:t>UR</w:t>
      </w:r>
      <w:r w:rsidRPr="00933E70">
        <w:rPr>
          <w:rFonts w:eastAsia="Calibri"/>
          <w:bCs/>
          <w:iCs/>
          <w:color w:val="000000"/>
        </w:rPr>
        <w:t>.</w:t>
      </w:r>
    </w:p>
    <w:p w14:paraId="1D9DEAB7" w14:textId="77777777" w:rsidR="00746D3C" w:rsidRDefault="00746D3C" w:rsidP="00746D3C">
      <w:pPr>
        <w:jc w:val="both"/>
        <w:rPr>
          <w:rFonts w:eastAsia="Calibri"/>
          <w:bCs/>
          <w:iCs/>
          <w:color w:val="000000"/>
        </w:rPr>
      </w:pPr>
    </w:p>
    <w:p w14:paraId="4E4237E9" w14:textId="77777777" w:rsidR="00746D3C" w:rsidRDefault="00746D3C" w:rsidP="00746D3C">
      <w:pPr>
        <w:jc w:val="both"/>
        <w:rPr>
          <w:b/>
          <w:i/>
          <w:color w:val="000000"/>
        </w:rPr>
      </w:pPr>
      <w:r>
        <w:rPr>
          <w:b/>
          <w:i/>
          <w:color w:val="000000"/>
        </w:rPr>
        <w:t>11</w:t>
      </w:r>
      <w:r w:rsidRPr="006D3174">
        <w:rPr>
          <w:b/>
          <w:i/>
          <w:color w:val="000000"/>
        </w:rPr>
        <w:t xml:space="preserve">. </w:t>
      </w:r>
      <w:r w:rsidRPr="002065F9">
        <w:rPr>
          <w:b/>
          <w:i/>
          <w:color w:val="000000"/>
        </w:rPr>
        <w:t>Vyhotovenie</w:t>
      </w:r>
      <w:r>
        <w:rPr>
          <w:b/>
          <w:i/>
          <w:color w:val="000000"/>
        </w:rPr>
        <w:t xml:space="preserve"> opravnej</w:t>
      </w:r>
      <w:r w:rsidRPr="002065F9">
        <w:rPr>
          <w:b/>
          <w:i/>
          <w:color w:val="000000"/>
        </w:rPr>
        <w:t xml:space="preserve"> elektronickej faktúry platiteľom dane (tuzemské transakcie)</w:t>
      </w:r>
    </w:p>
    <w:p w14:paraId="5D67BFC8" w14:textId="77777777" w:rsidR="00746D3C" w:rsidRDefault="00746D3C" w:rsidP="00746D3C">
      <w:pPr>
        <w:jc w:val="both"/>
        <w:rPr>
          <w:b/>
          <w:iCs/>
          <w:color w:val="000000"/>
        </w:rPr>
      </w:pPr>
    </w:p>
    <w:p w14:paraId="70354933" w14:textId="77777777" w:rsidR="00746D3C" w:rsidRPr="00933E70" w:rsidRDefault="00746D3C" w:rsidP="00746D3C">
      <w:pPr>
        <w:jc w:val="both"/>
        <w:rPr>
          <w:rFonts w:eastAsia="Calibri"/>
          <w:bCs/>
          <w:iCs/>
          <w:color w:val="000000"/>
        </w:rPr>
      </w:pPr>
      <w:r w:rsidRPr="00933E70">
        <w:rPr>
          <w:rFonts w:eastAsia="Calibri"/>
          <w:bCs/>
          <w:iCs/>
          <w:color w:val="000000"/>
        </w:rPr>
        <w:t>Zmena regulácie dotknutým subjektom znižuje náklady. Faktúra sa na účely zákona o DPH bude vyhotovovať</w:t>
      </w:r>
      <w:r>
        <w:rPr>
          <w:rFonts w:eastAsia="Calibri"/>
          <w:bCs/>
          <w:iCs/>
          <w:color w:val="000000"/>
        </w:rPr>
        <w:t xml:space="preserve"> a zasielať</w:t>
      </w:r>
      <w:r w:rsidRPr="00933E70">
        <w:rPr>
          <w:rFonts w:eastAsia="Calibri"/>
          <w:bCs/>
          <w:iCs/>
          <w:color w:val="000000"/>
        </w:rPr>
        <w:t xml:space="preserve"> zásadne ako elektronická </w:t>
      </w:r>
      <w:r>
        <w:rPr>
          <w:rFonts w:eastAsia="Calibri"/>
          <w:bCs/>
          <w:iCs/>
          <w:color w:val="000000"/>
        </w:rPr>
        <w:t xml:space="preserve">faktúra </w:t>
      </w:r>
      <w:r w:rsidRPr="00933E70">
        <w:rPr>
          <w:rFonts w:eastAsia="Calibri"/>
          <w:bCs/>
          <w:iCs/>
          <w:color w:val="000000"/>
        </w:rPr>
        <w:t>v zákonom ustanovenom formáte.</w:t>
      </w:r>
      <w:r>
        <w:rPr>
          <w:rFonts w:eastAsia="Calibri"/>
          <w:bCs/>
          <w:iCs/>
          <w:color w:val="000000"/>
        </w:rPr>
        <w:t xml:space="preserve"> A</w:t>
      </w:r>
      <w:r w:rsidRPr="00C84485">
        <w:rPr>
          <w:rFonts w:eastAsia="Calibri"/>
          <w:bCs/>
          <w:iCs/>
          <w:color w:val="000000"/>
        </w:rPr>
        <w:t xml:space="preserve">j opravná faktúra k prvotne vyhotovenej elektronickej faktúre </w:t>
      </w:r>
      <w:r>
        <w:rPr>
          <w:rFonts w:eastAsia="Calibri"/>
          <w:bCs/>
          <w:iCs/>
          <w:color w:val="000000"/>
        </w:rPr>
        <w:t xml:space="preserve">sa bude </w:t>
      </w:r>
      <w:r w:rsidRPr="00C84485">
        <w:rPr>
          <w:rFonts w:eastAsia="Calibri"/>
          <w:bCs/>
          <w:iCs/>
          <w:color w:val="000000"/>
        </w:rPr>
        <w:t>vyhotovova</w:t>
      </w:r>
      <w:r>
        <w:rPr>
          <w:rFonts w:eastAsia="Calibri"/>
          <w:bCs/>
          <w:iCs/>
          <w:color w:val="000000"/>
        </w:rPr>
        <w:t>ť</w:t>
      </w:r>
      <w:r w:rsidRPr="00C84485">
        <w:rPr>
          <w:rFonts w:eastAsia="Calibri"/>
          <w:bCs/>
          <w:iCs/>
          <w:color w:val="000000"/>
        </w:rPr>
        <w:t xml:space="preserve"> elektronicky v príslušnom štruktúrovanom elektronickom formáte.</w:t>
      </w:r>
      <w:r>
        <w:rPr>
          <w:rFonts w:eastAsia="Calibri"/>
          <w:bCs/>
          <w:iCs/>
          <w:color w:val="000000"/>
        </w:rPr>
        <w:t xml:space="preserve"> E</w:t>
      </w:r>
      <w:r w:rsidRPr="000A5DC7">
        <w:rPr>
          <w:rFonts w:eastAsia="Calibri"/>
          <w:bCs/>
          <w:iCs/>
          <w:color w:val="000000"/>
        </w:rPr>
        <w:t>lektronickou faktúr</w:t>
      </w:r>
      <w:r>
        <w:rPr>
          <w:rFonts w:eastAsia="Calibri"/>
          <w:bCs/>
          <w:iCs/>
          <w:color w:val="000000"/>
        </w:rPr>
        <w:t xml:space="preserve">a je len taká faktúra, ktorá obsahuje </w:t>
      </w:r>
      <w:r w:rsidRPr="000A5DC7">
        <w:rPr>
          <w:rFonts w:eastAsia="Calibri"/>
          <w:bCs/>
          <w:iCs/>
          <w:color w:val="000000"/>
        </w:rPr>
        <w:t xml:space="preserve">náležitosti podľa </w:t>
      </w:r>
      <w:r>
        <w:rPr>
          <w:rFonts w:eastAsia="Calibri"/>
          <w:bCs/>
          <w:iCs/>
          <w:color w:val="000000"/>
        </w:rPr>
        <w:t>zákona o DPH a je</w:t>
      </w:r>
      <w:r w:rsidRPr="000A5DC7">
        <w:rPr>
          <w:rFonts w:eastAsia="Calibri"/>
          <w:bCs/>
          <w:iCs/>
          <w:color w:val="000000"/>
        </w:rPr>
        <w:t xml:space="preserve"> vyhotoven</w:t>
      </w:r>
      <w:r>
        <w:rPr>
          <w:rFonts w:eastAsia="Calibri"/>
          <w:bCs/>
          <w:iCs/>
          <w:color w:val="000000"/>
        </w:rPr>
        <w:t>á</w:t>
      </w:r>
      <w:r w:rsidRPr="000A5DC7">
        <w:rPr>
          <w:rFonts w:eastAsia="Calibri"/>
          <w:bCs/>
          <w:iCs/>
          <w:color w:val="000000"/>
        </w:rPr>
        <w:t>, zaslan</w:t>
      </w:r>
      <w:r>
        <w:rPr>
          <w:rFonts w:eastAsia="Calibri"/>
          <w:bCs/>
          <w:iCs/>
          <w:color w:val="000000"/>
        </w:rPr>
        <w:t>á</w:t>
      </w:r>
      <w:r w:rsidRPr="000A5DC7">
        <w:rPr>
          <w:rFonts w:eastAsia="Calibri"/>
          <w:bCs/>
          <w:iCs/>
          <w:color w:val="000000"/>
        </w:rPr>
        <w:t xml:space="preserve"> a prijat</w:t>
      </w:r>
      <w:r>
        <w:rPr>
          <w:rFonts w:eastAsia="Calibri"/>
          <w:bCs/>
          <w:iCs/>
          <w:color w:val="000000"/>
        </w:rPr>
        <w:t>á</w:t>
      </w:r>
      <w:r w:rsidRPr="000A5DC7">
        <w:rPr>
          <w:rFonts w:eastAsia="Calibri"/>
          <w:bCs/>
          <w:iCs/>
          <w:color w:val="000000"/>
        </w:rPr>
        <w:t xml:space="preserve"> v štruktúrovanom elektronickom formáte, ktorý umožňuje jeho automatizované a elektronické spracovanie</w:t>
      </w:r>
      <w:r>
        <w:rPr>
          <w:rFonts w:eastAsia="Calibri"/>
          <w:bCs/>
          <w:iCs/>
          <w:color w:val="000000"/>
        </w:rPr>
        <w:t>.</w:t>
      </w:r>
    </w:p>
    <w:p w14:paraId="474618CC" w14:textId="77777777" w:rsidR="00746D3C" w:rsidRPr="00933E70" w:rsidRDefault="00746D3C" w:rsidP="00746D3C">
      <w:pPr>
        <w:jc w:val="both"/>
        <w:rPr>
          <w:rFonts w:eastAsia="Calibri"/>
          <w:bCs/>
          <w:iCs/>
          <w:color w:val="000000"/>
        </w:rPr>
      </w:pPr>
    </w:p>
    <w:p w14:paraId="673219E8" w14:textId="77777777" w:rsidR="00746D3C" w:rsidRDefault="00746D3C" w:rsidP="00746D3C">
      <w:pPr>
        <w:jc w:val="both"/>
        <w:rPr>
          <w:rFonts w:eastAsia="Calibri"/>
          <w:bCs/>
          <w:iCs/>
          <w:color w:val="000000"/>
        </w:rPr>
      </w:pPr>
      <w:r w:rsidRPr="00933E70">
        <w:rPr>
          <w:rFonts w:eastAsia="Calibri"/>
          <w:bCs/>
          <w:iCs/>
          <w:color w:val="000000"/>
        </w:rPr>
        <w:t>Predmetná regulácia pre dotknuté subjekty predstavuje administratívny vplyv. 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registrovaných platiteľov dane </w:t>
      </w:r>
      <w:r w:rsidRPr="00933E70">
        <w:rPr>
          <w:rFonts w:eastAsia="Calibri"/>
          <w:bCs/>
          <w:iCs/>
          <w:color w:val="000000"/>
        </w:rPr>
        <w:lastRenderedPageBreak/>
        <w:t xml:space="preserve">z pridanej hodnoty (§ 4, § 4b a § 5 zákona o DPH) 225 206. </w:t>
      </w:r>
      <w:bookmarkStart w:id="6" w:name="_Hlk202791986"/>
      <w:r w:rsidRPr="00933E70">
        <w:rPr>
          <w:rFonts w:eastAsia="Calibri"/>
          <w:bCs/>
          <w:iCs/>
          <w:color w:val="000000"/>
        </w:rPr>
        <w:t xml:space="preserve">Títo platitelia dane </w:t>
      </w:r>
      <w:r>
        <w:rPr>
          <w:rFonts w:eastAsia="Calibri"/>
          <w:bCs/>
          <w:iCs/>
          <w:color w:val="000000"/>
        </w:rPr>
        <w:t xml:space="preserve">na základe údajov z FRSR </w:t>
      </w:r>
      <w:r w:rsidRPr="00933E70">
        <w:rPr>
          <w:rFonts w:eastAsia="Calibri"/>
          <w:bCs/>
          <w:iCs/>
          <w:color w:val="000000"/>
        </w:rPr>
        <w:t xml:space="preserve">vyhotovili v kalendárnom roku 2024 </w:t>
      </w:r>
      <w:r>
        <w:rPr>
          <w:rFonts w:eastAsia="Calibri"/>
          <w:bCs/>
          <w:iCs/>
          <w:color w:val="000000"/>
        </w:rPr>
        <w:t>celkovo 6 360 618</w:t>
      </w:r>
      <w:r w:rsidRPr="00933E70">
        <w:rPr>
          <w:rFonts w:eastAsia="Calibri"/>
          <w:bCs/>
          <w:iCs/>
          <w:color w:val="000000"/>
        </w:rPr>
        <w:t xml:space="preserve"> </w:t>
      </w:r>
      <w:r>
        <w:rPr>
          <w:rFonts w:eastAsia="Calibri"/>
          <w:bCs/>
          <w:iCs/>
          <w:color w:val="000000"/>
        </w:rPr>
        <w:t xml:space="preserve">opravných </w:t>
      </w:r>
      <w:r w:rsidRPr="00933E70">
        <w:rPr>
          <w:rFonts w:eastAsia="Calibri"/>
          <w:bCs/>
          <w:iCs/>
          <w:color w:val="000000"/>
        </w:rPr>
        <w:t>faktúr v rôznej podobe</w:t>
      </w:r>
      <w:bookmarkEnd w:id="6"/>
      <w:r w:rsidRPr="00933E70">
        <w:rPr>
          <w:rFonts w:eastAsia="Calibri"/>
          <w:bCs/>
          <w:iCs/>
          <w:color w:val="000000"/>
        </w:rPr>
        <w:t xml:space="preserve">, či už listinnej alebo elektronickej (e-mail, pdf, ...). Na základe expertného odhadu MFSR a FRSR sa predpokladá, že 20 % z tohto počtu faktúr je vyhotovených v listinnej podobe. Elektronická faktúra však prináša úsporu až 80 % nákladov na spracovanie faktúr, pričom náklady na 1 elektronickú faktúru sa odhadujú vo výške od 0,1 do 0,5 EUR (priemer 0,3 EUR). Náklady regulácie boli určené ako </w:t>
      </w:r>
      <w:r>
        <w:rPr>
          <w:rFonts w:eastAsia="Calibri"/>
          <w:bCs/>
          <w:iCs/>
          <w:color w:val="000000"/>
        </w:rPr>
        <w:t>nepriame finančné náklady</w:t>
      </w:r>
      <w:r w:rsidRPr="00933E70">
        <w:rPr>
          <w:rFonts w:eastAsia="Calibri"/>
          <w:bCs/>
          <w:iCs/>
          <w:color w:val="000000"/>
        </w:rPr>
        <w:t xml:space="preserve">. Pri výpočte sa vychádzalo z toho, </w:t>
      </w:r>
      <w:r>
        <w:rPr>
          <w:rFonts w:eastAsia="Calibri"/>
          <w:bCs/>
          <w:iCs/>
          <w:color w:val="000000"/>
        </w:rPr>
        <w:t xml:space="preserve">aj </w:t>
      </w:r>
      <w:r w:rsidRPr="00933E70">
        <w:rPr>
          <w:rFonts w:eastAsia="Calibri"/>
          <w:bCs/>
          <w:iCs/>
          <w:color w:val="000000"/>
        </w:rPr>
        <w:t>že zvyšných 20 %</w:t>
      </w:r>
      <w:r>
        <w:rPr>
          <w:rFonts w:eastAsia="Calibri"/>
          <w:bCs/>
          <w:iCs/>
          <w:color w:val="000000"/>
        </w:rPr>
        <w:t xml:space="preserve"> (t.j. 1 272 124 opravných faktúr)</w:t>
      </w:r>
      <w:r w:rsidRPr="00933E70">
        <w:rPr>
          <w:rFonts w:eastAsia="Calibri"/>
          <w:bCs/>
          <w:iCs/>
          <w:color w:val="000000"/>
        </w:rPr>
        <w:t xml:space="preserve"> z celkového počtu vyhotovených </w:t>
      </w:r>
      <w:r>
        <w:rPr>
          <w:rFonts w:eastAsia="Calibri"/>
          <w:bCs/>
          <w:iCs/>
          <w:color w:val="000000"/>
        </w:rPr>
        <w:t xml:space="preserve">opravných </w:t>
      </w:r>
      <w:r w:rsidRPr="00933E70">
        <w:rPr>
          <w:rFonts w:eastAsia="Calibri"/>
          <w:bCs/>
          <w:iCs/>
          <w:color w:val="000000"/>
        </w:rPr>
        <w:t xml:space="preserve">faktúr platiteľmi dane bude vyhotovených elektronicky, čím sa znížia náklady na vyhotovenie 1 </w:t>
      </w:r>
      <w:r>
        <w:rPr>
          <w:rFonts w:eastAsia="Calibri"/>
          <w:bCs/>
          <w:iCs/>
          <w:color w:val="000000"/>
        </w:rPr>
        <w:t xml:space="preserve">elektronickej </w:t>
      </w:r>
      <w:r w:rsidRPr="00933E70">
        <w:rPr>
          <w:rFonts w:eastAsia="Calibri"/>
          <w:bCs/>
          <w:iCs/>
          <w:color w:val="000000"/>
        </w:rPr>
        <w:t xml:space="preserve">faktúry v priemere o 1,2 EUR. </w:t>
      </w:r>
      <w:r>
        <w:rPr>
          <w:rFonts w:eastAsia="Calibri"/>
          <w:bCs/>
          <w:iCs/>
          <w:color w:val="000000"/>
        </w:rPr>
        <w:t>Spôsob výpočtu hodnoty vloženej do stĺpca D – 1 272 124 x 1,2 = 1 526 549 ÷ 225 206 = 6,8</w:t>
      </w:r>
      <w:r w:rsidRPr="00933E70">
        <w:rPr>
          <w:rFonts w:eastAsia="Calibri"/>
          <w:bCs/>
          <w:iCs/>
          <w:color w:val="000000"/>
        </w:rPr>
        <w:t>.</w:t>
      </w:r>
      <w:r>
        <w:rPr>
          <w:rFonts w:eastAsia="Calibri"/>
          <w:bCs/>
          <w:iCs/>
          <w:color w:val="000000"/>
        </w:rPr>
        <w:t xml:space="preserve"> </w:t>
      </w:r>
      <w:r w:rsidRPr="00933E70">
        <w:rPr>
          <w:rFonts w:eastAsia="Calibri"/>
          <w:bCs/>
          <w:iCs/>
          <w:color w:val="000000"/>
        </w:rPr>
        <w:t xml:space="preserve">Frekvencia plnenia bola určená </w:t>
      </w:r>
      <w:r>
        <w:rPr>
          <w:rFonts w:eastAsia="Calibri"/>
          <w:bCs/>
          <w:iCs/>
          <w:color w:val="000000"/>
        </w:rPr>
        <w:t>na 1-krát ročne</w:t>
      </w:r>
      <w:r w:rsidRPr="00933E70">
        <w:rPr>
          <w:rFonts w:eastAsia="Calibri"/>
          <w:bCs/>
          <w:iCs/>
          <w:color w:val="000000"/>
        </w:rPr>
        <w:t xml:space="preserve">. Na základe výpočtu Kalkulačky nákladov na podnikateľské prostredie sa v súvislosti s touto reguláciou predpokladá </w:t>
      </w:r>
      <w:r>
        <w:rPr>
          <w:rFonts w:eastAsia="Calibri"/>
          <w:bCs/>
          <w:iCs/>
          <w:color w:val="000000"/>
        </w:rPr>
        <w:t xml:space="preserve">zníženie </w:t>
      </w:r>
      <w:r w:rsidRPr="00933E70">
        <w:rPr>
          <w:rFonts w:eastAsia="Calibri"/>
          <w:bCs/>
          <w:iCs/>
          <w:color w:val="000000"/>
        </w:rPr>
        <w:t>sum</w:t>
      </w:r>
      <w:r>
        <w:rPr>
          <w:rFonts w:eastAsia="Calibri"/>
          <w:bCs/>
          <w:iCs/>
          <w:color w:val="000000"/>
        </w:rPr>
        <w:t>y</w:t>
      </w:r>
      <w:r w:rsidRPr="00933E70">
        <w:rPr>
          <w:rFonts w:eastAsia="Calibri"/>
          <w:bCs/>
          <w:iCs/>
          <w:color w:val="000000"/>
        </w:rPr>
        <w:t xml:space="preserve"> administratívnych nákladov na podnikateľské prostredie (</w:t>
      </w:r>
      <w:r>
        <w:rPr>
          <w:rFonts w:eastAsia="Calibri"/>
          <w:bCs/>
          <w:iCs/>
          <w:color w:val="000000"/>
        </w:rPr>
        <w:t>OUT</w:t>
      </w:r>
      <w:r w:rsidRPr="00933E70">
        <w:rPr>
          <w:rFonts w:eastAsia="Calibri"/>
          <w:bCs/>
          <w:iCs/>
          <w:color w:val="000000"/>
        </w:rPr>
        <w:t xml:space="preserve">) vo výške </w:t>
      </w:r>
      <w:r>
        <w:rPr>
          <w:rFonts w:eastAsia="Calibri"/>
          <w:bCs/>
          <w:iCs/>
          <w:color w:val="000000"/>
        </w:rPr>
        <w:t>1 531 401</w:t>
      </w:r>
      <w:r w:rsidRPr="00933E70">
        <w:rPr>
          <w:rFonts w:eastAsia="Calibri"/>
          <w:bCs/>
          <w:iCs/>
          <w:color w:val="000000"/>
        </w:rPr>
        <w:t xml:space="preserve"> E</w:t>
      </w:r>
      <w:r>
        <w:rPr>
          <w:rFonts w:eastAsia="Calibri"/>
          <w:bCs/>
          <w:iCs/>
          <w:color w:val="000000"/>
        </w:rPr>
        <w:t>UR</w:t>
      </w:r>
      <w:r w:rsidRPr="00933E70">
        <w:rPr>
          <w:rFonts w:eastAsia="Calibri"/>
          <w:bCs/>
          <w:iCs/>
          <w:color w:val="000000"/>
        </w:rPr>
        <w:t>.</w:t>
      </w:r>
    </w:p>
    <w:p w14:paraId="0818C448" w14:textId="77777777" w:rsidR="00746D3C" w:rsidRPr="00C84485" w:rsidRDefault="00746D3C" w:rsidP="00746D3C">
      <w:pPr>
        <w:jc w:val="both"/>
        <w:rPr>
          <w:b/>
          <w:iCs/>
          <w:color w:val="000000"/>
        </w:rPr>
      </w:pPr>
    </w:p>
    <w:p w14:paraId="392EC052" w14:textId="77777777" w:rsidR="00746D3C" w:rsidRDefault="00746D3C" w:rsidP="00746D3C">
      <w:pPr>
        <w:jc w:val="both"/>
        <w:rPr>
          <w:b/>
          <w:i/>
          <w:color w:val="000000"/>
        </w:rPr>
      </w:pPr>
      <w:r>
        <w:rPr>
          <w:b/>
          <w:i/>
          <w:color w:val="000000"/>
        </w:rPr>
        <w:t>12. Prijatie opravnej</w:t>
      </w:r>
      <w:r w:rsidRPr="002065F9">
        <w:rPr>
          <w:b/>
          <w:i/>
          <w:color w:val="000000"/>
        </w:rPr>
        <w:t xml:space="preserve"> elektronickej faktúry </w:t>
      </w:r>
      <w:r>
        <w:rPr>
          <w:b/>
          <w:i/>
          <w:color w:val="000000"/>
        </w:rPr>
        <w:t>platiteľom dane</w:t>
      </w:r>
      <w:r w:rsidRPr="002065F9">
        <w:rPr>
          <w:b/>
          <w:i/>
          <w:color w:val="000000"/>
        </w:rPr>
        <w:t xml:space="preserve"> (tuzemské transakcie)</w:t>
      </w:r>
    </w:p>
    <w:p w14:paraId="5194CC2D" w14:textId="77777777" w:rsidR="00746D3C" w:rsidRDefault="00746D3C" w:rsidP="00746D3C">
      <w:pPr>
        <w:jc w:val="both"/>
        <w:rPr>
          <w:b/>
          <w:i/>
          <w:color w:val="000000"/>
        </w:rPr>
      </w:pPr>
    </w:p>
    <w:p w14:paraId="5469B1A3" w14:textId="77777777" w:rsidR="00746D3C" w:rsidRPr="00722118" w:rsidRDefault="00746D3C" w:rsidP="00746D3C">
      <w:pPr>
        <w:jc w:val="both"/>
        <w:rPr>
          <w:rFonts w:eastAsia="Calibri"/>
          <w:bCs/>
          <w:iCs/>
          <w:color w:val="000000"/>
        </w:rPr>
      </w:pPr>
      <w:r w:rsidRPr="00722118">
        <w:rPr>
          <w:rFonts w:eastAsia="Calibri"/>
          <w:bCs/>
          <w:iCs/>
          <w:color w:val="000000"/>
        </w:rPr>
        <w:t>Zmena regulácie dotknutým subjektom znižuje náklady. Faktúra sa na účely zákona o DPH bude vyhotovovať, zasielať, ale aj prijímať zásadne ako elektronická</w:t>
      </w:r>
      <w:r>
        <w:rPr>
          <w:rFonts w:eastAsia="Calibri"/>
          <w:bCs/>
          <w:iCs/>
          <w:color w:val="000000"/>
        </w:rPr>
        <w:t xml:space="preserve"> faktúra</w:t>
      </w:r>
      <w:r w:rsidRPr="00722118">
        <w:rPr>
          <w:rFonts w:eastAsia="Calibri"/>
          <w:bCs/>
          <w:iCs/>
          <w:color w:val="000000"/>
        </w:rPr>
        <w:t xml:space="preserve"> v zákonom ustanovenom formáte. Aj opravná faktúra k prvotne vyhotovenej elektronickej faktúre sa bude vyhotovovať, zasielať a prijímať elektronicky v príslušnom štruktúrovanom elektronickom formáte. Elektronickou faktúra je len taká faktúra, ktorá obsahuje náležitosti podľa zákona o DPH a je vyhotovená, zaslaná a prijatá v štruktúrovanom elektronickom formáte, ktorý umožňuje jeho automatizované a elektronické spracovanie.</w:t>
      </w:r>
    </w:p>
    <w:p w14:paraId="75D0AB81" w14:textId="77777777" w:rsidR="00746D3C" w:rsidRPr="00722118" w:rsidRDefault="00746D3C" w:rsidP="00746D3C">
      <w:pPr>
        <w:jc w:val="both"/>
        <w:rPr>
          <w:rFonts w:eastAsia="Calibri"/>
          <w:bCs/>
          <w:iCs/>
          <w:color w:val="000000"/>
        </w:rPr>
      </w:pPr>
    </w:p>
    <w:p w14:paraId="61506647" w14:textId="77777777" w:rsidR="00746D3C" w:rsidRPr="006B2B97" w:rsidRDefault="00746D3C" w:rsidP="00746D3C">
      <w:pPr>
        <w:jc w:val="both"/>
        <w:rPr>
          <w:rFonts w:eastAsia="Calibri"/>
          <w:bCs/>
          <w:iCs/>
          <w:color w:val="000000"/>
        </w:rPr>
      </w:pPr>
      <w:r w:rsidRPr="00722118">
        <w:rPr>
          <w:rFonts w:eastAsia="Calibri"/>
          <w:bCs/>
          <w:iCs/>
          <w:color w:val="000000"/>
        </w:rPr>
        <w:t>Predmetná regulácia pre dotknuté subjekty predstavuje administratívny vplyv. Dotknutými subjektmi sú platitelia dane. Počet dotknutých subjektov, ktorých sa bude táto regulácia týkať</w:t>
      </w:r>
      <w:r>
        <w:rPr>
          <w:rFonts w:eastAsia="Calibri"/>
          <w:bCs/>
          <w:iCs/>
          <w:color w:val="000000"/>
        </w:rPr>
        <w:t>,</w:t>
      </w:r>
      <w:r w:rsidRPr="00722118">
        <w:rPr>
          <w:rFonts w:eastAsia="Calibri"/>
          <w:bCs/>
          <w:iCs/>
          <w:color w:val="000000"/>
        </w:rPr>
        <w:t xml:space="preserve"> vychádza z údajov poskytnutých FRSR. Podľa údajov FRSR bol k 1.1.2025 celkový počet registrovaných platiteľov dane z pridanej hodnoty (§ 4, § 4b a § 5 zákona o DPH) 225 206. </w:t>
      </w:r>
      <w:bookmarkStart w:id="7" w:name="_Hlk202792004"/>
      <w:r w:rsidRPr="00722118">
        <w:rPr>
          <w:rFonts w:eastAsia="Calibri"/>
          <w:bCs/>
          <w:iCs/>
          <w:color w:val="000000"/>
        </w:rPr>
        <w:t xml:space="preserve">Títo platitelia dane na základe údajov FRSR prijali v kalendárnom roku 2024 celkovo </w:t>
      </w:r>
      <w:r>
        <w:rPr>
          <w:rFonts w:eastAsia="Calibri"/>
          <w:bCs/>
          <w:iCs/>
          <w:color w:val="000000"/>
        </w:rPr>
        <w:t>3 763 925</w:t>
      </w:r>
      <w:r w:rsidRPr="00722118">
        <w:rPr>
          <w:rFonts w:eastAsia="Calibri"/>
          <w:bCs/>
          <w:iCs/>
          <w:color w:val="000000"/>
        </w:rPr>
        <w:t xml:space="preserve"> </w:t>
      </w:r>
      <w:r>
        <w:rPr>
          <w:rFonts w:eastAsia="Calibri"/>
          <w:bCs/>
          <w:iCs/>
          <w:color w:val="000000"/>
        </w:rPr>
        <w:t xml:space="preserve">opravných </w:t>
      </w:r>
      <w:r w:rsidRPr="00722118">
        <w:rPr>
          <w:rFonts w:eastAsia="Calibri"/>
          <w:bCs/>
          <w:iCs/>
          <w:color w:val="000000"/>
        </w:rPr>
        <w:t>faktúr v rôznej podobe, či už listinnej alebo elektronickej (e-mail, pdf, ...)</w:t>
      </w:r>
      <w:r>
        <w:rPr>
          <w:rFonts w:eastAsia="Calibri"/>
          <w:bCs/>
          <w:iCs/>
          <w:color w:val="000000"/>
        </w:rPr>
        <w:t>,</w:t>
      </w:r>
      <w:r w:rsidRPr="00722118">
        <w:rPr>
          <w:rFonts w:eastAsia="Calibri"/>
          <w:bCs/>
          <w:iCs/>
          <w:color w:val="000000"/>
        </w:rPr>
        <w:t xml:space="preserve"> od tuzemských </w:t>
      </w:r>
      <w:r>
        <w:rPr>
          <w:rFonts w:eastAsia="Calibri"/>
          <w:bCs/>
          <w:iCs/>
          <w:color w:val="000000"/>
        </w:rPr>
        <w:t>platiteľov dane</w:t>
      </w:r>
      <w:r w:rsidRPr="00722118">
        <w:rPr>
          <w:rFonts w:eastAsia="Calibri"/>
          <w:bCs/>
          <w:iCs/>
          <w:color w:val="000000"/>
        </w:rPr>
        <w:t xml:space="preserve">. </w:t>
      </w:r>
      <w:bookmarkEnd w:id="7"/>
      <w:r w:rsidRPr="00722118">
        <w:rPr>
          <w:rFonts w:eastAsia="Calibri"/>
          <w:bCs/>
          <w:iCs/>
          <w:color w:val="000000"/>
        </w:rPr>
        <w:t>Na základe expertného odhadu MFSR a FRSR sa predpokladá, že 20 % z tohto počtu faktúr je prijatých v listinnej podobe. Elektronická faktúra však prináša úsporu až 80 % nákladov na spracovanie faktúr, pričom náklady na</w:t>
      </w:r>
      <w:r>
        <w:rPr>
          <w:rFonts w:eastAsia="Calibri"/>
          <w:bCs/>
          <w:iCs/>
          <w:color w:val="000000"/>
        </w:rPr>
        <w:t xml:space="preserve"> </w:t>
      </w:r>
      <w:r w:rsidRPr="00722118">
        <w:rPr>
          <w:rFonts w:eastAsia="Calibri"/>
          <w:bCs/>
          <w:iCs/>
          <w:color w:val="000000"/>
        </w:rPr>
        <w:t xml:space="preserve">vyhotovenie 1 elektronickej faktúry sa odhadli vo výške od 0,1 do 0,5 EUR (priemer 0,3 EUR). Náklady na spracovanie prijatej elektronickej faktúry sa odhadujú vo výške 50 % z nákladov na jej vyhotovenie a zaslanie, pričom priamo úmerne klesnú aj náklady na jej spracovanie. Náklady regulácie boli určené ako </w:t>
      </w:r>
      <w:r>
        <w:rPr>
          <w:rFonts w:eastAsia="Calibri"/>
          <w:bCs/>
          <w:iCs/>
          <w:color w:val="000000"/>
        </w:rPr>
        <w:t>ne</w:t>
      </w:r>
      <w:r w:rsidRPr="00722118">
        <w:rPr>
          <w:rFonts w:eastAsia="Calibri"/>
          <w:bCs/>
          <w:iCs/>
          <w:color w:val="000000"/>
        </w:rPr>
        <w:t xml:space="preserve">priame finančné náklady. Pri výpočte sa vychádzalo z toho, aj že zvyšných 20 % (t.j. </w:t>
      </w:r>
      <w:r>
        <w:rPr>
          <w:rFonts w:eastAsia="Calibri"/>
          <w:bCs/>
          <w:iCs/>
          <w:color w:val="000000"/>
        </w:rPr>
        <w:t>752 785</w:t>
      </w:r>
      <w:r w:rsidRPr="00722118">
        <w:rPr>
          <w:rFonts w:eastAsia="Calibri"/>
          <w:bCs/>
          <w:iCs/>
          <w:color w:val="000000"/>
        </w:rPr>
        <w:t xml:space="preserve"> faktúr) z celkového počtu vyhotovených </w:t>
      </w:r>
      <w:r>
        <w:rPr>
          <w:rFonts w:eastAsia="Calibri"/>
          <w:bCs/>
          <w:iCs/>
          <w:color w:val="000000"/>
        </w:rPr>
        <w:t xml:space="preserve">opravných </w:t>
      </w:r>
      <w:r w:rsidRPr="00722118">
        <w:rPr>
          <w:rFonts w:eastAsia="Calibri"/>
          <w:bCs/>
          <w:iCs/>
          <w:color w:val="000000"/>
        </w:rPr>
        <w:t xml:space="preserve">faktúr platiteľmi dane bude prijatých elektronicky, čím sa znížia náklady na vyhotovenie 1 </w:t>
      </w:r>
      <w:r>
        <w:rPr>
          <w:rFonts w:eastAsia="Calibri"/>
          <w:bCs/>
          <w:iCs/>
          <w:color w:val="000000"/>
        </w:rPr>
        <w:t xml:space="preserve">opravnej </w:t>
      </w:r>
      <w:r w:rsidRPr="00722118">
        <w:rPr>
          <w:rFonts w:eastAsia="Calibri"/>
          <w:bCs/>
          <w:iCs/>
          <w:color w:val="000000"/>
        </w:rPr>
        <w:t>elektronickej faktúry v priemere o</w:t>
      </w:r>
      <w:r>
        <w:rPr>
          <w:rFonts w:eastAsia="Calibri"/>
          <w:bCs/>
          <w:iCs/>
          <w:color w:val="000000"/>
        </w:rPr>
        <w:t> 0,6</w:t>
      </w:r>
      <w:r w:rsidRPr="00722118">
        <w:rPr>
          <w:rFonts w:eastAsia="Calibri"/>
          <w:bCs/>
          <w:iCs/>
          <w:color w:val="000000"/>
        </w:rPr>
        <w:t xml:space="preserve"> EUR.</w:t>
      </w:r>
      <w:r>
        <w:rPr>
          <w:rFonts w:eastAsia="Calibri"/>
          <w:bCs/>
          <w:iCs/>
          <w:color w:val="000000"/>
        </w:rPr>
        <w:t xml:space="preserve"> Spôsob výpočtu hodnoty vloženej do stĺpca D – 752 785 x 0,6 = 451 671 ÷ 225 206 = 2</w:t>
      </w:r>
      <w:r w:rsidRPr="00933E70">
        <w:rPr>
          <w:rFonts w:eastAsia="Calibri"/>
          <w:bCs/>
          <w:iCs/>
          <w:color w:val="000000"/>
        </w:rPr>
        <w:t>.</w:t>
      </w:r>
      <w:r w:rsidRPr="00722118">
        <w:rPr>
          <w:rFonts w:eastAsia="Calibri"/>
          <w:bCs/>
          <w:iCs/>
          <w:color w:val="000000"/>
        </w:rPr>
        <w:t xml:space="preserve"> Frekvencia plnenia bola určená </w:t>
      </w:r>
      <w:r>
        <w:rPr>
          <w:rFonts w:eastAsia="Calibri"/>
          <w:bCs/>
          <w:iCs/>
          <w:color w:val="000000"/>
        </w:rPr>
        <w:t>na 1-krát ročne</w:t>
      </w:r>
      <w:r w:rsidRPr="00722118">
        <w:rPr>
          <w:rFonts w:eastAsia="Calibri"/>
          <w:bCs/>
          <w:iCs/>
          <w:color w:val="000000"/>
        </w:rPr>
        <w:t xml:space="preserve">. Na základe výpočtu Kalkulačky nákladov na podnikateľské prostredie sa v súvislosti s touto reguláciou predpokladá zníženie sumy administratívnych nákladov na podnikateľské prostredie (OUT) vo výške </w:t>
      </w:r>
      <w:r>
        <w:rPr>
          <w:rFonts w:eastAsia="Calibri"/>
          <w:bCs/>
          <w:iCs/>
          <w:color w:val="000000"/>
        </w:rPr>
        <w:t>450 412</w:t>
      </w:r>
      <w:r w:rsidRPr="00722118">
        <w:rPr>
          <w:rFonts w:eastAsia="Calibri"/>
          <w:bCs/>
          <w:iCs/>
          <w:color w:val="000000"/>
        </w:rPr>
        <w:t xml:space="preserve"> E</w:t>
      </w:r>
      <w:r>
        <w:rPr>
          <w:rFonts w:eastAsia="Calibri"/>
          <w:bCs/>
          <w:iCs/>
          <w:color w:val="000000"/>
        </w:rPr>
        <w:t>UR</w:t>
      </w:r>
      <w:r w:rsidRPr="00722118">
        <w:rPr>
          <w:rFonts w:eastAsia="Calibri"/>
          <w:bCs/>
          <w:iCs/>
          <w:color w:val="000000"/>
        </w:rPr>
        <w:t>.</w:t>
      </w:r>
    </w:p>
    <w:p w14:paraId="647099B7" w14:textId="77777777" w:rsidR="00746D3C" w:rsidRDefault="00746D3C" w:rsidP="00746D3C">
      <w:pPr>
        <w:jc w:val="both"/>
        <w:rPr>
          <w:b/>
          <w:i/>
          <w:color w:val="000000"/>
        </w:rPr>
      </w:pPr>
    </w:p>
    <w:p w14:paraId="4EC5FF36" w14:textId="77777777" w:rsidR="00746D3C" w:rsidRDefault="00746D3C" w:rsidP="00746D3C">
      <w:pPr>
        <w:jc w:val="both"/>
        <w:rPr>
          <w:b/>
          <w:i/>
          <w:color w:val="000000"/>
        </w:rPr>
      </w:pPr>
      <w:r>
        <w:rPr>
          <w:b/>
          <w:i/>
          <w:color w:val="000000"/>
        </w:rPr>
        <w:t>13</w:t>
      </w:r>
      <w:r w:rsidRPr="006D3174">
        <w:rPr>
          <w:b/>
          <w:i/>
          <w:color w:val="000000"/>
        </w:rPr>
        <w:t xml:space="preserve">. </w:t>
      </w:r>
      <w:r>
        <w:rPr>
          <w:b/>
          <w:i/>
          <w:color w:val="000000"/>
        </w:rPr>
        <w:t>Prijatie opravnej</w:t>
      </w:r>
      <w:r w:rsidRPr="002065F9">
        <w:rPr>
          <w:b/>
          <w:i/>
          <w:color w:val="000000"/>
        </w:rPr>
        <w:t xml:space="preserve"> elektronickej faktúry </w:t>
      </w:r>
      <w:r>
        <w:rPr>
          <w:b/>
          <w:i/>
          <w:color w:val="000000"/>
        </w:rPr>
        <w:t>zdaniteľnou osobou</w:t>
      </w:r>
      <w:r w:rsidRPr="002065F9">
        <w:rPr>
          <w:b/>
          <w:i/>
          <w:color w:val="000000"/>
        </w:rPr>
        <w:t xml:space="preserve"> (tuzemské transakcie)</w:t>
      </w:r>
    </w:p>
    <w:p w14:paraId="1CDC8C84" w14:textId="77777777" w:rsidR="00746D3C" w:rsidRDefault="00746D3C" w:rsidP="00746D3C">
      <w:pPr>
        <w:jc w:val="both"/>
        <w:rPr>
          <w:b/>
          <w:i/>
          <w:color w:val="000000"/>
        </w:rPr>
      </w:pPr>
    </w:p>
    <w:p w14:paraId="54076BE2" w14:textId="77777777" w:rsidR="00746D3C" w:rsidRPr="00722118" w:rsidRDefault="00746D3C" w:rsidP="00746D3C">
      <w:pPr>
        <w:jc w:val="both"/>
        <w:rPr>
          <w:rFonts w:eastAsia="Calibri"/>
          <w:bCs/>
          <w:iCs/>
          <w:color w:val="000000"/>
        </w:rPr>
      </w:pPr>
      <w:r w:rsidRPr="00722118">
        <w:rPr>
          <w:rFonts w:eastAsia="Calibri"/>
          <w:bCs/>
          <w:iCs/>
          <w:color w:val="000000"/>
        </w:rPr>
        <w:t xml:space="preserve">Zmena regulácie dotknutým subjektom znižuje náklady. Faktúra sa na účely zákona o DPH bude vyhotovovať, zasielať, ale aj prijímať zásadne ako elektronická </w:t>
      </w:r>
      <w:r>
        <w:rPr>
          <w:rFonts w:eastAsia="Calibri"/>
          <w:bCs/>
          <w:iCs/>
          <w:color w:val="000000"/>
        </w:rPr>
        <w:t xml:space="preserve">faktúra </w:t>
      </w:r>
      <w:r w:rsidRPr="00722118">
        <w:rPr>
          <w:rFonts w:eastAsia="Calibri"/>
          <w:bCs/>
          <w:iCs/>
          <w:color w:val="000000"/>
        </w:rPr>
        <w:t xml:space="preserve">v zákonom ustanovenom formáte. Aj opravná faktúra k prvotne vyhotovenej elektronickej faktúre sa bude vyhotovovať, zasielať a prijímať elektronicky v príslušnom štruktúrovanom elektronickom </w:t>
      </w:r>
      <w:r w:rsidRPr="00722118">
        <w:rPr>
          <w:rFonts w:eastAsia="Calibri"/>
          <w:bCs/>
          <w:iCs/>
          <w:color w:val="000000"/>
        </w:rPr>
        <w:lastRenderedPageBreak/>
        <w:t>formáte. Elektronickou faktúra je len taká faktúra, ktorá obsahuje náležitosti podľa zákona o DPH a je vyhotovená, zaslaná a prijatá v štruktúrovanom elektronickom formáte, ktorý umožňuje jeho automatizované a elektronické spracovanie.</w:t>
      </w:r>
    </w:p>
    <w:p w14:paraId="3BC2A554" w14:textId="77777777" w:rsidR="00746D3C" w:rsidRPr="00722118" w:rsidRDefault="00746D3C" w:rsidP="00746D3C">
      <w:pPr>
        <w:jc w:val="both"/>
        <w:rPr>
          <w:rFonts w:eastAsia="Calibri"/>
          <w:bCs/>
          <w:iCs/>
          <w:color w:val="000000"/>
        </w:rPr>
      </w:pPr>
    </w:p>
    <w:p w14:paraId="354D5465" w14:textId="77777777" w:rsidR="00746D3C" w:rsidRPr="00D20F03" w:rsidRDefault="00746D3C" w:rsidP="00746D3C">
      <w:pPr>
        <w:jc w:val="both"/>
        <w:rPr>
          <w:rFonts w:eastAsia="Calibri"/>
          <w:bCs/>
          <w:iCs/>
          <w:color w:val="000000"/>
        </w:rPr>
      </w:pPr>
      <w:bookmarkStart w:id="8" w:name="_Hlk202791792"/>
      <w:r w:rsidRPr="00722118">
        <w:rPr>
          <w:rFonts w:eastAsia="Calibri"/>
          <w:bCs/>
          <w:iCs/>
          <w:color w:val="000000"/>
        </w:rPr>
        <w:t xml:space="preserve">Predmetná regulácia pre dotknuté subjekty predstavuje administratívny vplyv. </w:t>
      </w:r>
      <w:r w:rsidRPr="00933E70">
        <w:rPr>
          <w:rFonts w:eastAsia="Calibri"/>
          <w:bCs/>
          <w:iCs/>
          <w:color w:val="000000"/>
        </w:rPr>
        <w:t>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w:t>
      </w:r>
      <w:bookmarkStart w:id="9" w:name="_Hlk202792020"/>
      <w:r w:rsidRPr="00A37652">
        <w:t>.</w:t>
      </w:r>
      <w:r w:rsidRPr="00A37652">
        <w:rPr>
          <w:rFonts w:eastAsia="Calibri"/>
          <w:bCs/>
          <w:iCs/>
          <w:color w:val="000000"/>
        </w:rPr>
        <w:t xml:space="preserve"> </w:t>
      </w:r>
      <w:r>
        <w:rPr>
          <w:rFonts w:eastAsia="Calibri"/>
          <w:bCs/>
          <w:iCs/>
          <w:color w:val="000000"/>
        </w:rPr>
        <w:t>Počet právnických osôb registrovaných na daň z príjmu, bez registrácie na DPH bol k 30.4.2025 240 301 daňových subjektov (415 426 – 175 125). T</w:t>
      </w:r>
      <w:r w:rsidRPr="00A37652">
        <w:rPr>
          <w:rFonts w:eastAsia="Calibri"/>
          <w:bCs/>
          <w:iCs/>
          <w:color w:val="000000"/>
        </w:rPr>
        <w:t>akéto zdaniteľné osoby na základe údajov FRSR prijali v</w:t>
      </w:r>
      <w:r w:rsidRPr="00933E70">
        <w:rPr>
          <w:rFonts w:eastAsia="Calibri"/>
          <w:bCs/>
          <w:iCs/>
          <w:color w:val="000000"/>
        </w:rPr>
        <w:t xml:space="preserve"> kalendárnom roku 2024 </w:t>
      </w:r>
      <w:r>
        <w:rPr>
          <w:rFonts w:eastAsia="Calibri"/>
          <w:bCs/>
          <w:iCs/>
          <w:color w:val="000000"/>
        </w:rPr>
        <w:t>celkovo 2 596 693</w:t>
      </w:r>
      <w:r w:rsidRPr="00722118">
        <w:rPr>
          <w:rFonts w:eastAsia="Calibri"/>
          <w:bCs/>
          <w:iCs/>
          <w:color w:val="000000"/>
        </w:rPr>
        <w:t xml:space="preserve"> </w:t>
      </w:r>
      <w:r>
        <w:rPr>
          <w:rFonts w:eastAsia="Calibri"/>
          <w:bCs/>
          <w:iCs/>
          <w:color w:val="000000"/>
        </w:rPr>
        <w:t>opravných</w:t>
      </w:r>
      <w:r w:rsidRPr="00933E70">
        <w:rPr>
          <w:rFonts w:eastAsia="Calibri"/>
          <w:bCs/>
          <w:iCs/>
          <w:color w:val="000000"/>
        </w:rPr>
        <w:t xml:space="preserve"> faktúr v rôznej podobe</w:t>
      </w:r>
      <w:bookmarkEnd w:id="8"/>
      <w:r w:rsidRPr="00933E70">
        <w:rPr>
          <w:rFonts w:eastAsia="Calibri"/>
          <w:bCs/>
          <w:iCs/>
          <w:color w:val="000000"/>
        </w:rPr>
        <w:t>, či už listinnej alebo elektronickej (e-mail, pdf, ...)</w:t>
      </w:r>
      <w:r>
        <w:rPr>
          <w:rFonts w:eastAsia="Calibri"/>
          <w:bCs/>
          <w:iCs/>
          <w:color w:val="000000"/>
        </w:rPr>
        <w:t xml:space="preserve"> od tuzemských platiteľov dane.</w:t>
      </w:r>
      <w:bookmarkEnd w:id="9"/>
      <w:r>
        <w:rPr>
          <w:rFonts w:eastAsia="Calibri"/>
          <w:bCs/>
          <w:iCs/>
          <w:color w:val="000000"/>
        </w:rPr>
        <w:t xml:space="preserve"> Časť týchto faktúr bola prijatá aj právnickými osobami, ktoré nie sú zdaniteľnými osobami, pri ktorých nebol vplyv na podnikateľské prostredie kvantifikovaný prostredníctvom kalkulačky nákladov podnikateľského prostredia, keďže ide prevažne o orgány verejnej moci.</w:t>
      </w:r>
      <w:r w:rsidRPr="00933E70">
        <w:rPr>
          <w:rFonts w:eastAsia="Calibri"/>
          <w:bCs/>
          <w:iCs/>
          <w:color w:val="000000"/>
        </w:rPr>
        <w:t xml:space="preserve"> Na základe expertného odhadu MFSR a FRSR sa</w:t>
      </w:r>
      <w:r>
        <w:rPr>
          <w:rFonts w:eastAsia="Calibri"/>
          <w:bCs/>
          <w:iCs/>
          <w:color w:val="000000"/>
        </w:rPr>
        <w:t xml:space="preserve"> </w:t>
      </w:r>
      <w:r w:rsidRPr="00933E70">
        <w:rPr>
          <w:rFonts w:eastAsia="Calibri"/>
          <w:bCs/>
          <w:iCs/>
          <w:color w:val="000000"/>
        </w:rPr>
        <w:t xml:space="preserve">predpokladá, že 20 % z tohto počtu faktúr je </w:t>
      </w:r>
      <w:r>
        <w:rPr>
          <w:rFonts w:eastAsia="Calibri"/>
          <w:bCs/>
          <w:iCs/>
          <w:color w:val="000000"/>
        </w:rPr>
        <w:t>prijatých</w:t>
      </w:r>
      <w:r w:rsidRPr="00933E70">
        <w:rPr>
          <w:rFonts w:eastAsia="Calibri"/>
          <w:bCs/>
          <w:iCs/>
          <w:color w:val="000000"/>
        </w:rPr>
        <w:t xml:space="preserve"> v listinnej podobe.</w:t>
      </w:r>
      <w:r>
        <w:rPr>
          <w:rFonts w:eastAsia="Calibri"/>
          <w:bCs/>
          <w:iCs/>
          <w:color w:val="000000"/>
        </w:rPr>
        <w:t xml:space="preserve"> </w:t>
      </w:r>
      <w:r w:rsidRPr="00722118">
        <w:rPr>
          <w:rFonts w:eastAsia="Calibri"/>
          <w:bCs/>
          <w:iCs/>
          <w:color w:val="000000"/>
        </w:rPr>
        <w:t>Elektronická faktúra však prináša úsporu až 80 % nákladov na spracovanie faktúr, pričom náklady na</w:t>
      </w:r>
      <w:r>
        <w:rPr>
          <w:rFonts w:eastAsia="Calibri"/>
          <w:bCs/>
          <w:iCs/>
          <w:color w:val="000000"/>
        </w:rPr>
        <w:t xml:space="preserve"> </w:t>
      </w:r>
      <w:r w:rsidRPr="00722118">
        <w:rPr>
          <w:rFonts w:eastAsia="Calibri"/>
          <w:bCs/>
          <w:iCs/>
          <w:color w:val="000000"/>
        </w:rPr>
        <w:t xml:space="preserve">vyhotovenie 1 elektronickej faktúry sa odhadli vo výške od 0,1 do 0,5 EUR (priemer 0,3 EUR). Náklady na spracovanie prijatej elektronickej faktúry sa odhadujú vo výške 50 % z nákladov na jej vyhotovenie a zaslanie, pričom priamo úmerne klesnú aj náklady na jej spracovanie. Náklady regulácie boli určené ako </w:t>
      </w:r>
      <w:r>
        <w:rPr>
          <w:rFonts w:eastAsia="Calibri"/>
          <w:bCs/>
          <w:iCs/>
          <w:color w:val="000000"/>
        </w:rPr>
        <w:t>ne</w:t>
      </w:r>
      <w:r w:rsidRPr="00722118">
        <w:rPr>
          <w:rFonts w:eastAsia="Calibri"/>
          <w:bCs/>
          <w:iCs/>
          <w:color w:val="000000"/>
        </w:rPr>
        <w:t xml:space="preserve">priame finančné náklady. Pri výpočte sa vychádzalo z toho, aj že zvyšných 20 % (t.j. </w:t>
      </w:r>
      <w:r>
        <w:rPr>
          <w:rFonts w:eastAsia="Calibri"/>
          <w:bCs/>
          <w:iCs/>
          <w:color w:val="000000"/>
        </w:rPr>
        <w:t>519 339</w:t>
      </w:r>
      <w:r w:rsidRPr="00722118">
        <w:rPr>
          <w:rFonts w:eastAsia="Calibri"/>
          <w:bCs/>
          <w:iCs/>
          <w:color w:val="000000"/>
        </w:rPr>
        <w:t xml:space="preserve"> faktúr) z celkového počtu vyhotovených </w:t>
      </w:r>
      <w:r>
        <w:rPr>
          <w:rFonts w:eastAsia="Calibri"/>
          <w:bCs/>
          <w:iCs/>
          <w:color w:val="000000"/>
        </w:rPr>
        <w:t xml:space="preserve">opravných </w:t>
      </w:r>
      <w:r w:rsidRPr="00722118">
        <w:rPr>
          <w:rFonts w:eastAsia="Calibri"/>
          <w:bCs/>
          <w:iCs/>
          <w:color w:val="000000"/>
        </w:rPr>
        <w:t xml:space="preserve">faktúr platiteľmi dane bude prijatých elektronicky, čím sa znížia náklady na vyhotovenie 1 </w:t>
      </w:r>
      <w:r>
        <w:rPr>
          <w:rFonts w:eastAsia="Calibri"/>
          <w:bCs/>
          <w:iCs/>
          <w:color w:val="000000"/>
        </w:rPr>
        <w:t xml:space="preserve">opravnej </w:t>
      </w:r>
      <w:r w:rsidRPr="00722118">
        <w:rPr>
          <w:rFonts w:eastAsia="Calibri"/>
          <w:bCs/>
          <w:iCs/>
          <w:color w:val="000000"/>
        </w:rPr>
        <w:t>elektronickej faktúry v priemere o</w:t>
      </w:r>
      <w:r>
        <w:rPr>
          <w:rFonts w:eastAsia="Calibri"/>
          <w:bCs/>
          <w:iCs/>
          <w:color w:val="000000"/>
        </w:rPr>
        <w:t> 0,6</w:t>
      </w:r>
      <w:r w:rsidRPr="00722118">
        <w:rPr>
          <w:rFonts w:eastAsia="Calibri"/>
          <w:bCs/>
          <w:iCs/>
          <w:color w:val="000000"/>
        </w:rPr>
        <w:t xml:space="preserve"> EUR.</w:t>
      </w:r>
      <w:r>
        <w:rPr>
          <w:rFonts w:eastAsia="Calibri"/>
          <w:bCs/>
          <w:iCs/>
          <w:color w:val="000000"/>
        </w:rPr>
        <w:t xml:space="preserve"> Spôsob výpočtu hodnoty vloženej do stĺpca D – 519 339 x 0,6 = 311 603 ÷ 240 301 = 1,3</w:t>
      </w:r>
      <w:r w:rsidRPr="00933E70">
        <w:rPr>
          <w:rFonts w:eastAsia="Calibri"/>
          <w:bCs/>
          <w:iCs/>
          <w:color w:val="000000"/>
        </w:rPr>
        <w:t>.</w:t>
      </w:r>
      <w:r w:rsidRPr="00722118">
        <w:rPr>
          <w:rFonts w:eastAsia="Calibri"/>
          <w:bCs/>
          <w:iCs/>
          <w:color w:val="000000"/>
        </w:rPr>
        <w:t xml:space="preserve"> Frekvencia plnenia bola určená </w:t>
      </w:r>
      <w:r>
        <w:rPr>
          <w:rFonts w:eastAsia="Calibri"/>
          <w:bCs/>
          <w:iCs/>
          <w:color w:val="000000"/>
        </w:rPr>
        <w:t>na 1-krát ročne</w:t>
      </w:r>
      <w:r w:rsidRPr="00722118">
        <w:rPr>
          <w:rFonts w:eastAsia="Calibri"/>
          <w:bCs/>
          <w:iCs/>
          <w:color w:val="000000"/>
        </w:rPr>
        <w:t xml:space="preserve">. Na základe výpočtu Kalkulačky nákladov na podnikateľské prostredie sa v súvislosti s touto reguláciou predpokladá zníženie sumy administratívnych nákladov na podnikateľské prostredie (OUT) vo výške </w:t>
      </w:r>
      <w:r>
        <w:rPr>
          <w:rFonts w:eastAsia="Calibri"/>
          <w:bCs/>
          <w:iCs/>
          <w:color w:val="000000"/>
        </w:rPr>
        <w:t>312 391</w:t>
      </w:r>
      <w:r w:rsidRPr="00722118">
        <w:rPr>
          <w:rFonts w:eastAsia="Calibri"/>
          <w:bCs/>
          <w:iCs/>
          <w:color w:val="000000"/>
        </w:rPr>
        <w:t xml:space="preserve"> E</w:t>
      </w:r>
      <w:r>
        <w:rPr>
          <w:rFonts w:eastAsia="Calibri"/>
          <w:bCs/>
          <w:iCs/>
          <w:color w:val="000000"/>
        </w:rPr>
        <w:t>UR</w:t>
      </w:r>
      <w:r w:rsidRPr="00722118">
        <w:rPr>
          <w:rFonts w:eastAsia="Calibri"/>
          <w:bCs/>
          <w:iCs/>
          <w:color w:val="000000"/>
        </w:rPr>
        <w:t>.</w:t>
      </w:r>
    </w:p>
    <w:p w14:paraId="72AB681A" w14:textId="77777777" w:rsidR="00746D3C" w:rsidRDefault="00746D3C" w:rsidP="00746D3C">
      <w:pPr>
        <w:jc w:val="both"/>
        <w:rPr>
          <w:b/>
          <w:i/>
          <w:color w:val="000000"/>
        </w:rPr>
      </w:pPr>
    </w:p>
    <w:p w14:paraId="34C59D3D" w14:textId="77777777" w:rsidR="00746D3C" w:rsidRDefault="00746D3C" w:rsidP="00746D3C">
      <w:pPr>
        <w:jc w:val="both"/>
        <w:rPr>
          <w:b/>
          <w:i/>
          <w:color w:val="000000"/>
        </w:rPr>
      </w:pPr>
      <w:r w:rsidRPr="0082270C">
        <w:rPr>
          <w:b/>
          <w:i/>
          <w:color w:val="000000"/>
        </w:rPr>
        <w:t>1</w:t>
      </w:r>
      <w:r>
        <w:rPr>
          <w:b/>
          <w:i/>
          <w:color w:val="000000"/>
        </w:rPr>
        <w:t>4</w:t>
      </w:r>
      <w:r w:rsidRPr="0082270C">
        <w:rPr>
          <w:b/>
          <w:i/>
          <w:color w:val="000000"/>
        </w:rPr>
        <w:t>. Vyhotovenie elektronickej faktúry platiteľom dane (cezhraničné transakcie)</w:t>
      </w:r>
    </w:p>
    <w:p w14:paraId="1C2E074D" w14:textId="77777777" w:rsidR="00746D3C" w:rsidRDefault="00746D3C" w:rsidP="00746D3C">
      <w:pPr>
        <w:jc w:val="both"/>
        <w:rPr>
          <w:b/>
          <w:i/>
          <w:color w:val="000000"/>
        </w:rPr>
      </w:pPr>
    </w:p>
    <w:p w14:paraId="2CDADC28" w14:textId="77777777" w:rsidR="00746D3C" w:rsidRPr="00933E70" w:rsidRDefault="00746D3C" w:rsidP="00746D3C">
      <w:pPr>
        <w:jc w:val="both"/>
        <w:rPr>
          <w:rFonts w:eastAsia="Calibri"/>
          <w:bCs/>
          <w:iCs/>
          <w:color w:val="000000"/>
        </w:rPr>
      </w:pPr>
      <w:r w:rsidRPr="00933E70">
        <w:rPr>
          <w:rFonts w:eastAsia="Calibri"/>
          <w:bCs/>
          <w:iCs/>
          <w:color w:val="000000"/>
        </w:rPr>
        <w:t>Zmena regulácie dotknutým subjektom znižuje náklady. Faktúra sa na účely zákona o DPH bude vyhotovovať</w:t>
      </w:r>
      <w:r>
        <w:rPr>
          <w:rFonts w:eastAsia="Calibri"/>
          <w:bCs/>
          <w:iCs/>
          <w:color w:val="000000"/>
        </w:rPr>
        <w:t xml:space="preserve"> a zasielať</w:t>
      </w:r>
      <w:r w:rsidRPr="00933E70">
        <w:rPr>
          <w:rFonts w:eastAsia="Calibri"/>
          <w:bCs/>
          <w:iCs/>
          <w:color w:val="000000"/>
        </w:rPr>
        <w:t xml:space="preserve"> zásadne ako elektronická</w:t>
      </w:r>
      <w:r>
        <w:rPr>
          <w:rFonts w:eastAsia="Calibri"/>
          <w:bCs/>
          <w:iCs/>
          <w:color w:val="000000"/>
        </w:rPr>
        <w:t xml:space="preserve"> faktúra</w:t>
      </w:r>
      <w:r w:rsidRPr="00933E70">
        <w:rPr>
          <w:rFonts w:eastAsia="Calibri"/>
          <w:bCs/>
          <w:iCs/>
          <w:color w:val="000000"/>
        </w:rPr>
        <w:t xml:space="preserve"> v zákonom ustanovenom formáte.</w:t>
      </w:r>
      <w:r>
        <w:rPr>
          <w:rFonts w:eastAsia="Calibri"/>
          <w:bCs/>
          <w:iCs/>
          <w:color w:val="000000"/>
        </w:rPr>
        <w:t xml:space="preserve"> E</w:t>
      </w:r>
      <w:r w:rsidRPr="000A5DC7">
        <w:rPr>
          <w:rFonts w:eastAsia="Calibri"/>
          <w:bCs/>
          <w:iCs/>
          <w:color w:val="000000"/>
        </w:rPr>
        <w:t>lektronickou faktúr</w:t>
      </w:r>
      <w:r>
        <w:rPr>
          <w:rFonts w:eastAsia="Calibri"/>
          <w:bCs/>
          <w:iCs/>
          <w:color w:val="000000"/>
        </w:rPr>
        <w:t xml:space="preserve">a je len taká faktúra, ktorá obsahuje </w:t>
      </w:r>
      <w:r w:rsidRPr="000A5DC7">
        <w:rPr>
          <w:rFonts w:eastAsia="Calibri"/>
          <w:bCs/>
          <w:iCs/>
          <w:color w:val="000000"/>
        </w:rPr>
        <w:t xml:space="preserve">náležitosti podľa </w:t>
      </w:r>
      <w:r>
        <w:rPr>
          <w:rFonts w:eastAsia="Calibri"/>
          <w:bCs/>
          <w:iCs/>
          <w:color w:val="000000"/>
        </w:rPr>
        <w:t>zákona o DPH a je</w:t>
      </w:r>
      <w:r w:rsidRPr="000A5DC7">
        <w:rPr>
          <w:rFonts w:eastAsia="Calibri"/>
          <w:bCs/>
          <w:iCs/>
          <w:color w:val="000000"/>
        </w:rPr>
        <w:t xml:space="preserve"> vyhotoven</w:t>
      </w:r>
      <w:r>
        <w:rPr>
          <w:rFonts w:eastAsia="Calibri"/>
          <w:bCs/>
          <w:iCs/>
          <w:color w:val="000000"/>
        </w:rPr>
        <w:t>á</w:t>
      </w:r>
      <w:r w:rsidRPr="000A5DC7">
        <w:rPr>
          <w:rFonts w:eastAsia="Calibri"/>
          <w:bCs/>
          <w:iCs/>
          <w:color w:val="000000"/>
        </w:rPr>
        <w:t>, zaslan</w:t>
      </w:r>
      <w:r>
        <w:rPr>
          <w:rFonts w:eastAsia="Calibri"/>
          <w:bCs/>
          <w:iCs/>
          <w:color w:val="000000"/>
        </w:rPr>
        <w:t>á</w:t>
      </w:r>
      <w:r w:rsidRPr="000A5DC7">
        <w:rPr>
          <w:rFonts w:eastAsia="Calibri"/>
          <w:bCs/>
          <w:iCs/>
          <w:color w:val="000000"/>
        </w:rPr>
        <w:t xml:space="preserve"> a prijat</w:t>
      </w:r>
      <w:r>
        <w:rPr>
          <w:rFonts w:eastAsia="Calibri"/>
          <w:bCs/>
          <w:iCs/>
          <w:color w:val="000000"/>
        </w:rPr>
        <w:t>á</w:t>
      </w:r>
      <w:r w:rsidRPr="000A5DC7">
        <w:rPr>
          <w:rFonts w:eastAsia="Calibri"/>
          <w:bCs/>
          <w:iCs/>
          <w:color w:val="000000"/>
        </w:rPr>
        <w:t xml:space="preserve"> v štruktúrovanom elektronickom formáte, ktorý umožňuje jeho automatizované a elektronické spracovanie</w:t>
      </w:r>
      <w:r>
        <w:rPr>
          <w:rFonts w:eastAsia="Calibri"/>
          <w:bCs/>
          <w:iCs/>
          <w:color w:val="000000"/>
        </w:rPr>
        <w:t>.</w:t>
      </w:r>
    </w:p>
    <w:p w14:paraId="633CB36F" w14:textId="77777777" w:rsidR="00746D3C" w:rsidRPr="00933E70" w:rsidRDefault="00746D3C" w:rsidP="00746D3C">
      <w:pPr>
        <w:jc w:val="both"/>
        <w:rPr>
          <w:rFonts w:eastAsia="Calibri"/>
          <w:bCs/>
          <w:iCs/>
          <w:color w:val="000000"/>
        </w:rPr>
      </w:pPr>
    </w:p>
    <w:p w14:paraId="2ABC9F6A" w14:textId="77777777" w:rsidR="00746D3C" w:rsidRPr="0082270C" w:rsidRDefault="00746D3C" w:rsidP="00746D3C">
      <w:pPr>
        <w:jc w:val="both"/>
        <w:rPr>
          <w:b/>
          <w:i/>
          <w:color w:val="000000"/>
        </w:rPr>
      </w:pPr>
      <w:r w:rsidRPr="00933E70">
        <w:rPr>
          <w:rFonts w:eastAsia="Calibri"/>
          <w:bCs/>
          <w:iCs/>
          <w:color w:val="000000"/>
        </w:rPr>
        <w:t>Predmetná regulácia pre dotknuté subjekty predstavuje administratívny vplyv. 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registrovaných platiteľov dane z pridanej hodnoty (§ 4, § 4b a § 5 zákona o DPH) 225 206. </w:t>
      </w:r>
      <w:bookmarkStart w:id="10" w:name="_Hlk202792034"/>
      <w:r w:rsidRPr="00933E70">
        <w:rPr>
          <w:rFonts w:eastAsia="Calibri"/>
          <w:bCs/>
          <w:iCs/>
          <w:color w:val="000000"/>
        </w:rPr>
        <w:t xml:space="preserve">Títo platitelia dane </w:t>
      </w:r>
      <w:r>
        <w:rPr>
          <w:rFonts w:eastAsia="Calibri"/>
          <w:bCs/>
          <w:iCs/>
          <w:color w:val="000000"/>
        </w:rPr>
        <w:t>na základe údajov z FRSR prijali</w:t>
      </w:r>
      <w:r w:rsidRPr="00933E70">
        <w:rPr>
          <w:rFonts w:eastAsia="Calibri"/>
          <w:bCs/>
          <w:iCs/>
          <w:color w:val="000000"/>
        </w:rPr>
        <w:t xml:space="preserve"> v kalendárnom roku 2024 </w:t>
      </w:r>
      <w:r>
        <w:rPr>
          <w:rFonts w:eastAsia="Calibri"/>
          <w:bCs/>
          <w:iCs/>
          <w:color w:val="000000"/>
        </w:rPr>
        <w:t>celkovo 16 480 964</w:t>
      </w:r>
      <w:r w:rsidRPr="00933E70">
        <w:rPr>
          <w:rFonts w:eastAsia="Calibri"/>
          <w:bCs/>
          <w:iCs/>
          <w:color w:val="000000"/>
        </w:rPr>
        <w:t xml:space="preserve"> faktúr v rôznej podobe, či už listinnej alebo elektronickej (e-mail, pdf, ...)</w:t>
      </w:r>
      <w:r>
        <w:rPr>
          <w:rFonts w:eastAsia="Calibri"/>
          <w:bCs/>
          <w:iCs/>
          <w:color w:val="000000"/>
        </w:rPr>
        <w:t xml:space="preserve"> od dodávateľov z iných členských štátov</w:t>
      </w:r>
      <w:bookmarkEnd w:id="10"/>
      <w:r w:rsidRPr="00933E70">
        <w:rPr>
          <w:rFonts w:eastAsia="Calibri"/>
          <w:bCs/>
          <w:iCs/>
          <w:color w:val="000000"/>
        </w:rPr>
        <w:t>.</w:t>
      </w:r>
      <w:r>
        <w:rPr>
          <w:rFonts w:eastAsia="Calibri"/>
          <w:bCs/>
          <w:iCs/>
          <w:color w:val="000000"/>
        </w:rPr>
        <w:t xml:space="preserve"> Slovenská republika je však proexportne orientovaná. </w:t>
      </w:r>
      <w:r w:rsidRPr="007E34C4">
        <w:rPr>
          <w:rFonts w:eastAsia="Calibri"/>
          <w:bCs/>
          <w:iCs/>
          <w:color w:val="000000"/>
        </w:rPr>
        <w:t>Zahraničný obchod Slovensk</w:t>
      </w:r>
      <w:r>
        <w:rPr>
          <w:rFonts w:eastAsia="Calibri"/>
          <w:bCs/>
          <w:iCs/>
          <w:color w:val="000000"/>
        </w:rPr>
        <w:t>ej republiky</w:t>
      </w:r>
      <w:r w:rsidRPr="007E34C4">
        <w:rPr>
          <w:rFonts w:eastAsia="Calibri"/>
          <w:bCs/>
          <w:iCs/>
          <w:color w:val="000000"/>
        </w:rPr>
        <w:t xml:space="preserve"> uzavrel rok 2024 s prebytkom, ktorý však medziročne klesol o 1,4 mld. </w:t>
      </w:r>
      <w:r>
        <w:rPr>
          <w:rFonts w:eastAsia="Calibri"/>
          <w:bCs/>
          <w:iCs/>
          <w:color w:val="000000"/>
        </w:rPr>
        <w:t>EUR</w:t>
      </w:r>
      <w:r w:rsidRPr="007E34C4">
        <w:rPr>
          <w:rFonts w:eastAsia="Calibri"/>
          <w:bCs/>
          <w:iCs/>
          <w:color w:val="000000"/>
        </w:rPr>
        <w:t xml:space="preserve"> a dosiahol objem 3,1 mld. </w:t>
      </w:r>
      <w:r>
        <w:rPr>
          <w:rFonts w:eastAsia="Calibri"/>
          <w:bCs/>
          <w:iCs/>
          <w:color w:val="000000"/>
        </w:rPr>
        <w:t>EUR</w:t>
      </w:r>
      <w:r w:rsidRPr="007E34C4">
        <w:rPr>
          <w:rFonts w:eastAsia="Calibri"/>
          <w:bCs/>
          <w:iCs/>
          <w:color w:val="000000"/>
        </w:rPr>
        <w:t>.</w:t>
      </w:r>
      <w:r w:rsidRPr="00933E70">
        <w:rPr>
          <w:rFonts w:eastAsia="Calibri"/>
          <w:bCs/>
          <w:iCs/>
          <w:color w:val="000000"/>
        </w:rPr>
        <w:t xml:space="preserve"> </w:t>
      </w:r>
      <w:r w:rsidRPr="007E34C4">
        <w:rPr>
          <w:rFonts w:eastAsia="Calibri"/>
          <w:bCs/>
          <w:iCs/>
          <w:color w:val="000000"/>
        </w:rPr>
        <w:t xml:space="preserve">Podľa predbežných údajov vývoz tovaru zo </w:t>
      </w:r>
      <w:r>
        <w:rPr>
          <w:rFonts w:eastAsia="Calibri"/>
          <w:bCs/>
          <w:iCs/>
          <w:color w:val="000000"/>
        </w:rPr>
        <w:t>Slovenskej republiky</w:t>
      </w:r>
      <w:r w:rsidRPr="007E34C4">
        <w:rPr>
          <w:rFonts w:eastAsia="Calibri"/>
          <w:bCs/>
          <w:iCs/>
          <w:color w:val="000000"/>
        </w:rPr>
        <w:t xml:space="preserve"> za celý minulý rok klesol o 1,5 % na takmer 107 mld. </w:t>
      </w:r>
      <w:r>
        <w:rPr>
          <w:rFonts w:eastAsia="Calibri"/>
          <w:bCs/>
          <w:iCs/>
          <w:color w:val="000000"/>
        </w:rPr>
        <w:t>EUR</w:t>
      </w:r>
      <w:r w:rsidRPr="007E34C4">
        <w:rPr>
          <w:rFonts w:eastAsia="Calibri"/>
          <w:bCs/>
          <w:iCs/>
          <w:color w:val="000000"/>
        </w:rPr>
        <w:t xml:space="preserve">, zatiaľ čo dovoz do SR sa znížil o 0,2 % na skoro 104 mld. </w:t>
      </w:r>
      <w:r>
        <w:rPr>
          <w:rFonts w:eastAsia="Calibri"/>
          <w:bCs/>
          <w:iCs/>
          <w:color w:val="000000"/>
        </w:rPr>
        <w:t xml:space="preserve">EUR (zdroj: Štatistický úrad - </w:t>
      </w:r>
      <w:r w:rsidRPr="007E34C4">
        <w:rPr>
          <w:rFonts w:eastAsia="Calibri"/>
          <w:bCs/>
          <w:iCs/>
          <w:color w:val="000000"/>
        </w:rPr>
        <w:t>Zahraničný obchod – predbežné údaje za december a za rok 2024 a podrobné údaje za jedenásť mesiacov roka 2024</w:t>
      </w:r>
      <w:r>
        <w:rPr>
          <w:rFonts w:eastAsia="Calibri"/>
          <w:bCs/>
          <w:iCs/>
          <w:color w:val="000000"/>
        </w:rPr>
        <w:t>)</w:t>
      </w:r>
      <w:r w:rsidRPr="007E34C4">
        <w:rPr>
          <w:rFonts w:eastAsia="Calibri"/>
          <w:bCs/>
          <w:iCs/>
          <w:color w:val="000000"/>
        </w:rPr>
        <w:t>.</w:t>
      </w:r>
      <w:r>
        <w:rPr>
          <w:rFonts w:eastAsia="Calibri"/>
          <w:bCs/>
          <w:iCs/>
          <w:color w:val="000000"/>
        </w:rPr>
        <w:t xml:space="preserve"> MFSR predpokladá, že obdobný počet faktúr je vzhľadom na objem zahraničného obchodu Slovenskej republiky tuzemskými platiteľmi dane vyhotovený do iných členských štátov (t.j. 16 500 000). </w:t>
      </w:r>
      <w:r w:rsidRPr="00933E70">
        <w:rPr>
          <w:rFonts w:eastAsia="Calibri"/>
          <w:bCs/>
          <w:iCs/>
          <w:color w:val="000000"/>
        </w:rPr>
        <w:t xml:space="preserve">Na základe expertného odhadu MFSR a FRSR sa predpokladá, že 20 % z tohto počtu faktúr je vyhotovených v listinnej podobe. Elektronická faktúra však prináša úsporu až 80 % nákladov na spracovanie faktúr, pričom náklady na 1 elektronickú faktúru sa odhadujú vo výške od 0,1 </w:t>
      </w:r>
      <w:r w:rsidRPr="00933E70">
        <w:rPr>
          <w:rFonts w:eastAsia="Calibri"/>
          <w:bCs/>
          <w:iCs/>
          <w:color w:val="000000"/>
        </w:rPr>
        <w:lastRenderedPageBreak/>
        <w:t xml:space="preserve">do 0,5 EUR (priemer 0,3 EUR). Náklady regulácie boli určené ako </w:t>
      </w:r>
      <w:r>
        <w:rPr>
          <w:rFonts w:eastAsia="Calibri"/>
          <w:bCs/>
          <w:iCs/>
          <w:color w:val="000000"/>
        </w:rPr>
        <w:t>nepriame finančné náklady</w:t>
      </w:r>
      <w:r w:rsidRPr="00933E70">
        <w:rPr>
          <w:rFonts w:eastAsia="Calibri"/>
          <w:bCs/>
          <w:iCs/>
          <w:color w:val="000000"/>
        </w:rPr>
        <w:t xml:space="preserve">. Pri výpočte sa vychádzalo z toho, </w:t>
      </w:r>
      <w:r>
        <w:rPr>
          <w:rFonts w:eastAsia="Calibri"/>
          <w:bCs/>
          <w:iCs/>
          <w:color w:val="000000"/>
        </w:rPr>
        <w:t xml:space="preserve">aj </w:t>
      </w:r>
      <w:r w:rsidRPr="00933E70">
        <w:rPr>
          <w:rFonts w:eastAsia="Calibri"/>
          <w:bCs/>
          <w:iCs/>
          <w:color w:val="000000"/>
        </w:rPr>
        <w:t>že zvyšných 20 %</w:t>
      </w:r>
      <w:r>
        <w:rPr>
          <w:rFonts w:eastAsia="Calibri"/>
          <w:bCs/>
          <w:iCs/>
          <w:color w:val="000000"/>
        </w:rPr>
        <w:t xml:space="preserve"> (t.j. 3 300 000 faktúr)</w:t>
      </w:r>
      <w:r w:rsidRPr="00933E70">
        <w:rPr>
          <w:rFonts w:eastAsia="Calibri"/>
          <w:bCs/>
          <w:iCs/>
          <w:color w:val="000000"/>
        </w:rPr>
        <w:t xml:space="preserve"> z celkového počtu vyhotovených faktúr platiteľmi dane bude vyhotovených elektronicky, čím sa znížia náklady na vyhotovenie 1 </w:t>
      </w:r>
      <w:r>
        <w:rPr>
          <w:rFonts w:eastAsia="Calibri"/>
          <w:bCs/>
          <w:iCs/>
          <w:color w:val="000000"/>
        </w:rPr>
        <w:t xml:space="preserve">elektronickej </w:t>
      </w:r>
      <w:r w:rsidRPr="00933E70">
        <w:rPr>
          <w:rFonts w:eastAsia="Calibri"/>
          <w:bCs/>
          <w:iCs/>
          <w:color w:val="000000"/>
        </w:rPr>
        <w:t xml:space="preserve">faktúry v priemere o 1,2 EUR. </w:t>
      </w:r>
      <w:r>
        <w:rPr>
          <w:rFonts w:eastAsia="Calibri"/>
          <w:bCs/>
          <w:iCs/>
          <w:color w:val="000000"/>
        </w:rPr>
        <w:t>Spôsob výpočtu hodnoty vloženej do stĺpca D – 3 300 000 x 1,2 = 3 960 000 ÷ 225 206 = 17,6</w:t>
      </w:r>
      <w:r w:rsidRPr="00933E70">
        <w:rPr>
          <w:rFonts w:eastAsia="Calibri"/>
          <w:bCs/>
          <w:iCs/>
          <w:color w:val="000000"/>
        </w:rPr>
        <w:t>.</w:t>
      </w:r>
      <w:r>
        <w:rPr>
          <w:rFonts w:eastAsia="Calibri"/>
          <w:bCs/>
          <w:iCs/>
          <w:color w:val="000000"/>
        </w:rPr>
        <w:t xml:space="preserve"> </w:t>
      </w:r>
      <w:r w:rsidRPr="00933E70">
        <w:rPr>
          <w:rFonts w:eastAsia="Calibri"/>
          <w:bCs/>
          <w:iCs/>
          <w:color w:val="000000"/>
        </w:rPr>
        <w:t xml:space="preserve">Frekvencia plnenia bola určená </w:t>
      </w:r>
      <w:r>
        <w:rPr>
          <w:rFonts w:eastAsia="Calibri"/>
          <w:bCs/>
          <w:iCs/>
          <w:color w:val="000000"/>
        </w:rPr>
        <w:t>na 1-krát ročne</w:t>
      </w:r>
      <w:r w:rsidRPr="00933E70">
        <w:rPr>
          <w:rFonts w:eastAsia="Calibri"/>
          <w:bCs/>
          <w:iCs/>
          <w:color w:val="000000"/>
        </w:rPr>
        <w:t xml:space="preserve">. Na základe výpočtu Kalkulačky nákladov na podnikateľské prostredie sa v súvislosti s touto reguláciou predpokladá </w:t>
      </w:r>
      <w:r>
        <w:rPr>
          <w:rFonts w:eastAsia="Calibri"/>
          <w:bCs/>
          <w:iCs/>
          <w:color w:val="000000"/>
        </w:rPr>
        <w:t xml:space="preserve">zníženie </w:t>
      </w:r>
      <w:r w:rsidRPr="00933E70">
        <w:rPr>
          <w:rFonts w:eastAsia="Calibri"/>
          <w:bCs/>
          <w:iCs/>
          <w:color w:val="000000"/>
        </w:rPr>
        <w:t>sum</w:t>
      </w:r>
      <w:r>
        <w:rPr>
          <w:rFonts w:eastAsia="Calibri"/>
          <w:bCs/>
          <w:iCs/>
          <w:color w:val="000000"/>
        </w:rPr>
        <w:t>y</w:t>
      </w:r>
      <w:r w:rsidRPr="00933E70">
        <w:rPr>
          <w:rFonts w:eastAsia="Calibri"/>
          <w:bCs/>
          <w:iCs/>
          <w:color w:val="000000"/>
        </w:rPr>
        <w:t xml:space="preserve"> administratívnych nákladov na podnikateľské prostredie (</w:t>
      </w:r>
      <w:r>
        <w:rPr>
          <w:rFonts w:eastAsia="Calibri"/>
          <w:bCs/>
          <w:iCs/>
          <w:color w:val="000000"/>
        </w:rPr>
        <w:t>OUT</w:t>
      </w:r>
      <w:r w:rsidRPr="00933E70">
        <w:rPr>
          <w:rFonts w:eastAsia="Calibri"/>
          <w:bCs/>
          <w:iCs/>
          <w:color w:val="000000"/>
        </w:rPr>
        <w:t xml:space="preserve">) vo výške </w:t>
      </w:r>
      <w:r>
        <w:rPr>
          <w:rFonts w:eastAsia="Calibri"/>
          <w:bCs/>
          <w:iCs/>
          <w:color w:val="000000"/>
        </w:rPr>
        <w:t>3 963 626</w:t>
      </w:r>
      <w:r w:rsidRPr="00933E70">
        <w:rPr>
          <w:rFonts w:eastAsia="Calibri"/>
          <w:bCs/>
          <w:iCs/>
          <w:color w:val="000000"/>
        </w:rPr>
        <w:t xml:space="preserve"> E</w:t>
      </w:r>
      <w:r>
        <w:rPr>
          <w:rFonts w:eastAsia="Calibri"/>
          <w:bCs/>
          <w:iCs/>
          <w:color w:val="000000"/>
        </w:rPr>
        <w:t>UR</w:t>
      </w:r>
      <w:r w:rsidRPr="00933E70">
        <w:rPr>
          <w:rFonts w:eastAsia="Calibri"/>
          <w:bCs/>
          <w:iCs/>
          <w:color w:val="000000"/>
        </w:rPr>
        <w:t>.</w:t>
      </w:r>
    </w:p>
    <w:p w14:paraId="213C632D" w14:textId="77777777" w:rsidR="00746D3C" w:rsidRDefault="00746D3C" w:rsidP="00746D3C">
      <w:pPr>
        <w:jc w:val="both"/>
        <w:rPr>
          <w:b/>
          <w:i/>
          <w:color w:val="000000"/>
        </w:rPr>
      </w:pPr>
    </w:p>
    <w:p w14:paraId="24B57BA2" w14:textId="77777777" w:rsidR="00746D3C" w:rsidRPr="003136E1" w:rsidRDefault="00746D3C" w:rsidP="00746D3C">
      <w:pPr>
        <w:jc w:val="both"/>
        <w:rPr>
          <w:b/>
          <w:i/>
          <w:color w:val="000000"/>
        </w:rPr>
      </w:pPr>
      <w:r w:rsidRPr="008153CE">
        <w:rPr>
          <w:b/>
          <w:i/>
          <w:color w:val="000000"/>
        </w:rPr>
        <w:t>15. Prijatie elektronickej faktúry osobou registrovanou pre daň (cezhraničné transakcie)</w:t>
      </w:r>
    </w:p>
    <w:p w14:paraId="6154B7DD" w14:textId="77777777" w:rsidR="00746D3C" w:rsidRDefault="00746D3C" w:rsidP="00746D3C">
      <w:pPr>
        <w:jc w:val="both"/>
        <w:rPr>
          <w:b/>
          <w:i/>
          <w:color w:val="000000"/>
        </w:rPr>
      </w:pPr>
    </w:p>
    <w:p w14:paraId="0A1E741A" w14:textId="77777777" w:rsidR="00746D3C" w:rsidRPr="00933E70" w:rsidRDefault="00746D3C" w:rsidP="00746D3C">
      <w:pPr>
        <w:jc w:val="both"/>
        <w:rPr>
          <w:rFonts w:eastAsia="Calibri"/>
          <w:bCs/>
          <w:iCs/>
          <w:color w:val="000000"/>
        </w:rPr>
      </w:pPr>
      <w:r w:rsidRPr="00933E70">
        <w:rPr>
          <w:rFonts w:eastAsia="Calibri"/>
          <w:bCs/>
          <w:iCs/>
          <w:color w:val="000000"/>
        </w:rPr>
        <w:t>Zmena regulácie dotknutým subjektom znižuje náklady. Faktúra sa na účely zákona o DPH bude vyhotovovať</w:t>
      </w:r>
      <w:r>
        <w:rPr>
          <w:rFonts w:eastAsia="Calibri"/>
          <w:bCs/>
          <w:iCs/>
          <w:color w:val="000000"/>
        </w:rPr>
        <w:t>, zasielať, ale aj prijímať</w:t>
      </w:r>
      <w:r w:rsidRPr="00933E70">
        <w:rPr>
          <w:rFonts w:eastAsia="Calibri"/>
          <w:bCs/>
          <w:iCs/>
          <w:color w:val="000000"/>
        </w:rPr>
        <w:t xml:space="preserve"> zásadne ako elektronická </w:t>
      </w:r>
      <w:r>
        <w:rPr>
          <w:rFonts w:eastAsia="Calibri"/>
          <w:bCs/>
          <w:iCs/>
          <w:color w:val="000000"/>
        </w:rPr>
        <w:t xml:space="preserve">faktúra </w:t>
      </w:r>
      <w:r w:rsidRPr="00933E70">
        <w:rPr>
          <w:rFonts w:eastAsia="Calibri"/>
          <w:bCs/>
          <w:iCs/>
          <w:color w:val="000000"/>
        </w:rPr>
        <w:t>v zákonom ustanovenom formáte.</w:t>
      </w:r>
      <w:r>
        <w:rPr>
          <w:rFonts w:eastAsia="Calibri"/>
          <w:bCs/>
          <w:iCs/>
          <w:color w:val="000000"/>
        </w:rPr>
        <w:t xml:space="preserve"> E</w:t>
      </w:r>
      <w:r w:rsidRPr="000A5DC7">
        <w:rPr>
          <w:rFonts w:eastAsia="Calibri"/>
          <w:bCs/>
          <w:iCs/>
          <w:color w:val="000000"/>
        </w:rPr>
        <w:t>lektronickou faktúr</w:t>
      </w:r>
      <w:r>
        <w:rPr>
          <w:rFonts w:eastAsia="Calibri"/>
          <w:bCs/>
          <w:iCs/>
          <w:color w:val="000000"/>
        </w:rPr>
        <w:t xml:space="preserve">a je len taká faktúra, ktorá obsahuje </w:t>
      </w:r>
      <w:r w:rsidRPr="000A5DC7">
        <w:rPr>
          <w:rFonts w:eastAsia="Calibri"/>
          <w:bCs/>
          <w:iCs/>
          <w:color w:val="000000"/>
        </w:rPr>
        <w:t xml:space="preserve">náležitosti podľa </w:t>
      </w:r>
      <w:r>
        <w:rPr>
          <w:rFonts w:eastAsia="Calibri"/>
          <w:bCs/>
          <w:iCs/>
          <w:color w:val="000000"/>
        </w:rPr>
        <w:t>zákona o DPH a je</w:t>
      </w:r>
      <w:r w:rsidRPr="000A5DC7">
        <w:rPr>
          <w:rFonts w:eastAsia="Calibri"/>
          <w:bCs/>
          <w:iCs/>
          <w:color w:val="000000"/>
        </w:rPr>
        <w:t xml:space="preserve"> vyhotoven</w:t>
      </w:r>
      <w:r>
        <w:rPr>
          <w:rFonts w:eastAsia="Calibri"/>
          <w:bCs/>
          <w:iCs/>
          <w:color w:val="000000"/>
        </w:rPr>
        <w:t>á</w:t>
      </w:r>
      <w:r w:rsidRPr="000A5DC7">
        <w:rPr>
          <w:rFonts w:eastAsia="Calibri"/>
          <w:bCs/>
          <w:iCs/>
          <w:color w:val="000000"/>
        </w:rPr>
        <w:t>, zaslan</w:t>
      </w:r>
      <w:r>
        <w:rPr>
          <w:rFonts w:eastAsia="Calibri"/>
          <w:bCs/>
          <w:iCs/>
          <w:color w:val="000000"/>
        </w:rPr>
        <w:t>á</w:t>
      </w:r>
      <w:r w:rsidRPr="000A5DC7">
        <w:rPr>
          <w:rFonts w:eastAsia="Calibri"/>
          <w:bCs/>
          <w:iCs/>
          <w:color w:val="000000"/>
        </w:rPr>
        <w:t xml:space="preserve"> a prijat</w:t>
      </w:r>
      <w:r>
        <w:rPr>
          <w:rFonts w:eastAsia="Calibri"/>
          <w:bCs/>
          <w:iCs/>
          <w:color w:val="000000"/>
        </w:rPr>
        <w:t>á</w:t>
      </w:r>
      <w:r w:rsidRPr="000A5DC7">
        <w:rPr>
          <w:rFonts w:eastAsia="Calibri"/>
          <w:bCs/>
          <w:iCs/>
          <w:color w:val="000000"/>
        </w:rPr>
        <w:t xml:space="preserve"> v štruktúrovanom elektronickom formáte, ktorý umožňuje jeho automatizované a elektronické spracovanie</w:t>
      </w:r>
      <w:r>
        <w:rPr>
          <w:rFonts w:eastAsia="Calibri"/>
          <w:bCs/>
          <w:iCs/>
          <w:color w:val="000000"/>
        </w:rPr>
        <w:t>.</w:t>
      </w:r>
    </w:p>
    <w:p w14:paraId="4D58C29D" w14:textId="77777777" w:rsidR="00746D3C" w:rsidRPr="00933E70" w:rsidRDefault="00746D3C" w:rsidP="00746D3C">
      <w:pPr>
        <w:jc w:val="both"/>
        <w:rPr>
          <w:rFonts w:eastAsia="Calibri"/>
          <w:bCs/>
          <w:iCs/>
          <w:color w:val="000000"/>
        </w:rPr>
      </w:pPr>
    </w:p>
    <w:p w14:paraId="612EF193" w14:textId="77777777" w:rsidR="00746D3C" w:rsidRDefault="00746D3C" w:rsidP="00746D3C">
      <w:pPr>
        <w:jc w:val="both"/>
        <w:rPr>
          <w:rFonts w:eastAsia="Calibri"/>
          <w:bCs/>
          <w:iCs/>
          <w:color w:val="000000"/>
        </w:rPr>
      </w:pPr>
      <w:r w:rsidRPr="00933E70">
        <w:rPr>
          <w:rFonts w:eastAsia="Calibri"/>
          <w:bCs/>
          <w:iCs/>
          <w:color w:val="000000"/>
        </w:rPr>
        <w:t>Predmetná regulácia pre dotknuté subjekty predstavuje administratívny vplyv. 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w:t>
      </w:r>
      <w:bookmarkStart w:id="11" w:name="_Hlk202792055"/>
      <w:r w:rsidRPr="00933E70">
        <w:rPr>
          <w:rFonts w:eastAsia="Calibri"/>
          <w:bCs/>
          <w:iCs/>
          <w:color w:val="000000"/>
        </w:rPr>
        <w:t xml:space="preserve">Podľa údajov FRSR bol k 1.1.2025 celkový počet </w:t>
      </w:r>
      <w:r>
        <w:rPr>
          <w:rFonts w:eastAsia="Calibri"/>
          <w:bCs/>
          <w:iCs/>
          <w:color w:val="000000"/>
        </w:rPr>
        <w:t xml:space="preserve">osôb </w:t>
      </w:r>
      <w:r w:rsidRPr="00933E70">
        <w:rPr>
          <w:rFonts w:eastAsia="Calibri"/>
          <w:bCs/>
          <w:iCs/>
          <w:color w:val="000000"/>
        </w:rPr>
        <w:t xml:space="preserve">registrovaných </w:t>
      </w:r>
      <w:r>
        <w:rPr>
          <w:rFonts w:eastAsia="Calibri"/>
          <w:bCs/>
          <w:iCs/>
          <w:color w:val="000000"/>
        </w:rPr>
        <w:t>pre daň</w:t>
      </w:r>
      <w:r w:rsidRPr="00933E70">
        <w:rPr>
          <w:rFonts w:eastAsia="Calibri"/>
          <w:bCs/>
          <w:iCs/>
          <w:color w:val="000000"/>
        </w:rPr>
        <w:t xml:space="preserve"> z pridanej hodnoty (§ </w:t>
      </w:r>
      <w:r>
        <w:rPr>
          <w:rFonts w:eastAsia="Calibri"/>
          <w:bCs/>
          <w:iCs/>
          <w:color w:val="000000"/>
        </w:rPr>
        <w:t>7</w:t>
      </w:r>
      <w:r w:rsidRPr="00933E70">
        <w:rPr>
          <w:rFonts w:eastAsia="Calibri"/>
          <w:bCs/>
          <w:iCs/>
          <w:color w:val="000000"/>
        </w:rPr>
        <w:t xml:space="preserve"> </w:t>
      </w:r>
      <w:r>
        <w:rPr>
          <w:rFonts w:eastAsia="Calibri"/>
          <w:bCs/>
          <w:iCs/>
          <w:color w:val="000000"/>
        </w:rPr>
        <w:t xml:space="preserve">a </w:t>
      </w:r>
      <w:r w:rsidRPr="00933E70">
        <w:rPr>
          <w:rFonts w:eastAsia="Calibri"/>
          <w:bCs/>
          <w:iCs/>
          <w:color w:val="000000"/>
        </w:rPr>
        <w:t xml:space="preserve">§ </w:t>
      </w:r>
      <w:r>
        <w:rPr>
          <w:rFonts w:eastAsia="Calibri"/>
          <w:bCs/>
          <w:iCs/>
          <w:color w:val="000000"/>
        </w:rPr>
        <w:t>7a</w:t>
      </w:r>
      <w:r w:rsidRPr="00933E70">
        <w:rPr>
          <w:rFonts w:eastAsia="Calibri"/>
          <w:bCs/>
          <w:iCs/>
          <w:color w:val="000000"/>
        </w:rPr>
        <w:t xml:space="preserve"> zákona o DPH) </w:t>
      </w:r>
      <w:r>
        <w:rPr>
          <w:rFonts w:eastAsia="Calibri"/>
          <w:bCs/>
          <w:iCs/>
          <w:color w:val="000000"/>
        </w:rPr>
        <w:t>65 219</w:t>
      </w:r>
      <w:r w:rsidRPr="00933E70">
        <w:rPr>
          <w:rFonts w:eastAsia="Calibri"/>
          <w:bCs/>
          <w:iCs/>
          <w:color w:val="000000"/>
        </w:rPr>
        <w:t>.</w:t>
      </w:r>
      <w:r>
        <w:rPr>
          <w:rFonts w:eastAsia="Calibri"/>
          <w:bCs/>
          <w:iCs/>
          <w:color w:val="000000"/>
        </w:rPr>
        <w:t xml:space="preserve"> V tejto skupine osôb však nie sú zahrnuté tie daňové subjekty, ktoré nadobúdajú tovar v tuzemsku z iného členského štátu, avšak celková </w:t>
      </w:r>
      <w:r w:rsidRPr="003E5741">
        <w:rPr>
          <w:rFonts w:eastAsia="Calibri"/>
          <w:bCs/>
          <w:iCs/>
          <w:color w:val="000000"/>
        </w:rPr>
        <w:t xml:space="preserve">hodnota tovaru bez dane nadobudnutého z iných členských štátov </w:t>
      </w:r>
      <w:r>
        <w:rPr>
          <w:rFonts w:eastAsia="Calibri"/>
          <w:bCs/>
          <w:iCs/>
          <w:color w:val="000000"/>
        </w:rPr>
        <w:t>ne</w:t>
      </w:r>
      <w:r w:rsidRPr="003E5741">
        <w:rPr>
          <w:rFonts w:eastAsia="Calibri"/>
          <w:bCs/>
          <w:iCs/>
          <w:color w:val="000000"/>
        </w:rPr>
        <w:t>dosiah</w:t>
      </w:r>
      <w:r>
        <w:rPr>
          <w:rFonts w:eastAsia="Calibri"/>
          <w:bCs/>
          <w:iCs/>
          <w:color w:val="000000"/>
        </w:rPr>
        <w:t>la</w:t>
      </w:r>
      <w:r w:rsidRPr="003E5741">
        <w:rPr>
          <w:rFonts w:eastAsia="Calibri"/>
          <w:bCs/>
          <w:iCs/>
          <w:color w:val="000000"/>
        </w:rPr>
        <w:t xml:space="preserve"> v kalendárnom roku 14 000 </w:t>
      </w:r>
      <w:r>
        <w:rPr>
          <w:rFonts w:eastAsia="Calibri"/>
          <w:bCs/>
          <w:iCs/>
          <w:color w:val="000000"/>
        </w:rPr>
        <w:t>EUR</w:t>
      </w:r>
      <w:r w:rsidRPr="003E5741">
        <w:rPr>
          <w:rFonts w:eastAsia="Calibri"/>
          <w:bCs/>
          <w:iCs/>
          <w:color w:val="000000"/>
        </w:rPr>
        <w:t>.</w:t>
      </w:r>
      <w:r>
        <w:rPr>
          <w:rFonts w:eastAsia="Calibri"/>
          <w:bCs/>
          <w:iCs/>
          <w:color w:val="000000"/>
        </w:rPr>
        <w:t xml:space="preserve"> Zároveň sú v tejto skupine zahrnuté daňové subjekty, ktoré </w:t>
      </w:r>
      <w:r w:rsidRPr="003E5741">
        <w:rPr>
          <w:rFonts w:eastAsia="Calibri"/>
          <w:bCs/>
          <w:iCs/>
          <w:color w:val="000000"/>
        </w:rPr>
        <w:t>dodáva</w:t>
      </w:r>
      <w:r>
        <w:rPr>
          <w:rFonts w:eastAsia="Calibri"/>
          <w:bCs/>
          <w:iCs/>
          <w:color w:val="000000"/>
        </w:rPr>
        <w:t>jú</w:t>
      </w:r>
      <w:r w:rsidRPr="003E5741">
        <w:rPr>
          <w:rFonts w:eastAsia="Calibri"/>
          <w:bCs/>
          <w:iCs/>
          <w:color w:val="000000"/>
        </w:rPr>
        <w:t xml:space="preserve"> službu, pri ktorej je miesto dodania podľa § 15 ods. 1 </w:t>
      </w:r>
      <w:r>
        <w:rPr>
          <w:rFonts w:eastAsia="Calibri"/>
          <w:bCs/>
          <w:iCs/>
          <w:color w:val="000000"/>
        </w:rPr>
        <w:t xml:space="preserve">zákona o DPH </w:t>
      </w:r>
      <w:r w:rsidRPr="003E5741">
        <w:rPr>
          <w:rFonts w:eastAsia="Calibri"/>
          <w:bCs/>
          <w:iCs/>
          <w:color w:val="000000"/>
        </w:rPr>
        <w:t>v inom členskom štáte a osobou povinnou platiť daň je príjemca služby</w:t>
      </w:r>
      <w:r>
        <w:rPr>
          <w:rFonts w:eastAsia="Calibri"/>
          <w:bCs/>
          <w:iCs/>
          <w:color w:val="000000"/>
        </w:rPr>
        <w:t>, t.j. tie subjekty, ktoré faktúry vyhotovujú. MFSR odhaduje, že osoby registrované pre daň podľa § 7 a § 7a prijali</w:t>
      </w:r>
      <w:r w:rsidRPr="00933E70">
        <w:rPr>
          <w:rFonts w:eastAsia="Calibri"/>
          <w:bCs/>
          <w:iCs/>
          <w:color w:val="000000"/>
        </w:rPr>
        <w:t xml:space="preserve"> v kalendárnom roku 2024 </w:t>
      </w:r>
      <w:r>
        <w:rPr>
          <w:rFonts w:eastAsia="Calibri"/>
          <w:bCs/>
          <w:iCs/>
          <w:color w:val="000000"/>
        </w:rPr>
        <w:t>celkovo 824 048</w:t>
      </w:r>
      <w:r w:rsidRPr="00933E70">
        <w:rPr>
          <w:rFonts w:eastAsia="Calibri"/>
          <w:bCs/>
          <w:iCs/>
          <w:color w:val="000000"/>
        </w:rPr>
        <w:t xml:space="preserve"> faktúr</w:t>
      </w:r>
      <w:r>
        <w:rPr>
          <w:rFonts w:eastAsia="Calibri"/>
          <w:bCs/>
          <w:iCs/>
          <w:color w:val="000000"/>
        </w:rPr>
        <w:t xml:space="preserve"> (5 % z 16 480 964) </w:t>
      </w:r>
      <w:r w:rsidRPr="00933E70">
        <w:rPr>
          <w:rFonts w:eastAsia="Calibri"/>
          <w:bCs/>
          <w:iCs/>
          <w:color w:val="000000"/>
        </w:rPr>
        <w:t>v rôznej podobe, či už listinnej alebo elektronickej (e-mail, pdf, ...)</w:t>
      </w:r>
      <w:r>
        <w:rPr>
          <w:rFonts w:eastAsia="Calibri"/>
          <w:bCs/>
          <w:iCs/>
          <w:color w:val="000000"/>
        </w:rPr>
        <w:t xml:space="preserve"> od dodávateľov z iných členských štátov</w:t>
      </w:r>
      <w:r w:rsidRPr="00933E70">
        <w:rPr>
          <w:rFonts w:eastAsia="Calibri"/>
          <w:bCs/>
          <w:iCs/>
          <w:color w:val="000000"/>
        </w:rPr>
        <w:t>.</w:t>
      </w:r>
      <w:r w:rsidRPr="00A37652">
        <w:rPr>
          <w:rFonts w:eastAsia="Calibri"/>
          <w:bCs/>
          <w:iCs/>
          <w:color w:val="000000"/>
        </w:rPr>
        <w:t xml:space="preserve"> </w:t>
      </w:r>
      <w:bookmarkEnd w:id="11"/>
      <w:r w:rsidRPr="00933E70">
        <w:rPr>
          <w:rFonts w:eastAsia="Calibri"/>
          <w:bCs/>
          <w:iCs/>
          <w:color w:val="000000"/>
        </w:rPr>
        <w:t>Na základe expertného odhadu MFSR a FRSR sa</w:t>
      </w:r>
      <w:r>
        <w:rPr>
          <w:rFonts w:eastAsia="Calibri"/>
          <w:bCs/>
          <w:iCs/>
          <w:color w:val="000000"/>
        </w:rPr>
        <w:t xml:space="preserve"> obdobne ako pri výpočte v rámci regulácie č. 9</w:t>
      </w:r>
      <w:r w:rsidRPr="00933E70">
        <w:rPr>
          <w:rFonts w:eastAsia="Calibri"/>
          <w:bCs/>
          <w:iCs/>
          <w:color w:val="000000"/>
        </w:rPr>
        <w:t xml:space="preserve"> predpokladá, že 20 % z tohto počtu faktúr je </w:t>
      </w:r>
      <w:r>
        <w:rPr>
          <w:rFonts w:eastAsia="Calibri"/>
          <w:bCs/>
          <w:iCs/>
          <w:color w:val="000000"/>
        </w:rPr>
        <w:t>prijatých</w:t>
      </w:r>
      <w:r w:rsidRPr="00933E70">
        <w:rPr>
          <w:rFonts w:eastAsia="Calibri"/>
          <w:bCs/>
          <w:iCs/>
          <w:color w:val="000000"/>
        </w:rPr>
        <w:t xml:space="preserve"> v listinnej podobe. Elektronická faktúra však prináša úsporu až 80 % nákladov na spracovanie faktúr, pričom náklady na</w:t>
      </w:r>
      <w:r>
        <w:rPr>
          <w:rFonts w:eastAsia="Calibri"/>
          <w:bCs/>
          <w:iCs/>
          <w:color w:val="000000"/>
        </w:rPr>
        <w:t xml:space="preserve"> vyhotovenie </w:t>
      </w:r>
      <w:r w:rsidRPr="00933E70">
        <w:rPr>
          <w:rFonts w:eastAsia="Calibri"/>
          <w:bCs/>
          <w:iCs/>
          <w:color w:val="000000"/>
        </w:rPr>
        <w:t>1 elektronick</w:t>
      </w:r>
      <w:r>
        <w:rPr>
          <w:rFonts w:eastAsia="Calibri"/>
          <w:bCs/>
          <w:iCs/>
          <w:color w:val="000000"/>
        </w:rPr>
        <w:t>ej</w:t>
      </w:r>
      <w:r w:rsidRPr="00933E70">
        <w:rPr>
          <w:rFonts w:eastAsia="Calibri"/>
          <w:bCs/>
          <w:iCs/>
          <w:color w:val="000000"/>
        </w:rPr>
        <w:t xml:space="preserve"> faktúr</w:t>
      </w:r>
      <w:r>
        <w:rPr>
          <w:rFonts w:eastAsia="Calibri"/>
          <w:bCs/>
          <w:iCs/>
          <w:color w:val="000000"/>
        </w:rPr>
        <w:t>y</w:t>
      </w:r>
      <w:r w:rsidRPr="00933E70">
        <w:rPr>
          <w:rFonts w:eastAsia="Calibri"/>
          <w:bCs/>
          <w:iCs/>
          <w:color w:val="000000"/>
        </w:rPr>
        <w:t xml:space="preserve"> sa odhad</w:t>
      </w:r>
      <w:r>
        <w:rPr>
          <w:rFonts w:eastAsia="Calibri"/>
          <w:bCs/>
          <w:iCs/>
          <w:color w:val="000000"/>
        </w:rPr>
        <w:t>li</w:t>
      </w:r>
      <w:r w:rsidRPr="00933E70">
        <w:rPr>
          <w:rFonts w:eastAsia="Calibri"/>
          <w:bCs/>
          <w:iCs/>
          <w:color w:val="000000"/>
        </w:rPr>
        <w:t xml:space="preserve"> vo výške od 0,1 do 0,5 EUR (priemer 0,3 EUR).</w:t>
      </w:r>
      <w:r>
        <w:rPr>
          <w:rFonts w:eastAsia="Calibri"/>
          <w:bCs/>
          <w:iCs/>
          <w:color w:val="000000"/>
        </w:rPr>
        <w:t xml:space="preserve"> Náklady na spracovanie prijatej elektronickej faktúry sa odhadujú vo výške 50 % z nákladov na jej vyhotovenie a zaslanie, pričom priamo úmerne klesnú aj náklady na jej spracovanie.</w:t>
      </w:r>
      <w:r w:rsidRPr="00933E70">
        <w:rPr>
          <w:rFonts w:eastAsia="Calibri"/>
          <w:bCs/>
          <w:iCs/>
          <w:color w:val="000000"/>
        </w:rPr>
        <w:t xml:space="preserve"> Náklady regulácie boli určené ako </w:t>
      </w:r>
      <w:r>
        <w:rPr>
          <w:rFonts w:eastAsia="Calibri"/>
          <w:bCs/>
          <w:iCs/>
          <w:color w:val="000000"/>
        </w:rPr>
        <w:t>nepriame finančné náklady</w:t>
      </w:r>
      <w:r w:rsidRPr="00933E70">
        <w:rPr>
          <w:rFonts w:eastAsia="Calibri"/>
          <w:bCs/>
          <w:iCs/>
          <w:color w:val="000000"/>
        </w:rPr>
        <w:t>. Pri výpočte sa vychádzalo z toho,</w:t>
      </w:r>
      <w:r>
        <w:rPr>
          <w:rFonts w:eastAsia="Calibri"/>
          <w:bCs/>
          <w:iCs/>
          <w:color w:val="000000"/>
        </w:rPr>
        <w:t xml:space="preserve"> </w:t>
      </w:r>
      <w:r w:rsidRPr="00933E70">
        <w:rPr>
          <w:rFonts w:eastAsia="Calibri"/>
          <w:bCs/>
          <w:iCs/>
          <w:color w:val="000000"/>
        </w:rPr>
        <w:t>že</w:t>
      </w:r>
      <w:r>
        <w:rPr>
          <w:rFonts w:eastAsia="Calibri"/>
          <w:bCs/>
          <w:iCs/>
          <w:color w:val="000000"/>
        </w:rPr>
        <w:t xml:space="preserve"> aj</w:t>
      </w:r>
      <w:r w:rsidRPr="00933E70">
        <w:rPr>
          <w:rFonts w:eastAsia="Calibri"/>
          <w:bCs/>
          <w:iCs/>
          <w:color w:val="000000"/>
        </w:rPr>
        <w:t xml:space="preserve"> zvyšných 20 %</w:t>
      </w:r>
      <w:r>
        <w:rPr>
          <w:rFonts w:eastAsia="Calibri"/>
          <w:bCs/>
          <w:iCs/>
          <w:color w:val="000000"/>
        </w:rPr>
        <w:t xml:space="preserve"> (t.j. 164 809 faktúr)</w:t>
      </w:r>
      <w:r w:rsidRPr="00933E70">
        <w:rPr>
          <w:rFonts w:eastAsia="Calibri"/>
          <w:bCs/>
          <w:iCs/>
          <w:color w:val="000000"/>
        </w:rPr>
        <w:t xml:space="preserve"> z celkového počtu vyhotovených faktúr </w:t>
      </w:r>
      <w:r>
        <w:rPr>
          <w:rFonts w:eastAsia="Calibri"/>
          <w:bCs/>
          <w:iCs/>
          <w:color w:val="000000"/>
        </w:rPr>
        <w:t>od dodávateľov z iných členských štátov</w:t>
      </w:r>
      <w:r w:rsidRPr="00933E70">
        <w:rPr>
          <w:rFonts w:eastAsia="Calibri"/>
          <w:bCs/>
          <w:iCs/>
          <w:color w:val="000000"/>
        </w:rPr>
        <w:t xml:space="preserve"> bude </w:t>
      </w:r>
      <w:r>
        <w:rPr>
          <w:rFonts w:eastAsia="Calibri"/>
          <w:bCs/>
          <w:iCs/>
          <w:color w:val="000000"/>
        </w:rPr>
        <w:t>prijatých</w:t>
      </w:r>
      <w:r w:rsidRPr="00933E70">
        <w:rPr>
          <w:rFonts w:eastAsia="Calibri"/>
          <w:bCs/>
          <w:iCs/>
          <w:color w:val="000000"/>
        </w:rPr>
        <w:t xml:space="preserve"> elektronicky, čím sa znížia náklady na vyhotovenie 1</w:t>
      </w:r>
      <w:r>
        <w:rPr>
          <w:rFonts w:eastAsia="Calibri"/>
          <w:bCs/>
          <w:iCs/>
          <w:color w:val="000000"/>
        </w:rPr>
        <w:t xml:space="preserve"> elektronickej</w:t>
      </w:r>
      <w:r w:rsidRPr="00933E70">
        <w:rPr>
          <w:rFonts w:eastAsia="Calibri"/>
          <w:bCs/>
          <w:iCs/>
          <w:color w:val="000000"/>
        </w:rPr>
        <w:t xml:space="preserve"> faktúry v priemere o</w:t>
      </w:r>
      <w:r>
        <w:rPr>
          <w:rFonts w:eastAsia="Calibri"/>
          <w:bCs/>
          <w:iCs/>
          <w:color w:val="000000"/>
        </w:rPr>
        <w:t> 0,6</w:t>
      </w:r>
      <w:r w:rsidRPr="00933E70">
        <w:rPr>
          <w:rFonts w:eastAsia="Calibri"/>
          <w:bCs/>
          <w:iCs/>
          <w:color w:val="000000"/>
        </w:rPr>
        <w:t xml:space="preserve"> EUR. </w:t>
      </w:r>
      <w:r>
        <w:rPr>
          <w:rFonts w:eastAsia="Calibri"/>
          <w:bCs/>
          <w:iCs/>
          <w:color w:val="000000"/>
        </w:rPr>
        <w:t>Spôsob výpočtu hodnoty vloženej do stĺpca D – 164 809 x 0,6 = 98 885 ÷ 65 219 = 1,5</w:t>
      </w:r>
      <w:r w:rsidRPr="00933E70">
        <w:rPr>
          <w:rFonts w:eastAsia="Calibri"/>
          <w:bCs/>
          <w:iCs/>
          <w:color w:val="000000"/>
        </w:rPr>
        <w:t>.</w:t>
      </w:r>
      <w:r>
        <w:rPr>
          <w:rFonts w:eastAsia="Calibri"/>
          <w:bCs/>
          <w:iCs/>
          <w:color w:val="000000"/>
        </w:rPr>
        <w:t xml:space="preserve"> </w:t>
      </w:r>
      <w:r w:rsidRPr="00933E70">
        <w:rPr>
          <w:rFonts w:eastAsia="Calibri"/>
          <w:bCs/>
          <w:iCs/>
          <w:color w:val="000000"/>
        </w:rPr>
        <w:t xml:space="preserve">Frekvencia plnenia bola určená </w:t>
      </w:r>
      <w:r>
        <w:rPr>
          <w:rFonts w:eastAsia="Calibri"/>
          <w:bCs/>
          <w:iCs/>
          <w:color w:val="000000"/>
        </w:rPr>
        <w:t>na 1-krát ročne</w:t>
      </w:r>
      <w:r w:rsidRPr="00933E70">
        <w:rPr>
          <w:rFonts w:eastAsia="Calibri"/>
          <w:bCs/>
          <w:iCs/>
          <w:color w:val="000000"/>
        </w:rPr>
        <w:t xml:space="preserve">. Na základe výpočtu Kalkulačky nákladov na podnikateľské prostredie sa v súvislosti s touto reguláciou predpokladá </w:t>
      </w:r>
      <w:r>
        <w:rPr>
          <w:rFonts w:eastAsia="Calibri"/>
          <w:bCs/>
          <w:iCs/>
          <w:color w:val="000000"/>
        </w:rPr>
        <w:t xml:space="preserve">zníženie </w:t>
      </w:r>
      <w:r w:rsidRPr="00933E70">
        <w:rPr>
          <w:rFonts w:eastAsia="Calibri"/>
          <w:bCs/>
          <w:iCs/>
          <w:color w:val="000000"/>
        </w:rPr>
        <w:t>sum</w:t>
      </w:r>
      <w:r>
        <w:rPr>
          <w:rFonts w:eastAsia="Calibri"/>
          <w:bCs/>
          <w:iCs/>
          <w:color w:val="000000"/>
        </w:rPr>
        <w:t>y</w:t>
      </w:r>
      <w:r w:rsidRPr="00933E70">
        <w:rPr>
          <w:rFonts w:eastAsia="Calibri"/>
          <w:bCs/>
          <w:iCs/>
          <w:color w:val="000000"/>
        </w:rPr>
        <w:t xml:space="preserve"> administratívnych nákladov na podnikateľské prostredie (</w:t>
      </w:r>
      <w:r>
        <w:rPr>
          <w:rFonts w:eastAsia="Calibri"/>
          <w:bCs/>
          <w:iCs/>
          <w:color w:val="000000"/>
        </w:rPr>
        <w:t>OUT</w:t>
      </w:r>
      <w:r w:rsidRPr="00933E70">
        <w:rPr>
          <w:rFonts w:eastAsia="Calibri"/>
          <w:bCs/>
          <w:iCs/>
          <w:color w:val="000000"/>
        </w:rPr>
        <w:t xml:space="preserve">) vo výške </w:t>
      </w:r>
      <w:r>
        <w:rPr>
          <w:rFonts w:eastAsia="Calibri"/>
          <w:bCs/>
          <w:iCs/>
          <w:color w:val="000000"/>
        </w:rPr>
        <w:t>97 829</w:t>
      </w:r>
      <w:r w:rsidRPr="00933E70">
        <w:rPr>
          <w:rFonts w:eastAsia="Calibri"/>
          <w:bCs/>
          <w:iCs/>
          <w:color w:val="000000"/>
        </w:rPr>
        <w:t xml:space="preserve"> E</w:t>
      </w:r>
      <w:r>
        <w:rPr>
          <w:rFonts w:eastAsia="Calibri"/>
          <w:bCs/>
          <w:iCs/>
          <w:color w:val="000000"/>
        </w:rPr>
        <w:t>UR</w:t>
      </w:r>
      <w:r w:rsidRPr="00933E70">
        <w:rPr>
          <w:rFonts w:eastAsia="Calibri"/>
          <w:bCs/>
          <w:iCs/>
          <w:color w:val="000000"/>
        </w:rPr>
        <w:t>.</w:t>
      </w:r>
    </w:p>
    <w:p w14:paraId="60F68DDC" w14:textId="77777777" w:rsidR="00746D3C" w:rsidRDefault="00746D3C" w:rsidP="00746D3C">
      <w:pPr>
        <w:jc w:val="both"/>
        <w:rPr>
          <w:b/>
          <w:i/>
          <w:color w:val="000000"/>
        </w:rPr>
      </w:pPr>
    </w:p>
    <w:p w14:paraId="6DAD1B9E" w14:textId="77777777" w:rsidR="00746D3C" w:rsidRDefault="00746D3C" w:rsidP="00746D3C">
      <w:pPr>
        <w:jc w:val="both"/>
        <w:rPr>
          <w:b/>
          <w:i/>
          <w:color w:val="000000"/>
        </w:rPr>
      </w:pPr>
      <w:r>
        <w:rPr>
          <w:b/>
          <w:i/>
          <w:color w:val="000000"/>
        </w:rPr>
        <w:t xml:space="preserve">16. </w:t>
      </w:r>
      <w:r w:rsidRPr="002065F9">
        <w:rPr>
          <w:b/>
          <w:i/>
          <w:color w:val="000000"/>
        </w:rPr>
        <w:t>Vyhotovenie</w:t>
      </w:r>
      <w:r>
        <w:rPr>
          <w:b/>
          <w:i/>
          <w:color w:val="000000"/>
        </w:rPr>
        <w:t xml:space="preserve"> opravnej</w:t>
      </w:r>
      <w:r w:rsidRPr="002065F9">
        <w:rPr>
          <w:b/>
          <w:i/>
          <w:color w:val="000000"/>
        </w:rPr>
        <w:t xml:space="preserve"> elektronickej faktúry platiteľom dane (</w:t>
      </w:r>
      <w:r>
        <w:rPr>
          <w:b/>
          <w:i/>
          <w:color w:val="000000"/>
        </w:rPr>
        <w:t>cezhraničné</w:t>
      </w:r>
      <w:r w:rsidRPr="002065F9">
        <w:rPr>
          <w:b/>
          <w:i/>
          <w:color w:val="000000"/>
        </w:rPr>
        <w:t xml:space="preserve"> transakcie)</w:t>
      </w:r>
    </w:p>
    <w:p w14:paraId="25096F6A" w14:textId="77777777" w:rsidR="00746D3C" w:rsidRDefault="00746D3C" w:rsidP="00746D3C">
      <w:pPr>
        <w:jc w:val="both"/>
        <w:rPr>
          <w:b/>
          <w:i/>
          <w:color w:val="000000"/>
        </w:rPr>
      </w:pPr>
    </w:p>
    <w:p w14:paraId="76040873" w14:textId="77777777" w:rsidR="00746D3C" w:rsidRPr="00933E70" w:rsidRDefault="00746D3C" w:rsidP="00746D3C">
      <w:pPr>
        <w:jc w:val="both"/>
        <w:rPr>
          <w:rFonts w:eastAsia="Calibri"/>
          <w:bCs/>
          <w:iCs/>
          <w:color w:val="000000"/>
        </w:rPr>
      </w:pPr>
      <w:r w:rsidRPr="00933E70">
        <w:rPr>
          <w:rFonts w:eastAsia="Calibri"/>
          <w:bCs/>
          <w:iCs/>
          <w:color w:val="000000"/>
        </w:rPr>
        <w:t>Zmena regulácie dotknutým subjektom znižuje náklady. Faktúra sa na účely zákona o DPH bude vyhotovovať</w:t>
      </w:r>
      <w:r>
        <w:rPr>
          <w:rFonts w:eastAsia="Calibri"/>
          <w:bCs/>
          <w:iCs/>
          <w:color w:val="000000"/>
        </w:rPr>
        <w:t xml:space="preserve"> a zasielať</w:t>
      </w:r>
      <w:r w:rsidRPr="00933E70">
        <w:rPr>
          <w:rFonts w:eastAsia="Calibri"/>
          <w:bCs/>
          <w:iCs/>
          <w:color w:val="000000"/>
        </w:rPr>
        <w:t xml:space="preserve"> zásadne ako elektronická</w:t>
      </w:r>
      <w:r>
        <w:rPr>
          <w:rFonts w:eastAsia="Calibri"/>
          <w:bCs/>
          <w:iCs/>
          <w:color w:val="000000"/>
        </w:rPr>
        <w:t xml:space="preserve"> faktúra</w:t>
      </w:r>
      <w:r w:rsidRPr="00933E70">
        <w:rPr>
          <w:rFonts w:eastAsia="Calibri"/>
          <w:bCs/>
          <w:iCs/>
          <w:color w:val="000000"/>
        </w:rPr>
        <w:t xml:space="preserve"> v zákonom ustanovenom formáte.</w:t>
      </w:r>
      <w:r>
        <w:rPr>
          <w:rFonts w:eastAsia="Calibri"/>
          <w:bCs/>
          <w:iCs/>
          <w:color w:val="000000"/>
        </w:rPr>
        <w:t xml:space="preserve"> A</w:t>
      </w:r>
      <w:r w:rsidRPr="00C84485">
        <w:rPr>
          <w:rFonts w:eastAsia="Calibri"/>
          <w:bCs/>
          <w:iCs/>
          <w:color w:val="000000"/>
        </w:rPr>
        <w:t xml:space="preserve">j opravná faktúra k prvotne vyhotovenej elektronickej faktúre </w:t>
      </w:r>
      <w:r>
        <w:rPr>
          <w:rFonts w:eastAsia="Calibri"/>
          <w:bCs/>
          <w:iCs/>
          <w:color w:val="000000"/>
        </w:rPr>
        <w:t xml:space="preserve">sa bude </w:t>
      </w:r>
      <w:r w:rsidRPr="00C84485">
        <w:rPr>
          <w:rFonts w:eastAsia="Calibri"/>
          <w:bCs/>
          <w:iCs/>
          <w:color w:val="000000"/>
        </w:rPr>
        <w:t>vyhotovova</w:t>
      </w:r>
      <w:r>
        <w:rPr>
          <w:rFonts w:eastAsia="Calibri"/>
          <w:bCs/>
          <w:iCs/>
          <w:color w:val="000000"/>
        </w:rPr>
        <w:t>ť</w:t>
      </w:r>
      <w:r w:rsidRPr="00C84485">
        <w:rPr>
          <w:rFonts w:eastAsia="Calibri"/>
          <w:bCs/>
          <w:iCs/>
          <w:color w:val="000000"/>
        </w:rPr>
        <w:t xml:space="preserve"> elektronicky v príslušnom štruktúrovanom elektronickom formáte.</w:t>
      </w:r>
      <w:r>
        <w:rPr>
          <w:rFonts w:eastAsia="Calibri"/>
          <w:bCs/>
          <w:iCs/>
          <w:color w:val="000000"/>
        </w:rPr>
        <w:t xml:space="preserve"> E</w:t>
      </w:r>
      <w:r w:rsidRPr="000A5DC7">
        <w:rPr>
          <w:rFonts w:eastAsia="Calibri"/>
          <w:bCs/>
          <w:iCs/>
          <w:color w:val="000000"/>
        </w:rPr>
        <w:t>lektronickou faktúr</w:t>
      </w:r>
      <w:r>
        <w:rPr>
          <w:rFonts w:eastAsia="Calibri"/>
          <w:bCs/>
          <w:iCs/>
          <w:color w:val="000000"/>
        </w:rPr>
        <w:t xml:space="preserve">a je len taká faktúra, ktorá obsahuje </w:t>
      </w:r>
      <w:r w:rsidRPr="000A5DC7">
        <w:rPr>
          <w:rFonts w:eastAsia="Calibri"/>
          <w:bCs/>
          <w:iCs/>
          <w:color w:val="000000"/>
        </w:rPr>
        <w:t xml:space="preserve">náležitosti podľa </w:t>
      </w:r>
      <w:r>
        <w:rPr>
          <w:rFonts w:eastAsia="Calibri"/>
          <w:bCs/>
          <w:iCs/>
          <w:color w:val="000000"/>
        </w:rPr>
        <w:t>zákona o DPH a je</w:t>
      </w:r>
      <w:r w:rsidRPr="000A5DC7">
        <w:rPr>
          <w:rFonts w:eastAsia="Calibri"/>
          <w:bCs/>
          <w:iCs/>
          <w:color w:val="000000"/>
        </w:rPr>
        <w:t xml:space="preserve"> vyhotoven</w:t>
      </w:r>
      <w:r>
        <w:rPr>
          <w:rFonts w:eastAsia="Calibri"/>
          <w:bCs/>
          <w:iCs/>
          <w:color w:val="000000"/>
        </w:rPr>
        <w:t>á</w:t>
      </w:r>
      <w:r w:rsidRPr="000A5DC7">
        <w:rPr>
          <w:rFonts w:eastAsia="Calibri"/>
          <w:bCs/>
          <w:iCs/>
          <w:color w:val="000000"/>
        </w:rPr>
        <w:t>, zaslan</w:t>
      </w:r>
      <w:r>
        <w:rPr>
          <w:rFonts w:eastAsia="Calibri"/>
          <w:bCs/>
          <w:iCs/>
          <w:color w:val="000000"/>
        </w:rPr>
        <w:t>á</w:t>
      </w:r>
      <w:r w:rsidRPr="000A5DC7">
        <w:rPr>
          <w:rFonts w:eastAsia="Calibri"/>
          <w:bCs/>
          <w:iCs/>
          <w:color w:val="000000"/>
        </w:rPr>
        <w:t xml:space="preserve"> a prijat</w:t>
      </w:r>
      <w:r>
        <w:rPr>
          <w:rFonts w:eastAsia="Calibri"/>
          <w:bCs/>
          <w:iCs/>
          <w:color w:val="000000"/>
        </w:rPr>
        <w:t>á</w:t>
      </w:r>
      <w:r w:rsidRPr="000A5DC7">
        <w:rPr>
          <w:rFonts w:eastAsia="Calibri"/>
          <w:bCs/>
          <w:iCs/>
          <w:color w:val="000000"/>
        </w:rPr>
        <w:t xml:space="preserve"> v štruktúrovanom elektronickom formáte, ktorý umožňuje jeho automatizované a elektronické spracovanie</w:t>
      </w:r>
      <w:r>
        <w:rPr>
          <w:rFonts w:eastAsia="Calibri"/>
          <w:bCs/>
          <w:iCs/>
          <w:color w:val="000000"/>
        </w:rPr>
        <w:t>.</w:t>
      </w:r>
    </w:p>
    <w:p w14:paraId="13C526E8" w14:textId="77777777" w:rsidR="00746D3C" w:rsidRPr="00933E70" w:rsidRDefault="00746D3C" w:rsidP="00746D3C">
      <w:pPr>
        <w:jc w:val="both"/>
        <w:rPr>
          <w:rFonts w:eastAsia="Calibri"/>
          <w:bCs/>
          <w:iCs/>
          <w:color w:val="000000"/>
        </w:rPr>
      </w:pPr>
    </w:p>
    <w:p w14:paraId="0D7240F7" w14:textId="77777777" w:rsidR="00746D3C" w:rsidRDefault="00746D3C" w:rsidP="00746D3C">
      <w:pPr>
        <w:jc w:val="both"/>
        <w:rPr>
          <w:b/>
          <w:i/>
          <w:color w:val="000000"/>
        </w:rPr>
      </w:pPr>
      <w:r w:rsidRPr="00933E70">
        <w:rPr>
          <w:rFonts w:eastAsia="Calibri"/>
          <w:bCs/>
          <w:iCs/>
          <w:color w:val="000000"/>
        </w:rPr>
        <w:t>Predmetná regulácia pre dotknuté subjekty predstavuje administratívny vplyv. 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registrovaných platiteľov dane z pridanej hodnoty (§ 4, § 4b a § 5 zákona o DPH) 225 206.</w:t>
      </w:r>
      <w:r>
        <w:rPr>
          <w:rFonts w:eastAsia="Calibri"/>
          <w:bCs/>
          <w:iCs/>
          <w:color w:val="000000"/>
        </w:rPr>
        <w:t xml:space="preserve"> </w:t>
      </w:r>
      <w:bookmarkStart w:id="12" w:name="_Hlk202792089"/>
      <w:r w:rsidRPr="00933E70">
        <w:rPr>
          <w:rFonts w:eastAsia="Calibri"/>
          <w:bCs/>
          <w:iCs/>
          <w:color w:val="000000"/>
        </w:rPr>
        <w:t xml:space="preserve">Títo platitelia dane </w:t>
      </w:r>
      <w:r>
        <w:rPr>
          <w:rFonts w:eastAsia="Calibri"/>
          <w:bCs/>
          <w:iCs/>
          <w:color w:val="000000"/>
        </w:rPr>
        <w:t>na základe údajov z FRSR prijali</w:t>
      </w:r>
      <w:r w:rsidRPr="00933E70">
        <w:rPr>
          <w:rFonts w:eastAsia="Calibri"/>
          <w:bCs/>
          <w:iCs/>
          <w:color w:val="000000"/>
        </w:rPr>
        <w:t xml:space="preserve"> v kalendárnom roku 2024 </w:t>
      </w:r>
      <w:r>
        <w:rPr>
          <w:rFonts w:eastAsia="Calibri"/>
          <w:bCs/>
          <w:iCs/>
          <w:color w:val="000000"/>
        </w:rPr>
        <w:t>celkovo 16 480 964</w:t>
      </w:r>
      <w:r w:rsidRPr="00933E70">
        <w:rPr>
          <w:rFonts w:eastAsia="Calibri"/>
          <w:bCs/>
          <w:iCs/>
          <w:color w:val="000000"/>
        </w:rPr>
        <w:t xml:space="preserve"> faktúr v rôznej podobe, či už listinnej alebo elektronickej (e-mail, pdf, ...)</w:t>
      </w:r>
      <w:r>
        <w:rPr>
          <w:rFonts w:eastAsia="Calibri"/>
          <w:bCs/>
          <w:iCs/>
          <w:color w:val="000000"/>
        </w:rPr>
        <w:t xml:space="preserve"> od dodávateľov z iných členských štátov</w:t>
      </w:r>
      <w:r w:rsidRPr="00933E70">
        <w:rPr>
          <w:rFonts w:eastAsia="Calibri"/>
          <w:bCs/>
          <w:iCs/>
          <w:color w:val="000000"/>
        </w:rPr>
        <w:t>.</w:t>
      </w:r>
      <w:r>
        <w:rPr>
          <w:rFonts w:eastAsia="Calibri"/>
          <w:bCs/>
          <w:iCs/>
          <w:color w:val="000000"/>
        </w:rPr>
        <w:t xml:space="preserve"> MFSR na základe výpočtu v regulácii č. 14 predpokladá, že obdobný počet faktúr je vzhľadom na objem zahraničného obchodu Slovenskej republiky tuzemskými platiteľmi dane vyhotovený do iných členských štátov (t.j. 16 500 000).</w:t>
      </w:r>
      <w:r w:rsidRPr="00933E70">
        <w:rPr>
          <w:rFonts w:eastAsia="Calibri"/>
          <w:bCs/>
          <w:iCs/>
          <w:color w:val="000000"/>
        </w:rPr>
        <w:t xml:space="preserve"> Títo platitelia dane </w:t>
      </w:r>
      <w:r>
        <w:rPr>
          <w:rFonts w:eastAsia="Calibri"/>
          <w:bCs/>
          <w:iCs/>
          <w:color w:val="000000"/>
        </w:rPr>
        <w:t xml:space="preserve">na základe údajov z FRSR </w:t>
      </w:r>
      <w:r w:rsidRPr="00933E70">
        <w:rPr>
          <w:rFonts w:eastAsia="Calibri"/>
          <w:bCs/>
          <w:iCs/>
          <w:color w:val="000000"/>
        </w:rPr>
        <w:t xml:space="preserve">vyhotovili v kalendárnom roku 2024 </w:t>
      </w:r>
      <w:r>
        <w:rPr>
          <w:rFonts w:eastAsia="Calibri"/>
          <w:bCs/>
          <w:iCs/>
          <w:color w:val="000000"/>
        </w:rPr>
        <w:t>celkovo 6 360 618</w:t>
      </w:r>
      <w:r w:rsidRPr="00933E70">
        <w:rPr>
          <w:rFonts w:eastAsia="Calibri"/>
          <w:bCs/>
          <w:iCs/>
          <w:color w:val="000000"/>
        </w:rPr>
        <w:t xml:space="preserve"> </w:t>
      </w:r>
      <w:r>
        <w:rPr>
          <w:rFonts w:eastAsia="Calibri"/>
          <w:bCs/>
          <w:iCs/>
          <w:color w:val="000000"/>
        </w:rPr>
        <w:t xml:space="preserve">opravných </w:t>
      </w:r>
      <w:r w:rsidRPr="00933E70">
        <w:rPr>
          <w:rFonts w:eastAsia="Calibri"/>
          <w:bCs/>
          <w:iCs/>
          <w:color w:val="000000"/>
        </w:rPr>
        <w:t>faktúr v rôznej podobe, či už listinnej alebo elektronickej (e-mail, pdf, ...)</w:t>
      </w:r>
      <w:r>
        <w:rPr>
          <w:rFonts w:eastAsia="Calibri"/>
          <w:bCs/>
          <w:iCs/>
          <w:color w:val="000000"/>
        </w:rPr>
        <w:t xml:space="preserve"> pri tuzemských zdaniteľných obchodoch</w:t>
      </w:r>
      <w:r w:rsidRPr="00933E70">
        <w:rPr>
          <w:rFonts w:eastAsia="Calibri"/>
          <w:bCs/>
          <w:iCs/>
          <w:color w:val="000000"/>
        </w:rPr>
        <w:t>.</w:t>
      </w:r>
      <w:r>
        <w:rPr>
          <w:rFonts w:eastAsia="Calibri"/>
          <w:bCs/>
          <w:iCs/>
          <w:color w:val="000000"/>
        </w:rPr>
        <w:t xml:space="preserve"> </w:t>
      </w:r>
      <w:bookmarkEnd w:id="12"/>
      <w:r>
        <w:rPr>
          <w:rFonts w:eastAsia="Calibri"/>
          <w:bCs/>
          <w:iCs/>
          <w:color w:val="000000"/>
        </w:rPr>
        <w:t>MFSR odhaduje, že platitelia dane v kalendárnom roku 2024 vyhotovili približne 990 000 opravných faktúr v rôznej podobe (6 % z 16 500 000, rovnaký pomer ako pri tuzemských vyhotovených a opravných faktúrach).</w:t>
      </w:r>
      <w:r w:rsidRPr="00933E70">
        <w:rPr>
          <w:rFonts w:eastAsia="Calibri"/>
          <w:bCs/>
          <w:iCs/>
          <w:color w:val="000000"/>
        </w:rPr>
        <w:t xml:space="preserve"> Na základe expertného odhadu MFSR a FRSR sa predpokladá, že 20 % z tohto počtu faktúr je vyhotovených v listinnej podobe. Elektronická faktúra však prináša úsporu až 80 % nákladov na spracovanie faktúr, pričom náklady na 1 elektronickú faktúru sa odhadujú vo výške od 0,1 do 0,5 EUR (priemer 0,3 EUR). Náklady regulácie boli určené ako </w:t>
      </w:r>
      <w:r>
        <w:rPr>
          <w:rFonts w:eastAsia="Calibri"/>
          <w:bCs/>
          <w:iCs/>
          <w:color w:val="000000"/>
        </w:rPr>
        <w:t>nepriame finančné náklady</w:t>
      </w:r>
      <w:r w:rsidRPr="00933E70">
        <w:rPr>
          <w:rFonts w:eastAsia="Calibri"/>
          <w:bCs/>
          <w:iCs/>
          <w:color w:val="000000"/>
        </w:rPr>
        <w:t xml:space="preserve">. Pri výpočte sa vychádzalo z toho, </w:t>
      </w:r>
      <w:r>
        <w:rPr>
          <w:rFonts w:eastAsia="Calibri"/>
          <w:bCs/>
          <w:iCs/>
          <w:color w:val="000000"/>
        </w:rPr>
        <w:t xml:space="preserve">aj </w:t>
      </w:r>
      <w:r w:rsidRPr="00933E70">
        <w:rPr>
          <w:rFonts w:eastAsia="Calibri"/>
          <w:bCs/>
          <w:iCs/>
          <w:color w:val="000000"/>
        </w:rPr>
        <w:t>že zvyšných 20 %</w:t>
      </w:r>
      <w:r>
        <w:rPr>
          <w:rFonts w:eastAsia="Calibri"/>
          <w:bCs/>
          <w:iCs/>
          <w:color w:val="000000"/>
        </w:rPr>
        <w:t xml:space="preserve"> (t.j. 198 000 opravných faktúr)</w:t>
      </w:r>
      <w:r w:rsidRPr="00933E70">
        <w:rPr>
          <w:rFonts w:eastAsia="Calibri"/>
          <w:bCs/>
          <w:iCs/>
          <w:color w:val="000000"/>
        </w:rPr>
        <w:t xml:space="preserve"> z celkového počtu vyhotovených </w:t>
      </w:r>
      <w:r>
        <w:rPr>
          <w:rFonts w:eastAsia="Calibri"/>
          <w:bCs/>
          <w:iCs/>
          <w:color w:val="000000"/>
        </w:rPr>
        <w:t xml:space="preserve">opravných </w:t>
      </w:r>
      <w:r w:rsidRPr="00933E70">
        <w:rPr>
          <w:rFonts w:eastAsia="Calibri"/>
          <w:bCs/>
          <w:iCs/>
          <w:color w:val="000000"/>
        </w:rPr>
        <w:t xml:space="preserve">faktúr platiteľmi dane bude vyhotovených elektronicky, čím sa znížia náklady na vyhotovenie 1 </w:t>
      </w:r>
      <w:r>
        <w:rPr>
          <w:rFonts w:eastAsia="Calibri"/>
          <w:bCs/>
          <w:iCs/>
          <w:color w:val="000000"/>
        </w:rPr>
        <w:t xml:space="preserve">elektronickej </w:t>
      </w:r>
      <w:r w:rsidRPr="00933E70">
        <w:rPr>
          <w:rFonts w:eastAsia="Calibri"/>
          <w:bCs/>
          <w:iCs/>
          <w:color w:val="000000"/>
        </w:rPr>
        <w:t xml:space="preserve">faktúry v priemere o 1,2 EUR. </w:t>
      </w:r>
      <w:r>
        <w:rPr>
          <w:rFonts w:eastAsia="Calibri"/>
          <w:bCs/>
          <w:iCs/>
          <w:color w:val="000000"/>
        </w:rPr>
        <w:t>Spôsob výpočtu hodnoty vloženej do stĺpca D – 198 000 x 1,2 = 237 600 ÷ 225 206 = 1,1</w:t>
      </w:r>
      <w:r w:rsidRPr="00933E70">
        <w:rPr>
          <w:rFonts w:eastAsia="Calibri"/>
          <w:bCs/>
          <w:iCs/>
          <w:color w:val="000000"/>
        </w:rPr>
        <w:t>.</w:t>
      </w:r>
      <w:r>
        <w:rPr>
          <w:rFonts w:eastAsia="Calibri"/>
          <w:bCs/>
          <w:iCs/>
          <w:color w:val="000000"/>
        </w:rPr>
        <w:t xml:space="preserve"> </w:t>
      </w:r>
      <w:r w:rsidRPr="00933E70">
        <w:rPr>
          <w:rFonts w:eastAsia="Calibri"/>
          <w:bCs/>
          <w:iCs/>
          <w:color w:val="000000"/>
        </w:rPr>
        <w:t xml:space="preserve">Frekvencia plnenia bola určená </w:t>
      </w:r>
      <w:r>
        <w:rPr>
          <w:rFonts w:eastAsia="Calibri"/>
          <w:bCs/>
          <w:iCs/>
          <w:color w:val="000000"/>
        </w:rPr>
        <w:t>na 1-krát ročne</w:t>
      </w:r>
      <w:r w:rsidRPr="00933E70">
        <w:rPr>
          <w:rFonts w:eastAsia="Calibri"/>
          <w:bCs/>
          <w:iCs/>
          <w:color w:val="000000"/>
        </w:rPr>
        <w:t xml:space="preserve">. Na základe výpočtu Kalkulačky nákladov na podnikateľské prostredie sa v súvislosti s touto reguláciou predpokladá </w:t>
      </w:r>
      <w:r>
        <w:rPr>
          <w:rFonts w:eastAsia="Calibri"/>
          <w:bCs/>
          <w:iCs/>
          <w:color w:val="000000"/>
        </w:rPr>
        <w:t xml:space="preserve">zníženie </w:t>
      </w:r>
      <w:r w:rsidRPr="00933E70">
        <w:rPr>
          <w:rFonts w:eastAsia="Calibri"/>
          <w:bCs/>
          <w:iCs/>
          <w:color w:val="000000"/>
        </w:rPr>
        <w:t>sum</w:t>
      </w:r>
      <w:r>
        <w:rPr>
          <w:rFonts w:eastAsia="Calibri"/>
          <w:bCs/>
          <w:iCs/>
          <w:color w:val="000000"/>
        </w:rPr>
        <w:t>y</w:t>
      </w:r>
      <w:r w:rsidRPr="00933E70">
        <w:rPr>
          <w:rFonts w:eastAsia="Calibri"/>
          <w:bCs/>
          <w:iCs/>
          <w:color w:val="000000"/>
        </w:rPr>
        <w:t xml:space="preserve"> administratívnych nákladov na podnikateľské prostredie (</w:t>
      </w:r>
      <w:r>
        <w:rPr>
          <w:rFonts w:eastAsia="Calibri"/>
          <w:bCs/>
          <w:iCs/>
          <w:color w:val="000000"/>
        </w:rPr>
        <w:t>OUT</w:t>
      </w:r>
      <w:r w:rsidRPr="00933E70">
        <w:rPr>
          <w:rFonts w:eastAsia="Calibri"/>
          <w:bCs/>
          <w:iCs/>
          <w:color w:val="000000"/>
        </w:rPr>
        <w:t xml:space="preserve">) vo výške </w:t>
      </w:r>
      <w:r>
        <w:rPr>
          <w:rFonts w:eastAsia="Calibri"/>
          <w:bCs/>
          <w:iCs/>
          <w:color w:val="000000"/>
        </w:rPr>
        <w:t>247 727</w:t>
      </w:r>
      <w:r w:rsidRPr="00933E70">
        <w:rPr>
          <w:rFonts w:eastAsia="Calibri"/>
          <w:bCs/>
          <w:iCs/>
          <w:color w:val="000000"/>
        </w:rPr>
        <w:t xml:space="preserve"> E</w:t>
      </w:r>
      <w:r>
        <w:rPr>
          <w:rFonts w:eastAsia="Calibri"/>
          <w:bCs/>
          <w:iCs/>
          <w:color w:val="000000"/>
        </w:rPr>
        <w:t>UR</w:t>
      </w:r>
      <w:r w:rsidRPr="00933E70">
        <w:rPr>
          <w:rFonts w:eastAsia="Calibri"/>
          <w:bCs/>
          <w:iCs/>
          <w:color w:val="000000"/>
        </w:rPr>
        <w:t>.</w:t>
      </w:r>
    </w:p>
    <w:p w14:paraId="7332FD6C" w14:textId="77777777" w:rsidR="00746D3C" w:rsidRDefault="00746D3C" w:rsidP="00746D3C">
      <w:pPr>
        <w:jc w:val="both"/>
        <w:rPr>
          <w:b/>
          <w:i/>
          <w:color w:val="000000"/>
        </w:rPr>
      </w:pPr>
    </w:p>
    <w:p w14:paraId="06311332" w14:textId="77777777" w:rsidR="00746D3C" w:rsidRDefault="00746D3C" w:rsidP="00746D3C">
      <w:pPr>
        <w:jc w:val="both"/>
        <w:rPr>
          <w:b/>
          <w:i/>
          <w:color w:val="000000"/>
        </w:rPr>
      </w:pPr>
      <w:r>
        <w:rPr>
          <w:b/>
          <w:i/>
          <w:color w:val="000000"/>
        </w:rPr>
        <w:t>17</w:t>
      </w:r>
      <w:r w:rsidRPr="006D3174">
        <w:rPr>
          <w:b/>
          <w:i/>
          <w:color w:val="000000"/>
        </w:rPr>
        <w:t xml:space="preserve">. </w:t>
      </w:r>
      <w:r>
        <w:rPr>
          <w:b/>
          <w:i/>
          <w:color w:val="000000"/>
        </w:rPr>
        <w:t>Prijatie opravnej</w:t>
      </w:r>
      <w:r w:rsidRPr="002065F9">
        <w:rPr>
          <w:b/>
          <w:i/>
          <w:color w:val="000000"/>
        </w:rPr>
        <w:t xml:space="preserve"> elektronickej faktúry </w:t>
      </w:r>
      <w:r>
        <w:rPr>
          <w:b/>
          <w:i/>
          <w:color w:val="000000"/>
        </w:rPr>
        <w:t>platiteľom dane</w:t>
      </w:r>
      <w:r w:rsidRPr="002065F9">
        <w:rPr>
          <w:b/>
          <w:i/>
          <w:color w:val="000000"/>
        </w:rPr>
        <w:t xml:space="preserve"> (</w:t>
      </w:r>
      <w:r>
        <w:rPr>
          <w:b/>
          <w:i/>
          <w:color w:val="000000"/>
        </w:rPr>
        <w:t>cezhraničné</w:t>
      </w:r>
      <w:r w:rsidRPr="002065F9">
        <w:rPr>
          <w:b/>
          <w:i/>
          <w:color w:val="000000"/>
        </w:rPr>
        <w:t xml:space="preserve"> transakcie)</w:t>
      </w:r>
    </w:p>
    <w:p w14:paraId="23BA1B7D" w14:textId="77777777" w:rsidR="00746D3C" w:rsidRDefault="00746D3C" w:rsidP="00746D3C">
      <w:pPr>
        <w:jc w:val="both"/>
        <w:rPr>
          <w:b/>
          <w:i/>
          <w:color w:val="000000"/>
        </w:rPr>
      </w:pPr>
    </w:p>
    <w:p w14:paraId="35BD5856" w14:textId="77777777" w:rsidR="00746D3C" w:rsidRDefault="00746D3C" w:rsidP="00746D3C">
      <w:pPr>
        <w:jc w:val="both"/>
        <w:rPr>
          <w:rFonts w:eastAsia="Calibri"/>
          <w:bCs/>
          <w:iCs/>
          <w:color w:val="000000"/>
        </w:rPr>
      </w:pPr>
      <w:r w:rsidRPr="00722118">
        <w:rPr>
          <w:rFonts w:eastAsia="Calibri"/>
          <w:bCs/>
          <w:iCs/>
          <w:color w:val="000000"/>
        </w:rPr>
        <w:t xml:space="preserve">Zmena regulácie dotknutým subjektom znižuje náklady. Faktúra sa na účely zákona o DPH bude vyhotovovať, zasielať, ale aj prijímať zásadne ako elektronická </w:t>
      </w:r>
      <w:r>
        <w:rPr>
          <w:rFonts w:eastAsia="Calibri"/>
          <w:bCs/>
          <w:iCs/>
          <w:color w:val="000000"/>
        </w:rPr>
        <w:t xml:space="preserve">faktúra </w:t>
      </w:r>
      <w:r w:rsidRPr="00722118">
        <w:rPr>
          <w:rFonts w:eastAsia="Calibri"/>
          <w:bCs/>
          <w:iCs/>
          <w:color w:val="000000"/>
        </w:rPr>
        <w:t>v zákonom ustanovenom formáte. Aj opravná faktúra k prvotne vyhotovenej elektronickej faktúre sa bude vyhotovovať, zasielať a prijímať elektronicky v príslušnom štruktúrovanom elektronickom formáte. Elektronickou faktúra je len taká faktúra, ktorá obsahuje náležitosti podľa zákona o DPH a je vyhotovená, zaslaná a prijatá v štruktúrovanom elektronickom formáte, ktorý umožňuje jeho automatizované a elektronické spracovanie.</w:t>
      </w:r>
    </w:p>
    <w:p w14:paraId="3BF2B17C" w14:textId="77777777" w:rsidR="00746D3C" w:rsidRDefault="00746D3C" w:rsidP="00746D3C">
      <w:pPr>
        <w:jc w:val="both"/>
        <w:rPr>
          <w:rFonts w:eastAsia="Calibri"/>
          <w:bCs/>
          <w:iCs/>
          <w:color w:val="000000"/>
        </w:rPr>
      </w:pPr>
    </w:p>
    <w:p w14:paraId="688FBE82" w14:textId="77777777" w:rsidR="00746D3C" w:rsidRDefault="00746D3C" w:rsidP="00746D3C">
      <w:pPr>
        <w:jc w:val="both"/>
        <w:rPr>
          <w:rFonts w:eastAsia="Calibri"/>
          <w:bCs/>
          <w:iCs/>
          <w:color w:val="000000"/>
        </w:rPr>
      </w:pPr>
      <w:r w:rsidRPr="00933E70">
        <w:rPr>
          <w:rFonts w:eastAsia="Calibri"/>
          <w:bCs/>
          <w:iCs/>
          <w:color w:val="000000"/>
        </w:rPr>
        <w:t>Predmetná regulácia pre dotknuté subjekty predstavuje administratívny vplyv. 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registrovaných platiteľov dane z pridanej hodnoty (§ 4, § 4b a § 5 zákona o DPH) 225 206. </w:t>
      </w:r>
      <w:bookmarkStart w:id="13" w:name="_Hlk202792107"/>
      <w:r w:rsidRPr="00933E70">
        <w:rPr>
          <w:rFonts w:eastAsia="Calibri"/>
          <w:bCs/>
          <w:iCs/>
          <w:color w:val="000000"/>
        </w:rPr>
        <w:t xml:space="preserve">Títo platitelia dane </w:t>
      </w:r>
      <w:r>
        <w:rPr>
          <w:rFonts w:eastAsia="Calibri"/>
          <w:bCs/>
          <w:iCs/>
          <w:color w:val="000000"/>
        </w:rPr>
        <w:t>na základe údajov z FRSR prijali</w:t>
      </w:r>
      <w:r w:rsidRPr="00933E70">
        <w:rPr>
          <w:rFonts w:eastAsia="Calibri"/>
          <w:bCs/>
          <w:iCs/>
          <w:color w:val="000000"/>
        </w:rPr>
        <w:t xml:space="preserve"> v kalendárnom roku 2024 </w:t>
      </w:r>
      <w:r>
        <w:rPr>
          <w:rFonts w:eastAsia="Calibri"/>
          <w:bCs/>
          <w:iCs/>
          <w:color w:val="000000"/>
        </w:rPr>
        <w:t>celkovo 16 480 964</w:t>
      </w:r>
      <w:r w:rsidRPr="00933E70">
        <w:rPr>
          <w:rFonts w:eastAsia="Calibri"/>
          <w:bCs/>
          <w:iCs/>
          <w:color w:val="000000"/>
        </w:rPr>
        <w:t xml:space="preserve"> faktúr v rôznej podobe, či už listinnej alebo elektronickej (e-mail, pdf, ...)</w:t>
      </w:r>
      <w:r>
        <w:rPr>
          <w:rFonts w:eastAsia="Calibri"/>
          <w:bCs/>
          <w:iCs/>
          <w:color w:val="000000"/>
        </w:rPr>
        <w:t xml:space="preserve"> od dodávateľov z iných členských štátov</w:t>
      </w:r>
      <w:r w:rsidRPr="00933E70">
        <w:rPr>
          <w:rFonts w:eastAsia="Calibri"/>
          <w:bCs/>
          <w:iCs/>
          <w:color w:val="000000"/>
        </w:rPr>
        <w:t>.</w:t>
      </w:r>
      <w:r>
        <w:rPr>
          <w:rFonts w:eastAsia="Calibri"/>
          <w:bCs/>
          <w:iCs/>
          <w:color w:val="000000"/>
        </w:rPr>
        <w:t xml:space="preserve"> MFSR odhaduje, že platitelia dane v kalendárnom roku 2024 prijali približne 988 858 opravných faktúr v rôznej podobe (6 % z 16 480 964, rovnaký pomer ako pri tuzemských vyhotovených a opravných faktúrach).</w:t>
      </w:r>
      <w:bookmarkEnd w:id="13"/>
      <w:r>
        <w:rPr>
          <w:rFonts w:eastAsia="Calibri"/>
          <w:bCs/>
          <w:iCs/>
          <w:color w:val="000000"/>
        </w:rPr>
        <w:t xml:space="preserve"> </w:t>
      </w:r>
      <w:r w:rsidRPr="00722118">
        <w:rPr>
          <w:rFonts w:eastAsia="Calibri"/>
          <w:bCs/>
          <w:iCs/>
          <w:color w:val="000000"/>
        </w:rPr>
        <w:t>Na základe expertného odhadu MFSR a FRSR sa predpokladá, že 20 % z tohto počtu faktúr je prijatých v listinnej podobe. Elektronická faktúra však prináša úsporu až 80 % nákladov na spracovanie faktúr, pričom náklady na</w:t>
      </w:r>
      <w:r>
        <w:rPr>
          <w:rFonts w:eastAsia="Calibri"/>
          <w:bCs/>
          <w:iCs/>
          <w:color w:val="000000"/>
        </w:rPr>
        <w:t xml:space="preserve"> </w:t>
      </w:r>
      <w:r w:rsidRPr="00722118">
        <w:rPr>
          <w:rFonts w:eastAsia="Calibri"/>
          <w:bCs/>
          <w:iCs/>
          <w:color w:val="000000"/>
        </w:rPr>
        <w:t xml:space="preserve">vyhotovenie 1 elektronickej faktúry sa odhadli vo výške od 0,1 do 0,5 EUR (priemer 0,3 EUR). Náklady na spracovanie prijatej elektronickej faktúry sa odhadujú vo výške 50 % z nákladov na jej vyhotovenie a zaslanie, pričom priamo úmerne klesnú aj náklady na jej spracovanie. Náklady regulácie boli určené ako </w:t>
      </w:r>
      <w:r>
        <w:rPr>
          <w:rFonts w:eastAsia="Calibri"/>
          <w:bCs/>
          <w:iCs/>
          <w:color w:val="000000"/>
        </w:rPr>
        <w:t>ne</w:t>
      </w:r>
      <w:r w:rsidRPr="00722118">
        <w:rPr>
          <w:rFonts w:eastAsia="Calibri"/>
          <w:bCs/>
          <w:iCs/>
          <w:color w:val="000000"/>
        </w:rPr>
        <w:t xml:space="preserve">priame finančné náklady. Pri výpočte sa vychádzalo z toho, aj že </w:t>
      </w:r>
      <w:r w:rsidRPr="00722118">
        <w:rPr>
          <w:rFonts w:eastAsia="Calibri"/>
          <w:bCs/>
          <w:iCs/>
          <w:color w:val="000000"/>
        </w:rPr>
        <w:lastRenderedPageBreak/>
        <w:t xml:space="preserve">zvyšných 20 % (t.j. </w:t>
      </w:r>
      <w:r>
        <w:rPr>
          <w:rFonts w:eastAsia="Calibri"/>
          <w:bCs/>
          <w:iCs/>
          <w:color w:val="000000"/>
        </w:rPr>
        <w:t>197 772</w:t>
      </w:r>
      <w:r w:rsidRPr="00722118">
        <w:rPr>
          <w:rFonts w:eastAsia="Calibri"/>
          <w:bCs/>
          <w:iCs/>
          <w:color w:val="000000"/>
        </w:rPr>
        <w:t xml:space="preserve"> faktúr) z celkového počtu vyhotovených </w:t>
      </w:r>
      <w:r>
        <w:rPr>
          <w:rFonts w:eastAsia="Calibri"/>
          <w:bCs/>
          <w:iCs/>
          <w:color w:val="000000"/>
        </w:rPr>
        <w:t xml:space="preserve">opravných </w:t>
      </w:r>
      <w:r w:rsidRPr="00722118">
        <w:rPr>
          <w:rFonts w:eastAsia="Calibri"/>
          <w:bCs/>
          <w:iCs/>
          <w:color w:val="000000"/>
        </w:rPr>
        <w:t xml:space="preserve">faktúr platiteľmi dane bude prijatých elektronicky, čím sa znížia náklady na </w:t>
      </w:r>
      <w:r>
        <w:rPr>
          <w:rFonts w:eastAsia="Calibri"/>
          <w:bCs/>
          <w:iCs/>
          <w:color w:val="000000"/>
        </w:rPr>
        <w:t>spracovanie</w:t>
      </w:r>
      <w:r w:rsidRPr="00722118">
        <w:rPr>
          <w:rFonts w:eastAsia="Calibri"/>
          <w:bCs/>
          <w:iCs/>
          <w:color w:val="000000"/>
        </w:rPr>
        <w:t xml:space="preserve"> 1 </w:t>
      </w:r>
      <w:r>
        <w:rPr>
          <w:rFonts w:eastAsia="Calibri"/>
          <w:bCs/>
          <w:iCs/>
          <w:color w:val="000000"/>
        </w:rPr>
        <w:t xml:space="preserve">opravnej </w:t>
      </w:r>
      <w:r w:rsidRPr="00722118">
        <w:rPr>
          <w:rFonts w:eastAsia="Calibri"/>
          <w:bCs/>
          <w:iCs/>
          <w:color w:val="000000"/>
        </w:rPr>
        <w:t>elektronickej faktúry v priemere o</w:t>
      </w:r>
      <w:r>
        <w:rPr>
          <w:rFonts w:eastAsia="Calibri"/>
          <w:bCs/>
          <w:iCs/>
          <w:color w:val="000000"/>
        </w:rPr>
        <w:t> 0,6</w:t>
      </w:r>
      <w:r w:rsidRPr="00722118">
        <w:rPr>
          <w:rFonts w:eastAsia="Calibri"/>
          <w:bCs/>
          <w:iCs/>
          <w:color w:val="000000"/>
        </w:rPr>
        <w:t xml:space="preserve"> EUR. </w:t>
      </w:r>
      <w:r>
        <w:rPr>
          <w:rFonts w:eastAsia="Calibri"/>
          <w:bCs/>
          <w:iCs/>
          <w:color w:val="000000"/>
        </w:rPr>
        <w:t>Spôsob výpočtu hodnoty vloženej do stĺpca D – 197 772 x 0,6 = 118 663 ÷ 225 206 = 0,53</w:t>
      </w:r>
      <w:r w:rsidRPr="00933E70">
        <w:rPr>
          <w:rFonts w:eastAsia="Calibri"/>
          <w:bCs/>
          <w:iCs/>
          <w:color w:val="000000"/>
        </w:rPr>
        <w:t>.</w:t>
      </w:r>
      <w:r>
        <w:rPr>
          <w:rFonts w:eastAsia="Calibri"/>
          <w:bCs/>
          <w:iCs/>
          <w:color w:val="000000"/>
        </w:rPr>
        <w:t xml:space="preserve"> </w:t>
      </w:r>
      <w:r w:rsidRPr="00722118">
        <w:rPr>
          <w:rFonts w:eastAsia="Calibri"/>
          <w:bCs/>
          <w:iCs/>
          <w:color w:val="000000"/>
        </w:rPr>
        <w:t xml:space="preserve">Frekvencia plnenia bola určená </w:t>
      </w:r>
      <w:r>
        <w:rPr>
          <w:rFonts w:eastAsia="Calibri"/>
          <w:bCs/>
          <w:iCs/>
          <w:color w:val="000000"/>
        </w:rPr>
        <w:t>na 1-krát ročne</w:t>
      </w:r>
      <w:r w:rsidRPr="00722118">
        <w:rPr>
          <w:rFonts w:eastAsia="Calibri"/>
          <w:bCs/>
          <w:iCs/>
          <w:color w:val="000000"/>
        </w:rPr>
        <w:t xml:space="preserve">. Na základe výpočtu Kalkulačky nákladov na podnikateľské prostredie sa v súvislosti s touto reguláciou predpokladá zníženie sumy administratívnych nákladov na podnikateľské prostredie (OUT) vo výške </w:t>
      </w:r>
      <w:r>
        <w:rPr>
          <w:rFonts w:eastAsia="Calibri"/>
          <w:bCs/>
          <w:iCs/>
          <w:color w:val="000000"/>
        </w:rPr>
        <w:t>119 359</w:t>
      </w:r>
      <w:r w:rsidRPr="00722118">
        <w:rPr>
          <w:rFonts w:eastAsia="Calibri"/>
          <w:bCs/>
          <w:iCs/>
          <w:color w:val="000000"/>
        </w:rPr>
        <w:t xml:space="preserve"> E</w:t>
      </w:r>
      <w:r>
        <w:rPr>
          <w:rFonts w:eastAsia="Calibri"/>
          <w:bCs/>
          <w:iCs/>
          <w:color w:val="000000"/>
        </w:rPr>
        <w:t>UR</w:t>
      </w:r>
      <w:r w:rsidRPr="00722118">
        <w:rPr>
          <w:rFonts w:eastAsia="Calibri"/>
          <w:bCs/>
          <w:iCs/>
          <w:color w:val="000000"/>
        </w:rPr>
        <w:t>.</w:t>
      </w:r>
    </w:p>
    <w:p w14:paraId="6D8C609C" w14:textId="77777777" w:rsidR="00746D3C" w:rsidRDefault="00746D3C" w:rsidP="00746D3C">
      <w:pPr>
        <w:jc w:val="both"/>
        <w:rPr>
          <w:rFonts w:eastAsia="Calibri"/>
          <w:bCs/>
          <w:iCs/>
          <w:color w:val="000000"/>
        </w:rPr>
      </w:pPr>
    </w:p>
    <w:p w14:paraId="3D632347" w14:textId="77777777" w:rsidR="00746D3C" w:rsidRDefault="00746D3C" w:rsidP="00746D3C">
      <w:pPr>
        <w:jc w:val="both"/>
        <w:rPr>
          <w:rFonts w:eastAsia="Calibri"/>
          <w:bCs/>
          <w:iCs/>
          <w:color w:val="000000"/>
        </w:rPr>
      </w:pPr>
      <w:r>
        <w:rPr>
          <w:b/>
          <w:i/>
          <w:color w:val="000000"/>
        </w:rPr>
        <w:t>18</w:t>
      </w:r>
      <w:r w:rsidRPr="006D3174">
        <w:rPr>
          <w:b/>
          <w:i/>
          <w:color w:val="000000"/>
        </w:rPr>
        <w:t xml:space="preserve">. </w:t>
      </w:r>
      <w:r>
        <w:rPr>
          <w:b/>
          <w:i/>
          <w:color w:val="000000"/>
        </w:rPr>
        <w:t>Prijatie opravnej</w:t>
      </w:r>
      <w:r w:rsidRPr="002065F9">
        <w:rPr>
          <w:b/>
          <w:i/>
          <w:color w:val="000000"/>
        </w:rPr>
        <w:t xml:space="preserve"> elektronickej faktúry </w:t>
      </w:r>
      <w:r>
        <w:rPr>
          <w:b/>
          <w:i/>
          <w:color w:val="000000"/>
        </w:rPr>
        <w:t>osobou registrovanou pre daň</w:t>
      </w:r>
      <w:r w:rsidRPr="002065F9">
        <w:rPr>
          <w:b/>
          <w:i/>
          <w:color w:val="000000"/>
        </w:rPr>
        <w:t xml:space="preserve"> (</w:t>
      </w:r>
      <w:r>
        <w:rPr>
          <w:b/>
          <w:i/>
          <w:color w:val="000000"/>
        </w:rPr>
        <w:t>cezhraničné</w:t>
      </w:r>
      <w:r w:rsidRPr="002065F9">
        <w:rPr>
          <w:b/>
          <w:i/>
          <w:color w:val="000000"/>
        </w:rPr>
        <w:t xml:space="preserve"> transakcie)</w:t>
      </w:r>
    </w:p>
    <w:p w14:paraId="1F4D3622" w14:textId="77777777" w:rsidR="00746D3C" w:rsidRDefault="00746D3C" w:rsidP="00746D3C">
      <w:pPr>
        <w:jc w:val="both"/>
        <w:rPr>
          <w:rFonts w:eastAsia="Calibri"/>
          <w:bCs/>
          <w:iCs/>
          <w:color w:val="000000"/>
        </w:rPr>
      </w:pPr>
    </w:p>
    <w:p w14:paraId="702279EF" w14:textId="77777777" w:rsidR="00746D3C" w:rsidRDefault="00746D3C" w:rsidP="00746D3C">
      <w:pPr>
        <w:jc w:val="both"/>
        <w:rPr>
          <w:rFonts w:eastAsia="Calibri"/>
          <w:bCs/>
          <w:iCs/>
          <w:color w:val="000000"/>
        </w:rPr>
      </w:pPr>
      <w:r w:rsidRPr="00722118">
        <w:rPr>
          <w:rFonts w:eastAsia="Calibri"/>
          <w:bCs/>
          <w:iCs/>
          <w:color w:val="000000"/>
        </w:rPr>
        <w:t xml:space="preserve">Zmena regulácie dotknutým subjektom znižuje náklady. Faktúra sa na účely zákona o DPH bude vyhotovovať, zasielať, ale aj prijímať zásadne ako elektronická </w:t>
      </w:r>
      <w:r>
        <w:rPr>
          <w:rFonts w:eastAsia="Calibri"/>
          <w:bCs/>
          <w:iCs/>
          <w:color w:val="000000"/>
        </w:rPr>
        <w:t xml:space="preserve">faktúra </w:t>
      </w:r>
      <w:r w:rsidRPr="00722118">
        <w:rPr>
          <w:rFonts w:eastAsia="Calibri"/>
          <w:bCs/>
          <w:iCs/>
          <w:color w:val="000000"/>
        </w:rPr>
        <w:t>v zákonom ustanovenom formáte. Aj opravná faktúra k prvotne vyhotovenej elektronickej faktúre sa bude vyhotovovať, zasielať a prijímať elektronicky v príslušnom štruktúrovanom elektronickom formáte. Elektronickou faktúra je len taká faktúra, ktorá obsahuje náležitosti podľa zákona o DPH a je vyhotovená, zaslaná a prijatá v štruktúrovanom elektronickom formáte, ktorý umožňuje jeho automatizované a elektronické spracovanie.</w:t>
      </w:r>
    </w:p>
    <w:p w14:paraId="75ACBFE1" w14:textId="77777777" w:rsidR="00746D3C" w:rsidRDefault="00746D3C" w:rsidP="00746D3C">
      <w:pPr>
        <w:jc w:val="both"/>
        <w:rPr>
          <w:rFonts w:eastAsia="Calibri"/>
          <w:bCs/>
          <w:iCs/>
          <w:color w:val="000000"/>
        </w:rPr>
      </w:pPr>
      <w:r>
        <w:rPr>
          <w:rFonts w:eastAsia="Calibri"/>
          <w:bCs/>
          <w:iCs/>
          <w:color w:val="000000"/>
        </w:rPr>
        <w:t xml:space="preserve"> </w:t>
      </w:r>
    </w:p>
    <w:p w14:paraId="7F4A16E4" w14:textId="77777777" w:rsidR="00746D3C" w:rsidRPr="00722118" w:rsidRDefault="00746D3C" w:rsidP="00746D3C">
      <w:pPr>
        <w:jc w:val="both"/>
        <w:rPr>
          <w:rFonts w:eastAsia="Calibri"/>
          <w:bCs/>
          <w:iCs/>
          <w:color w:val="000000"/>
        </w:rPr>
      </w:pPr>
      <w:r w:rsidRPr="00933E70">
        <w:rPr>
          <w:rFonts w:eastAsia="Calibri"/>
          <w:bCs/>
          <w:iCs/>
          <w:color w:val="000000"/>
        </w:rPr>
        <w:t>Predmetná regulácia pre dotknuté subjekty predstavuje administratívny vplyv. 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w:t>
      </w:r>
      <w:r>
        <w:rPr>
          <w:rFonts w:eastAsia="Calibri"/>
          <w:bCs/>
          <w:iCs/>
          <w:color w:val="000000"/>
        </w:rPr>
        <w:t xml:space="preserve">osôb </w:t>
      </w:r>
      <w:r w:rsidRPr="00933E70">
        <w:rPr>
          <w:rFonts w:eastAsia="Calibri"/>
          <w:bCs/>
          <w:iCs/>
          <w:color w:val="000000"/>
        </w:rPr>
        <w:t xml:space="preserve">registrovaných </w:t>
      </w:r>
      <w:r>
        <w:rPr>
          <w:rFonts w:eastAsia="Calibri"/>
          <w:bCs/>
          <w:iCs/>
          <w:color w:val="000000"/>
        </w:rPr>
        <w:t>pre daň</w:t>
      </w:r>
      <w:r w:rsidRPr="00933E70">
        <w:rPr>
          <w:rFonts w:eastAsia="Calibri"/>
          <w:bCs/>
          <w:iCs/>
          <w:color w:val="000000"/>
        </w:rPr>
        <w:t xml:space="preserve"> z pridanej hodnoty </w:t>
      </w:r>
      <w:bookmarkStart w:id="14" w:name="_Hlk202792156"/>
      <w:r w:rsidRPr="00933E70">
        <w:rPr>
          <w:rFonts w:eastAsia="Calibri"/>
          <w:bCs/>
          <w:iCs/>
          <w:color w:val="000000"/>
        </w:rPr>
        <w:t xml:space="preserve">(§ </w:t>
      </w:r>
      <w:r>
        <w:rPr>
          <w:rFonts w:eastAsia="Calibri"/>
          <w:bCs/>
          <w:iCs/>
          <w:color w:val="000000"/>
        </w:rPr>
        <w:t>7</w:t>
      </w:r>
      <w:r w:rsidRPr="00933E70">
        <w:rPr>
          <w:rFonts w:eastAsia="Calibri"/>
          <w:bCs/>
          <w:iCs/>
          <w:color w:val="000000"/>
        </w:rPr>
        <w:t xml:space="preserve"> </w:t>
      </w:r>
      <w:r>
        <w:rPr>
          <w:rFonts w:eastAsia="Calibri"/>
          <w:bCs/>
          <w:iCs/>
          <w:color w:val="000000"/>
        </w:rPr>
        <w:t xml:space="preserve">a </w:t>
      </w:r>
      <w:r w:rsidRPr="00933E70">
        <w:rPr>
          <w:rFonts w:eastAsia="Calibri"/>
          <w:bCs/>
          <w:iCs/>
          <w:color w:val="000000"/>
        </w:rPr>
        <w:t xml:space="preserve">§ </w:t>
      </w:r>
      <w:r>
        <w:rPr>
          <w:rFonts w:eastAsia="Calibri"/>
          <w:bCs/>
          <w:iCs/>
          <w:color w:val="000000"/>
        </w:rPr>
        <w:t>7a</w:t>
      </w:r>
      <w:r w:rsidRPr="00933E70">
        <w:rPr>
          <w:rFonts w:eastAsia="Calibri"/>
          <w:bCs/>
          <w:iCs/>
          <w:color w:val="000000"/>
        </w:rPr>
        <w:t xml:space="preserve"> zákona o DPH) </w:t>
      </w:r>
      <w:r>
        <w:rPr>
          <w:rFonts w:eastAsia="Calibri"/>
          <w:bCs/>
          <w:iCs/>
          <w:color w:val="000000"/>
        </w:rPr>
        <w:t>65 219</w:t>
      </w:r>
      <w:r w:rsidRPr="00933E70">
        <w:rPr>
          <w:rFonts w:eastAsia="Calibri"/>
          <w:bCs/>
          <w:iCs/>
          <w:color w:val="000000"/>
        </w:rPr>
        <w:t>.</w:t>
      </w:r>
      <w:r>
        <w:rPr>
          <w:rFonts w:eastAsia="Calibri"/>
          <w:bCs/>
          <w:iCs/>
          <w:color w:val="000000"/>
        </w:rPr>
        <w:t xml:space="preserve"> V tejto skupine osôb však nie sú zahrnuté tie daňové subjekty, ktoré nadobúdajú tovar v tuzemsku z iného členského štátu, avšak celková </w:t>
      </w:r>
      <w:r w:rsidRPr="003E5741">
        <w:rPr>
          <w:rFonts w:eastAsia="Calibri"/>
          <w:bCs/>
          <w:iCs/>
          <w:color w:val="000000"/>
        </w:rPr>
        <w:t xml:space="preserve">hodnota tovaru bez dane nadobudnutého z iných členských štátov </w:t>
      </w:r>
      <w:r>
        <w:rPr>
          <w:rFonts w:eastAsia="Calibri"/>
          <w:bCs/>
          <w:iCs/>
          <w:color w:val="000000"/>
        </w:rPr>
        <w:t>ne</w:t>
      </w:r>
      <w:r w:rsidRPr="003E5741">
        <w:rPr>
          <w:rFonts w:eastAsia="Calibri"/>
          <w:bCs/>
          <w:iCs/>
          <w:color w:val="000000"/>
        </w:rPr>
        <w:t>dosiah</w:t>
      </w:r>
      <w:r>
        <w:rPr>
          <w:rFonts w:eastAsia="Calibri"/>
          <w:bCs/>
          <w:iCs/>
          <w:color w:val="000000"/>
        </w:rPr>
        <w:t>la</w:t>
      </w:r>
      <w:r w:rsidRPr="003E5741">
        <w:rPr>
          <w:rFonts w:eastAsia="Calibri"/>
          <w:bCs/>
          <w:iCs/>
          <w:color w:val="000000"/>
        </w:rPr>
        <w:t xml:space="preserve"> v kalendárnom roku 14 000 </w:t>
      </w:r>
      <w:r>
        <w:rPr>
          <w:rFonts w:eastAsia="Calibri"/>
          <w:bCs/>
          <w:iCs/>
          <w:color w:val="000000"/>
        </w:rPr>
        <w:t>EUR</w:t>
      </w:r>
      <w:r w:rsidRPr="003E5741">
        <w:rPr>
          <w:rFonts w:eastAsia="Calibri"/>
          <w:bCs/>
          <w:iCs/>
          <w:color w:val="000000"/>
        </w:rPr>
        <w:t>.</w:t>
      </w:r>
      <w:r>
        <w:rPr>
          <w:rFonts w:eastAsia="Calibri"/>
          <w:bCs/>
          <w:iCs/>
          <w:color w:val="000000"/>
        </w:rPr>
        <w:t xml:space="preserve"> Zároveň sú v tejto skupine zahrnuté daňové subjekty, ktoré </w:t>
      </w:r>
      <w:r w:rsidRPr="003E5741">
        <w:rPr>
          <w:rFonts w:eastAsia="Calibri"/>
          <w:bCs/>
          <w:iCs/>
          <w:color w:val="000000"/>
        </w:rPr>
        <w:t>dodáva</w:t>
      </w:r>
      <w:r>
        <w:rPr>
          <w:rFonts w:eastAsia="Calibri"/>
          <w:bCs/>
          <w:iCs/>
          <w:color w:val="000000"/>
        </w:rPr>
        <w:t>jú</w:t>
      </w:r>
      <w:r w:rsidRPr="003E5741">
        <w:rPr>
          <w:rFonts w:eastAsia="Calibri"/>
          <w:bCs/>
          <w:iCs/>
          <w:color w:val="000000"/>
        </w:rPr>
        <w:t xml:space="preserve"> službu, pri ktorej je miesto dodania podľa § 15 ods. 1 </w:t>
      </w:r>
      <w:r>
        <w:rPr>
          <w:rFonts w:eastAsia="Calibri"/>
          <w:bCs/>
          <w:iCs/>
          <w:color w:val="000000"/>
        </w:rPr>
        <w:t xml:space="preserve">zákona o DPH </w:t>
      </w:r>
      <w:r w:rsidRPr="003E5741">
        <w:rPr>
          <w:rFonts w:eastAsia="Calibri"/>
          <w:bCs/>
          <w:iCs/>
          <w:color w:val="000000"/>
        </w:rPr>
        <w:t>v inom členskom štáte a osobou povinnou platiť daň je príjemca služby</w:t>
      </w:r>
      <w:r>
        <w:rPr>
          <w:rFonts w:eastAsia="Calibri"/>
          <w:bCs/>
          <w:iCs/>
          <w:color w:val="000000"/>
        </w:rPr>
        <w:t>, t.j. tie subjekty, ktoré faktúry vyhotovujú. MFSR odhaduje, že osoby registrované pre daň podľa § 7 a § 7a prijali</w:t>
      </w:r>
      <w:r w:rsidRPr="00933E70">
        <w:rPr>
          <w:rFonts w:eastAsia="Calibri"/>
          <w:bCs/>
          <w:iCs/>
          <w:color w:val="000000"/>
        </w:rPr>
        <w:t xml:space="preserve"> v kalendárnom roku 2024 </w:t>
      </w:r>
      <w:r>
        <w:rPr>
          <w:rFonts w:eastAsia="Calibri"/>
          <w:bCs/>
          <w:iCs/>
          <w:color w:val="000000"/>
        </w:rPr>
        <w:t xml:space="preserve">celkovo 824 048 </w:t>
      </w:r>
      <w:r w:rsidRPr="00933E70">
        <w:rPr>
          <w:rFonts w:eastAsia="Calibri"/>
          <w:bCs/>
          <w:iCs/>
          <w:color w:val="000000"/>
        </w:rPr>
        <w:t>faktúr</w:t>
      </w:r>
      <w:r>
        <w:rPr>
          <w:rFonts w:eastAsia="Calibri"/>
          <w:bCs/>
          <w:iCs/>
          <w:color w:val="000000"/>
        </w:rPr>
        <w:t xml:space="preserve"> (5 % z 16 480 964) </w:t>
      </w:r>
      <w:r w:rsidRPr="00933E70">
        <w:rPr>
          <w:rFonts w:eastAsia="Calibri"/>
          <w:bCs/>
          <w:iCs/>
          <w:color w:val="000000"/>
        </w:rPr>
        <w:t>v rôznej podobe, či už listinnej alebo elektronickej (e-mail, pdf, ...)</w:t>
      </w:r>
      <w:r>
        <w:rPr>
          <w:rFonts w:eastAsia="Calibri"/>
          <w:bCs/>
          <w:iCs/>
          <w:color w:val="000000"/>
        </w:rPr>
        <w:t xml:space="preserve"> od dodávateľov z iných členských štátov</w:t>
      </w:r>
      <w:r w:rsidRPr="00933E70">
        <w:rPr>
          <w:rFonts w:eastAsia="Calibri"/>
          <w:bCs/>
          <w:iCs/>
          <w:color w:val="000000"/>
        </w:rPr>
        <w:t>.</w:t>
      </w:r>
      <w:r>
        <w:rPr>
          <w:rFonts w:eastAsia="Calibri"/>
          <w:bCs/>
          <w:iCs/>
          <w:color w:val="000000"/>
        </w:rPr>
        <w:t xml:space="preserve"> MFSR ďalej odhaduje, že na základe uvedeného bolo prijatých približne 49 443 opravných faktúr v rôznej podobe (6 % z 824 048, rovnaký pomer ako pri tuzemských vyhotovených a opravných faktúrach).</w:t>
      </w:r>
      <w:r w:rsidRPr="00A37652">
        <w:rPr>
          <w:rFonts w:eastAsia="Calibri"/>
          <w:bCs/>
          <w:iCs/>
          <w:color w:val="000000"/>
        </w:rPr>
        <w:t xml:space="preserve"> </w:t>
      </w:r>
      <w:bookmarkEnd w:id="14"/>
      <w:r w:rsidRPr="00933E70">
        <w:rPr>
          <w:rFonts w:eastAsia="Calibri"/>
          <w:bCs/>
          <w:iCs/>
          <w:color w:val="000000"/>
        </w:rPr>
        <w:t>Na základe expertného odhadu MFSR a FRSR sa</w:t>
      </w:r>
      <w:r>
        <w:rPr>
          <w:rFonts w:eastAsia="Calibri"/>
          <w:bCs/>
          <w:iCs/>
          <w:color w:val="000000"/>
        </w:rPr>
        <w:t xml:space="preserve"> obdobne ako pri výpočte v rámci regulácie č. 9</w:t>
      </w:r>
      <w:r w:rsidRPr="00933E70">
        <w:rPr>
          <w:rFonts w:eastAsia="Calibri"/>
          <w:bCs/>
          <w:iCs/>
          <w:color w:val="000000"/>
        </w:rPr>
        <w:t xml:space="preserve"> predpokladá, že 20 % z tohto počtu faktúr je </w:t>
      </w:r>
      <w:r>
        <w:rPr>
          <w:rFonts w:eastAsia="Calibri"/>
          <w:bCs/>
          <w:iCs/>
          <w:color w:val="000000"/>
        </w:rPr>
        <w:t>prijatých</w:t>
      </w:r>
      <w:r w:rsidRPr="00933E70">
        <w:rPr>
          <w:rFonts w:eastAsia="Calibri"/>
          <w:bCs/>
          <w:iCs/>
          <w:color w:val="000000"/>
        </w:rPr>
        <w:t xml:space="preserve"> v listinnej podobe. Elektronická faktúra však prináša úsporu až 80 % nákladov na spracovanie faktúr, pričom náklady na</w:t>
      </w:r>
      <w:r>
        <w:rPr>
          <w:rFonts w:eastAsia="Calibri"/>
          <w:bCs/>
          <w:iCs/>
          <w:color w:val="000000"/>
        </w:rPr>
        <w:t xml:space="preserve"> vyhotovenie </w:t>
      </w:r>
      <w:r w:rsidRPr="00933E70">
        <w:rPr>
          <w:rFonts w:eastAsia="Calibri"/>
          <w:bCs/>
          <w:iCs/>
          <w:color w:val="000000"/>
        </w:rPr>
        <w:t>1 elektronick</w:t>
      </w:r>
      <w:r>
        <w:rPr>
          <w:rFonts w:eastAsia="Calibri"/>
          <w:bCs/>
          <w:iCs/>
          <w:color w:val="000000"/>
        </w:rPr>
        <w:t>ej</w:t>
      </w:r>
      <w:r w:rsidRPr="00933E70">
        <w:rPr>
          <w:rFonts w:eastAsia="Calibri"/>
          <w:bCs/>
          <w:iCs/>
          <w:color w:val="000000"/>
        </w:rPr>
        <w:t xml:space="preserve"> faktúr</w:t>
      </w:r>
      <w:r>
        <w:rPr>
          <w:rFonts w:eastAsia="Calibri"/>
          <w:bCs/>
          <w:iCs/>
          <w:color w:val="000000"/>
        </w:rPr>
        <w:t>y</w:t>
      </w:r>
      <w:r w:rsidRPr="00933E70">
        <w:rPr>
          <w:rFonts w:eastAsia="Calibri"/>
          <w:bCs/>
          <w:iCs/>
          <w:color w:val="000000"/>
        </w:rPr>
        <w:t xml:space="preserve"> sa odhad</w:t>
      </w:r>
      <w:r>
        <w:rPr>
          <w:rFonts w:eastAsia="Calibri"/>
          <w:bCs/>
          <w:iCs/>
          <w:color w:val="000000"/>
        </w:rPr>
        <w:t>li</w:t>
      </w:r>
      <w:r w:rsidRPr="00933E70">
        <w:rPr>
          <w:rFonts w:eastAsia="Calibri"/>
          <w:bCs/>
          <w:iCs/>
          <w:color w:val="000000"/>
        </w:rPr>
        <w:t xml:space="preserve"> vo výške od 0,1 do 0,5 EUR (priemer 0,3 EUR).</w:t>
      </w:r>
      <w:r>
        <w:rPr>
          <w:rFonts w:eastAsia="Calibri"/>
          <w:bCs/>
          <w:iCs/>
          <w:color w:val="000000"/>
        </w:rPr>
        <w:t xml:space="preserve"> Náklady na spracovanie prijatej elektronickej faktúry sa odhadujú vo výške 50 % z nákladov na jej vyhotovenie a zaslanie, pričom priamo úmerne klesnú aj náklady na jej spracovanie.</w:t>
      </w:r>
      <w:r w:rsidRPr="00933E70">
        <w:rPr>
          <w:rFonts w:eastAsia="Calibri"/>
          <w:bCs/>
          <w:iCs/>
          <w:color w:val="000000"/>
        </w:rPr>
        <w:t xml:space="preserve"> Náklady regulácie boli určené ako </w:t>
      </w:r>
      <w:r>
        <w:rPr>
          <w:rFonts w:eastAsia="Calibri"/>
          <w:bCs/>
          <w:iCs/>
          <w:color w:val="000000"/>
        </w:rPr>
        <w:t>nepriame finančné náklady</w:t>
      </w:r>
      <w:r w:rsidRPr="00933E70">
        <w:rPr>
          <w:rFonts w:eastAsia="Calibri"/>
          <w:bCs/>
          <w:iCs/>
          <w:color w:val="000000"/>
        </w:rPr>
        <w:t>. Pri výpočte sa vychádzalo z toho,</w:t>
      </w:r>
      <w:r>
        <w:rPr>
          <w:rFonts w:eastAsia="Calibri"/>
          <w:bCs/>
          <w:iCs/>
          <w:color w:val="000000"/>
        </w:rPr>
        <w:t xml:space="preserve"> </w:t>
      </w:r>
      <w:r w:rsidRPr="00933E70">
        <w:rPr>
          <w:rFonts w:eastAsia="Calibri"/>
          <w:bCs/>
          <w:iCs/>
          <w:color w:val="000000"/>
        </w:rPr>
        <w:t>že</w:t>
      </w:r>
      <w:r>
        <w:rPr>
          <w:rFonts w:eastAsia="Calibri"/>
          <w:bCs/>
          <w:iCs/>
          <w:color w:val="000000"/>
        </w:rPr>
        <w:t xml:space="preserve"> aj</w:t>
      </w:r>
      <w:r w:rsidRPr="00933E70">
        <w:rPr>
          <w:rFonts w:eastAsia="Calibri"/>
          <w:bCs/>
          <w:iCs/>
          <w:color w:val="000000"/>
        </w:rPr>
        <w:t xml:space="preserve"> zvyšných 20 %</w:t>
      </w:r>
      <w:r>
        <w:rPr>
          <w:rFonts w:eastAsia="Calibri"/>
          <w:bCs/>
          <w:iCs/>
          <w:color w:val="000000"/>
        </w:rPr>
        <w:t xml:space="preserve"> (t.j. 9 888 faktúr)</w:t>
      </w:r>
      <w:r w:rsidRPr="00933E70">
        <w:rPr>
          <w:rFonts w:eastAsia="Calibri"/>
          <w:bCs/>
          <w:iCs/>
          <w:color w:val="000000"/>
        </w:rPr>
        <w:t xml:space="preserve"> z celkového počtu vyhotovených</w:t>
      </w:r>
      <w:r>
        <w:rPr>
          <w:rFonts w:eastAsia="Calibri"/>
          <w:bCs/>
          <w:iCs/>
          <w:color w:val="000000"/>
        </w:rPr>
        <w:t xml:space="preserve"> opravných</w:t>
      </w:r>
      <w:r w:rsidRPr="00933E70">
        <w:rPr>
          <w:rFonts w:eastAsia="Calibri"/>
          <w:bCs/>
          <w:iCs/>
          <w:color w:val="000000"/>
        </w:rPr>
        <w:t xml:space="preserve"> faktúr </w:t>
      </w:r>
      <w:r>
        <w:rPr>
          <w:rFonts w:eastAsia="Calibri"/>
          <w:bCs/>
          <w:iCs/>
          <w:color w:val="000000"/>
        </w:rPr>
        <w:t>od dodávateľov z iných členských štátov</w:t>
      </w:r>
      <w:r w:rsidRPr="00933E70">
        <w:rPr>
          <w:rFonts w:eastAsia="Calibri"/>
          <w:bCs/>
          <w:iCs/>
          <w:color w:val="000000"/>
        </w:rPr>
        <w:t xml:space="preserve"> bude </w:t>
      </w:r>
      <w:r>
        <w:rPr>
          <w:rFonts w:eastAsia="Calibri"/>
          <w:bCs/>
          <w:iCs/>
          <w:color w:val="000000"/>
        </w:rPr>
        <w:t>prijatých</w:t>
      </w:r>
      <w:r w:rsidRPr="00933E70">
        <w:rPr>
          <w:rFonts w:eastAsia="Calibri"/>
          <w:bCs/>
          <w:iCs/>
          <w:color w:val="000000"/>
        </w:rPr>
        <w:t xml:space="preserve"> elektronicky, čím sa znížia náklady na vyhotovenie 1</w:t>
      </w:r>
      <w:r>
        <w:rPr>
          <w:rFonts w:eastAsia="Calibri"/>
          <w:bCs/>
          <w:iCs/>
          <w:color w:val="000000"/>
        </w:rPr>
        <w:t xml:space="preserve"> elektronickej</w:t>
      </w:r>
      <w:r w:rsidRPr="00933E70">
        <w:rPr>
          <w:rFonts w:eastAsia="Calibri"/>
          <w:bCs/>
          <w:iCs/>
          <w:color w:val="000000"/>
        </w:rPr>
        <w:t xml:space="preserve"> faktúry v priemere o</w:t>
      </w:r>
      <w:r>
        <w:rPr>
          <w:rFonts w:eastAsia="Calibri"/>
          <w:bCs/>
          <w:iCs/>
          <w:color w:val="000000"/>
        </w:rPr>
        <w:t> 0,6</w:t>
      </w:r>
      <w:r w:rsidRPr="00933E70">
        <w:rPr>
          <w:rFonts w:eastAsia="Calibri"/>
          <w:bCs/>
          <w:iCs/>
          <w:color w:val="000000"/>
        </w:rPr>
        <w:t xml:space="preserve"> EUR. </w:t>
      </w:r>
      <w:r>
        <w:rPr>
          <w:rFonts w:eastAsia="Calibri"/>
          <w:bCs/>
          <w:iCs/>
          <w:color w:val="000000"/>
        </w:rPr>
        <w:t>Spôsob výpočtu hodnoty vloženej do stĺpca D – 9 888 x 0,6 = 5 933 ÷ 65 219 = 0,1</w:t>
      </w:r>
      <w:r w:rsidRPr="00933E70">
        <w:rPr>
          <w:rFonts w:eastAsia="Calibri"/>
          <w:bCs/>
          <w:iCs/>
          <w:color w:val="000000"/>
        </w:rPr>
        <w:t>.</w:t>
      </w:r>
      <w:r>
        <w:rPr>
          <w:rFonts w:eastAsia="Calibri"/>
          <w:bCs/>
          <w:iCs/>
          <w:color w:val="000000"/>
        </w:rPr>
        <w:t xml:space="preserve"> </w:t>
      </w:r>
      <w:r w:rsidRPr="00933E70">
        <w:rPr>
          <w:rFonts w:eastAsia="Calibri"/>
          <w:bCs/>
          <w:iCs/>
          <w:color w:val="000000"/>
        </w:rPr>
        <w:t xml:space="preserve">Frekvencia plnenia bola určená </w:t>
      </w:r>
      <w:r>
        <w:rPr>
          <w:rFonts w:eastAsia="Calibri"/>
          <w:bCs/>
          <w:iCs/>
          <w:color w:val="000000"/>
        </w:rPr>
        <w:t>na 1-krát ročne</w:t>
      </w:r>
      <w:r w:rsidRPr="00933E70">
        <w:rPr>
          <w:rFonts w:eastAsia="Calibri"/>
          <w:bCs/>
          <w:iCs/>
          <w:color w:val="000000"/>
        </w:rPr>
        <w:t xml:space="preserve">. Na základe výpočtu Kalkulačky nákladov na podnikateľské prostredie sa v súvislosti s touto reguláciou predpokladá </w:t>
      </w:r>
      <w:r>
        <w:rPr>
          <w:rFonts w:eastAsia="Calibri"/>
          <w:bCs/>
          <w:iCs/>
          <w:color w:val="000000"/>
        </w:rPr>
        <w:t xml:space="preserve">zníženie </w:t>
      </w:r>
      <w:r w:rsidRPr="00933E70">
        <w:rPr>
          <w:rFonts w:eastAsia="Calibri"/>
          <w:bCs/>
          <w:iCs/>
          <w:color w:val="000000"/>
        </w:rPr>
        <w:t>sum</w:t>
      </w:r>
      <w:r>
        <w:rPr>
          <w:rFonts w:eastAsia="Calibri"/>
          <w:bCs/>
          <w:iCs/>
          <w:color w:val="000000"/>
        </w:rPr>
        <w:t>y</w:t>
      </w:r>
      <w:r w:rsidRPr="00933E70">
        <w:rPr>
          <w:rFonts w:eastAsia="Calibri"/>
          <w:bCs/>
          <w:iCs/>
          <w:color w:val="000000"/>
        </w:rPr>
        <w:t xml:space="preserve"> administratívnych nákladov na podnikateľské prostredie (</w:t>
      </w:r>
      <w:r>
        <w:rPr>
          <w:rFonts w:eastAsia="Calibri"/>
          <w:bCs/>
          <w:iCs/>
          <w:color w:val="000000"/>
        </w:rPr>
        <w:t>OUT</w:t>
      </w:r>
      <w:r w:rsidRPr="00933E70">
        <w:rPr>
          <w:rFonts w:eastAsia="Calibri"/>
          <w:bCs/>
          <w:iCs/>
          <w:color w:val="000000"/>
        </w:rPr>
        <w:t xml:space="preserve">) vo výške </w:t>
      </w:r>
      <w:r>
        <w:rPr>
          <w:rFonts w:eastAsia="Calibri"/>
          <w:bCs/>
          <w:iCs/>
          <w:color w:val="000000"/>
        </w:rPr>
        <w:t>6 522</w:t>
      </w:r>
      <w:r w:rsidRPr="00933E70">
        <w:rPr>
          <w:rFonts w:eastAsia="Calibri"/>
          <w:bCs/>
          <w:iCs/>
          <w:color w:val="000000"/>
        </w:rPr>
        <w:t xml:space="preserve"> E</w:t>
      </w:r>
      <w:r>
        <w:rPr>
          <w:rFonts w:eastAsia="Calibri"/>
          <w:bCs/>
          <w:iCs/>
          <w:color w:val="000000"/>
        </w:rPr>
        <w:t>UR</w:t>
      </w:r>
      <w:r w:rsidRPr="00933E70">
        <w:rPr>
          <w:rFonts w:eastAsia="Calibri"/>
          <w:bCs/>
          <w:iCs/>
          <w:color w:val="000000"/>
        </w:rPr>
        <w:t>.</w:t>
      </w:r>
    </w:p>
    <w:p w14:paraId="585D2848" w14:textId="77777777" w:rsidR="00746D3C" w:rsidRPr="00722118" w:rsidRDefault="00746D3C" w:rsidP="00746D3C">
      <w:pPr>
        <w:jc w:val="both"/>
        <w:rPr>
          <w:rFonts w:eastAsia="Calibri"/>
          <w:bCs/>
          <w:iCs/>
          <w:color w:val="000000"/>
        </w:rPr>
      </w:pPr>
    </w:p>
    <w:p w14:paraId="08DF2AF3" w14:textId="77777777" w:rsidR="00746D3C" w:rsidRDefault="00746D3C" w:rsidP="00746D3C">
      <w:pPr>
        <w:jc w:val="both"/>
        <w:rPr>
          <w:b/>
          <w:i/>
          <w:color w:val="000000"/>
        </w:rPr>
      </w:pPr>
      <w:r>
        <w:rPr>
          <w:b/>
          <w:i/>
          <w:color w:val="000000"/>
        </w:rPr>
        <w:t>19</w:t>
      </w:r>
      <w:r w:rsidRPr="006D3174">
        <w:rPr>
          <w:b/>
          <w:i/>
          <w:color w:val="000000"/>
        </w:rPr>
        <w:t xml:space="preserve">. </w:t>
      </w:r>
      <w:r>
        <w:rPr>
          <w:b/>
          <w:i/>
          <w:color w:val="000000"/>
        </w:rPr>
        <w:t>Rozšírenie a úprava obsahových náležitostí faktúry</w:t>
      </w:r>
    </w:p>
    <w:p w14:paraId="747F691E" w14:textId="77777777" w:rsidR="00746D3C" w:rsidRDefault="00746D3C" w:rsidP="00746D3C">
      <w:pPr>
        <w:jc w:val="both"/>
        <w:rPr>
          <w:b/>
          <w:i/>
          <w:color w:val="000000"/>
        </w:rPr>
      </w:pPr>
    </w:p>
    <w:p w14:paraId="56F0909E" w14:textId="77777777" w:rsidR="00746D3C" w:rsidRDefault="00746D3C" w:rsidP="00746D3C">
      <w:pPr>
        <w:jc w:val="both"/>
        <w:rPr>
          <w:shd w:val="clear" w:color="auto" w:fill="FFFFFF"/>
        </w:rPr>
      </w:pPr>
      <w:r>
        <w:rPr>
          <w:shd w:val="clear" w:color="auto" w:fill="FFFFFF"/>
        </w:rPr>
        <w:t>Zmena r</w:t>
      </w:r>
      <w:r w:rsidRPr="006D3174">
        <w:rPr>
          <w:shd w:val="clear" w:color="auto" w:fill="FFFFFF"/>
        </w:rPr>
        <w:t>eguláci</w:t>
      </w:r>
      <w:r>
        <w:rPr>
          <w:shd w:val="clear" w:color="auto" w:fill="FFFFFF"/>
        </w:rPr>
        <w:t>e</w:t>
      </w:r>
      <w:r w:rsidRPr="006D3174">
        <w:rPr>
          <w:shd w:val="clear" w:color="auto" w:fill="FFFFFF"/>
        </w:rPr>
        <w:t xml:space="preserve"> dotknutým subjektom zvyšuje náklady.</w:t>
      </w:r>
      <w:r w:rsidRPr="0044536B">
        <w:rPr>
          <w:shd w:val="clear" w:color="auto" w:fill="FFFFFF"/>
        </w:rPr>
        <w:t xml:space="preserve"> </w:t>
      </w:r>
      <w:r>
        <w:rPr>
          <w:shd w:val="clear" w:color="auto" w:fill="FFFFFF"/>
        </w:rPr>
        <w:t xml:space="preserve">Rozširujú sa obsahové náležitosti faktúry </w:t>
      </w:r>
      <w:r w:rsidRPr="00E72A3D">
        <w:rPr>
          <w:shd w:val="clear" w:color="auto" w:fill="FFFFFF"/>
        </w:rPr>
        <w:t>/§ 74 ods. 1 písm.</w:t>
      </w:r>
      <w:r>
        <w:rPr>
          <w:shd w:val="clear" w:color="auto" w:fill="FFFFFF"/>
        </w:rPr>
        <w:t xml:space="preserve"> c),</w:t>
      </w:r>
      <w:r w:rsidRPr="00E72A3D">
        <w:rPr>
          <w:shd w:val="clear" w:color="auto" w:fill="FFFFFF"/>
        </w:rPr>
        <w:t xml:space="preserve"> k)</w:t>
      </w:r>
      <w:r>
        <w:rPr>
          <w:shd w:val="clear" w:color="auto" w:fill="FFFFFF"/>
        </w:rPr>
        <w:t>,</w:t>
      </w:r>
      <w:r w:rsidRPr="00E72A3D">
        <w:rPr>
          <w:shd w:val="clear" w:color="auto" w:fill="FFFFFF"/>
        </w:rPr>
        <w:t xml:space="preserve"> p) a q)/</w:t>
      </w:r>
      <w:r>
        <w:rPr>
          <w:shd w:val="clear" w:color="auto" w:fill="FFFFFF"/>
        </w:rPr>
        <w:t>.</w:t>
      </w:r>
    </w:p>
    <w:p w14:paraId="65E8ECD1" w14:textId="77777777" w:rsidR="00746D3C" w:rsidRDefault="00746D3C" w:rsidP="00746D3C">
      <w:pPr>
        <w:jc w:val="both"/>
        <w:rPr>
          <w:shd w:val="clear" w:color="auto" w:fill="FFFFFF"/>
        </w:rPr>
      </w:pPr>
    </w:p>
    <w:p w14:paraId="33D1EB96" w14:textId="77777777" w:rsidR="00746D3C" w:rsidRDefault="00746D3C" w:rsidP="00746D3C">
      <w:pPr>
        <w:jc w:val="both"/>
      </w:pPr>
      <w:r w:rsidRPr="0039695E">
        <w:rPr>
          <w:shd w:val="clear" w:color="auto" w:fill="FFFFFF"/>
        </w:rPr>
        <w:t xml:space="preserve">Predmetná regulácia pre dotknuté subjekty predstavuje administratívny vplyv. </w:t>
      </w:r>
      <w:r w:rsidRPr="00933E70">
        <w:rPr>
          <w:rFonts w:eastAsia="Calibri"/>
          <w:bCs/>
          <w:iCs/>
          <w:color w:val="000000"/>
        </w:rPr>
        <w:t>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registrovaných platiteľov dane z pridanej hodnoty (§ 4, § 4b a § 5 zákona o DPH) 225</w:t>
      </w:r>
      <w:r>
        <w:rPr>
          <w:rFonts w:eastAsia="Calibri"/>
          <w:bCs/>
          <w:iCs/>
          <w:color w:val="000000"/>
        </w:rPr>
        <w:t> </w:t>
      </w:r>
      <w:r w:rsidRPr="00933E70">
        <w:rPr>
          <w:rFonts w:eastAsia="Calibri"/>
          <w:bCs/>
          <w:iCs/>
          <w:color w:val="000000"/>
        </w:rPr>
        <w:t>206.</w:t>
      </w:r>
      <w:r>
        <w:rPr>
          <w:rFonts w:eastAsia="Calibri"/>
          <w:bCs/>
          <w:iCs/>
          <w:color w:val="000000"/>
        </w:rPr>
        <w:t xml:space="preserve"> Do výpočtu neboli zahrnuté osoby registrované pre daň podľa § 7 a § 7a, keďže lehota na vyhotovenie faktúry sa týka len tých osôb registrovaných podľa § 7a zákona o DPH, ktoré </w:t>
      </w:r>
      <w:r w:rsidRPr="00D65339">
        <w:rPr>
          <w:rFonts w:eastAsia="Calibri"/>
          <w:bCs/>
          <w:iCs/>
          <w:color w:val="000000"/>
        </w:rPr>
        <w:t>dodáva</w:t>
      </w:r>
      <w:r>
        <w:rPr>
          <w:rFonts w:eastAsia="Calibri"/>
          <w:bCs/>
          <w:iCs/>
          <w:color w:val="000000"/>
        </w:rPr>
        <w:t>jú</w:t>
      </w:r>
      <w:r w:rsidRPr="00D65339">
        <w:rPr>
          <w:rFonts w:eastAsia="Calibri"/>
          <w:bCs/>
          <w:iCs/>
          <w:color w:val="000000"/>
        </w:rPr>
        <w:t xml:space="preserve"> službu, pri ktorej je miesto </w:t>
      </w:r>
      <w:r w:rsidRPr="00554627">
        <w:rPr>
          <w:rFonts w:eastAsia="Calibri"/>
          <w:bCs/>
          <w:iCs/>
          <w:color w:val="000000"/>
        </w:rPr>
        <w:t xml:space="preserve">dodania podľa § 15 ods. 1 v inom členskom štáte a osobou povinnou platiť daň je príjemca služby. </w:t>
      </w:r>
      <w:r w:rsidRPr="00554627">
        <w:rPr>
          <w:shd w:val="clear" w:color="auto" w:fill="FFFFFF"/>
        </w:rPr>
        <w:t xml:space="preserve">Náklady regulácie boli určené ako administratívne. Pri kvantifikácii bol zvolený postup na základe alternatívy č. 2. Frekvencia plnenia bola určená jednorazovo. </w:t>
      </w:r>
      <w:r w:rsidRPr="00554627">
        <w:t xml:space="preserve">Na základe výpočtu Kalkulačky nákladov na podnikateľské prostredie sa v súvislosti s touto reguláciou predpokladá suma administratívnych nákladov na podnikateľské prostredie (IN) vo výške </w:t>
      </w:r>
      <w:r>
        <w:t>1 460 799</w:t>
      </w:r>
      <w:r w:rsidRPr="00554627">
        <w:t xml:space="preserve"> E</w:t>
      </w:r>
      <w:r>
        <w:t>UR</w:t>
      </w:r>
      <w:r w:rsidRPr="00554627">
        <w:t>.</w:t>
      </w:r>
    </w:p>
    <w:p w14:paraId="1747B548" w14:textId="77777777" w:rsidR="00746D3C" w:rsidRDefault="00746D3C" w:rsidP="00746D3C">
      <w:pPr>
        <w:jc w:val="both"/>
        <w:rPr>
          <w:b/>
          <w:i/>
          <w:color w:val="000000"/>
        </w:rPr>
      </w:pPr>
    </w:p>
    <w:p w14:paraId="35025230" w14:textId="77777777" w:rsidR="00746D3C" w:rsidRDefault="00746D3C" w:rsidP="00746D3C">
      <w:pPr>
        <w:jc w:val="both"/>
        <w:rPr>
          <w:b/>
          <w:i/>
          <w:color w:val="000000"/>
        </w:rPr>
      </w:pPr>
      <w:r>
        <w:rPr>
          <w:b/>
          <w:i/>
          <w:color w:val="000000"/>
        </w:rPr>
        <w:t>20. Zrušenie povinnosti podávať kontrolný výkaz</w:t>
      </w:r>
    </w:p>
    <w:p w14:paraId="3517DCC5" w14:textId="77777777" w:rsidR="00746D3C" w:rsidRDefault="00746D3C" w:rsidP="00746D3C">
      <w:pPr>
        <w:jc w:val="both"/>
        <w:rPr>
          <w:b/>
          <w:i/>
          <w:color w:val="000000"/>
        </w:rPr>
      </w:pPr>
    </w:p>
    <w:p w14:paraId="6F7D4988" w14:textId="77777777" w:rsidR="00746D3C" w:rsidRDefault="00746D3C" w:rsidP="00746D3C">
      <w:pPr>
        <w:jc w:val="both"/>
        <w:rPr>
          <w:color w:val="000000" w:themeColor="text1"/>
        </w:rPr>
      </w:pPr>
      <w:r>
        <w:rPr>
          <w:shd w:val="clear" w:color="auto" w:fill="FFFFFF"/>
        </w:rPr>
        <w:t>Vypustenie</w:t>
      </w:r>
      <w:r w:rsidRPr="004A27A7">
        <w:rPr>
          <w:shd w:val="clear" w:color="auto" w:fill="FFFFFF"/>
        </w:rPr>
        <w:t xml:space="preserve"> regulácie dotknutým subjektom </w:t>
      </w:r>
      <w:r>
        <w:rPr>
          <w:shd w:val="clear" w:color="auto" w:fill="FFFFFF"/>
        </w:rPr>
        <w:t>znižuje</w:t>
      </w:r>
      <w:r w:rsidRPr="004A27A7">
        <w:rPr>
          <w:shd w:val="clear" w:color="auto" w:fill="FFFFFF"/>
        </w:rPr>
        <w:t xml:space="preserve"> náklady. </w:t>
      </w:r>
      <w:r w:rsidRPr="004A27A7">
        <w:t>S účinnosťou od 1.7.2030</w:t>
      </w:r>
      <w:r>
        <w:t xml:space="preserve"> sa</w:t>
      </w:r>
      <w:r w:rsidRPr="004A27A7">
        <w:rPr>
          <w:color w:val="000000" w:themeColor="text1"/>
        </w:rPr>
        <w:t xml:space="preserve"> v nadväznosti na zavedenie povinnej elektronickej fakturácie a</w:t>
      </w:r>
      <w:r>
        <w:rPr>
          <w:color w:val="000000" w:themeColor="text1"/>
        </w:rPr>
        <w:t> </w:t>
      </w:r>
      <w:r w:rsidRPr="004A27A7">
        <w:rPr>
          <w:color w:val="000000" w:themeColor="text1"/>
        </w:rPr>
        <w:t>na</w:t>
      </w:r>
      <w:r>
        <w:rPr>
          <w:color w:val="000000" w:themeColor="text1"/>
        </w:rPr>
        <w:t xml:space="preserve"> digitálne</w:t>
      </w:r>
      <w:r w:rsidRPr="004A27A7">
        <w:rPr>
          <w:color w:val="000000" w:themeColor="text1"/>
        </w:rPr>
        <w:t xml:space="preserve"> oznamovanie údajov pri tuzemských zdaniteľných obchodoch v čase vyhotovenia, resp. prijatia faktúry ruší povinnosť podávať kontrolný výkaz pre platiteľov dane. Údaje, ktoré sa v súčasnosti oznamujú v kontrolnom výkaze,</w:t>
      </w:r>
      <w:r>
        <w:rPr>
          <w:color w:val="000000" w:themeColor="text1"/>
        </w:rPr>
        <w:t xml:space="preserve"> ktoré nebudú oznamované online,</w:t>
      </w:r>
      <w:r w:rsidRPr="004A27A7">
        <w:rPr>
          <w:color w:val="000000" w:themeColor="text1"/>
        </w:rPr>
        <w:t xml:space="preserve"> budú od 1.7.2030 predmetom oznamovacej povinnosti v daňovom priznaní</w:t>
      </w:r>
      <w:r>
        <w:rPr>
          <w:color w:val="000000" w:themeColor="text1"/>
        </w:rPr>
        <w:t>.</w:t>
      </w:r>
    </w:p>
    <w:p w14:paraId="347AC9B0" w14:textId="77777777" w:rsidR="00746D3C" w:rsidRPr="004A27A7" w:rsidRDefault="00746D3C" w:rsidP="00746D3C">
      <w:pPr>
        <w:jc w:val="both"/>
        <w:rPr>
          <w:b/>
          <w:i/>
          <w:color w:val="000000"/>
        </w:rPr>
      </w:pPr>
    </w:p>
    <w:p w14:paraId="65983256" w14:textId="77777777" w:rsidR="00746D3C" w:rsidRPr="004A27A7" w:rsidRDefault="00746D3C" w:rsidP="00746D3C">
      <w:pPr>
        <w:spacing w:after="200"/>
        <w:contextualSpacing/>
        <w:jc w:val="both"/>
        <w:rPr>
          <w:rFonts w:eastAsia="Calibri"/>
          <w:bCs/>
          <w:iCs/>
          <w:color w:val="000000"/>
        </w:rPr>
      </w:pPr>
      <w:r w:rsidRPr="0039695E">
        <w:rPr>
          <w:shd w:val="clear" w:color="auto" w:fill="FFFFFF"/>
        </w:rPr>
        <w:t xml:space="preserve">Predmetná regulácia pre dotknuté subjekty predstavuje administratívny vplyv. </w:t>
      </w:r>
      <w:r w:rsidRPr="00933E70">
        <w:rPr>
          <w:rFonts w:eastAsia="Calibri"/>
          <w:bCs/>
          <w:iCs/>
          <w:color w:val="000000"/>
        </w:rPr>
        <w:t>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registrovaných platiteľov dane z pridanej hodnoty (§ 4, § 4b a § 5 zákona o DPH) 225</w:t>
      </w:r>
      <w:r>
        <w:rPr>
          <w:rFonts w:eastAsia="Calibri"/>
          <w:bCs/>
          <w:iCs/>
          <w:color w:val="000000"/>
        </w:rPr>
        <w:t> </w:t>
      </w:r>
      <w:r w:rsidRPr="00933E70">
        <w:rPr>
          <w:rFonts w:eastAsia="Calibri"/>
          <w:bCs/>
          <w:iCs/>
          <w:color w:val="000000"/>
        </w:rPr>
        <w:t>206.</w:t>
      </w:r>
      <w:r>
        <w:rPr>
          <w:rFonts w:eastAsia="Calibri"/>
          <w:bCs/>
          <w:iCs/>
          <w:color w:val="000000"/>
        </w:rPr>
        <w:t xml:space="preserve"> </w:t>
      </w:r>
      <w:r w:rsidRPr="004A27A7">
        <w:rPr>
          <w:rFonts w:eastAsia="Calibri"/>
          <w:bCs/>
          <w:iCs/>
          <w:color w:val="000000"/>
        </w:rPr>
        <w:t>Uvedené subjekty musia pravidelne v lehote do 25 dní po skončení každého zdaňovacieho obdobia podávať kontrolný výkaz. Na základe reálnej skúsenosti je v týchto prípadoch expertný odhad časovej náročnosti 20 min. za jeden mesiac</w:t>
      </w:r>
      <w:r>
        <w:rPr>
          <w:rFonts w:eastAsia="Calibri"/>
          <w:bCs/>
          <w:iCs/>
          <w:color w:val="000000"/>
        </w:rPr>
        <w:t>, avšak keďže niektoré údaje budú oznamované prostredníctvom daňového priznania. MFSR odhaduje zníženie časovej náročnosti o 15 min. za jeden mesiac</w:t>
      </w:r>
      <w:r w:rsidRPr="004A27A7">
        <w:rPr>
          <w:rFonts w:eastAsia="Calibri"/>
          <w:bCs/>
          <w:iCs/>
          <w:color w:val="000000"/>
        </w:rPr>
        <w:t xml:space="preserve"> (</w:t>
      </w:r>
      <w:r>
        <w:rPr>
          <w:rFonts w:eastAsia="Calibri"/>
          <w:bCs/>
          <w:iCs/>
          <w:color w:val="000000"/>
        </w:rPr>
        <w:t>18</w:t>
      </w:r>
      <w:r w:rsidRPr="004A27A7">
        <w:rPr>
          <w:rFonts w:eastAsia="Calibri"/>
          <w:bCs/>
          <w:iCs/>
          <w:color w:val="000000"/>
        </w:rPr>
        <w:t xml:space="preserve">0 min. na jeden subjekt za rok). </w:t>
      </w:r>
      <w:r w:rsidRPr="0076312F">
        <w:t>Náklady regulácie boli určené ako administratívne. Pri kvantifikácii bol zvolený postup na základe alternatívy č. 1.</w:t>
      </w:r>
      <w:r w:rsidRPr="0076312F">
        <w:rPr>
          <w:rFonts w:eastAsia="Calibri"/>
          <w:bCs/>
          <w:iCs/>
          <w:color w:val="000000"/>
        </w:rPr>
        <w:t xml:space="preserve"> </w:t>
      </w:r>
      <w:r w:rsidRPr="00933E70">
        <w:rPr>
          <w:rFonts w:eastAsia="Calibri"/>
          <w:bCs/>
          <w:iCs/>
          <w:color w:val="000000"/>
        </w:rPr>
        <w:t xml:space="preserve">Frekvencia plnenia bola určená </w:t>
      </w:r>
      <w:r>
        <w:rPr>
          <w:rFonts w:eastAsia="Calibri"/>
          <w:bCs/>
          <w:iCs/>
          <w:color w:val="000000"/>
        </w:rPr>
        <w:t>mesačne</w:t>
      </w:r>
      <w:r w:rsidRPr="00933E70">
        <w:rPr>
          <w:rFonts w:eastAsia="Calibri"/>
          <w:bCs/>
          <w:iCs/>
          <w:color w:val="000000"/>
        </w:rPr>
        <w:t xml:space="preserve">. Na základe výpočtu Kalkulačky nákladov na podnikateľské prostredie sa v súvislosti s touto reguláciou predpokladá </w:t>
      </w:r>
      <w:r>
        <w:rPr>
          <w:rFonts w:eastAsia="Calibri"/>
          <w:bCs/>
          <w:iCs/>
          <w:color w:val="000000"/>
        </w:rPr>
        <w:t xml:space="preserve">zníženie </w:t>
      </w:r>
      <w:r w:rsidRPr="00933E70">
        <w:rPr>
          <w:rFonts w:eastAsia="Calibri"/>
          <w:bCs/>
          <w:iCs/>
          <w:color w:val="000000"/>
        </w:rPr>
        <w:t>sum</w:t>
      </w:r>
      <w:r>
        <w:rPr>
          <w:rFonts w:eastAsia="Calibri"/>
          <w:bCs/>
          <w:iCs/>
          <w:color w:val="000000"/>
        </w:rPr>
        <w:t>y</w:t>
      </w:r>
      <w:r w:rsidRPr="00933E70">
        <w:rPr>
          <w:rFonts w:eastAsia="Calibri"/>
          <w:bCs/>
          <w:iCs/>
          <w:color w:val="000000"/>
        </w:rPr>
        <w:t xml:space="preserve"> administratívnych nákladov na podnikateľské prostredie (</w:t>
      </w:r>
      <w:r>
        <w:rPr>
          <w:rFonts w:eastAsia="Calibri"/>
          <w:bCs/>
          <w:iCs/>
          <w:color w:val="000000"/>
        </w:rPr>
        <w:t>OUT</w:t>
      </w:r>
      <w:r w:rsidRPr="00933E70">
        <w:rPr>
          <w:rFonts w:eastAsia="Calibri"/>
          <w:bCs/>
          <w:iCs/>
          <w:color w:val="000000"/>
        </w:rPr>
        <w:t xml:space="preserve">) vo výške </w:t>
      </w:r>
      <w:r>
        <w:rPr>
          <w:rFonts w:eastAsia="Calibri"/>
          <w:bCs/>
          <w:iCs/>
          <w:color w:val="000000"/>
        </w:rPr>
        <w:t>8 764 792</w:t>
      </w:r>
      <w:r w:rsidRPr="00933E70">
        <w:rPr>
          <w:rFonts w:eastAsia="Calibri"/>
          <w:bCs/>
          <w:iCs/>
          <w:color w:val="000000"/>
        </w:rPr>
        <w:t xml:space="preserve"> E</w:t>
      </w:r>
      <w:r>
        <w:rPr>
          <w:rFonts w:eastAsia="Calibri"/>
          <w:bCs/>
          <w:iCs/>
          <w:color w:val="000000"/>
        </w:rPr>
        <w:t>UR</w:t>
      </w:r>
      <w:r w:rsidRPr="00933E70">
        <w:rPr>
          <w:rFonts w:eastAsia="Calibri"/>
          <w:bCs/>
          <w:iCs/>
          <w:color w:val="000000"/>
        </w:rPr>
        <w:t>.</w:t>
      </w:r>
    </w:p>
    <w:p w14:paraId="1ACFFF6F" w14:textId="77777777" w:rsidR="00746D3C" w:rsidRDefault="00746D3C" w:rsidP="00746D3C">
      <w:pPr>
        <w:jc w:val="both"/>
        <w:rPr>
          <w:b/>
          <w:i/>
          <w:color w:val="000000"/>
        </w:rPr>
      </w:pPr>
    </w:p>
    <w:p w14:paraId="38871845" w14:textId="77777777" w:rsidR="00746D3C" w:rsidRDefault="00746D3C" w:rsidP="00746D3C">
      <w:pPr>
        <w:jc w:val="both"/>
        <w:rPr>
          <w:b/>
          <w:i/>
          <w:color w:val="000000"/>
        </w:rPr>
      </w:pPr>
      <w:r>
        <w:rPr>
          <w:b/>
          <w:i/>
          <w:color w:val="000000"/>
        </w:rPr>
        <w:t>21. Zrušenie povinnosti podávať súhrnný výkaz</w:t>
      </w:r>
    </w:p>
    <w:p w14:paraId="31BAEBD4" w14:textId="77777777" w:rsidR="00746D3C" w:rsidRDefault="00746D3C" w:rsidP="00746D3C">
      <w:pPr>
        <w:jc w:val="both"/>
        <w:rPr>
          <w:b/>
          <w:i/>
          <w:color w:val="000000"/>
        </w:rPr>
      </w:pPr>
    </w:p>
    <w:p w14:paraId="6AF5F8E8" w14:textId="77777777" w:rsidR="00746D3C" w:rsidRDefault="00746D3C" w:rsidP="00746D3C">
      <w:pPr>
        <w:jc w:val="both"/>
        <w:rPr>
          <w:color w:val="000000" w:themeColor="text1"/>
        </w:rPr>
      </w:pPr>
      <w:r>
        <w:rPr>
          <w:shd w:val="clear" w:color="auto" w:fill="FFFFFF"/>
        </w:rPr>
        <w:t>Vypustenie</w:t>
      </w:r>
      <w:r w:rsidRPr="004A27A7">
        <w:rPr>
          <w:shd w:val="clear" w:color="auto" w:fill="FFFFFF"/>
        </w:rPr>
        <w:t xml:space="preserve"> regulácie dotknutým subjektom </w:t>
      </w:r>
      <w:r>
        <w:rPr>
          <w:shd w:val="clear" w:color="auto" w:fill="FFFFFF"/>
        </w:rPr>
        <w:t>znižuje</w:t>
      </w:r>
      <w:r w:rsidRPr="004A27A7">
        <w:rPr>
          <w:shd w:val="clear" w:color="auto" w:fill="FFFFFF"/>
        </w:rPr>
        <w:t xml:space="preserve"> náklady. </w:t>
      </w:r>
      <w:r w:rsidRPr="004A27A7">
        <w:t>S účinnosťou od 1.7.2030</w:t>
      </w:r>
      <w:r>
        <w:t xml:space="preserve"> sa</w:t>
      </w:r>
      <w:r w:rsidRPr="004A27A7">
        <w:rPr>
          <w:color w:val="000000" w:themeColor="text1"/>
        </w:rPr>
        <w:t xml:space="preserve"> v nadväznosti na zavedenie povinnej elektronickej fakturácie a</w:t>
      </w:r>
      <w:r>
        <w:rPr>
          <w:color w:val="000000" w:themeColor="text1"/>
        </w:rPr>
        <w:t> </w:t>
      </w:r>
      <w:r w:rsidRPr="004A27A7">
        <w:rPr>
          <w:color w:val="000000" w:themeColor="text1"/>
        </w:rPr>
        <w:t>na</w:t>
      </w:r>
      <w:r>
        <w:rPr>
          <w:color w:val="000000" w:themeColor="text1"/>
        </w:rPr>
        <w:t xml:space="preserve"> digitálne</w:t>
      </w:r>
      <w:r w:rsidRPr="004A27A7">
        <w:rPr>
          <w:color w:val="000000" w:themeColor="text1"/>
        </w:rPr>
        <w:t xml:space="preserve"> oznamovanie údajov pri </w:t>
      </w:r>
      <w:r>
        <w:rPr>
          <w:color w:val="000000" w:themeColor="text1"/>
        </w:rPr>
        <w:t>cezhraničných</w:t>
      </w:r>
      <w:r w:rsidRPr="004A27A7">
        <w:rPr>
          <w:color w:val="000000" w:themeColor="text1"/>
        </w:rPr>
        <w:t xml:space="preserve"> zdaniteľných obchodoch v čase vyhotovenia, resp. prijatia faktúry ruší povinnosť podávať </w:t>
      </w:r>
      <w:r>
        <w:rPr>
          <w:color w:val="000000" w:themeColor="text1"/>
        </w:rPr>
        <w:t>súhrnný</w:t>
      </w:r>
      <w:r w:rsidRPr="004A27A7">
        <w:rPr>
          <w:color w:val="000000" w:themeColor="text1"/>
        </w:rPr>
        <w:t xml:space="preserve"> výkaz.</w:t>
      </w:r>
    </w:p>
    <w:p w14:paraId="795AD4C3" w14:textId="77777777" w:rsidR="00746D3C" w:rsidRPr="004A27A7" w:rsidRDefault="00746D3C" w:rsidP="00746D3C">
      <w:pPr>
        <w:jc w:val="both"/>
        <w:rPr>
          <w:b/>
          <w:i/>
          <w:color w:val="000000"/>
        </w:rPr>
      </w:pPr>
    </w:p>
    <w:p w14:paraId="2CA1400A" w14:textId="77777777" w:rsidR="00746D3C" w:rsidRDefault="00746D3C" w:rsidP="00746D3C">
      <w:pPr>
        <w:jc w:val="both"/>
        <w:rPr>
          <w:b/>
          <w:i/>
          <w:color w:val="000000"/>
        </w:rPr>
      </w:pPr>
      <w:r w:rsidRPr="0039695E">
        <w:rPr>
          <w:shd w:val="clear" w:color="auto" w:fill="FFFFFF"/>
        </w:rPr>
        <w:t xml:space="preserve">Predmetná regulácia pre dotknuté subjekty predstavuje administratívny vplyv. </w:t>
      </w:r>
      <w:r w:rsidRPr="00933E70">
        <w:rPr>
          <w:rFonts w:eastAsia="Calibri"/>
          <w:bCs/>
          <w:iCs/>
          <w:color w:val="000000"/>
        </w:rPr>
        <w:t>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 údajov poskytnutých FRSR. Podľa údajov FRSR bol k 1.1.2025 celkový počet registrovaných platiteľov dane z pridanej hodnoty (§ 4, § 4b a § 5 zákona o DPH) 225</w:t>
      </w:r>
      <w:r>
        <w:rPr>
          <w:rFonts w:eastAsia="Calibri"/>
          <w:bCs/>
          <w:iCs/>
          <w:color w:val="000000"/>
        </w:rPr>
        <w:t> </w:t>
      </w:r>
      <w:r w:rsidRPr="00933E70">
        <w:rPr>
          <w:rFonts w:eastAsia="Calibri"/>
          <w:bCs/>
          <w:iCs/>
          <w:color w:val="000000"/>
        </w:rPr>
        <w:t>206.</w:t>
      </w:r>
      <w:r>
        <w:rPr>
          <w:rFonts w:eastAsia="Calibri"/>
          <w:bCs/>
          <w:iCs/>
          <w:color w:val="000000"/>
        </w:rPr>
        <w:t xml:space="preserve"> </w:t>
      </w:r>
      <w:r w:rsidRPr="004A27A7">
        <w:rPr>
          <w:rFonts w:eastAsia="Calibri"/>
          <w:bCs/>
          <w:iCs/>
          <w:color w:val="000000"/>
        </w:rPr>
        <w:t xml:space="preserve">Uvedené subjekty musia pravidelne v lehote do 25 dní po </w:t>
      </w:r>
      <w:r w:rsidRPr="0076312F">
        <w:rPr>
          <w:rFonts w:eastAsia="Calibri"/>
          <w:bCs/>
          <w:iCs/>
          <w:color w:val="000000"/>
        </w:rPr>
        <w:t xml:space="preserve">skončení každého zdaňovacieho obdobia podávať súhrnný výkaz. Na základe reálnej skúsenosti je v týchto prípadoch expertný odhad časovej náročnosti 10 min. za jeden mesiac (120 min. na jeden subjekt za rok), ak vznikne povinnosť podať súhrnný výkaz </w:t>
      </w:r>
      <w:r w:rsidRPr="0076312F">
        <w:t xml:space="preserve">Náklady regulácie boli určené ako administratívne. Pri kvantifikácii bol zvolený postup na </w:t>
      </w:r>
      <w:r w:rsidRPr="0076312F">
        <w:lastRenderedPageBreak/>
        <w:t>základe alternatívy č. 1.</w:t>
      </w:r>
      <w:r w:rsidRPr="0076312F">
        <w:rPr>
          <w:rFonts w:eastAsia="Calibri"/>
          <w:bCs/>
          <w:iCs/>
          <w:color w:val="000000"/>
        </w:rPr>
        <w:t xml:space="preserve"> Frekvencia plnenia bola určená štvrťročne,</w:t>
      </w:r>
      <w:r>
        <w:rPr>
          <w:rFonts w:eastAsia="Calibri"/>
          <w:bCs/>
          <w:iCs/>
          <w:color w:val="000000"/>
        </w:rPr>
        <w:t xml:space="preserve"> keďže sa netýka každého platiteľa dane pravidelne</w:t>
      </w:r>
      <w:r w:rsidRPr="00933E70">
        <w:rPr>
          <w:rFonts w:eastAsia="Calibri"/>
          <w:bCs/>
          <w:iCs/>
          <w:color w:val="000000"/>
        </w:rPr>
        <w:t xml:space="preserve">. Na základe výpočtu Kalkulačky nákladov na podnikateľské prostredie sa v súvislosti s touto reguláciou predpokladá </w:t>
      </w:r>
      <w:r>
        <w:rPr>
          <w:rFonts w:eastAsia="Calibri"/>
          <w:bCs/>
          <w:iCs/>
          <w:color w:val="000000"/>
        </w:rPr>
        <w:t xml:space="preserve">zníženie </w:t>
      </w:r>
      <w:r w:rsidRPr="00933E70">
        <w:rPr>
          <w:rFonts w:eastAsia="Calibri"/>
          <w:bCs/>
          <w:iCs/>
          <w:color w:val="000000"/>
        </w:rPr>
        <w:t>sum</w:t>
      </w:r>
      <w:r>
        <w:rPr>
          <w:rFonts w:eastAsia="Calibri"/>
          <w:bCs/>
          <w:iCs/>
          <w:color w:val="000000"/>
        </w:rPr>
        <w:t>y</w:t>
      </w:r>
      <w:r w:rsidRPr="00933E70">
        <w:rPr>
          <w:rFonts w:eastAsia="Calibri"/>
          <w:bCs/>
          <w:iCs/>
          <w:color w:val="000000"/>
        </w:rPr>
        <w:t xml:space="preserve"> administratívnych nákladov na podnikateľské prostredie (</w:t>
      </w:r>
      <w:r>
        <w:rPr>
          <w:rFonts w:eastAsia="Calibri"/>
          <w:bCs/>
          <w:iCs/>
          <w:color w:val="000000"/>
        </w:rPr>
        <w:t>OUT</w:t>
      </w:r>
      <w:r w:rsidRPr="00933E70">
        <w:rPr>
          <w:rFonts w:eastAsia="Calibri"/>
          <w:bCs/>
          <w:iCs/>
          <w:color w:val="000000"/>
        </w:rPr>
        <w:t xml:space="preserve">) vo výške </w:t>
      </w:r>
      <w:r>
        <w:rPr>
          <w:rFonts w:eastAsia="Calibri"/>
          <w:bCs/>
          <w:iCs/>
          <w:color w:val="000000"/>
        </w:rPr>
        <w:t>1 947 732</w:t>
      </w:r>
      <w:r w:rsidRPr="00933E70">
        <w:rPr>
          <w:rFonts w:eastAsia="Calibri"/>
          <w:bCs/>
          <w:iCs/>
          <w:color w:val="000000"/>
        </w:rPr>
        <w:t xml:space="preserve"> E</w:t>
      </w:r>
      <w:r>
        <w:rPr>
          <w:rFonts w:eastAsia="Calibri"/>
          <w:bCs/>
          <w:iCs/>
          <w:color w:val="000000"/>
        </w:rPr>
        <w:t>UR</w:t>
      </w:r>
      <w:r w:rsidRPr="00933E70">
        <w:rPr>
          <w:rFonts w:eastAsia="Calibri"/>
          <w:bCs/>
          <w:iCs/>
          <w:color w:val="000000"/>
        </w:rPr>
        <w:t>.</w:t>
      </w:r>
    </w:p>
    <w:p w14:paraId="41229B92" w14:textId="77777777" w:rsidR="00746D3C" w:rsidRDefault="00746D3C" w:rsidP="00746D3C">
      <w:pPr>
        <w:jc w:val="both"/>
        <w:rPr>
          <w:b/>
          <w:i/>
          <w:color w:val="000000"/>
        </w:rPr>
      </w:pPr>
    </w:p>
    <w:p w14:paraId="67B70501" w14:textId="77777777" w:rsidR="00746D3C" w:rsidRDefault="00746D3C" w:rsidP="00746D3C">
      <w:pPr>
        <w:jc w:val="both"/>
        <w:rPr>
          <w:b/>
          <w:i/>
          <w:color w:val="000000"/>
        </w:rPr>
      </w:pPr>
      <w:r>
        <w:rPr>
          <w:b/>
          <w:i/>
          <w:color w:val="000000"/>
        </w:rPr>
        <w:t xml:space="preserve">22. Oznamovanie údajov finančnému riaditeľstvu pri dodaní a nadobudnutí tovaru a služby </w:t>
      </w:r>
    </w:p>
    <w:p w14:paraId="7347F6D0" w14:textId="77777777" w:rsidR="00746D3C" w:rsidRDefault="00746D3C" w:rsidP="00746D3C">
      <w:pPr>
        <w:jc w:val="both"/>
        <w:rPr>
          <w:b/>
          <w:i/>
          <w:color w:val="000000"/>
        </w:rPr>
      </w:pPr>
    </w:p>
    <w:p w14:paraId="2AD488A4" w14:textId="77777777" w:rsidR="00746D3C" w:rsidRDefault="00746D3C" w:rsidP="00746D3C">
      <w:pPr>
        <w:jc w:val="both"/>
        <w:rPr>
          <w:color w:val="000000" w:themeColor="text1"/>
        </w:rPr>
      </w:pPr>
      <w:r>
        <w:rPr>
          <w:shd w:val="clear" w:color="auto" w:fill="FFFFFF"/>
        </w:rPr>
        <w:t>Nová regulácia</w:t>
      </w:r>
      <w:r w:rsidRPr="004A27A7">
        <w:rPr>
          <w:shd w:val="clear" w:color="auto" w:fill="FFFFFF"/>
        </w:rPr>
        <w:t xml:space="preserve"> dotknutým subjektom </w:t>
      </w:r>
      <w:r>
        <w:rPr>
          <w:shd w:val="clear" w:color="auto" w:fill="FFFFFF"/>
        </w:rPr>
        <w:t>zvyšuje</w:t>
      </w:r>
      <w:r w:rsidRPr="004A27A7">
        <w:rPr>
          <w:shd w:val="clear" w:color="auto" w:fill="FFFFFF"/>
        </w:rPr>
        <w:t xml:space="preserve"> náklady. </w:t>
      </w:r>
      <w:r w:rsidRPr="004A27A7">
        <w:t>S účinnosťou od 1.7.2030</w:t>
      </w:r>
      <w:r>
        <w:t xml:space="preserve"> sa</w:t>
      </w:r>
      <w:r w:rsidRPr="004A27A7">
        <w:rPr>
          <w:color w:val="000000" w:themeColor="text1"/>
        </w:rPr>
        <w:t xml:space="preserve"> v nadväznosti na zavedenie povinnej elektronickej fakturácie </w:t>
      </w:r>
      <w:r>
        <w:rPr>
          <w:color w:val="000000" w:themeColor="text1"/>
        </w:rPr>
        <w:t>zavádza digitálne</w:t>
      </w:r>
      <w:r w:rsidRPr="004A27A7">
        <w:rPr>
          <w:color w:val="000000" w:themeColor="text1"/>
        </w:rPr>
        <w:t xml:space="preserve"> oznamovanie údajov </w:t>
      </w:r>
      <w:r>
        <w:rPr>
          <w:color w:val="000000" w:themeColor="text1"/>
        </w:rPr>
        <w:t>o</w:t>
      </w:r>
      <w:r w:rsidRPr="004A27A7">
        <w:rPr>
          <w:color w:val="000000" w:themeColor="text1"/>
        </w:rPr>
        <w:t xml:space="preserve"> </w:t>
      </w:r>
      <w:r>
        <w:rPr>
          <w:color w:val="000000" w:themeColor="text1"/>
        </w:rPr>
        <w:t>cezhraničných</w:t>
      </w:r>
      <w:r w:rsidRPr="004A27A7">
        <w:rPr>
          <w:color w:val="000000" w:themeColor="text1"/>
        </w:rPr>
        <w:t xml:space="preserve"> zdaniteľných obchodoch v čase vyhotovenia, resp. prijatia faktúry.</w:t>
      </w:r>
      <w:r>
        <w:rPr>
          <w:color w:val="000000" w:themeColor="text1"/>
        </w:rPr>
        <w:t xml:space="preserve"> </w:t>
      </w:r>
      <w:r w:rsidRPr="004A27A7">
        <w:t>S účinnosťou od 1.</w:t>
      </w:r>
      <w:r>
        <w:t>1</w:t>
      </w:r>
      <w:r w:rsidRPr="004A27A7">
        <w:t>.20</w:t>
      </w:r>
      <w:r>
        <w:t>27 sa</w:t>
      </w:r>
      <w:r w:rsidRPr="004A27A7">
        <w:rPr>
          <w:color w:val="000000" w:themeColor="text1"/>
        </w:rPr>
        <w:t xml:space="preserve"> v nadväznosti na zavedenie povinnej elektronickej fakturácie </w:t>
      </w:r>
      <w:r>
        <w:rPr>
          <w:color w:val="000000" w:themeColor="text1"/>
        </w:rPr>
        <w:t>zavádza digitálne</w:t>
      </w:r>
      <w:r w:rsidRPr="004A27A7">
        <w:rPr>
          <w:color w:val="000000" w:themeColor="text1"/>
        </w:rPr>
        <w:t xml:space="preserve"> oznamovanie údajov </w:t>
      </w:r>
      <w:r>
        <w:rPr>
          <w:color w:val="000000" w:themeColor="text1"/>
        </w:rPr>
        <w:t>o</w:t>
      </w:r>
      <w:r w:rsidRPr="004A27A7">
        <w:rPr>
          <w:color w:val="000000" w:themeColor="text1"/>
        </w:rPr>
        <w:t xml:space="preserve"> </w:t>
      </w:r>
      <w:r>
        <w:rPr>
          <w:color w:val="000000" w:themeColor="text1"/>
        </w:rPr>
        <w:t>tuzemských</w:t>
      </w:r>
      <w:r w:rsidRPr="004A27A7">
        <w:rPr>
          <w:color w:val="000000" w:themeColor="text1"/>
        </w:rPr>
        <w:t xml:space="preserve"> zdaniteľných obchodoch v čase vyhotovenia, resp. prijatia faktúry</w:t>
      </w:r>
      <w:r>
        <w:rPr>
          <w:color w:val="000000" w:themeColor="text1"/>
        </w:rPr>
        <w:t>.</w:t>
      </w:r>
    </w:p>
    <w:p w14:paraId="368AD7D1" w14:textId="77777777" w:rsidR="00746D3C" w:rsidRPr="004A27A7" w:rsidRDefault="00746D3C" w:rsidP="00746D3C">
      <w:pPr>
        <w:jc w:val="both"/>
        <w:rPr>
          <w:b/>
          <w:i/>
          <w:color w:val="000000"/>
        </w:rPr>
      </w:pPr>
    </w:p>
    <w:p w14:paraId="07863769" w14:textId="77777777" w:rsidR="00746D3C" w:rsidRDefault="00746D3C" w:rsidP="00746D3C">
      <w:pPr>
        <w:jc w:val="both"/>
        <w:rPr>
          <w:rFonts w:eastAsia="Calibri"/>
          <w:bCs/>
          <w:iCs/>
          <w:color w:val="000000"/>
        </w:rPr>
      </w:pPr>
      <w:r w:rsidRPr="0039695E">
        <w:rPr>
          <w:shd w:val="clear" w:color="auto" w:fill="FFFFFF"/>
        </w:rPr>
        <w:t xml:space="preserve">Predmetná regulácia pre dotknuté subjekty predstavuje administratívny vplyv. </w:t>
      </w:r>
      <w:r w:rsidRPr="00933E70">
        <w:rPr>
          <w:rFonts w:eastAsia="Calibri"/>
          <w:bCs/>
          <w:iCs/>
          <w:color w:val="000000"/>
        </w:rPr>
        <w:t>Počet dotknutých subjektov, ktorých sa bude táto</w:t>
      </w:r>
      <w:r>
        <w:rPr>
          <w:rFonts w:eastAsia="Calibri"/>
          <w:bCs/>
          <w:iCs/>
          <w:color w:val="000000"/>
        </w:rPr>
        <w:t xml:space="preserve"> regulácia týkať,</w:t>
      </w:r>
      <w:r w:rsidRPr="00933E70">
        <w:rPr>
          <w:rFonts w:eastAsia="Calibri"/>
          <w:bCs/>
          <w:iCs/>
          <w:color w:val="000000"/>
        </w:rPr>
        <w:t xml:space="preserve"> vychádza z</w:t>
      </w:r>
      <w:r>
        <w:rPr>
          <w:rFonts w:eastAsia="Calibri"/>
          <w:bCs/>
          <w:iCs/>
          <w:color w:val="000000"/>
        </w:rPr>
        <w:t> </w:t>
      </w:r>
      <w:r w:rsidRPr="00933E70">
        <w:rPr>
          <w:rFonts w:eastAsia="Calibri"/>
          <w:bCs/>
          <w:iCs/>
          <w:color w:val="000000"/>
        </w:rPr>
        <w:t>údajov poskytnutých FRSR</w:t>
      </w:r>
      <w:r>
        <w:rPr>
          <w:rFonts w:eastAsia="Calibri"/>
          <w:bCs/>
          <w:iCs/>
          <w:color w:val="000000"/>
        </w:rPr>
        <w:t xml:space="preserve"> a bol špecifikovaný v rámci predchádzajúcich regulácií:</w:t>
      </w:r>
    </w:p>
    <w:p w14:paraId="43085963" w14:textId="77777777" w:rsidR="00746D3C" w:rsidRDefault="00746D3C" w:rsidP="00746D3C">
      <w:pPr>
        <w:jc w:val="both"/>
        <w:rPr>
          <w:rFonts w:eastAsia="Calibri"/>
          <w:bCs/>
          <w:iCs/>
          <w:color w:val="000000"/>
        </w:rPr>
      </w:pPr>
      <w:r>
        <w:rPr>
          <w:rFonts w:eastAsia="Calibri"/>
          <w:bCs/>
          <w:iCs/>
          <w:color w:val="000000"/>
        </w:rPr>
        <w:t xml:space="preserve">- </w:t>
      </w:r>
      <w:r w:rsidRPr="00933E70">
        <w:rPr>
          <w:rFonts w:eastAsia="Calibri"/>
          <w:bCs/>
          <w:iCs/>
          <w:color w:val="000000"/>
        </w:rPr>
        <w:t>celkový počet registrovaných platiteľov dane z pridanej hodnoty (§ 4, § 4b a § 5 zákona o DPH)</w:t>
      </w:r>
      <w:r>
        <w:rPr>
          <w:rFonts w:eastAsia="Calibri"/>
          <w:bCs/>
          <w:iCs/>
          <w:color w:val="000000"/>
        </w:rPr>
        <w:t xml:space="preserve"> -</w:t>
      </w:r>
      <w:r w:rsidRPr="00933E70">
        <w:rPr>
          <w:rFonts w:eastAsia="Calibri"/>
          <w:bCs/>
          <w:iCs/>
          <w:color w:val="000000"/>
        </w:rPr>
        <w:t xml:space="preserve"> 225</w:t>
      </w:r>
      <w:r>
        <w:rPr>
          <w:rFonts w:eastAsia="Calibri"/>
          <w:bCs/>
          <w:iCs/>
          <w:color w:val="000000"/>
        </w:rPr>
        <w:t> </w:t>
      </w:r>
      <w:r w:rsidRPr="00933E70">
        <w:rPr>
          <w:rFonts w:eastAsia="Calibri"/>
          <w:bCs/>
          <w:iCs/>
          <w:color w:val="000000"/>
        </w:rPr>
        <w:t>206</w:t>
      </w:r>
      <w:r>
        <w:rPr>
          <w:rFonts w:eastAsia="Calibri"/>
          <w:bCs/>
          <w:iCs/>
          <w:color w:val="000000"/>
        </w:rPr>
        <w:t>,</w:t>
      </w:r>
    </w:p>
    <w:p w14:paraId="325A052E" w14:textId="77777777" w:rsidR="00746D3C" w:rsidRDefault="00746D3C" w:rsidP="00746D3C">
      <w:pPr>
        <w:jc w:val="both"/>
      </w:pPr>
      <w:r>
        <w:t>- p</w:t>
      </w:r>
      <w:r>
        <w:rPr>
          <w:rFonts w:eastAsia="Calibri"/>
          <w:bCs/>
          <w:iCs/>
          <w:color w:val="000000"/>
        </w:rPr>
        <w:t>očet právnických osôb registrovaných na daň z príjmu, bez registrácie na DPH - 240 301</w:t>
      </w:r>
      <w:r>
        <w:t>,</w:t>
      </w:r>
    </w:p>
    <w:p w14:paraId="428583DC" w14:textId="77777777" w:rsidR="00746D3C" w:rsidRDefault="00746D3C" w:rsidP="00746D3C">
      <w:pPr>
        <w:jc w:val="both"/>
      </w:pPr>
      <w:r>
        <w:rPr>
          <w:rFonts w:eastAsia="Calibri"/>
          <w:bCs/>
          <w:iCs/>
          <w:color w:val="000000"/>
        </w:rPr>
        <w:t xml:space="preserve">- </w:t>
      </w:r>
      <w:r w:rsidRPr="00933E70">
        <w:rPr>
          <w:rFonts w:eastAsia="Calibri"/>
          <w:bCs/>
          <w:iCs/>
          <w:color w:val="000000"/>
        </w:rPr>
        <w:t xml:space="preserve">celkový počet </w:t>
      </w:r>
      <w:r>
        <w:rPr>
          <w:rFonts w:eastAsia="Calibri"/>
          <w:bCs/>
          <w:iCs/>
          <w:color w:val="000000"/>
        </w:rPr>
        <w:t xml:space="preserve">osôb </w:t>
      </w:r>
      <w:r w:rsidRPr="00933E70">
        <w:rPr>
          <w:rFonts w:eastAsia="Calibri"/>
          <w:bCs/>
          <w:iCs/>
          <w:color w:val="000000"/>
        </w:rPr>
        <w:t xml:space="preserve">registrovaných </w:t>
      </w:r>
      <w:r>
        <w:rPr>
          <w:rFonts w:eastAsia="Calibri"/>
          <w:bCs/>
          <w:iCs/>
          <w:color w:val="000000"/>
        </w:rPr>
        <w:t>pre daň</w:t>
      </w:r>
      <w:r w:rsidRPr="00933E70">
        <w:rPr>
          <w:rFonts w:eastAsia="Calibri"/>
          <w:bCs/>
          <w:iCs/>
          <w:color w:val="000000"/>
        </w:rPr>
        <w:t xml:space="preserve"> z pridanej hodnoty (§ </w:t>
      </w:r>
      <w:r>
        <w:rPr>
          <w:rFonts w:eastAsia="Calibri"/>
          <w:bCs/>
          <w:iCs/>
          <w:color w:val="000000"/>
        </w:rPr>
        <w:t>7</w:t>
      </w:r>
      <w:r w:rsidRPr="00933E70">
        <w:rPr>
          <w:rFonts w:eastAsia="Calibri"/>
          <w:bCs/>
          <w:iCs/>
          <w:color w:val="000000"/>
        </w:rPr>
        <w:t xml:space="preserve"> </w:t>
      </w:r>
      <w:r>
        <w:rPr>
          <w:rFonts w:eastAsia="Calibri"/>
          <w:bCs/>
          <w:iCs/>
          <w:color w:val="000000"/>
        </w:rPr>
        <w:t xml:space="preserve">a </w:t>
      </w:r>
      <w:r w:rsidRPr="00933E70">
        <w:rPr>
          <w:rFonts w:eastAsia="Calibri"/>
          <w:bCs/>
          <w:iCs/>
          <w:color w:val="000000"/>
        </w:rPr>
        <w:t xml:space="preserve">§ </w:t>
      </w:r>
      <w:r>
        <w:rPr>
          <w:rFonts w:eastAsia="Calibri"/>
          <w:bCs/>
          <w:iCs/>
          <w:color w:val="000000"/>
        </w:rPr>
        <w:t>7a</w:t>
      </w:r>
      <w:r w:rsidRPr="00933E70">
        <w:rPr>
          <w:rFonts w:eastAsia="Calibri"/>
          <w:bCs/>
          <w:iCs/>
          <w:color w:val="000000"/>
        </w:rPr>
        <w:t xml:space="preserve"> zákona o DPH)</w:t>
      </w:r>
      <w:r>
        <w:rPr>
          <w:rFonts w:eastAsia="Calibri"/>
          <w:bCs/>
          <w:iCs/>
          <w:color w:val="000000"/>
        </w:rPr>
        <w:t xml:space="preserve"> -</w:t>
      </w:r>
      <w:r w:rsidRPr="00933E70">
        <w:rPr>
          <w:rFonts w:eastAsia="Calibri"/>
          <w:bCs/>
          <w:iCs/>
          <w:color w:val="000000"/>
        </w:rPr>
        <w:t xml:space="preserve"> </w:t>
      </w:r>
      <w:r>
        <w:rPr>
          <w:rFonts w:eastAsia="Calibri"/>
          <w:bCs/>
          <w:iCs/>
          <w:color w:val="000000"/>
        </w:rPr>
        <w:t>65 219.</w:t>
      </w:r>
    </w:p>
    <w:p w14:paraId="17207A12" w14:textId="77777777" w:rsidR="00746D3C" w:rsidRDefault="00746D3C" w:rsidP="00746D3C">
      <w:pPr>
        <w:jc w:val="both"/>
        <w:rPr>
          <w:rFonts w:eastAsia="Calibri"/>
          <w:bCs/>
          <w:iCs/>
          <w:color w:val="000000"/>
        </w:rPr>
      </w:pPr>
    </w:p>
    <w:p w14:paraId="53F7D4A3" w14:textId="77777777" w:rsidR="00746D3C" w:rsidRDefault="00746D3C" w:rsidP="00746D3C">
      <w:pPr>
        <w:jc w:val="both"/>
        <w:rPr>
          <w:rFonts w:eastAsia="Calibri"/>
          <w:bCs/>
          <w:iCs/>
          <w:color w:val="000000"/>
        </w:rPr>
      </w:pPr>
      <w:r>
        <w:rPr>
          <w:rFonts w:eastAsia="Calibri"/>
          <w:bCs/>
          <w:iCs/>
          <w:color w:val="000000"/>
        </w:rPr>
        <w:t xml:space="preserve">V rámci výpočtov nákladov na podnikateľské prostredie bol špecifikovaný aj počet vyhotovených a prijatých faktúr, a to nasledovne: </w:t>
      </w:r>
    </w:p>
    <w:p w14:paraId="65A551B8" w14:textId="77777777" w:rsidR="00746D3C" w:rsidRPr="009F11A6" w:rsidRDefault="00746D3C" w:rsidP="00746D3C">
      <w:pPr>
        <w:jc w:val="both"/>
        <w:rPr>
          <w:rFonts w:eastAsia="Calibri"/>
          <w:bCs/>
          <w:iCs/>
          <w:color w:val="000000"/>
        </w:rPr>
      </w:pPr>
      <w:r w:rsidRPr="009F11A6">
        <w:t>Reg</w:t>
      </w:r>
      <w:r>
        <w:t>ulácia č.</w:t>
      </w:r>
      <w:r w:rsidRPr="009F11A6">
        <w:t xml:space="preserve"> 8 - </w:t>
      </w:r>
      <w:r w:rsidRPr="009F11A6">
        <w:rPr>
          <w:rFonts w:eastAsia="Calibri"/>
          <w:bCs/>
          <w:iCs/>
          <w:color w:val="000000"/>
        </w:rPr>
        <w:t>platitelia dane vyhotovili v kalendárnom roku 2024 celkovo 101 310 277 faktúr v rôznej podobe pre tuzemské zdaniteľné osoby a právnické osoby, ktoré nie sú zdaniteľnými osobami.</w:t>
      </w:r>
    </w:p>
    <w:p w14:paraId="123CFE40" w14:textId="77777777" w:rsidR="00746D3C" w:rsidRPr="009F11A6" w:rsidRDefault="00746D3C" w:rsidP="00746D3C">
      <w:pPr>
        <w:jc w:val="both"/>
        <w:rPr>
          <w:rFonts w:eastAsia="Calibri"/>
          <w:bCs/>
          <w:iCs/>
          <w:color w:val="000000"/>
        </w:rPr>
      </w:pPr>
      <w:r w:rsidRPr="009F11A6">
        <w:rPr>
          <w:rFonts w:eastAsia="Calibri"/>
          <w:bCs/>
          <w:iCs/>
          <w:color w:val="000000"/>
        </w:rPr>
        <w:t>Reg</w:t>
      </w:r>
      <w:r>
        <w:rPr>
          <w:rFonts w:eastAsia="Calibri"/>
          <w:bCs/>
          <w:iCs/>
          <w:color w:val="000000"/>
        </w:rPr>
        <w:t>ulácia č.</w:t>
      </w:r>
      <w:r w:rsidRPr="009F11A6">
        <w:rPr>
          <w:rFonts w:eastAsia="Calibri"/>
          <w:bCs/>
          <w:iCs/>
          <w:color w:val="000000"/>
        </w:rPr>
        <w:t xml:space="preserve"> 9 - platitelia dane prijali v kalendárnom roku 2024 celkovo 80 834 873 faktúr v rôznej podobe, či už od tuzemských alebo zahraničných dodávateľov.</w:t>
      </w:r>
    </w:p>
    <w:p w14:paraId="48F2A123" w14:textId="77777777" w:rsidR="00746D3C" w:rsidRPr="009F11A6" w:rsidRDefault="00746D3C" w:rsidP="00746D3C">
      <w:pPr>
        <w:jc w:val="both"/>
        <w:rPr>
          <w:rFonts w:eastAsia="Calibri"/>
          <w:bCs/>
          <w:iCs/>
          <w:color w:val="000000"/>
        </w:rPr>
      </w:pPr>
      <w:r w:rsidRPr="009F11A6">
        <w:rPr>
          <w:rFonts w:eastAsia="Calibri"/>
          <w:bCs/>
          <w:iCs/>
          <w:color w:val="000000"/>
        </w:rPr>
        <w:t>Reg</w:t>
      </w:r>
      <w:r>
        <w:rPr>
          <w:rFonts w:eastAsia="Calibri"/>
          <w:bCs/>
          <w:iCs/>
          <w:color w:val="000000"/>
        </w:rPr>
        <w:t>ulácia č.</w:t>
      </w:r>
      <w:r w:rsidRPr="009F11A6">
        <w:rPr>
          <w:rFonts w:eastAsia="Calibri"/>
          <w:bCs/>
          <w:iCs/>
          <w:color w:val="000000"/>
        </w:rPr>
        <w:t xml:space="preserve"> 11 - platitelia dane vyhotovili v kalendárnom roku 2024 celkovo 6 360 618 opravných faktúr v rôznej podobe</w:t>
      </w:r>
      <w:r>
        <w:rPr>
          <w:rFonts w:eastAsia="Calibri"/>
          <w:bCs/>
          <w:iCs/>
          <w:color w:val="000000"/>
        </w:rPr>
        <w:t>.</w:t>
      </w:r>
    </w:p>
    <w:p w14:paraId="1F1C84EC" w14:textId="77777777" w:rsidR="00746D3C" w:rsidRPr="009F11A6" w:rsidRDefault="00746D3C" w:rsidP="00746D3C">
      <w:pPr>
        <w:jc w:val="both"/>
        <w:rPr>
          <w:rFonts w:eastAsia="Calibri"/>
          <w:bCs/>
          <w:iCs/>
          <w:color w:val="000000"/>
        </w:rPr>
      </w:pPr>
      <w:r w:rsidRPr="009F11A6">
        <w:rPr>
          <w:rFonts w:eastAsia="Calibri"/>
          <w:bCs/>
          <w:iCs/>
          <w:color w:val="000000"/>
        </w:rPr>
        <w:t>Reg</w:t>
      </w:r>
      <w:r>
        <w:rPr>
          <w:rFonts w:eastAsia="Calibri"/>
          <w:bCs/>
          <w:iCs/>
          <w:color w:val="000000"/>
        </w:rPr>
        <w:t xml:space="preserve">ulácia č. </w:t>
      </w:r>
      <w:r w:rsidRPr="009F11A6">
        <w:rPr>
          <w:rFonts w:eastAsia="Calibri"/>
          <w:bCs/>
          <w:iCs/>
          <w:color w:val="000000"/>
        </w:rPr>
        <w:t>12 - platitelia dane v kalendárnom roku 2024 celkovo 3 763 925 opravných faktúr v rôznej podobe od tuzemských platiteľov dane.</w:t>
      </w:r>
    </w:p>
    <w:p w14:paraId="242416F8" w14:textId="77777777" w:rsidR="00746D3C" w:rsidRPr="009F11A6" w:rsidRDefault="00746D3C" w:rsidP="00746D3C">
      <w:pPr>
        <w:jc w:val="both"/>
        <w:rPr>
          <w:rFonts w:eastAsia="Calibri"/>
          <w:bCs/>
          <w:iCs/>
          <w:color w:val="000000"/>
        </w:rPr>
      </w:pPr>
      <w:r w:rsidRPr="009F11A6">
        <w:rPr>
          <w:rFonts w:eastAsia="Calibri"/>
          <w:bCs/>
          <w:iCs/>
          <w:color w:val="000000"/>
        </w:rPr>
        <w:t>Reg</w:t>
      </w:r>
      <w:r>
        <w:rPr>
          <w:rFonts w:eastAsia="Calibri"/>
          <w:bCs/>
          <w:iCs/>
          <w:color w:val="000000"/>
        </w:rPr>
        <w:t>ulácia č.</w:t>
      </w:r>
      <w:r w:rsidRPr="009F11A6">
        <w:rPr>
          <w:rFonts w:eastAsia="Calibri"/>
          <w:bCs/>
          <w:iCs/>
          <w:color w:val="000000"/>
        </w:rPr>
        <w:t xml:space="preserve"> 14 - </w:t>
      </w:r>
      <w:r>
        <w:rPr>
          <w:rFonts w:eastAsia="Calibri"/>
          <w:bCs/>
          <w:iCs/>
          <w:color w:val="000000"/>
        </w:rPr>
        <w:t>t</w:t>
      </w:r>
      <w:r w:rsidRPr="009F11A6">
        <w:rPr>
          <w:rFonts w:eastAsia="Calibri"/>
          <w:bCs/>
          <w:iCs/>
          <w:color w:val="000000"/>
        </w:rPr>
        <w:t>íto platitelia dane prijali v kalendárnom roku 2024 celkovo 16 480 964 faktúr v rôznej podobe od dodávateľov z iných členských štátov</w:t>
      </w:r>
      <w:r>
        <w:rPr>
          <w:rFonts w:eastAsia="Calibri"/>
          <w:bCs/>
          <w:iCs/>
          <w:color w:val="000000"/>
        </w:rPr>
        <w:t>.</w:t>
      </w:r>
    </w:p>
    <w:p w14:paraId="1791FBA4" w14:textId="77777777" w:rsidR="00746D3C" w:rsidRPr="009F11A6" w:rsidRDefault="00746D3C" w:rsidP="00746D3C">
      <w:pPr>
        <w:jc w:val="both"/>
        <w:rPr>
          <w:rFonts w:eastAsia="Calibri"/>
          <w:bCs/>
          <w:iCs/>
          <w:color w:val="000000"/>
        </w:rPr>
      </w:pPr>
      <w:r w:rsidRPr="009F11A6">
        <w:rPr>
          <w:rFonts w:eastAsia="Calibri"/>
          <w:bCs/>
          <w:iCs/>
          <w:color w:val="000000"/>
        </w:rPr>
        <w:t>Reg</w:t>
      </w:r>
      <w:r>
        <w:rPr>
          <w:rFonts w:eastAsia="Calibri"/>
          <w:bCs/>
          <w:iCs/>
          <w:color w:val="000000"/>
        </w:rPr>
        <w:t xml:space="preserve">ulácia č. </w:t>
      </w:r>
      <w:r w:rsidRPr="009F11A6">
        <w:rPr>
          <w:rFonts w:eastAsia="Calibri"/>
          <w:bCs/>
          <w:iCs/>
          <w:color w:val="000000"/>
        </w:rPr>
        <w:t xml:space="preserve">15 - MFSR odhaduje, že osoby registrované pre daň podľa § 7 a § 7a </w:t>
      </w:r>
      <w:r>
        <w:rPr>
          <w:rFonts w:eastAsia="Calibri"/>
          <w:bCs/>
          <w:iCs/>
          <w:color w:val="000000"/>
        </w:rPr>
        <w:t xml:space="preserve">(65 219) </w:t>
      </w:r>
      <w:r w:rsidRPr="009F11A6">
        <w:rPr>
          <w:rFonts w:eastAsia="Calibri"/>
          <w:bCs/>
          <w:iCs/>
          <w:color w:val="000000"/>
        </w:rPr>
        <w:t>prijali v kalendárnom roku 2024 celkovo 824 048 faktúr (5 % z 16 480 964) v rôznej podobe, či už listinnej alebo elektronickej (e-mail, pdf, ...) od dodávateľov z iných členských štátov.</w:t>
      </w:r>
    </w:p>
    <w:p w14:paraId="566F8A5C" w14:textId="77777777" w:rsidR="00746D3C" w:rsidRPr="009F11A6" w:rsidRDefault="00746D3C" w:rsidP="00746D3C">
      <w:pPr>
        <w:jc w:val="both"/>
        <w:rPr>
          <w:rFonts w:eastAsia="Calibri"/>
          <w:bCs/>
          <w:iCs/>
          <w:color w:val="000000"/>
        </w:rPr>
      </w:pPr>
      <w:r w:rsidRPr="009F11A6">
        <w:rPr>
          <w:rFonts w:eastAsia="Calibri"/>
          <w:bCs/>
          <w:iCs/>
          <w:color w:val="000000"/>
        </w:rPr>
        <w:t>Reg</w:t>
      </w:r>
      <w:r>
        <w:rPr>
          <w:rFonts w:eastAsia="Calibri"/>
          <w:bCs/>
          <w:iCs/>
          <w:color w:val="000000"/>
        </w:rPr>
        <w:t>ulácia č.</w:t>
      </w:r>
      <w:r w:rsidRPr="009F11A6">
        <w:rPr>
          <w:rFonts w:eastAsia="Calibri"/>
          <w:bCs/>
          <w:iCs/>
          <w:color w:val="000000"/>
        </w:rPr>
        <w:t xml:space="preserve"> 16 </w:t>
      </w:r>
      <w:r>
        <w:rPr>
          <w:rFonts w:eastAsia="Calibri"/>
          <w:bCs/>
          <w:iCs/>
          <w:color w:val="000000"/>
        </w:rPr>
        <w:t>- MFSR odhaduje, že platitelia dane v kalendárnom roku 2024 vyhotovili približne 990 000 opravných faktúr v rôznej podobe</w:t>
      </w:r>
      <w:r w:rsidRPr="009F11A6">
        <w:rPr>
          <w:rFonts w:eastAsia="Calibri"/>
          <w:bCs/>
          <w:iCs/>
          <w:color w:val="000000"/>
        </w:rPr>
        <w:t>.</w:t>
      </w:r>
    </w:p>
    <w:p w14:paraId="101BC5B7" w14:textId="77777777" w:rsidR="00746D3C" w:rsidRPr="009F11A6" w:rsidRDefault="00746D3C" w:rsidP="00746D3C">
      <w:pPr>
        <w:jc w:val="both"/>
        <w:rPr>
          <w:rFonts w:eastAsia="Calibri"/>
          <w:bCs/>
          <w:iCs/>
          <w:color w:val="000000"/>
        </w:rPr>
      </w:pPr>
      <w:r w:rsidRPr="009F11A6">
        <w:rPr>
          <w:rFonts w:eastAsia="Calibri"/>
          <w:bCs/>
          <w:iCs/>
          <w:color w:val="000000"/>
        </w:rPr>
        <w:t>Reg</w:t>
      </w:r>
      <w:r>
        <w:rPr>
          <w:rFonts w:eastAsia="Calibri"/>
          <w:bCs/>
          <w:iCs/>
          <w:color w:val="000000"/>
        </w:rPr>
        <w:t xml:space="preserve">ulácia č. </w:t>
      </w:r>
      <w:r w:rsidRPr="009F11A6">
        <w:rPr>
          <w:rFonts w:eastAsia="Calibri"/>
          <w:bCs/>
          <w:iCs/>
          <w:color w:val="000000"/>
        </w:rPr>
        <w:t>17 - platitelia dane v kalendárnom roku 2024 prijali približne 988 858 opravných faktúr v rôznej podobe (6 % z 16 480 964, rovnaký pomer ako pri tuzemských vyhotovených a opravných faktúrach).</w:t>
      </w:r>
    </w:p>
    <w:p w14:paraId="147CAC3D" w14:textId="77777777" w:rsidR="00746D3C" w:rsidRPr="009F11A6" w:rsidRDefault="00746D3C" w:rsidP="00746D3C">
      <w:pPr>
        <w:jc w:val="both"/>
        <w:rPr>
          <w:rFonts w:eastAsia="Calibri"/>
          <w:bCs/>
          <w:iCs/>
          <w:color w:val="000000"/>
        </w:rPr>
      </w:pPr>
      <w:r w:rsidRPr="009F11A6">
        <w:rPr>
          <w:rFonts w:eastAsia="Calibri"/>
          <w:bCs/>
          <w:iCs/>
          <w:color w:val="000000"/>
        </w:rPr>
        <w:t>Reg</w:t>
      </w:r>
      <w:r>
        <w:rPr>
          <w:rFonts w:eastAsia="Calibri"/>
          <w:bCs/>
          <w:iCs/>
          <w:color w:val="000000"/>
        </w:rPr>
        <w:t>ulácia č.</w:t>
      </w:r>
      <w:r w:rsidRPr="009F11A6">
        <w:rPr>
          <w:rFonts w:eastAsia="Calibri"/>
          <w:bCs/>
          <w:iCs/>
          <w:color w:val="000000"/>
        </w:rPr>
        <w:t xml:space="preserve"> 18 - osoby registrované pre daň podľa § 7 a § 7a</w:t>
      </w:r>
      <w:r>
        <w:rPr>
          <w:rFonts w:eastAsia="Calibri"/>
          <w:bCs/>
          <w:iCs/>
          <w:color w:val="000000"/>
        </w:rPr>
        <w:t xml:space="preserve"> (65 219)</w:t>
      </w:r>
      <w:r w:rsidRPr="009F11A6">
        <w:rPr>
          <w:rFonts w:eastAsia="Calibri"/>
          <w:bCs/>
          <w:iCs/>
          <w:color w:val="000000"/>
        </w:rPr>
        <w:t>. MFSR ďalej odhaduje, že na základe uvedeného bolo prijatých približne 49 443 opravných faktúr v rôznej podobe (6 % z 824 048, rovnaký pomer ako pri tuzemských vyhotovených a opravných faktúrach).</w:t>
      </w:r>
    </w:p>
    <w:p w14:paraId="0DE860D4" w14:textId="77777777" w:rsidR="00746D3C" w:rsidRDefault="00746D3C" w:rsidP="00746D3C">
      <w:pPr>
        <w:jc w:val="both"/>
        <w:rPr>
          <w:rFonts w:eastAsia="Calibri"/>
          <w:bCs/>
          <w:iCs/>
          <w:color w:val="000000"/>
        </w:rPr>
      </w:pPr>
    </w:p>
    <w:p w14:paraId="26D74F21" w14:textId="77777777" w:rsidR="00746D3C" w:rsidRDefault="00746D3C" w:rsidP="00746D3C">
      <w:pPr>
        <w:jc w:val="both"/>
        <w:rPr>
          <w:rFonts w:eastAsia="Calibri"/>
          <w:bCs/>
          <w:iCs/>
          <w:color w:val="000000"/>
        </w:rPr>
      </w:pPr>
      <w:r>
        <w:rPr>
          <w:rFonts w:eastAsia="Calibri"/>
          <w:bCs/>
          <w:iCs/>
          <w:color w:val="000000"/>
        </w:rPr>
        <w:t>Po sčítaní predstavuje počet vyhotovených a prijatých faktúr 211 603 006, o ktorých bude potrebné zaslať údaje finančnej správe. Náklady na zaslanie údajov z 1 elektronickej faktúry odhaduje MFSR na 0,08 EUR.</w:t>
      </w:r>
      <w:r w:rsidRPr="00933E70">
        <w:rPr>
          <w:rFonts w:eastAsia="Calibri"/>
          <w:bCs/>
          <w:iCs/>
          <w:color w:val="000000"/>
        </w:rPr>
        <w:t xml:space="preserve"> Náklady regulácie boli určené ako </w:t>
      </w:r>
      <w:r>
        <w:rPr>
          <w:rFonts w:eastAsia="Calibri"/>
          <w:bCs/>
          <w:iCs/>
          <w:color w:val="000000"/>
        </w:rPr>
        <w:t>nepriame finančné náklady</w:t>
      </w:r>
      <w:r w:rsidRPr="00933E70">
        <w:rPr>
          <w:rFonts w:eastAsia="Calibri"/>
          <w:bCs/>
          <w:iCs/>
          <w:color w:val="000000"/>
        </w:rPr>
        <w:t xml:space="preserve">. </w:t>
      </w:r>
      <w:r>
        <w:rPr>
          <w:rFonts w:eastAsia="Calibri"/>
          <w:bCs/>
          <w:iCs/>
          <w:color w:val="000000"/>
        </w:rPr>
        <w:t xml:space="preserve">Spôsob výpočtu hodnoty vloženej do stĺpca D – 211 603 006 x 0,08 = 16 928 240 ÷ 530 726 = </w:t>
      </w:r>
      <w:r>
        <w:rPr>
          <w:rFonts w:eastAsia="Calibri"/>
          <w:bCs/>
          <w:iCs/>
          <w:color w:val="000000"/>
        </w:rPr>
        <w:lastRenderedPageBreak/>
        <w:t>0,1</w:t>
      </w:r>
      <w:r w:rsidRPr="00933E70">
        <w:rPr>
          <w:rFonts w:eastAsia="Calibri"/>
          <w:bCs/>
          <w:iCs/>
          <w:color w:val="000000"/>
        </w:rPr>
        <w:t>.</w:t>
      </w:r>
      <w:r>
        <w:rPr>
          <w:rFonts w:eastAsia="Calibri"/>
          <w:bCs/>
          <w:iCs/>
          <w:color w:val="000000"/>
        </w:rPr>
        <w:t xml:space="preserve"> </w:t>
      </w:r>
      <w:r w:rsidRPr="00933E70">
        <w:rPr>
          <w:rFonts w:eastAsia="Calibri"/>
          <w:bCs/>
          <w:iCs/>
          <w:color w:val="000000"/>
        </w:rPr>
        <w:t xml:space="preserve">Frekvencia plnenia bola určená </w:t>
      </w:r>
      <w:r>
        <w:rPr>
          <w:rFonts w:eastAsia="Calibri"/>
          <w:bCs/>
          <w:iCs/>
          <w:color w:val="000000"/>
        </w:rPr>
        <w:t>na 1-krát ročne</w:t>
      </w:r>
      <w:r w:rsidRPr="00933E70">
        <w:rPr>
          <w:rFonts w:eastAsia="Calibri"/>
          <w:bCs/>
          <w:iCs/>
          <w:color w:val="000000"/>
        </w:rPr>
        <w:t xml:space="preserve">. Na základe výpočtu Kalkulačky nákladov na podnikateľské prostredie sa v súvislosti s touto reguláciou predpokladá </w:t>
      </w:r>
      <w:r>
        <w:rPr>
          <w:rFonts w:eastAsia="Calibri"/>
          <w:bCs/>
          <w:iCs/>
          <w:color w:val="000000"/>
        </w:rPr>
        <w:t xml:space="preserve">zvýšenie </w:t>
      </w:r>
      <w:r w:rsidRPr="00933E70">
        <w:rPr>
          <w:rFonts w:eastAsia="Calibri"/>
          <w:bCs/>
          <w:iCs/>
          <w:color w:val="000000"/>
        </w:rPr>
        <w:t>sum</w:t>
      </w:r>
      <w:r>
        <w:rPr>
          <w:rFonts w:eastAsia="Calibri"/>
          <w:bCs/>
          <w:iCs/>
          <w:color w:val="000000"/>
        </w:rPr>
        <w:t>y</w:t>
      </w:r>
      <w:r w:rsidRPr="00933E70">
        <w:rPr>
          <w:rFonts w:eastAsia="Calibri"/>
          <w:bCs/>
          <w:iCs/>
          <w:color w:val="000000"/>
        </w:rPr>
        <w:t xml:space="preserve"> administratívnych nákladov na podnikateľské prostredie (</w:t>
      </w:r>
      <w:r>
        <w:rPr>
          <w:rFonts w:eastAsia="Calibri"/>
          <w:bCs/>
          <w:iCs/>
          <w:color w:val="000000"/>
        </w:rPr>
        <w:t>IN</w:t>
      </w:r>
      <w:r w:rsidRPr="00933E70">
        <w:rPr>
          <w:rFonts w:eastAsia="Calibri"/>
          <w:bCs/>
          <w:iCs/>
          <w:color w:val="000000"/>
        </w:rPr>
        <w:t xml:space="preserve">) vo výške </w:t>
      </w:r>
      <w:r>
        <w:rPr>
          <w:rFonts w:eastAsia="Calibri"/>
          <w:bCs/>
          <w:iCs/>
          <w:color w:val="000000"/>
        </w:rPr>
        <w:t>16 983 232</w:t>
      </w:r>
      <w:r w:rsidRPr="00933E70">
        <w:rPr>
          <w:rFonts w:eastAsia="Calibri"/>
          <w:bCs/>
          <w:iCs/>
          <w:color w:val="000000"/>
        </w:rPr>
        <w:t xml:space="preserve"> E</w:t>
      </w:r>
      <w:r>
        <w:rPr>
          <w:rFonts w:eastAsia="Calibri"/>
          <w:bCs/>
          <w:iCs/>
          <w:color w:val="000000"/>
        </w:rPr>
        <w:t>UR</w:t>
      </w:r>
      <w:r w:rsidRPr="00933E70">
        <w:rPr>
          <w:rFonts w:eastAsia="Calibri"/>
          <w:bCs/>
          <w:iCs/>
          <w:color w:val="000000"/>
        </w:rPr>
        <w:t>.</w:t>
      </w:r>
    </w:p>
    <w:p w14:paraId="2D035B9D" w14:textId="77777777" w:rsidR="00746D3C" w:rsidRDefault="00746D3C" w:rsidP="00746D3C">
      <w:pPr>
        <w:jc w:val="both"/>
        <w:rPr>
          <w:rFonts w:eastAsia="Calibri"/>
          <w:bCs/>
          <w:iCs/>
          <w:color w:val="000000"/>
        </w:rPr>
      </w:pPr>
    </w:p>
    <w:p w14:paraId="74DE5978" w14:textId="77777777" w:rsidR="00746D3C" w:rsidRDefault="00746D3C" w:rsidP="00746D3C">
      <w:pPr>
        <w:jc w:val="both"/>
        <w:rPr>
          <w:rFonts w:eastAsia="Calibri"/>
          <w:bCs/>
          <w:iCs/>
          <w:color w:val="000000"/>
        </w:rPr>
      </w:pPr>
    </w:p>
    <w:p w14:paraId="111B3CB8" w14:textId="77777777" w:rsidR="00746D3C" w:rsidRPr="001F1B43" w:rsidRDefault="00746D3C" w:rsidP="00746D3C">
      <w:pPr>
        <w:jc w:val="both"/>
        <w:rPr>
          <w:rFonts w:eastAsia="Calibri"/>
          <w:b/>
          <w:bCs/>
          <w:i/>
          <w:u w:val="single"/>
        </w:rPr>
      </w:pPr>
      <w:r>
        <w:rPr>
          <w:rFonts w:eastAsia="Calibri"/>
          <w:b/>
          <w:bCs/>
          <w:i/>
          <w:u w:val="single"/>
        </w:rPr>
        <w:t>3.1.4 Odôvodnenie</w:t>
      </w:r>
      <w:r w:rsidRPr="00804BC8">
        <w:rPr>
          <w:rFonts w:eastAsia="Calibri"/>
          <w:b/>
          <w:bCs/>
          <w:i/>
          <w:u w:val="single"/>
        </w:rPr>
        <w:t xml:space="preserve"> goldplating</w:t>
      </w:r>
      <w:r>
        <w:rPr>
          <w:rFonts w:eastAsia="Calibri"/>
          <w:b/>
          <w:bCs/>
          <w:i/>
          <w:u w:val="single"/>
        </w:rPr>
        <w:t xml:space="preserve">u </w:t>
      </w:r>
      <w:r w:rsidRPr="00804BC8">
        <w:rPr>
          <w:rFonts w:eastAsia="Calibri"/>
          <w:b/>
          <w:bCs/>
          <w:i/>
          <w:u w:val="single"/>
        </w:rPr>
        <w:t xml:space="preserve">podľa bodu 4 časti III </w:t>
      </w:r>
      <w:r>
        <w:rPr>
          <w:rFonts w:eastAsia="Calibri"/>
          <w:b/>
          <w:bCs/>
          <w:i/>
          <w:u w:val="single"/>
        </w:rPr>
        <w:t>jednotnej metodiky a ďalšie d</w:t>
      </w:r>
      <w:r w:rsidRPr="001F1B43">
        <w:rPr>
          <w:rFonts w:eastAsia="Calibri"/>
          <w:b/>
          <w:bCs/>
          <w:i/>
          <w:u w:val="single"/>
        </w:rPr>
        <w:t>oplňujúce informácie</w:t>
      </w:r>
      <w:r>
        <w:rPr>
          <w:rStyle w:val="Odkaznapoznmkupodiarou"/>
          <w:rFonts w:eastAsia="Calibri"/>
          <w:b/>
          <w:bCs/>
          <w:i/>
          <w:u w:val="single"/>
        </w:rPr>
        <w:footnoteReference w:id="2"/>
      </w:r>
      <w:r w:rsidRPr="001F1B43">
        <w:rPr>
          <w:rFonts w:eastAsia="Calibri"/>
          <w:b/>
          <w:bCs/>
          <w:i/>
          <w:u w:val="single"/>
        </w:rPr>
        <w:t xml:space="preserve"> </w:t>
      </w:r>
    </w:p>
    <w:p w14:paraId="5CF51684" w14:textId="77777777" w:rsidR="00746D3C" w:rsidRPr="000C5419" w:rsidRDefault="00746D3C" w:rsidP="00746D3C">
      <w:pPr>
        <w:jc w:val="both"/>
        <w:rPr>
          <w:rFonts w:eastAsia="Calibri"/>
          <w:bCs/>
          <w:i/>
          <w:iCs/>
          <w:color w:val="000000"/>
        </w:rPr>
      </w:pPr>
      <w:r w:rsidRPr="000C5419">
        <w:rPr>
          <w:rFonts w:eastAsia="Calibri"/>
          <w:bCs/>
          <w:i/>
          <w:iCs/>
          <w:color w:val="000000"/>
        </w:rPr>
        <w:t xml:space="preserve">Požadované informácie </w:t>
      </w:r>
      <w:r>
        <w:rPr>
          <w:rFonts w:eastAsia="Calibri"/>
          <w:bCs/>
          <w:i/>
          <w:iCs/>
          <w:color w:val="000000"/>
        </w:rPr>
        <w:t>uveďte</w:t>
      </w:r>
      <w:r w:rsidRPr="000C5419">
        <w:rPr>
          <w:rFonts w:eastAsia="Calibri"/>
          <w:bCs/>
          <w:i/>
          <w:iCs/>
          <w:color w:val="000000"/>
        </w:rPr>
        <w:t xml:space="preserve"> osobitne ku každému identifikovanému goldplatingu (ku každej hodnotenej regulácii s goldplatingom osobitne). </w:t>
      </w:r>
    </w:p>
    <w:p w14:paraId="416D9E38" w14:textId="77777777" w:rsidR="00746D3C" w:rsidRPr="000C5419" w:rsidRDefault="00746D3C" w:rsidP="00746D3C">
      <w:pPr>
        <w:jc w:val="both"/>
        <w:rPr>
          <w:rFonts w:eastAsia="Calibri"/>
          <w:bCs/>
          <w:i/>
          <w:iCs/>
          <w:color w:val="000000"/>
        </w:rPr>
      </w:pPr>
      <w:r>
        <w:rPr>
          <w:rFonts w:eastAsia="Calibri"/>
          <w:bCs/>
          <w:i/>
          <w:iCs/>
          <w:color w:val="000000"/>
        </w:rPr>
        <w:t>Uveďte o</w:t>
      </w:r>
      <w:r w:rsidRPr="004239D1">
        <w:rPr>
          <w:rFonts w:eastAsia="Calibri"/>
          <w:bCs/>
          <w:i/>
          <w:iCs/>
          <w:color w:val="000000"/>
        </w:rPr>
        <w:t xml:space="preserve">dôvodnenie goldplatingu </w:t>
      </w:r>
      <w:r>
        <w:rPr>
          <w:rFonts w:eastAsia="Calibri"/>
          <w:bCs/>
          <w:i/>
          <w:iCs/>
          <w:color w:val="000000"/>
        </w:rPr>
        <w:t xml:space="preserve">z hľadiska </w:t>
      </w:r>
      <w:r w:rsidRPr="004239D1">
        <w:rPr>
          <w:rFonts w:eastAsia="Calibri"/>
          <w:bCs/>
          <w:i/>
          <w:iCs/>
          <w:color w:val="000000"/>
        </w:rPr>
        <w:t>jeho nespochybniteľnej nevyhnutnosti.</w:t>
      </w:r>
      <w:r>
        <w:rPr>
          <w:rFonts w:eastAsia="Calibri"/>
          <w:bCs/>
          <w:i/>
          <w:iCs/>
          <w:color w:val="000000"/>
        </w:rPr>
        <w:t xml:space="preserve"> Odôvodnenie doložte dôkladným hodnotením prínosov a nákladov. </w:t>
      </w:r>
      <w:r w:rsidRPr="005D39D8">
        <w:rPr>
          <w:rFonts w:eastAsia="Calibri"/>
          <w:bCs/>
          <w:i/>
          <w:iCs/>
          <w:color w:val="000000"/>
        </w:rPr>
        <w:t>Uveďte zvážené alternatívne riešenia.</w:t>
      </w:r>
      <w:r>
        <w:rPr>
          <w:rFonts w:eastAsia="Calibri"/>
          <w:bCs/>
          <w:i/>
          <w:iCs/>
          <w:color w:val="000000"/>
        </w:rPr>
        <w:t>.</w:t>
      </w:r>
    </w:p>
    <w:p w14:paraId="255BA323" w14:textId="77777777" w:rsidR="00746D3C" w:rsidRPr="000C5419" w:rsidRDefault="00746D3C" w:rsidP="00746D3C">
      <w:pPr>
        <w:jc w:val="both"/>
        <w:rPr>
          <w:rFonts w:eastAsia="Calibri"/>
          <w:bCs/>
          <w:i/>
          <w:iCs/>
          <w:color w:val="000000"/>
        </w:rPr>
      </w:pPr>
      <w:r>
        <w:rPr>
          <w:rFonts w:eastAsia="Calibri"/>
          <w:bCs/>
          <w:i/>
          <w:iCs/>
          <w:color w:val="000000"/>
        </w:rPr>
        <w:t xml:space="preserve">Zároveň uveďte </w:t>
      </w:r>
      <w:r w:rsidRPr="00284B8C">
        <w:rPr>
          <w:rFonts w:eastAsia="Calibri"/>
          <w:bCs/>
          <w:i/>
          <w:iCs/>
          <w:color w:val="000000"/>
        </w:rPr>
        <w:t>konkrétne informácie súvisiace s </w:t>
      </w:r>
      <w:r>
        <w:rPr>
          <w:rFonts w:eastAsia="Calibri"/>
          <w:bCs/>
          <w:i/>
          <w:iCs/>
          <w:color w:val="000000"/>
        </w:rPr>
        <w:t>kategóriou</w:t>
      </w:r>
      <w:r w:rsidRPr="00284B8C">
        <w:rPr>
          <w:rFonts w:eastAsia="Calibri"/>
          <w:bCs/>
          <w:i/>
          <w:iCs/>
          <w:color w:val="000000"/>
        </w:rPr>
        <w:t xml:space="preserve"> goldplatingu</w:t>
      </w:r>
      <w:r>
        <w:rPr>
          <w:rFonts w:eastAsia="Calibri"/>
          <w:bCs/>
          <w:i/>
          <w:iCs/>
          <w:color w:val="000000"/>
        </w:rPr>
        <w:t xml:space="preserve"> podľa jednotnej metodiky</w:t>
      </w:r>
      <w:r w:rsidRPr="00284B8C">
        <w:rPr>
          <w:rFonts w:eastAsia="Calibri"/>
          <w:bCs/>
          <w:i/>
          <w:iCs/>
          <w:color w:val="000000"/>
        </w:rPr>
        <w:t>, najmä: na aké subjekty sa nad rámec navrhuje rozšíriť pôsobnosť smernice a z akého dôvodu; aké požiadavky sa navyšujú a na aké subjekty nad rámec minimálnych požiadaviek smernice; aká</w:t>
      </w:r>
      <w:r>
        <w:rPr>
          <w:rFonts w:eastAsia="Calibri"/>
          <w:bCs/>
          <w:i/>
          <w:iCs/>
          <w:color w:val="000000"/>
        </w:rPr>
        <w:t xml:space="preserve"> </w:t>
      </w:r>
      <w:r w:rsidRPr="00284B8C">
        <w:rPr>
          <w:rFonts w:eastAsia="Calibri"/>
          <w:bCs/>
          <w:i/>
          <w:iCs/>
          <w:color w:val="000000"/>
        </w:rPr>
        <w:t>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Pr="000C5419">
        <w:rPr>
          <w:rFonts w:eastAsia="Calibri"/>
          <w:bCs/>
          <w:i/>
          <w:iCs/>
          <w:color w:val="000000"/>
        </w:rPr>
        <w:t xml:space="preserve"> požiadavky. </w:t>
      </w:r>
    </w:p>
    <w:p w14:paraId="478E328E" w14:textId="77777777" w:rsidR="00746D3C" w:rsidRDefault="00746D3C" w:rsidP="00746D3C">
      <w:pPr>
        <w:jc w:val="both"/>
        <w:rPr>
          <w:rFonts w:eastAsia="Calibri"/>
          <w:bCs/>
          <w:i/>
          <w:iCs/>
        </w:rPr>
      </w:pPr>
      <w:r w:rsidRPr="00F244DC">
        <w:rPr>
          <w:rFonts w:eastAsia="Calibri"/>
          <w:bCs/>
          <w:i/>
          <w:iCs/>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35365E4F" w14:textId="77777777" w:rsidR="00746D3C" w:rsidRDefault="00746D3C" w:rsidP="00746D3C">
      <w:pPr>
        <w:pStyle w:val="Zkladntext1"/>
        <w:jc w:val="both"/>
        <w:rPr>
          <w:b/>
          <w:bCs/>
          <w:i/>
          <w:color w:val="auto"/>
          <w:szCs w:val="24"/>
        </w:rPr>
      </w:pPr>
    </w:p>
    <w:p w14:paraId="01CCC5AF" w14:textId="77777777" w:rsidR="00746D3C" w:rsidRPr="00DA2D4F" w:rsidRDefault="00746D3C" w:rsidP="00746D3C">
      <w:pPr>
        <w:pStyle w:val="Zkladntext1"/>
        <w:jc w:val="both"/>
        <w:rPr>
          <w:b/>
          <w:bCs/>
          <w:i/>
          <w:color w:val="auto"/>
          <w:szCs w:val="24"/>
        </w:rPr>
      </w:pPr>
      <w:r>
        <w:rPr>
          <w:b/>
          <w:bCs/>
          <w:i/>
          <w:color w:val="auto"/>
          <w:szCs w:val="24"/>
        </w:rPr>
        <w:t xml:space="preserve">Goldplating vo všetkých nižšie uvedených prípadoch bol identifikovaný v kategórii „b) navýšenie požiadaviek“ v oblasti s vplyvom na podnikateľské prostredie. </w:t>
      </w:r>
      <w:r w:rsidRPr="00DA2D4F">
        <w:rPr>
          <w:b/>
          <w:bCs/>
          <w:i/>
          <w:color w:val="auto"/>
          <w:szCs w:val="24"/>
        </w:rPr>
        <w:t>Vyjadrenie k opodstatnenosti goldplatingu a jeho odôvodnenie:</w:t>
      </w:r>
    </w:p>
    <w:p w14:paraId="27C87AE8" w14:textId="77777777" w:rsidR="00746D3C" w:rsidRPr="00F70B93" w:rsidRDefault="00746D3C" w:rsidP="00746D3C">
      <w:pPr>
        <w:jc w:val="both"/>
      </w:pPr>
    </w:p>
    <w:p w14:paraId="511FCFD4" w14:textId="77777777" w:rsidR="00746D3C" w:rsidRPr="004908A6" w:rsidRDefault="00746D3C" w:rsidP="00746D3C">
      <w:pPr>
        <w:jc w:val="both"/>
      </w:pPr>
      <w:r w:rsidRPr="003B0DB6">
        <w:rPr>
          <w:rFonts w:eastAsia="Calibri"/>
          <w:b/>
          <w:bCs/>
        </w:rPr>
        <w:t>Č</w:t>
      </w:r>
      <w:r>
        <w:rPr>
          <w:rFonts w:eastAsia="Calibri"/>
          <w:b/>
          <w:bCs/>
        </w:rPr>
        <w:t>l.</w:t>
      </w:r>
      <w:r w:rsidRPr="003B0DB6">
        <w:rPr>
          <w:rFonts w:eastAsia="Calibri"/>
          <w:b/>
          <w:bCs/>
        </w:rPr>
        <w:t xml:space="preserve"> 1 </w:t>
      </w:r>
      <w:r>
        <w:rPr>
          <w:rFonts w:eastAsia="Calibri"/>
          <w:b/>
          <w:bCs/>
        </w:rPr>
        <w:t xml:space="preserve">ods. </w:t>
      </w:r>
      <w:r w:rsidRPr="003B0DB6">
        <w:rPr>
          <w:rFonts w:eastAsia="Calibri"/>
          <w:b/>
          <w:bCs/>
        </w:rPr>
        <w:t>2</w:t>
      </w:r>
      <w:r>
        <w:rPr>
          <w:rFonts w:eastAsia="Calibri"/>
          <w:b/>
          <w:bCs/>
        </w:rPr>
        <w:t xml:space="preserve"> smernice Rady (EÚ) 2025/516</w:t>
      </w:r>
      <w:r w:rsidRPr="003B0DB6">
        <w:rPr>
          <w:rFonts w:eastAsia="Calibri"/>
          <w:b/>
          <w:bCs/>
        </w:rPr>
        <w:t xml:space="preserve"> </w:t>
      </w:r>
      <w:r w:rsidRPr="001902FA">
        <w:rPr>
          <w:rFonts w:eastAsia="Calibri"/>
        </w:rPr>
        <w:t>(čl. 218 smernice 2006/112/ES) a</w:t>
      </w:r>
      <w:r>
        <w:rPr>
          <w:rFonts w:eastAsia="Calibri"/>
          <w:b/>
          <w:bCs/>
        </w:rPr>
        <w:t> čl.</w:t>
      </w:r>
      <w:r w:rsidRPr="003B0DB6">
        <w:rPr>
          <w:rFonts w:eastAsia="Calibri"/>
          <w:b/>
          <w:bCs/>
        </w:rPr>
        <w:t xml:space="preserve"> 1 </w:t>
      </w:r>
      <w:r>
        <w:rPr>
          <w:rFonts w:eastAsia="Calibri"/>
          <w:b/>
          <w:bCs/>
        </w:rPr>
        <w:t xml:space="preserve">ods. </w:t>
      </w:r>
      <w:r w:rsidRPr="003B0DB6">
        <w:rPr>
          <w:rFonts w:eastAsia="Calibri"/>
          <w:b/>
          <w:bCs/>
        </w:rPr>
        <w:t>3</w:t>
      </w:r>
      <w:r>
        <w:rPr>
          <w:rFonts w:eastAsia="Calibri"/>
          <w:b/>
          <w:bCs/>
        </w:rPr>
        <w:t xml:space="preserve"> smernice Rady (EÚ) 2025/516</w:t>
      </w:r>
      <w:r w:rsidRPr="003B0DB6">
        <w:rPr>
          <w:rFonts w:eastAsia="Calibri"/>
          <w:b/>
          <w:bCs/>
        </w:rPr>
        <w:t xml:space="preserve"> </w:t>
      </w:r>
      <w:r w:rsidRPr="001902FA">
        <w:rPr>
          <w:rFonts w:eastAsia="Calibri"/>
        </w:rPr>
        <w:t xml:space="preserve">(čl. 232 smernice 2006/112/ES) </w:t>
      </w:r>
      <w:r w:rsidRPr="004908A6">
        <w:t>- Slovenská republika sa rozhodla využiť článok 1 smernice (EÚ) 2025/516, ktorým sa dopĺňajú články 218 a 232 smernice 2006/112/ES, ktoré umožňujú členským štátom zaviesť pred 1.7.2030 povinné vyhotovovanie elektronických faktúr k dodaniam tovarov alebo služieb, ktoré sa neuvádzajú v súhrnnom výkaze (čiže ide len o tuzemské dodania tovarov alebo služieb). Skoršie zavedenie systému elektronickej fakturácie týkajúcich sa tuzemských zdaniteľných obchodov od 1.1.2027 pripraví platiteľov dane na povinnú elektronickú fakturáciu podľa článku 5 smernice Rady (EÚ) 2025/516, ktorý musí byť do zákona o DPH transponovaný do 30. júna 2030 a účinný k 1. júlu 2030. Zároveň vyhotovovanie elektronických faktúr uľahčí platiteľom dane elektronické oznamovanie údajov z týchto dodaní finančnej správe, ktoré sa zavádza s účinnosťou od 1.1.2027.</w:t>
      </w:r>
    </w:p>
    <w:p w14:paraId="4C74D5AD" w14:textId="77777777" w:rsidR="00746D3C" w:rsidRPr="0044418A" w:rsidRDefault="00746D3C" w:rsidP="00746D3C">
      <w:pPr>
        <w:jc w:val="both"/>
        <w:rPr>
          <w:rFonts w:eastAsia="Calibri"/>
        </w:rPr>
      </w:pPr>
    </w:p>
    <w:p w14:paraId="393629A3" w14:textId="77777777" w:rsidR="00746D3C" w:rsidRPr="00EA3204" w:rsidRDefault="00746D3C" w:rsidP="00746D3C">
      <w:pPr>
        <w:pStyle w:val="Normlny0"/>
        <w:jc w:val="both"/>
        <w:rPr>
          <w:rFonts w:eastAsiaTheme="minorHAnsi"/>
          <w:sz w:val="24"/>
          <w:szCs w:val="24"/>
        </w:rPr>
      </w:pPr>
      <w:r w:rsidRPr="0044418A">
        <w:rPr>
          <w:rFonts w:eastAsiaTheme="minorHAnsi"/>
          <w:b/>
          <w:bCs/>
          <w:sz w:val="24"/>
          <w:szCs w:val="24"/>
        </w:rPr>
        <w:t>Č</w:t>
      </w:r>
      <w:r>
        <w:rPr>
          <w:rFonts w:eastAsiaTheme="minorHAnsi"/>
          <w:b/>
          <w:bCs/>
          <w:sz w:val="24"/>
          <w:szCs w:val="24"/>
        </w:rPr>
        <w:t>l.</w:t>
      </w:r>
      <w:r w:rsidRPr="0044418A">
        <w:rPr>
          <w:rFonts w:eastAsiaTheme="minorHAnsi"/>
          <w:b/>
          <w:bCs/>
          <w:sz w:val="24"/>
          <w:szCs w:val="24"/>
        </w:rPr>
        <w:t xml:space="preserve"> 1 </w:t>
      </w:r>
      <w:r>
        <w:rPr>
          <w:rFonts w:eastAsiaTheme="minorHAnsi"/>
          <w:b/>
          <w:bCs/>
          <w:sz w:val="24"/>
          <w:szCs w:val="24"/>
        </w:rPr>
        <w:t>bod</w:t>
      </w:r>
      <w:r w:rsidRPr="0044418A">
        <w:rPr>
          <w:rFonts w:eastAsiaTheme="minorHAnsi"/>
          <w:b/>
          <w:bCs/>
          <w:sz w:val="24"/>
          <w:szCs w:val="24"/>
        </w:rPr>
        <w:t xml:space="preserve"> 15</w:t>
      </w:r>
      <w:r>
        <w:rPr>
          <w:rFonts w:eastAsiaTheme="minorHAnsi"/>
          <w:b/>
          <w:bCs/>
          <w:sz w:val="24"/>
          <w:szCs w:val="24"/>
        </w:rPr>
        <w:t xml:space="preserve"> </w:t>
      </w:r>
      <w:r>
        <w:rPr>
          <w:rFonts w:eastAsia="Calibri"/>
          <w:b/>
          <w:bCs/>
          <w:sz w:val="24"/>
          <w:szCs w:val="24"/>
        </w:rPr>
        <w:t>smernice Rady (EÚ) 2025/516</w:t>
      </w:r>
      <w:r w:rsidRPr="0044418A">
        <w:rPr>
          <w:rFonts w:eastAsiaTheme="minorHAnsi"/>
          <w:sz w:val="24"/>
          <w:szCs w:val="24"/>
        </w:rPr>
        <w:t xml:space="preserve"> </w:t>
      </w:r>
      <w:r w:rsidRPr="001902FA">
        <w:rPr>
          <w:rFonts w:eastAsiaTheme="minorHAnsi"/>
          <w:sz w:val="24"/>
          <w:szCs w:val="24"/>
        </w:rPr>
        <w:t>(čl. 221 ods. 1 a 2 smernice 2006/112/ES) –</w:t>
      </w:r>
      <w:r w:rsidRPr="0044418A">
        <w:rPr>
          <w:rFonts w:eastAsiaTheme="minorHAnsi"/>
          <w:sz w:val="24"/>
          <w:szCs w:val="24"/>
        </w:rPr>
        <w:t xml:space="preserve"> </w:t>
      </w:r>
      <w:r w:rsidRPr="00EA3204">
        <w:rPr>
          <w:rFonts w:eastAsiaTheme="minorHAnsi"/>
          <w:sz w:val="24"/>
          <w:szCs w:val="24"/>
        </w:rPr>
        <w:t xml:space="preserve">Slovenská republika už v minulosti využila možnosť, ktorú ponúka čl. 221 smernica </w:t>
      </w:r>
      <w:r w:rsidRPr="00EA3204">
        <w:rPr>
          <w:rFonts w:eastAsiaTheme="minorHAnsi"/>
          <w:sz w:val="24"/>
          <w:szCs w:val="24"/>
        </w:rPr>
        <w:lastRenderedPageBreak/>
        <w:t>2006/112/ES v platnom znení. Aktuálnou novelou zákona 222/2004</w:t>
      </w:r>
      <w:r>
        <w:rPr>
          <w:rFonts w:eastAsiaTheme="minorHAnsi"/>
          <w:sz w:val="24"/>
          <w:szCs w:val="24"/>
        </w:rPr>
        <w:t xml:space="preserve"> Z. z.</w:t>
      </w:r>
      <w:r w:rsidRPr="00EA3204">
        <w:rPr>
          <w:rFonts w:eastAsiaTheme="minorHAnsi"/>
          <w:sz w:val="24"/>
          <w:szCs w:val="24"/>
        </w:rPr>
        <w:t xml:space="preserve"> ide iba o presun v rámci legislatívneho textu. Ide o plnenia s miestom dodania v inom členskom štáte EÚ, pri ktorých je prijímateľ plnení osobou povinnou platiť daň v inom členskom štáte, o prípady prijatia platby pred uvedenými dodaniami plnení a o plnenia s miestom dodania v treťom štáte, kde podliehajú dani. </w:t>
      </w:r>
    </w:p>
    <w:p w14:paraId="6DE8193F" w14:textId="77777777" w:rsidR="00746D3C" w:rsidRDefault="00746D3C" w:rsidP="00746D3C">
      <w:pPr>
        <w:pStyle w:val="Normlny0"/>
        <w:jc w:val="both"/>
        <w:rPr>
          <w:rFonts w:eastAsiaTheme="minorHAnsi"/>
          <w:sz w:val="24"/>
          <w:szCs w:val="24"/>
        </w:rPr>
      </w:pPr>
    </w:p>
    <w:p w14:paraId="7C1D6737" w14:textId="77777777" w:rsidR="00746D3C" w:rsidRPr="00415ADF" w:rsidRDefault="00746D3C" w:rsidP="00746D3C">
      <w:pPr>
        <w:spacing w:line="257" w:lineRule="auto"/>
        <w:jc w:val="both"/>
      </w:pPr>
      <w:r>
        <w:rPr>
          <w:b/>
          <w:bCs/>
        </w:rPr>
        <w:t>Č</w:t>
      </w:r>
      <w:r w:rsidRPr="001902FA">
        <w:rPr>
          <w:b/>
          <w:bCs/>
        </w:rPr>
        <w:t>l. 273</w:t>
      </w:r>
      <w:r w:rsidRPr="001902FA">
        <w:t xml:space="preserve"> </w:t>
      </w:r>
      <w:r w:rsidRPr="001902FA">
        <w:rPr>
          <w:b/>
          <w:bCs/>
        </w:rPr>
        <w:t>smernice 2006/112/ES</w:t>
      </w:r>
      <w:r w:rsidRPr="001902FA">
        <w:t xml:space="preserve"> - </w:t>
      </w:r>
      <w:r w:rsidRPr="00415ADF">
        <w:t>Slovenská republika sa rozhodla využiť toto ustanovenie na zavedenie povinného elektronického oznamovania údajov o tuzemských dodaniach tovarov alebo služieb finančnej správe s účinnosťou od 1.</w:t>
      </w:r>
      <w:r>
        <w:t>1</w:t>
      </w:r>
      <w:r w:rsidRPr="00415ADF">
        <w:t xml:space="preserve">.2027 </w:t>
      </w:r>
      <w:r w:rsidRPr="008A2177">
        <w:t xml:space="preserve">do 30.6.2030 </w:t>
      </w:r>
      <w:r w:rsidRPr="00415ADF">
        <w:t>(ide o prechodné ustanovenia k oznamovaniu údajov Finančnému riaditeľstvu SR podľa § 85n ods. 9 až 11 a</w:t>
      </w:r>
      <w:r>
        <w:t xml:space="preserve"> ods. </w:t>
      </w:r>
      <w:r w:rsidRPr="00415ADF">
        <w:t>16). Skoršie zavedenie systému oznamovania údajov týkajúcich sa tuzemských zdaniteľných obchodov pripraví platiteľov dane (v pozícii dodávateľa a v pozícii odberateľa) na povinné oznamovania údajov o cezhraničných transakciách podľa článku 5 smernice 2025/516, ktorý musí byť do zákona o DPH transponovaný do 30. júna 2030 a účinný k 1. júlu 2030. Finančná správa tak získa v reálnom čase dáta o tuzemských transakciách, čo jej umožní promptne reagovať na podozrivé transakcie.</w:t>
      </w:r>
    </w:p>
    <w:p w14:paraId="0F0DA763" w14:textId="77777777" w:rsidR="00746D3C" w:rsidRDefault="00746D3C" w:rsidP="00746D3C">
      <w:pPr>
        <w:jc w:val="both"/>
        <w:rPr>
          <w:rFonts w:eastAsia="Calibri"/>
          <w:b/>
        </w:rPr>
      </w:pPr>
    </w:p>
    <w:p w14:paraId="19DB44ED" w14:textId="77777777" w:rsidR="00746D3C" w:rsidRPr="001F1B43" w:rsidRDefault="00746D3C" w:rsidP="00746D3C">
      <w:pPr>
        <w:jc w:val="both"/>
        <w:rPr>
          <w:rFonts w:eastAsia="Calibri"/>
          <w:b/>
        </w:rPr>
      </w:pPr>
      <w:r w:rsidRPr="001F1B43">
        <w:rPr>
          <w:rFonts w:eastAsia="Calibri"/>
          <w:b/>
        </w:rPr>
        <w:t>3.2 Vyhodnotenie konzultácií s podnikateľskými subjektmi pred predbežným pripomienkovým konaním</w:t>
      </w:r>
    </w:p>
    <w:p w14:paraId="0BF00846" w14:textId="77777777" w:rsidR="00746D3C" w:rsidRPr="00D8247C" w:rsidRDefault="00746D3C" w:rsidP="00746D3C">
      <w:pPr>
        <w:jc w:val="both"/>
        <w:rPr>
          <w:rFonts w:eastAsia="Calibri"/>
          <w:i/>
        </w:rPr>
      </w:pPr>
      <w:r w:rsidRPr="00D8247C">
        <w:rPr>
          <w:rFonts w:eastAsia="Calibri"/>
          <w:i/>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127A268C" w14:textId="77777777" w:rsidR="00746D3C" w:rsidRPr="00D8247C" w:rsidRDefault="00746D3C" w:rsidP="00746D3C">
      <w:pPr>
        <w:jc w:val="both"/>
        <w:rPr>
          <w:rFonts w:eastAsia="Calibri"/>
          <w:i/>
        </w:rPr>
      </w:pPr>
      <w:r w:rsidRPr="00D8247C">
        <w:rPr>
          <w:rFonts w:eastAsia="Calibri"/>
          <w:i/>
        </w:rPr>
        <w:t xml:space="preserve">Uveďte hlavné body konzultácií a ich závery. </w:t>
      </w:r>
    </w:p>
    <w:p w14:paraId="7325766A" w14:textId="77777777" w:rsidR="00746D3C" w:rsidRPr="00D8247C" w:rsidRDefault="00746D3C" w:rsidP="00746D3C">
      <w:pPr>
        <w:jc w:val="both"/>
        <w:rPr>
          <w:rFonts w:eastAsia="Calibri"/>
          <w:i/>
        </w:rPr>
      </w:pPr>
      <w:r w:rsidRPr="00D8247C">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7F3CAB21" w14:textId="77777777" w:rsidR="00746D3C" w:rsidRPr="00D8247C" w:rsidRDefault="00746D3C" w:rsidP="00746D3C">
      <w:pPr>
        <w:jc w:val="both"/>
        <w:rPr>
          <w:rFonts w:eastAsia="Calibri"/>
          <w:i/>
        </w:rPr>
      </w:pPr>
      <w:r w:rsidRPr="00D8247C">
        <w:rPr>
          <w:rFonts w:eastAsia="Calibri"/>
          <w:i/>
        </w:rPr>
        <w:t xml:space="preserve">Alternatívne namiesto vypĺňania bodu 3.2 môžete uviesť ako samostatnú prílohu tejto analýzy Záznam z konzultácií obsahujúci požadované informácie. </w:t>
      </w:r>
    </w:p>
    <w:p w14:paraId="557DFD1C" w14:textId="77777777" w:rsidR="00746D3C" w:rsidRDefault="00746D3C" w:rsidP="00746D3C">
      <w:pPr>
        <w:jc w:val="both"/>
        <w:rPr>
          <w:rFonts w:eastAsia="Calibri"/>
          <w:iCs/>
        </w:rPr>
      </w:pPr>
    </w:p>
    <w:p w14:paraId="5D63F935" w14:textId="77777777" w:rsidR="00746D3C" w:rsidRPr="00620B77" w:rsidRDefault="00746D3C" w:rsidP="00746D3C">
      <w:pPr>
        <w:jc w:val="both"/>
        <w:rPr>
          <w:rFonts w:eastAsia="Calibri"/>
          <w:b/>
          <w:bCs/>
          <w:iCs/>
        </w:rPr>
      </w:pPr>
      <w:r>
        <w:rPr>
          <w:rFonts w:eastAsia="Calibri"/>
          <w:b/>
          <w:bCs/>
          <w:iCs/>
        </w:rPr>
        <w:t>Predbežná informácia PI/2024/334</w:t>
      </w:r>
    </w:p>
    <w:p w14:paraId="5F5C3E85" w14:textId="77777777" w:rsidR="00746D3C" w:rsidRDefault="00746D3C" w:rsidP="00746D3C">
      <w:pPr>
        <w:jc w:val="both"/>
        <w:rPr>
          <w:rFonts w:eastAsia="Calibri"/>
          <w:iCs/>
        </w:rPr>
      </w:pPr>
    </w:p>
    <w:p w14:paraId="70D74D1B" w14:textId="77777777" w:rsidR="00746D3C" w:rsidRPr="00C45EFF" w:rsidRDefault="00746D3C" w:rsidP="00746D3C">
      <w:pPr>
        <w:pStyle w:val="Normlnywebov"/>
        <w:jc w:val="both"/>
      </w:pPr>
      <w:r w:rsidRPr="00D22FBD">
        <w:t>Verejnosť bola o príprave návrhu zákona</w:t>
      </w:r>
      <w:r>
        <w:t>,</w:t>
      </w:r>
      <w:r w:rsidRPr="00EE06CC">
        <w:t xml:space="preserve"> </w:t>
      </w:r>
      <w:r w:rsidRPr="00BC574D">
        <w:t xml:space="preserve">ktorým sa mení a dopĺňa zákon č. 222/2004 Z. z. o dani z pridanej </w:t>
      </w:r>
      <w:r w:rsidRPr="00EE06CC">
        <w:t xml:space="preserve">hodnoty v znení neskorších predpisov (ďalej len „návrh zákona“) </w:t>
      </w:r>
      <w:r w:rsidRPr="00D22FBD">
        <w:t>informovaná prostredníctvom predbežnej informácie č. PI/2024/</w:t>
      </w:r>
      <w:r>
        <w:t>334</w:t>
      </w:r>
      <w:r w:rsidRPr="00D22FBD">
        <w:t xml:space="preserve"> zverejnenej v informačnom systéme verejnej správy Slov-Lex (internetová stránka www.slov-lex.sk) od 1</w:t>
      </w:r>
      <w:r>
        <w:t>9</w:t>
      </w:r>
      <w:r w:rsidRPr="00D22FBD">
        <w:t>.</w:t>
      </w:r>
      <w:r>
        <w:t>12</w:t>
      </w:r>
      <w:r w:rsidRPr="00D22FBD">
        <w:t xml:space="preserve">.2024, s termínom ukončenia pripomienkového konania dňa </w:t>
      </w:r>
      <w:r>
        <w:t>3</w:t>
      </w:r>
      <w:r w:rsidRPr="00D22FBD">
        <w:t>1.0</w:t>
      </w:r>
      <w:r>
        <w:t>1</w:t>
      </w:r>
      <w:r w:rsidRPr="00D22FBD">
        <w:t>.202</w:t>
      </w:r>
      <w:r>
        <w:t>5</w:t>
      </w:r>
      <w:r w:rsidRPr="00D22FBD">
        <w:t xml:space="preserve">. </w:t>
      </w:r>
      <w:r w:rsidRPr="00D6756C">
        <w:t>K predbežnej informácií boli zaslané podnety 16 subjektov.</w:t>
      </w:r>
    </w:p>
    <w:p w14:paraId="0EB5E804" w14:textId="77777777" w:rsidR="00746D3C" w:rsidRDefault="00746D3C" w:rsidP="00746D3C">
      <w:pPr>
        <w:pStyle w:val="Normlnywebov"/>
        <w:jc w:val="both"/>
      </w:pPr>
      <w:r w:rsidRPr="00C45EFF">
        <w:t xml:space="preserve">K predbežnej informácii boli uskutočnené verejné diskusie so Slovenskou asociáciou palivového </w:t>
      </w:r>
      <w:r w:rsidRPr="001A7C6C">
        <w:t>priemyslu a obchodu, Ministerstvom hospodárstva SR, Asociáciou priemyselných zväzov a dopravy, Republikovou úniou zamestnávateľov SR, Klubom 500, Slovenskou komorou daňových poradcov, Asociáciou hotelov a reštaurácií Slovenska, Slovenskou asociáciou finančníkov, s</w:t>
      </w:r>
      <w:r>
        <w:t>o subjektmi</w:t>
      </w:r>
      <w:r w:rsidRPr="001A7C6C">
        <w:t xml:space="preserve"> Amazon, </w:t>
      </w:r>
      <w:r w:rsidRPr="00DB6BCB">
        <w:t>Lidl Slovenská republika, s.r.o.</w:t>
      </w:r>
      <w:r>
        <w:t>,</w:t>
      </w:r>
      <w:r w:rsidRPr="001A7C6C">
        <w:t xml:space="preserve"> KROS a.s., </w:t>
      </w:r>
      <w:r w:rsidRPr="00DB6BCB">
        <w:t>STORMWARE s.r.o.</w:t>
      </w:r>
      <w:r w:rsidRPr="001A7C6C">
        <w:t>, Slovensko.Digital a s</w:t>
      </w:r>
      <w:r>
        <w:t>o</w:t>
      </w:r>
      <w:r w:rsidRPr="001A7C6C">
        <w:t> zahraničnými subjektmi Act'o-soft, Sovos, Pagero/Thomson Reuters.</w:t>
      </w:r>
    </w:p>
    <w:p w14:paraId="7392A7CF" w14:textId="77777777" w:rsidR="00746D3C" w:rsidRDefault="00746D3C" w:rsidP="00746D3C">
      <w:pPr>
        <w:pStyle w:val="Normlnywebov"/>
        <w:jc w:val="both"/>
      </w:pPr>
    </w:p>
    <w:p w14:paraId="5C3C9F8B" w14:textId="77777777" w:rsidR="00746D3C" w:rsidRDefault="00746D3C" w:rsidP="00746D3C">
      <w:pPr>
        <w:pStyle w:val="Normlnywebov"/>
        <w:jc w:val="both"/>
        <w:rPr>
          <w:b/>
          <w:bCs/>
        </w:rPr>
      </w:pPr>
      <w:r>
        <w:rPr>
          <w:b/>
          <w:bCs/>
        </w:rPr>
        <w:t>Diskusie k predbežnej informácii PI/2024/334</w:t>
      </w:r>
    </w:p>
    <w:p w14:paraId="1CC16E57" w14:textId="77777777" w:rsidR="00746D3C" w:rsidRPr="00620B77" w:rsidRDefault="00746D3C" w:rsidP="00746D3C">
      <w:pPr>
        <w:pStyle w:val="Normlnywebov"/>
        <w:jc w:val="both"/>
        <w:rPr>
          <w:b/>
          <w:bCs/>
        </w:rPr>
      </w:pPr>
    </w:p>
    <w:p w14:paraId="43B2C716" w14:textId="77777777" w:rsidR="00746D3C" w:rsidRPr="00973565" w:rsidRDefault="00746D3C" w:rsidP="00746D3C">
      <w:pPr>
        <w:jc w:val="both"/>
        <w:rPr>
          <w:rFonts w:eastAsia="Calibri"/>
          <w:i/>
          <w:iCs/>
        </w:rPr>
      </w:pPr>
      <w:r w:rsidRPr="00973565">
        <w:rPr>
          <w:rFonts w:eastAsia="Calibri"/>
          <w:i/>
          <w:iCs/>
        </w:rPr>
        <w:t xml:space="preserve">Dňa 29. januára 2025 sa v nadväznosti na Jednotnú metodiku posudzovania vybraných vplyvov uskutočnili k predbežnej informácii </w:t>
      </w:r>
      <w:r w:rsidRPr="00973565">
        <w:rPr>
          <w:i/>
          <w:iCs/>
        </w:rPr>
        <w:t>PI/2024/334</w:t>
      </w:r>
      <w:r w:rsidRPr="00973565">
        <w:rPr>
          <w:rFonts w:eastAsia="Calibri"/>
          <w:i/>
          <w:iCs/>
        </w:rPr>
        <w:t xml:space="preserve"> stretnutia so zástupcami Amazon.</w:t>
      </w:r>
    </w:p>
    <w:p w14:paraId="3C8C7BC5" w14:textId="77777777" w:rsidR="00746D3C" w:rsidRDefault="00746D3C" w:rsidP="00746D3C">
      <w:pPr>
        <w:jc w:val="both"/>
        <w:rPr>
          <w:rFonts w:eastAsia="Calibri"/>
        </w:rPr>
      </w:pPr>
    </w:p>
    <w:p w14:paraId="74751A2B" w14:textId="77777777" w:rsidR="00746D3C" w:rsidRPr="006200EA" w:rsidRDefault="00746D3C" w:rsidP="00746D3C">
      <w:pPr>
        <w:jc w:val="both"/>
        <w:rPr>
          <w:rFonts w:eastAsia="Calibri"/>
        </w:rPr>
      </w:pPr>
      <w:r w:rsidRPr="002754A5">
        <w:t>Zástupca MFSR predstavil základné ciele pripravovaného návrhu zákona, ktorým sa mení a dopĺňa zákon o DPH. Základom pre povinnú elektronickú fakturáciu bude smernica ViDA.</w:t>
      </w:r>
      <w:r>
        <w:t xml:space="preserve"> </w:t>
      </w:r>
      <w:r w:rsidRPr="006200EA">
        <w:rPr>
          <w:rFonts w:eastAsia="Calibri"/>
        </w:rPr>
        <w:lastRenderedPageBreak/>
        <w:t xml:space="preserve">Návrhom zákona nejde o resurekciu návrhu z roku 2021. Návrh MFSR z roku 2021 sa týkal len oznamovania údajov z faktúr, nebol založený na vyhotovení elektronickej faktúry (ďalej len „EFA“), ale mal nahradiť kontrolný výkaz (ďalej len „KV“), keďže informácie z KV sú získavané oneskorene. Podobne ako v Maďarsku. Uvedený návrh však nezískal podporu. </w:t>
      </w:r>
    </w:p>
    <w:p w14:paraId="4B79C926" w14:textId="77777777" w:rsidR="00746D3C" w:rsidRPr="006200EA" w:rsidRDefault="00746D3C" w:rsidP="00746D3C">
      <w:pPr>
        <w:jc w:val="both"/>
        <w:rPr>
          <w:rFonts w:eastAsia="Calibri"/>
        </w:rPr>
      </w:pPr>
      <w:r w:rsidRPr="006200EA">
        <w:rPr>
          <w:rFonts w:eastAsia="Calibri"/>
        </w:rPr>
        <w:t>Elektronická fakturácia je téma, v rámci ktorej bude podnikateľské prostredie výrazne zapojené. Vychádzajúc z Programového vyhlásenia vlády SR chce MFSR zaviesť elektronickú fakturáciu a oznamovanie vybraných údajov z EFA (ďalej len „DRR“) v súlade so smernicou ViDA. Nielen pre B2B sektor, ale aj pre B2G sektor, za ktorý vecne zodpovedá iná sekcia MFSR. SR je pokiaľ ide o spustenie elektronickej fakturácie pre B2G vo výraznom omeškaní. V súčasnosti sa prehodnocuje pripravovaný centralizovaný systém pre B2G elektronickú fakturáciu. Smernica ViDA však spája procesy fakturácie podľa zákona č. 215/2019 Z. z. a podľa zákona č. 222/2004 Z. z. Publikovaním predbežnej informácie v decembri 2024 oficiálne začal legislatívny proces. Článok 0 smernice ViDA dovoľuje členským štátom Európskej únie (ďalej len „EÚ“), akonáhle bude publikovaná v Úradnom vestníku EÚ, nepožadovať súhlas príjemcu faktúry, aby bola považovaná za prijatú od dodávateľa. Nemusíme mať teda vykonávacie rozhodnutie ako PL, FR, RO, IT. Od júla 2030 bude povinná elektronická faktúra pre cezhraničné transakcie v rámci EÚ, ktorá bude musieť byť v súlade s normou a jej syntaxami. Čo sa týka plánovaného procesu – chceme sa pripraviť na rok 2030, a to tak, že chceme zaviesť povinnú elektronickú fakturáciu od 1.1.2027 povinne pre tuzemské transakcie v súlade s požiadavkami podľa smernice ViDA od júla 2030. Môže dôjsť aj k určitým technickým odkladom termínu.</w:t>
      </w:r>
    </w:p>
    <w:p w14:paraId="1A269571" w14:textId="77777777" w:rsidR="00746D3C" w:rsidRPr="006200EA" w:rsidRDefault="00746D3C" w:rsidP="00746D3C">
      <w:pPr>
        <w:jc w:val="both"/>
        <w:rPr>
          <w:rFonts w:eastAsia="Calibri"/>
        </w:rPr>
      </w:pPr>
    </w:p>
    <w:p w14:paraId="553FD356" w14:textId="77777777" w:rsidR="00746D3C" w:rsidRPr="006200EA" w:rsidRDefault="00746D3C" w:rsidP="00746D3C">
      <w:pPr>
        <w:jc w:val="both"/>
        <w:rPr>
          <w:rFonts w:eastAsia="Calibri"/>
        </w:rPr>
      </w:pPr>
      <w:r w:rsidRPr="006200EA">
        <w:rPr>
          <w:rFonts w:eastAsia="Calibri"/>
        </w:rPr>
        <w:t xml:space="preserve">Zástupca Amazon uviedol, že táto téma je pre nich veľmi dôležitá. Chceli by lepšie pochopiť, aké sú plány MFSR v súvislosti s digitálnym rozvojom. Aj v časti smernice ViDa, ktorá sa týka DRR. Pre EFA a pre DRR sa zavádzajú v rámci regiónu rôzne systémy a rôzne požiadavky, či už národné alebo medzinárodné – chceli by vedieť aj technické aspekty. Zároveň uvítali, že MFSR chce zaviesť elektronickú fakturáciu v súlade s EÚ štandardom aj pre tuzemské transakcie. Veľa rôznych formátov vytvára zmätok pre biznis. </w:t>
      </w:r>
    </w:p>
    <w:p w14:paraId="0C9B686E" w14:textId="77777777" w:rsidR="00746D3C" w:rsidRPr="006200EA" w:rsidRDefault="00746D3C" w:rsidP="00746D3C">
      <w:pPr>
        <w:jc w:val="both"/>
        <w:rPr>
          <w:rFonts w:eastAsia="Calibri"/>
        </w:rPr>
      </w:pPr>
    </w:p>
    <w:p w14:paraId="410203CD" w14:textId="77777777" w:rsidR="00746D3C" w:rsidRPr="006200EA" w:rsidRDefault="00746D3C" w:rsidP="00746D3C">
      <w:pPr>
        <w:jc w:val="both"/>
        <w:rPr>
          <w:rFonts w:eastAsia="Calibri"/>
        </w:rPr>
      </w:pPr>
      <w:r w:rsidRPr="006200EA">
        <w:rPr>
          <w:rFonts w:eastAsia="Calibri"/>
        </w:rPr>
        <w:t>K návrhu zákona odzneli nasledovné okruhy otázok a reakcií:</w:t>
      </w:r>
    </w:p>
    <w:p w14:paraId="0558A006" w14:textId="77777777" w:rsidR="00746D3C" w:rsidRPr="006200EA" w:rsidRDefault="00746D3C" w:rsidP="00746D3C">
      <w:pPr>
        <w:jc w:val="both"/>
        <w:rPr>
          <w:rFonts w:eastAsia="Calibri"/>
        </w:rPr>
      </w:pPr>
    </w:p>
    <w:p w14:paraId="33FFC3C6" w14:textId="77777777" w:rsidR="00746D3C" w:rsidRPr="006200EA" w:rsidRDefault="00746D3C" w:rsidP="00746D3C">
      <w:pPr>
        <w:jc w:val="both"/>
        <w:rPr>
          <w:rFonts w:eastAsia="Calibri"/>
        </w:rPr>
      </w:pPr>
      <w:r w:rsidRPr="006200EA">
        <w:rPr>
          <w:rFonts w:eastAsia="Calibri"/>
        </w:rPr>
        <w:t>Plánuje sa právna úprava ako v Belgicku – každý môže použiť sieť Peppol, ale ak sa dohodnú strany navzájom, tak aj niečo iné, ak bude zabezpečený EÚ štandard? Aj túto druhú možnosť smernica ViDa pripúšťa a je veľmi dobré vyžadovať súhlas oboch strán kvôli formátom EFA.</w:t>
      </w:r>
    </w:p>
    <w:p w14:paraId="7606423E" w14:textId="77777777" w:rsidR="00746D3C" w:rsidRPr="006200EA" w:rsidRDefault="00746D3C" w:rsidP="00746D3C">
      <w:pPr>
        <w:jc w:val="both"/>
        <w:rPr>
          <w:rFonts w:eastAsia="Calibri"/>
        </w:rPr>
      </w:pPr>
    </w:p>
    <w:p w14:paraId="69283104" w14:textId="77777777" w:rsidR="00746D3C" w:rsidRPr="006200EA" w:rsidRDefault="00746D3C" w:rsidP="00746D3C">
      <w:pPr>
        <w:jc w:val="both"/>
        <w:rPr>
          <w:rFonts w:eastAsia="Calibri"/>
        </w:rPr>
      </w:pPr>
      <w:r w:rsidRPr="006200EA">
        <w:rPr>
          <w:rFonts w:eastAsia="Calibri"/>
        </w:rPr>
        <w:t>Smernica ViDA podľa MFSR rozlišuje dva povinné spôsoby, ako môže byť EFA vyhotovená – sama zdaniteľná osoba alebo tretia strana v jej mene. Verejný portál z nášho pohľadu pre B2B sektor nie je povinný. Peppol sieť sa nám javí ako veľmi dobré riešenie, ale nemáme právny vzťah s OpenPeppol, nemáme ani Peppol poskytovateľov, čo je kľúčové pre túto možnosť. Smernica ViDA jasne stanovuje EÚ štandard EFA založený na syntaxiach UBL 2.1 a D16B. Peppol má vlastný formát – Peppol Bis 3.0, založený na UBL 2.1. Peppol nie je jediný spôsob, ako vyhotoviť EFA. Komunikujeme s Európskou komisiou v tejto veci. Po získaní odpovede môže byť situácia oveľa jasnejšia. Peppol samozrejme s ohľadom na rozšírenie v EÚ aj mimo EÚ môže byť najvyužívanejší spôsob. Veľké podnikateľské subjekty si možno vytvoria aj vlastné systémy s kľúčovými partnermi.</w:t>
      </w:r>
    </w:p>
    <w:p w14:paraId="45ED6741" w14:textId="77777777" w:rsidR="00746D3C" w:rsidRPr="006200EA" w:rsidRDefault="00746D3C" w:rsidP="00746D3C">
      <w:pPr>
        <w:jc w:val="both"/>
        <w:rPr>
          <w:rFonts w:eastAsia="Calibri"/>
        </w:rPr>
      </w:pPr>
    </w:p>
    <w:p w14:paraId="3F9F0BAB" w14:textId="77777777" w:rsidR="00746D3C" w:rsidRPr="006200EA" w:rsidRDefault="00746D3C" w:rsidP="00746D3C">
      <w:pPr>
        <w:jc w:val="both"/>
        <w:rPr>
          <w:rFonts w:eastAsia="Calibri"/>
        </w:rPr>
      </w:pPr>
      <w:r w:rsidRPr="006200EA">
        <w:rPr>
          <w:rFonts w:eastAsia="Calibri"/>
        </w:rPr>
        <w:t>Druhá fáza konzultácií, priebeh legislatívneho procesu</w:t>
      </w:r>
    </w:p>
    <w:p w14:paraId="538F7DE8" w14:textId="77777777" w:rsidR="00746D3C" w:rsidRPr="006200EA" w:rsidRDefault="00746D3C" w:rsidP="00746D3C">
      <w:pPr>
        <w:jc w:val="both"/>
        <w:rPr>
          <w:rFonts w:eastAsia="Calibri"/>
        </w:rPr>
      </w:pPr>
    </w:p>
    <w:p w14:paraId="42DDFE81" w14:textId="77777777" w:rsidR="00746D3C" w:rsidRPr="006200EA" w:rsidRDefault="00746D3C" w:rsidP="00746D3C">
      <w:pPr>
        <w:jc w:val="both"/>
        <w:rPr>
          <w:rFonts w:eastAsia="Calibri"/>
        </w:rPr>
      </w:pPr>
      <w:r w:rsidRPr="006200EA">
        <w:rPr>
          <w:rFonts w:eastAsia="Calibri"/>
        </w:rPr>
        <w:t xml:space="preserve">Príprava návrhu zákona si vyžiada úzku spoluprácu príslušných legislatívnych a technických útvarov, ale aj podnikateľského prostredia, aby bol čo najjednoduchšie použiteľný. Návrh zákona pripraví MFSR tak, aby mohol byť publikovaný v Zbierke zákonov SR ešte tento kalendárny rok, a aby bola zabezpečená minimálne jednoročná legisvakácia pre implementáciu </w:t>
      </w:r>
      <w:r w:rsidRPr="006200EA">
        <w:rPr>
          <w:rFonts w:eastAsia="Calibri"/>
        </w:rPr>
        <w:lastRenderedPageBreak/>
        <w:t>a prípravu systémových riešení, či už na strane podnikateľského prostredia alebo finančnej správy (ďalej ako „FS“). Do úvahy prichádza aj nafázovanie spustenia procesu. Technické riešenie zabezpečí FS.</w:t>
      </w:r>
    </w:p>
    <w:p w14:paraId="597970CE" w14:textId="77777777" w:rsidR="00746D3C" w:rsidRPr="006200EA" w:rsidRDefault="00746D3C" w:rsidP="00746D3C">
      <w:pPr>
        <w:jc w:val="both"/>
        <w:rPr>
          <w:rFonts w:eastAsia="Calibri"/>
        </w:rPr>
      </w:pPr>
      <w:r w:rsidRPr="006200EA">
        <w:rPr>
          <w:rFonts w:eastAsia="Calibri"/>
        </w:rPr>
        <w:t>Cieľom MFSR je znížiť daňovú medzeru na DPH. Keď sa pozeráme na krajiny, ktoré zaviedli povinnú elektronickú fakturáciu, ako IT, PL a RO – ich výška daňovej medzery na DPH poklesla dramaticky. Naším cieľom je zároveň minimalizovať daňové kontroly, ktoré sú síce veľmi úspešné, ale DPH je nevymožiteľná. V nadväznosti na uvedené a poznatky z aplikačnej praxe chce MFSR upraviť a využívať preventívne inštitúty správy daní pred represívnymi.</w:t>
      </w:r>
    </w:p>
    <w:p w14:paraId="22E975CA" w14:textId="77777777" w:rsidR="00746D3C" w:rsidRPr="006200EA" w:rsidRDefault="00746D3C" w:rsidP="00746D3C">
      <w:pPr>
        <w:jc w:val="both"/>
        <w:rPr>
          <w:rFonts w:eastAsia="Calibri"/>
        </w:rPr>
      </w:pPr>
      <w:r w:rsidRPr="006200EA">
        <w:rPr>
          <w:rFonts w:eastAsia="Calibri"/>
        </w:rPr>
        <w:t>MFSR pripraví návrh zákona v súlade so smernicou ViDA. MFSR chce byť v rámci legislatívneho procesu mimoriadne transparentné, nielen počas PPK a MPK. Ak bude MFSR vnímať spoluprácu ako konštruktívnu, vie spraviť aj pravidelnejšie stretnutia s podnikateľským prostredím, za podmienky, že prizvané subjekty nebudú zasahovať viac, ako je potrebné, aby bola spolupráca efektívna. Návrh zákona bude priebežne zdieľaný s podnikateľským prostredím.</w:t>
      </w:r>
    </w:p>
    <w:p w14:paraId="71588FE3" w14:textId="77777777" w:rsidR="00746D3C" w:rsidRPr="006200EA" w:rsidRDefault="00746D3C" w:rsidP="00746D3C">
      <w:pPr>
        <w:jc w:val="both"/>
        <w:rPr>
          <w:rFonts w:eastAsia="Calibri"/>
        </w:rPr>
      </w:pPr>
    </w:p>
    <w:p w14:paraId="6D94D892" w14:textId="77777777" w:rsidR="00746D3C" w:rsidRPr="006200EA" w:rsidRDefault="00746D3C" w:rsidP="00746D3C">
      <w:pPr>
        <w:jc w:val="both"/>
        <w:rPr>
          <w:rFonts w:eastAsia="Calibri"/>
        </w:rPr>
      </w:pPr>
      <w:r w:rsidRPr="006200EA">
        <w:rPr>
          <w:rFonts w:eastAsia="Calibri"/>
        </w:rPr>
        <w:t xml:space="preserve">Zástupca Amazon ocenil, že MFSR chce byť pri príprave návrhu zákona transparentné a konzultovať návrh zákona s podnikateľským prostredím. Nielen priamo pre nich, ale aj pre obchodné asociácie a pre malé podniky, ktoré cez nich uskutočňujú predaj. Aj pre nich je dôležité, aby systémy boli použiteľné, aby boli čo najjednoduchšie, aby sa mohli pripraviť na zmeny. Chcú participovať na konzultačnom procese a v tejto fáze zdieľať niektoré poznatky, základné zdroje. </w:t>
      </w:r>
    </w:p>
    <w:p w14:paraId="02454278" w14:textId="77777777" w:rsidR="00746D3C" w:rsidRPr="006200EA" w:rsidRDefault="00746D3C" w:rsidP="00746D3C">
      <w:pPr>
        <w:jc w:val="both"/>
        <w:rPr>
          <w:rFonts w:eastAsia="Calibri"/>
        </w:rPr>
      </w:pPr>
    </w:p>
    <w:p w14:paraId="36139896" w14:textId="77777777" w:rsidR="00746D3C" w:rsidRPr="006200EA" w:rsidRDefault="00746D3C" w:rsidP="00746D3C">
      <w:pPr>
        <w:jc w:val="both"/>
        <w:rPr>
          <w:rFonts w:eastAsia="Calibri"/>
        </w:rPr>
      </w:pPr>
      <w:r w:rsidRPr="006200EA">
        <w:rPr>
          <w:rFonts w:eastAsia="Calibri"/>
        </w:rPr>
        <w:t xml:space="preserve">Zmeny v registrácii </w:t>
      </w:r>
    </w:p>
    <w:p w14:paraId="28D185AB" w14:textId="77777777" w:rsidR="00746D3C" w:rsidRPr="006200EA" w:rsidRDefault="00746D3C" w:rsidP="00746D3C">
      <w:pPr>
        <w:jc w:val="both"/>
        <w:rPr>
          <w:rFonts w:eastAsia="Calibri"/>
        </w:rPr>
      </w:pPr>
    </w:p>
    <w:p w14:paraId="0901AD11" w14:textId="77777777" w:rsidR="00746D3C" w:rsidRPr="006200EA" w:rsidRDefault="00746D3C" w:rsidP="00746D3C">
      <w:pPr>
        <w:jc w:val="both"/>
        <w:rPr>
          <w:rFonts w:eastAsia="Calibri"/>
        </w:rPr>
      </w:pPr>
      <w:r w:rsidRPr="006200EA">
        <w:rPr>
          <w:rFonts w:eastAsia="Calibri"/>
        </w:rPr>
        <w:t>Zohľadňujúc zmeny v registrácii, MFSR zistilo, že malé podniky obchádzajú povinnosť stať sa platiteľom dane. Akonáhle sa priblížia k obratu, založia si ďalšiu spoločnosť. Sústredíme sa na ex offo registráciu. Ak teda detekujeme správanie, ktoré dá FS informáciu, že sa umelo drží obrat na určitej hranici – ustanoví sa, že také spoločnosti budú registrované ako platitelia dane.</w:t>
      </w:r>
    </w:p>
    <w:p w14:paraId="205924A4" w14:textId="77777777" w:rsidR="00746D3C" w:rsidRPr="006200EA" w:rsidRDefault="00746D3C" w:rsidP="00746D3C">
      <w:pPr>
        <w:jc w:val="both"/>
        <w:rPr>
          <w:rFonts w:eastAsia="Calibri"/>
        </w:rPr>
      </w:pPr>
    </w:p>
    <w:p w14:paraId="16DF7BA7" w14:textId="77777777" w:rsidR="00746D3C" w:rsidRPr="006200EA" w:rsidRDefault="00746D3C" w:rsidP="00746D3C">
      <w:pPr>
        <w:jc w:val="both"/>
        <w:rPr>
          <w:rFonts w:eastAsia="Calibri"/>
        </w:rPr>
      </w:pPr>
      <w:r w:rsidRPr="006200EA">
        <w:rPr>
          <w:rFonts w:eastAsia="Calibri"/>
        </w:rPr>
        <w:t>V súvislosti s uskutočňovaním transakcií zahraničnými osobami zástupcovia Amazon vyhodnotia uplatňovanie § 69aa zákona o DPH. Ak pôjde o obsolétne ustanovenie, MFSR pristúpi k jeho úprave, resp. zrušeniu.</w:t>
      </w:r>
    </w:p>
    <w:p w14:paraId="16976181" w14:textId="77777777" w:rsidR="00746D3C" w:rsidRDefault="00746D3C" w:rsidP="00746D3C">
      <w:pPr>
        <w:jc w:val="both"/>
        <w:rPr>
          <w:rFonts w:eastAsia="Calibri"/>
        </w:rPr>
      </w:pPr>
      <w:r w:rsidRPr="006200EA">
        <w:rPr>
          <w:rFonts w:eastAsia="Calibri"/>
        </w:rPr>
        <w:t>Pre MFSR je prioritou elektronická fakturácia, až následne sa vzhľadom na transpozičné lehoty bude zaoberať aj ďalšími ustanoveniami smernice ViDA, napr. jednotná registrácia pre DPH v EÚ.</w:t>
      </w:r>
    </w:p>
    <w:p w14:paraId="48844F4E" w14:textId="77777777" w:rsidR="00746D3C" w:rsidRPr="00D22FBD" w:rsidRDefault="00746D3C" w:rsidP="00746D3C">
      <w:pPr>
        <w:jc w:val="both"/>
        <w:rPr>
          <w:rFonts w:eastAsia="Calibri"/>
        </w:rPr>
      </w:pPr>
    </w:p>
    <w:p w14:paraId="16E33B14" w14:textId="77777777" w:rsidR="00746D3C" w:rsidRPr="00973565" w:rsidRDefault="00746D3C" w:rsidP="00746D3C">
      <w:pPr>
        <w:jc w:val="both"/>
        <w:rPr>
          <w:rFonts w:eastAsia="Calibri"/>
          <w:i/>
          <w:iCs/>
        </w:rPr>
      </w:pPr>
      <w:r w:rsidRPr="00973565">
        <w:rPr>
          <w:rFonts w:eastAsia="Calibri"/>
          <w:i/>
          <w:iCs/>
        </w:rPr>
        <w:t xml:space="preserve">Dňa 5. februára 2025 sa v nadväznosti na Jednotnú metodiku posudzovania vybraných vplyvov uskutočnili k predbežnej informácii </w:t>
      </w:r>
      <w:r w:rsidRPr="00973565">
        <w:rPr>
          <w:i/>
          <w:iCs/>
        </w:rPr>
        <w:t>PI/2024/334</w:t>
      </w:r>
      <w:r w:rsidRPr="00973565">
        <w:rPr>
          <w:rFonts w:eastAsia="Calibri"/>
          <w:i/>
          <w:iCs/>
        </w:rPr>
        <w:t xml:space="preserve"> stretnutia so zástupcami SAPPO a MHSR.</w:t>
      </w:r>
    </w:p>
    <w:p w14:paraId="265E3CA4" w14:textId="77777777" w:rsidR="00746D3C" w:rsidRPr="00D22FBD" w:rsidRDefault="00746D3C" w:rsidP="00746D3C">
      <w:pPr>
        <w:jc w:val="both"/>
        <w:rPr>
          <w:rFonts w:eastAsia="Calibri"/>
        </w:rPr>
      </w:pPr>
    </w:p>
    <w:p w14:paraId="08493945" w14:textId="77777777" w:rsidR="00746D3C" w:rsidRPr="002754A5" w:rsidRDefault="00746D3C" w:rsidP="00746D3C">
      <w:pPr>
        <w:jc w:val="both"/>
      </w:pPr>
      <w:r w:rsidRPr="002754A5">
        <w:t>Zástupca MFSR predstavil základné ciele pripravovaného návrhu zákona, ktorým sa mení a dopĺňa zákon o DPH. Základom pre povinnú elektronickú fakturáciu bude smernica ViDA. Právna úprava navrhnutá v roku 2021 sa netýkala elektronickej fakturácie, len oznamovania údajov z vyhotovených faktúr. Návrhom zákona teda nejde o resurekciu návrhu z roku 2021. Čl. 0 (resp. 1) smernice ViDA, ktorá bude zverejnená v Úradnom vestníku Európskej únie až v marci – apríli 2025,</w:t>
      </w:r>
      <w:r>
        <w:t xml:space="preserve"> </w:t>
      </w:r>
      <w:r w:rsidRPr="002754A5">
        <w:t>dáva možnosť členským štátom Európskej únie (ďalej ako „EÚ“) dňom vyhlásenia spustiť elektronickú fakturáciu týkajúcu sa platiteľov dane z pridanej hodnoty (ďalej len „platiteľ“) do roku 2030 podľa svojho uváženia, bez toho, aby sa vyžadoval súhlas príjemcu elektronickej faktúry (ďalej len „EFA“). Do roku 2030 nie sú stanovené ani podmienky na formát, jednotnosť, atď. Od roku 2030 budú členské štáty povinné pri cezhraničných obchodoch týkajúcich sa platiteľov zaviesť povinnú elektronickú fakturáciu v súlade s normou Európskej únie</w:t>
      </w:r>
      <w:r>
        <w:t xml:space="preserve"> </w:t>
      </w:r>
      <w:r w:rsidRPr="002754A5">
        <w:t>platnou pre B2G sektor (podľa smernice 2014/55/EU). SR je</w:t>
      </w:r>
      <w:r>
        <w:t>,</w:t>
      </w:r>
      <w:r w:rsidRPr="002754A5">
        <w:t xml:space="preserve"> pokiaľ ide o spustenie elektronickej fakturácie pre B2G</w:t>
      </w:r>
      <w:r>
        <w:t>,</w:t>
      </w:r>
      <w:r w:rsidRPr="002754A5">
        <w:t xml:space="preserve"> vo výraznom omeškaní. V súčasnosti procesy </w:t>
      </w:r>
      <w:r w:rsidRPr="002754A5">
        <w:lastRenderedPageBreak/>
        <w:t>podľa zákona č. 215/2019 Z. z. a podľa zákona č. 222/2004 Z. z. môžu ísť popri sebe, ale uvedené je dôvodom pre zjednotenie procesov už teraz tak, aby bol proces pre platiteľov jednoznačný a administratívne nezaťažujúci. Legislatíva EÚ nás zaväzuje</w:t>
      </w:r>
      <w:r>
        <w:t>,</w:t>
      </w:r>
      <w:r w:rsidRPr="002754A5">
        <w:t xml:space="preserve"> len pokiaľ ide o zavedenie povinnej elektronickej fakturácie pre cezhraničné obchody, nie vnútroštátne. Cieľom MFSR je jedna EFA, ktorá bude pre tuzemské transakcie a tuzemské osoby povinná od 1.1.2027 a od roku 2030 nastane len rozšírenie z hľadiska cezhraničných transakcií. Návrh zákona pripraví MFSR tak, aby mohol byť schválený ešte tento kalendárny rok, a aby bola zabezpečená minimálne jednoročná legisvakácia pre implementáciu a prípravu systémových riešení, či už na strane podnikateľského prostredia alebo finančnej správy (ďalej ako „FS“). Do úvahy prichádza aj nafázovanie spustenia procesu. Technické riešenie zabezpečí FS.</w:t>
      </w:r>
    </w:p>
    <w:p w14:paraId="7C26CFCC" w14:textId="77777777" w:rsidR="00746D3C" w:rsidRPr="002754A5" w:rsidRDefault="00746D3C" w:rsidP="00746D3C">
      <w:pPr>
        <w:jc w:val="both"/>
      </w:pPr>
      <w:r>
        <w:t>Zástupca</w:t>
      </w:r>
      <w:r w:rsidRPr="002754A5">
        <w:t xml:space="preserve"> FRSR uviedol a odprezentoval, čo sa za posledných 5 rokov v EÚ v oblasti elektronickej fakturácie vykonalo. Elektronická fakturácia B2G sa rozšírila v rôznych formátoch a spôsoboch zasielania EFA. Niektoré štáty nabehli len na</w:t>
      </w:r>
      <w:r>
        <w:t xml:space="preserve"> </w:t>
      </w:r>
      <w:r w:rsidRPr="002754A5">
        <w:t xml:space="preserve">Peppol - Paneurópska sieť pre štandardizovanie formátu faktúry aj zasielania faktúr štandardizovaným protokolom, nie e-mailom. Ponaučenia zo správy EÚ - nastaviť elektronickú fakturáciu tak, aby sme od 2030 už nemuseli nič prerábať a definovať jednotný spôsob výmeny. Nateraz sú faktúry tlačené v papierovej forme, odosiela ich pošta, odberateľ ich prevezme, vytvorí a preklopí ručne do svojho ekonomického informačného systému (ďalej ako „EIS“), kde sa potom spúšťa tok/systém prijatých faktúr. 70 % alebo 80 % podnikateľov takto postupuje. Ak máme súhlas príjemcu, tak sa dá faktúra generovať aj elektronicky napr. v PDF (neštruktúrovaná forma faktúry). Tieto faktúry sú zasielané e-mailom, prijaté na strane odberateľa rôznymi systémami, ktoré následne mapujú polia faktúry. </w:t>
      </w:r>
    </w:p>
    <w:p w14:paraId="77FECD1A" w14:textId="77777777" w:rsidR="00746D3C" w:rsidRPr="002754A5" w:rsidRDefault="00746D3C" w:rsidP="00746D3C">
      <w:pPr>
        <w:jc w:val="both"/>
      </w:pPr>
      <w:r w:rsidRPr="002754A5">
        <w:t xml:space="preserve">Ak je EFA v podobe XML, je vyhotovená elektronicky, zaslaná elektronicky a plne spracovateľná elektronicky, tak ide o štruktúru, ktorá je rovnaká pre celú EU. Ak je zasielaná nie cez e-mail, ale cez prispôsobenú sieť, prostredníctvom štandardného protokolu, zabezpečeného kvôli zmene, prijatá odberateľom a automaticky preklopená do EIS – to je cieľ, kam sa chceme dostať. Niektoré členské štáty sa k tomuto blížia. Ak prijímateľ vie, ako vyzerá štruktúra EFA a je v súlade s EÚ normou, tak ju vie automaticky spracovať (harmonizácia EFA). Chceme využiť formát EFA – Peppol BIS 3.0, ktorý harmonizoval štruktúru EFA v súlade s EÚ normou a syntaxou UBL 2.1. Od roku 2030 by sme si so všetkými, ktorí budú mať Peppol BIS 3.0, vedeli vymieňať EFA automaticky, veľmi rýchlo (v sekundách). </w:t>
      </w:r>
    </w:p>
    <w:p w14:paraId="050F525D" w14:textId="77777777" w:rsidR="00746D3C" w:rsidRPr="002754A5" w:rsidRDefault="00746D3C" w:rsidP="00746D3C">
      <w:pPr>
        <w:jc w:val="both"/>
      </w:pPr>
      <w:r w:rsidRPr="002754A5">
        <w:t xml:space="preserve">Spôsob zasielania faktúry v sieti Peppol – každý podnikateľský subjekt si nájde na trhu servisného poskytovateľa (ďalej ako „digitálny poštár“ alebo „SP“). Z informácií z EÚ vieme, že softvérové domy majú snahu stať sa SP prístupu k sieti Peppol, s ktorými si platiteľ dohodne službu – zasielanie faktúr pre svojich odberateľov. Dodávateľ vystaví EFA vo formáte Peppol Bis 3.0 vo svojom EIS, ktorá je rôznymi spôsobmi odovzdaná SP (webové rozhranie, aplikácia, automatizované rozhranie) a tento SP (digitálny poštár) na základe svojich adresných informácií zašle EFA SP odberateľa, kde si to odberateľ prevezme. Druhou možnosťou je, že až SP preklopí faktúru do EFA v súlade s Peppol BIS 3.0. EU kontext – český podnikateľ vystaví EFA v Peppol BIS 3.0, zašle na svojho SP, SP zašle EFA na SP pre SK a odberateľ si EFA prevezme. </w:t>
      </w:r>
    </w:p>
    <w:p w14:paraId="37D76D43" w14:textId="77777777" w:rsidR="00746D3C" w:rsidRDefault="00746D3C" w:rsidP="00746D3C">
      <w:pPr>
        <w:jc w:val="both"/>
        <w:rPr>
          <w:color w:val="000000"/>
        </w:rPr>
      </w:pPr>
      <w:r w:rsidRPr="002754A5">
        <w:t>Reportovanie z dát EFA prechádza z odberateľa a dodávateľa na digitálneho poštára. Podnikateľskú sféru nezaťažujeme zasielaním údajov z faktúr, ale zabezpečia to títo poštári na doručovanie digitálnych faktúr.</w:t>
      </w:r>
      <w:r w:rsidRPr="002754A5">
        <w:rPr>
          <w:color w:val="000000"/>
        </w:rPr>
        <w:t xml:space="preserve"> Nikto nebude schvaľovať faktúry. FS budú zaujímať len dáta z Vašich faktúr, ktoré v čase vyhotovenia budú zasielané FS, plus mínus to, čo dnes rieši kontrolný výkaz. Pre dotknuté transakcie sa upustí od kontrolného výkazu. V nadväznosti na uvedené chce MFSR upraviť a využívať preventívne inštitúty správy daní pred represívnymi. Nie daňové kontroly, ale napr. mechanizmus rozdelenia platby.</w:t>
      </w:r>
    </w:p>
    <w:p w14:paraId="5E877503" w14:textId="77777777" w:rsidR="00746D3C" w:rsidRDefault="00746D3C" w:rsidP="00746D3C">
      <w:pPr>
        <w:jc w:val="both"/>
        <w:rPr>
          <w:color w:val="000000"/>
        </w:rPr>
      </w:pPr>
    </w:p>
    <w:p w14:paraId="0DA0CD7C" w14:textId="77777777" w:rsidR="00746D3C" w:rsidRPr="002754A5" w:rsidRDefault="00746D3C" w:rsidP="00746D3C">
      <w:pPr>
        <w:jc w:val="both"/>
        <w:rPr>
          <w:rFonts w:eastAsia="Calibri"/>
          <w:iCs/>
        </w:rPr>
      </w:pPr>
      <w:r w:rsidRPr="002754A5">
        <w:rPr>
          <w:rFonts w:eastAsia="Calibri"/>
          <w:iCs/>
        </w:rPr>
        <w:t>K návrhu zákona odzneli nasledovné okruhy otázok a reakcií:</w:t>
      </w:r>
    </w:p>
    <w:p w14:paraId="6CF7B5E8" w14:textId="77777777" w:rsidR="00746D3C" w:rsidRPr="002754A5" w:rsidRDefault="00746D3C" w:rsidP="00746D3C">
      <w:pPr>
        <w:jc w:val="both"/>
        <w:rPr>
          <w:rFonts w:eastAsia="Calibri"/>
          <w:iCs/>
        </w:rPr>
      </w:pPr>
    </w:p>
    <w:p w14:paraId="760A7765" w14:textId="77777777" w:rsidR="00746D3C" w:rsidRPr="002754A5" w:rsidRDefault="00746D3C" w:rsidP="00746D3C">
      <w:pPr>
        <w:jc w:val="both"/>
        <w:rPr>
          <w:rFonts w:eastAsia="Calibri"/>
          <w:iCs/>
        </w:rPr>
      </w:pPr>
      <w:r w:rsidRPr="002754A5">
        <w:rPr>
          <w:rFonts w:eastAsia="Calibri"/>
          <w:iCs/>
        </w:rPr>
        <w:t>Formát EFA</w:t>
      </w:r>
    </w:p>
    <w:p w14:paraId="0A93501C" w14:textId="77777777" w:rsidR="00746D3C" w:rsidRPr="002754A5" w:rsidRDefault="00746D3C" w:rsidP="00746D3C">
      <w:pPr>
        <w:jc w:val="both"/>
        <w:rPr>
          <w:rFonts w:eastAsia="Calibri"/>
          <w:iCs/>
        </w:rPr>
      </w:pPr>
      <w:r w:rsidRPr="002754A5">
        <w:rPr>
          <w:rFonts w:eastAsia="Calibri"/>
          <w:iCs/>
        </w:rPr>
        <w:lastRenderedPageBreak/>
        <w:t xml:space="preserve">Formát EFA bude vždy v anglickom jazyku, ale ľudsky čitateľný obsah bude v slovenskom jazyku. Podľa smernice ViDA musí byť EFA vydaná v norme EÚ a v jednej z dvoch syntaxí (aby každý vedel, čo ktoré pole obsahuje a kde sa nachádza). Ide o jediné publikované technické normy, ktoré sú zdarma, sponzorované EÚ, keďže EÚ chce docieliť zjednotenie. Štandardne sú normy spoplatnené. Komunikujeme s EK, či Peppol BIS 3.0 môže byť jediný formát. V opačnom prípade nebude formát tak striktný. Takto funguje Belgicko a Holandsko – použiteľný je aj iný formát ako Peppol BIS 3.0, ak sa tak strany dohodnú. </w:t>
      </w:r>
    </w:p>
    <w:p w14:paraId="507503BC" w14:textId="77777777" w:rsidR="00746D3C" w:rsidRPr="002754A5" w:rsidRDefault="00746D3C" w:rsidP="00746D3C">
      <w:pPr>
        <w:jc w:val="both"/>
        <w:rPr>
          <w:rFonts w:eastAsia="Calibri"/>
          <w:iCs/>
        </w:rPr>
      </w:pPr>
    </w:p>
    <w:p w14:paraId="341D1AAA" w14:textId="77777777" w:rsidR="00746D3C" w:rsidRPr="002754A5" w:rsidRDefault="00746D3C" w:rsidP="00746D3C">
      <w:pPr>
        <w:jc w:val="both"/>
        <w:rPr>
          <w:rFonts w:eastAsia="Calibri"/>
          <w:iCs/>
        </w:rPr>
      </w:pPr>
      <w:r w:rsidRPr="002754A5">
        <w:rPr>
          <w:rFonts w:eastAsia="Calibri"/>
          <w:iCs/>
        </w:rPr>
        <w:t>Aj asociácie a neziskové združenia budú musieť v takejto forme prijímať EFA? Budú musieť mať zmluvu (dohodu) s digitálnym poštárom?</w:t>
      </w:r>
    </w:p>
    <w:p w14:paraId="5B94BDA7" w14:textId="77777777" w:rsidR="00746D3C" w:rsidRPr="002754A5" w:rsidRDefault="00746D3C" w:rsidP="00746D3C">
      <w:pPr>
        <w:jc w:val="both"/>
        <w:rPr>
          <w:rFonts w:eastAsia="Calibri"/>
          <w:iCs/>
        </w:rPr>
      </w:pPr>
      <w:r w:rsidRPr="002754A5">
        <w:rPr>
          <w:rFonts w:eastAsia="Calibri"/>
          <w:iCs/>
        </w:rPr>
        <w:t>Ak zákazníkom platiteľa dane bude nezdaniteľná právnická osoba, bude musieť prijať EFA, ale nebude mať povinnosť oznamovať údaje z EFA FS. Budú teda musieť mať zmluvu s SP alebo si vytvoria vlastné riešenie.</w:t>
      </w:r>
    </w:p>
    <w:p w14:paraId="743C9DF6" w14:textId="77777777" w:rsidR="00746D3C" w:rsidRPr="002754A5" w:rsidRDefault="00746D3C" w:rsidP="00746D3C">
      <w:pPr>
        <w:jc w:val="both"/>
        <w:rPr>
          <w:rFonts w:eastAsia="Calibri"/>
          <w:iCs/>
        </w:rPr>
      </w:pPr>
    </w:p>
    <w:p w14:paraId="5484CE97" w14:textId="77777777" w:rsidR="00746D3C" w:rsidRPr="002754A5" w:rsidRDefault="00746D3C" w:rsidP="00746D3C">
      <w:pPr>
        <w:jc w:val="both"/>
        <w:rPr>
          <w:rFonts w:eastAsia="Calibri"/>
          <w:iCs/>
        </w:rPr>
      </w:pPr>
      <w:r w:rsidRPr="002754A5">
        <w:rPr>
          <w:rFonts w:eastAsia="Calibri"/>
          <w:iCs/>
        </w:rPr>
        <w:t>Pre odberateľov - fyzické osoby zostáva klasická faktúra?</w:t>
      </w:r>
    </w:p>
    <w:p w14:paraId="05F66A2D" w14:textId="77777777" w:rsidR="00746D3C" w:rsidRPr="002754A5" w:rsidRDefault="00746D3C" w:rsidP="00746D3C">
      <w:pPr>
        <w:jc w:val="both"/>
        <w:rPr>
          <w:rFonts w:eastAsia="Calibri"/>
          <w:iCs/>
        </w:rPr>
      </w:pPr>
      <w:r w:rsidRPr="002754A5">
        <w:rPr>
          <w:rFonts w:eastAsia="Calibri"/>
          <w:iCs/>
        </w:rPr>
        <w:t xml:space="preserve">Ani dnes nemá nikto povinnosť v týchto prípadoch vyhotovovať elektronické faktúry. </w:t>
      </w:r>
    </w:p>
    <w:p w14:paraId="5953E25D" w14:textId="77777777" w:rsidR="00746D3C" w:rsidRPr="002754A5" w:rsidRDefault="00746D3C" w:rsidP="00746D3C">
      <w:pPr>
        <w:jc w:val="both"/>
        <w:rPr>
          <w:rFonts w:eastAsia="Calibri"/>
          <w:iCs/>
        </w:rPr>
      </w:pPr>
    </w:p>
    <w:p w14:paraId="021FF576" w14:textId="77777777" w:rsidR="00746D3C" w:rsidRPr="002754A5" w:rsidRDefault="00746D3C" w:rsidP="00746D3C">
      <w:pPr>
        <w:jc w:val="both"/>
        <w:rPr>
          <w:rFonts w:eastAsia="Calibri"/>
          <w:iCs/>
        </w:rPr>
      </w:pPr>
      <w:r w:rsidRPr="002754A5">
        <w:rPr>
          <w:rFonts w:eastAsia="Calibri"/>
          <w:iCs/>
        </w:rPr>
        <w:t>Ak nastane výpadok systému alebo niečo iné a faktúra neprejde – koho zodpovednosť (Peppol sieť)?</w:t>
      </w:r>
    </w:p>
    <w:p w14:paraId="1F186405" w14:textId="77777777" w:rsidR="00746D3C" w:rsidRPr="002754A5" w:rsidRDefault="00746D3C" w:rsidP="00746D3C">
      <w:pPr>
        <w:jc w:val="both"/>
        <w:rPr>
          <w:rFonts w:eastAsia="Calibri"/>
          <w:iCs/>
        </w:rPr>
      </w:pPr>
      <w:r w:rsidRPr="002754A5">
        <w:rPr>
          <w:rFonts w:eastAsia="Calibri"/>
          <w:iCs/>
        </w:rPr>
        <w:t>Uvedené zabezpečuje OpenPeppol a asi aj zmluvné vzťahy. SP musí získať certifikáciu od Peppolu, bude musieť spĺňať SLA dostupnosť, všetko meria a kontroluje OpenPeppol. Následne môže odňať certifikáciu SP. Podľa smernice ViDA by dáta mali byť reportované v čase vyhotovenia faktúry. Toto už bude kontrolovateľné. Rokovania so sieťou Peppol ešte len budú, komunikácia je zahájená. Samotná sieť Peppol kontroluje napr. správny výpočet DPH. Je to taká očista vystavených faktúr.</w:t>
      </w:r>
    </w:p>
    <w:p w14:paraId="05C1D77C" w14:textId="77777777" w:rsidR="00746D3C" w:rsidRPr="002754A5" w:rsidRDefault="00746D3C" w:rsidP="00746D3C">
      <w:pPr>
        <w:jc w:val="both"/>
        <w:rPr>
          <w:rFonts w:eastAsia="Calibri"/>
          <w:iCs/>
        </w:rPr>
      </w:pPr>
    </w:p>
    <w:p w14:paraId="787454FC" w14:textId="77777777" w:rsidR="00746D3C" w:rsidRPr="002754A5" w:rsidRDefault="00746D3C" w:rsidP="00746D3C">
      <w:pPr>
        <w:jc w:val="both"/>
        <w:rPr>
          <w:rFonts w:eastAsia="Calibri"/>
          <w:iCs/>
        </w:rPr>
      </w:pPr>
      <w:r w:rsidRPr="002754A5">
        <w:rPr>
          <w:rFonts w:eastAsia="Calibri"/>
          <w:iCs/>
        </w:rPr>
        <w:t xml:space="preserve">Používané podnikové systémy SAP vyžadujú dlhodobejšiu prípravu na implementácia zmien. </w:t>
      </w:r>
    </w:p>
    <w:p w14:paraId="21ED3671" w14:textId="77777777" w:rsidR="00746D3C" w:rsidRPr="002754A5" w:rsidRDefault="00746D3C" w:rsidP="00746D3C">
      <w:pPr>
        <w:jc w:val="both"/>
        <w:rPr>
          <w:rFonts w:eastAsia="Calibri"/>
          <w:iCs/>
        </w:rPr>
      </w:pPr>
      <w:r w:rsidRPr="002754A5">
        <w:rPr>
          <w:rFonts w:eastAsia="Calibri"/>
          <w:iCs/>
        </w:rPr>
        <w:t xml:space="preserve">SAP má implementovaný Peppol, teda ak budete na správnej verzii SAP-u, nebudete mať problém. </w:t>
      </w:r>
    </w:p>
    <w:p w14:paraId="244E604C" w14:textId="77777777" w:rsidR="00746D3C" w:rsidRPr="002754A5" w:rsidRDefault="00746D3C" w:rsidP="00746D3C">
      <w:pPr>
        <w:jc w:val="both"/>
        <w:rPr>
          <w:rFonts w:eastAsia="Calibri"/>
          <w:iCs/>
        </w:rPr>
      </w:pPr>
    </w:p>
    <w:p w14:paraId="6DD115E1" w14:textId="77777777" w:rsidR="00746D3C" w:rsidRDefault="00746D3C" w:rsidP="00746D3C">
      <w:pPr>
        <w:jc w:val="both"/>
        <w:rPr>
          <w:rFonts w:eastAsia="Calibri"/>
          <w:iCs/>
        </w:rPr>
      </w:pPr>
      <w:r w:rsidRPr="002754A5">
        <w:rPr>
          <w:rFonts w:eastAsia="Calibri"/>
          <w:iCs/>
        </w:rPr>
        <w:t>MFSR pripraví návrh zákona v súlade so smernicou ViDA. MFSR chce byť v rámci legislatívneho procesu mimoriadne transparentné, nielen počas PPK a MPK. Ak bude MFSR vnímať spoluprácu ako konštruktívnu, vie spraviť aj pravidelnejšie stretnutia s podnikateľským prostredím, za podmienky, že prizvané subjekty nebudú zasahovať viac, ako je potrebné, aby bola spolupráca efektívna. Zástupcovia SAPPO uvedené uvítali s tým, že rôzne systémy, aj európske im pri implementácii spôsobujú obrovské problémy. Uvítali by, aj ak by bolo možné niečo testovať alebo technicky pripraviť dopredu.</w:t>
      </w:r>
    </w:p>
    <w:p w14:paraId="09414384" w14:textId="77777777" w:rsidR="00746D3C" w:rsidRDefault="00746D3C" w:rsidP="00746D3C">
      <w:pPr>
        <w:jc w:val="both"/>
        <w:rPr>
          <w:rFonts w:eastAsia="Calibri"/>
          <w:iCs/>
        </w:rPr>
      </w:pPr>
    </w:p>
    <w:p w14:paraId="27C7CC49" w14:textId="77777777" w:rsidR="00746D3C" w:rsidRPr="00973565" w:rsidRDefault="00746D3C" w:rsidP="00746D3C">
      <w:pPr>
        <w:jc w:val="both"/>
        <w:rPr>
          <w:rFonts w:eastAsia="Calibri"/>
          <w:i/>
          <w:iCs/>
        </w:rPr>
      </w:pPr>
      <w:r w:rsidRPr="00973565">
        <w:rPr>
          <w:rFonts w:eastAsia="Calibri"/>
          <w:i/>
          <w:iCs/>
        </w:rPr>
        <w:t xml:space="preserve">Dňa 11. februára 2025 sa v nadväznosti na Jednotnú metodiku posudzovania vybraných vplyvov uskutočnili k predbežnej informácii </w:t>
      </w:r>
      <w:r w:rsidRPr="00973565">
        <w:rPr>
          <w:i/>
          <w:iCs/>
        </w:rPr>
        <w:t>PI/2024/334</w:t>
      </w:r>
      <w:r w:rsidRPr="00973565">
        <w:rPr>
          <w:rFonts w:eastAsia="Calibri"/>
          <w:i/>
          <w:iCs/>
        </w:rPr>
        <w:t xml:space="preserve"> stretnutia so zástupcami </w:t>
      </w:r>
      <w:r w:rsidRPr="00973565">
        <w:rPr>
          <w:i/>
          <w:iCs/>
        </w:rPr>
        <w:t>APZD, RÚZ SR, Klub 500, SKDP a MH SR</w:t>
      </w:r>
      <w:r w:rsidRPr="00973565">
        <w:rPr>
          <w:rFonts w:eastAsia="Calibri"/>
          <w:i/>
          <w:iCs/>
        </w:rPr>
        <w:t>.</w:t>
      </w:r>
    </w:p>
    <w:p w14:paraId="36F4E23D" w14:textId="77777777" w:rsidR="00746D3C" w:rsidRDefault="00746D3C" w:rsidP="00746D3C">
      <w:pPr>
        <w:jc w:val="both"/>
        <w:rPr>
          <w:rFonts w:eastAsia="Calibri"/>
        </w:rPr>
      </w:pPr>
    </w:p>
    <w:p w14:paraId="6B981034" w14:textId="77777777" w:rsidR="00746D3C" w:rsidRDefault="00746D3C" w:rsidP="00746D3C">
      <w:pPr>
        <w:jc w:val="both"/>
        <w:rPr>
          <w:rFonts w:eastAsia="Calibri"/>
        </w:rPr>
      </w:pPr>
      <w:r w:rsidRPr="002754A5">
        <w:t>Zástupca MFSR predstavil základné ciele pripravovaného návrhu zákona, ktorým sa mení a dopĺňa zákon o DPH. Základom pre povinnú elektronickú fakturáciu bude smernica ViDA.</w:t>
      </w:r>
      <w:r>
        <w:t xml:space="preserve"> </w:t>
      </w:r>
      <w:r w:rsidRPr="00DE68E5">
        <w:t xml:space="preserve">Následne </w:t>
      </w:r>
      <w:r>
        <w:t xml:space="preserve">zástupca FRSR </w:t>
      </w:r>
      <w:r w:rsidRPr="00DE68E5">
        <w:t>uviedol a odprezentoval očakávané kroky a procesy v rámci elektronickej fakturácie.</w:t>
      </w:r>
    </w:p>
    <w:p w14:paraId="43B2971F" w14:textId="77777777" w:rsidR="00746D3C" w:rsidRDefault="00746D3C" w:rsidP="00746D3C">
      <w:pPr>
        <w:jc w:val="both"/>
        <w:rPr>
          <w:rFonts w:eastAsia="Calibri"/>
        </w:rPr>
      </w:pPr>
    </w:p>
    <w:p w14:paraId="355C6065" w14:textId="77777777" w:rsidR="00746D3C" w:rsidRPr="006200EA" w:rsidRDefault="00746D3C" w:rsidP="00746D3C">
      <w:pPr>
        <w:jc w:val="both"/>
        <w:rPr>
          <w:rFonts w:eastAsia="Calibri"/>
          <w:iCs/>
        </w:rPr>
      </w:pPr>
      <w:r w:rsidRPr="006200EA">
        <w:rPr>
          <w:rFonts w:eastAsia="Calibri"/>
          <w:iCs/>
        </w:rPr>
        <w:t>K návrhu zákona odzneli nasledovné okruhy otázok a reakcií:</w:t>
      </w:r>
    </w:p>
    <w:p w14:paraId="33EADE41" w14:textId="77777777" w:rsidR="00746D3C" w:rsidRDefault="00746D3C" w:rsidP="00746D3C">
      <w:pPr>
        <w:jc w:val="both"/>
        <w:rPr>
          <w:rFonts w:eastAsia="Calibri"/>
          <w:iCs/>
        </w:rPr>
      </w:pPr>
    </w:p>
    <w:p w14:paraId="545D3C1A" w14:textId="77777777" w:rsidR="00746D3C" w:rsidRPr="006200EA" w:rsidRDefault="00746D3C" w:rsidP="00746D3C">
      <w:pPr>
        <w:jc w:val="both"/>
        <w:rPr>
          <w:rFonts w:eastAsia="Calibri"/>
          <w:iCs/>
        </w:rPr>
      </w:pPr>
      <w:r w:rsidRPr="006200EA">
        <w:rPr>
          <w:rFonts w:eastAsia="Calibri"/>
          <w:iCs/>
        </w:rPr>
        <w:t>Bude uvedené riešenie spĺňať aj funkciu archivácie? Požiadavka biznisu smeruje k tomu, aby systém zabezpečil archiváciu.</w:t>
      </w:r>
    </w:p>
    <w:p w14:paraId="17D79F25" w14:textId="77777777" w:rsidR="00746D3C" w:rsidRPr="006200EA" w:rsidRDefault="00746D3C" w:rsidP="00746D3C">
      <w:pPr>
        <w:jc w:val="both"/>
        <w:rPr>
          <w:rFonts w:eastAsia="Calibri"/>
          <w:iCs/>
        </w:rPr>
      </w:pPr>
      <w:r w:rsidRPr="006200EA">
        <w:rPr>
          <w:rFonts w:eastAsia="Calibri"/>
          <w:iCs/>
        </w:rPr>
        <w:lastRenderedPageBreak/>
        <w:t>Poskytovatelia prístupových bodov budú ponúkať archivačné služby (v súčasnosti je to asi 10 rokov) a biznis môže, ale nemusí tieto služby od nich prijímať; buď si to biznis zakúpi ako službu alebo si to bude sám ukladať ako XML vo svojich súboroch.</w:t>
      </w:r>
    </w:p>
    <w:p w14:paraId="4600FEEC" w14:textId="77777777" w:rsidR="00746D3C" w:rsidRPr="006200EA" w:rsidRDefault="00746D3C" w:rsidP="00746D3C">
      <w:pPr>
        <w:jc w:val="both"/>
        <w:rPr>
          <w:rFonts w:eastAsia="Calibri"/>
          <w:iCs/>
        </w:rPr>
      </w:pPr>
    </w:p>
    <w:p w14:paraId="2F406B38" w14:textId="77777777" w:rsidR="00746D3C" w:rsidRPr="006200EA" w:rsidRDefault="00746D3C" w:rsidP="00746D3C">
      <w:pPr>
        <w:jc w:val="both"/>
        <w:rPr>
          <w:rFonts w:eastAsia="Calibri"/>
          <w:iCs/>
        </w:rPr>
      </w:pPr>
      <w:r w:rsidRPr="006200EA">
        <w:rPr>
          <w:rFonts w:eastAsia="Calibri"/>
          <w:iCs/>
        </w:rPr>
        <w:t>Odstránenie FA v KV?</w:t>
      </w:r>
    </w:p>
    <w:p w14:paraId="555E01C2" w14:textId="77777777" w:rsidR="00746D3C" w:rsidRPr="006200EA" w:rsidRDefault="00746D3C" w:rsidP="00746D3C">
      <w:pPr>
        <w:jc w:val="both"/>
        <w:rPr>
          <w:rFonts w:eastAsia="Calibri"/>
          <w:iCs/>
        </w:rPr>
      </w:pPr>
      <w:r w:rsidRPr="006200EA">
        <w:rPr>
          <w:rFonts w:eastAsia="Calibri"/>
          <w:iCs/>
        </w:rPr>
        <w:t>KV bude zrušené; ak by sa vyžadovalo aj nejaké prechodné obdobie, tak je to len kvôli prechodu dát, ale určite nechceme zachovať KV, inak by to boli 2 tie isté povinnosti týkajúce sa údajov</w:t>
      </w:r>
    </w:p>
    <w:p w14:paraId="12765515" w14:textId="77777777" w:rsidR="00746D3C" w:rsidRPr="006200EA" w:rsidRDefault="00746D3C" w:rsidP="00746D3C">
      <w:pPr>
        <w:jc w:val="both"/>
        <w:rPr>
          <w:rFonts w:eastAsia="Calibri"/>
          <w:iCs/>
        </w:rPr>
      </w:pPr>
    </w:p>
    <w:p w14:paraId="60AAC5CB" w14:textId="77777777" w:rsidR="00746D3C" w:rsidRPr="006200EA" w:rsidRDefault="00746D3C" w:rsidP="00746D3C">
      <w:pPr>
        <w:jc w:val="both"/>
        <w:rPr>
          <w:rFonts w:eastAsia="Calibri"/>
          <w:iCs/>
        </w:rPr>
      </w:pPr>
      <w:r w:rsidRPr="006200EA">
        <w:rPr>
          <w:rFonts w:eastAsia="Calibri"/>
          <w:iCs/>
        </w:rPr>
        <w:t>Čo v prípade oslobodených plnení?</w:t>
      </w:r>
    </w:p>
    <w:p w14:paraId="1272DB4F" w14:textId="77777777" w:rsidR="00746D3C" w:rsidRPr="006200EA" w:rsidRDefault="00746D3C" w:rsidP="00746D3C">
      <w:pPr>
        <w:jc w:val="both"/>
        <w:rPr>
          <w:rFonts w:eastAsia="Calibri"/>
          <w:iCs/>
        </w:rPr>
      </w:pPr>
      <w:r w:rsidRPr="006200EA">
        <w:rPr>
          <w:rFonts w:eastAsia="Calibri"/>
          <w:iCs/>
        </w:rPr>
        <w:t>Nechceme rozširovať okruhy zdaniteľných obchodov, pri ktorých by sa vyžadovalo vystavovanie EFA; ešte sa nevie, či sa to v budúcnosti rozšíri aj na malé podniky, ale v prvej fáze sa to bude týkať len platiteľov dane, nie iných subjektov.</w:t>
      </w:r>
    </w:p>
    <w:p w14:paraId="5B542204" w14:textId="77777777" w:rsidR="00746D3C" w:rsidRPr="006200EA" w:rsidRDefault="00746D3C" w:rsidP="00746D3C">
      <w:pPr>
        <w:jc w:val="both"/>
        <w:rPr>
          <w:rFonts w:eastAsia="Calibri"/>
          <w:iCs/>
        </w:rPr>
      </w:pPr>
    </w:p>
    <w:p w14:paraId="45A9D5C2" w14:textId="77777777" w:rsidR="00746D3C" w:rsidRPr="006200EA" w:rsidRDefault="00746D3C" w:rsidP="00746D3C">
      <w:pPr>
        <w:jc w:val="both"/>
        <w:rPr>
          <w:rFonts w:eastAsia="Calibri"/>
          <w:iCs/>
        </w:rPr>
      </w:pPr>
      <w:r w:rsidRPr="006200EA">
        <w:rPr>
          <w:rFonts w:eastAsia="Calibri"/>
          <w:iCs/>
        </w:rPr>
        <w:t xml:space="preserve">Ako bude zabezpečený systém, ak bude napadnutý, hacknutý, nebude fungovať? </w:t>
      </w:r>
    </w:p>
    <w:p w14:paraId="1F7A594E" w14:textId="77777777" w:rsidR="00746D3C" w:rsidRPr="006200EA" w:rsidRDefault="00746D3C" w:rsidP="00746D3C">
      <w:pPr>
        <w:jc w:val="both"/>
        <w:rPr>
          <w:rFonts w:eastAsia="Calibri"/>
          <w:iCs/>
        </w:rPr>
      </w:pPr>
      <w:r w:rsidRPr="006200EA">
        <w:rPr>
          <w:rFonts w:eastAsia="Calibri"/>
          <w:iCs/>
        </w:rPr>
        <w:t>Bezpečnosť = access point provideri sú samostatné subjekty, ktoré budú musieť spĺňať bezpečnostné opatrenia, majú certifikáty Peppolu; bezpečnostný problém je minimalizovaný, pretože firmy musia spĺňať štandardy; keďže to bude decentralizované a napadne sa 1 access point, tak ostatné fungujú a dá sa prejsť k inému providerovi; centrálny bod na európskej úrovni (SML – spravovaný EÚ) je bodom potenciálnych rizík, ale tam sú bezpečnostné štandardy na maximálnej možnej úrovni.</w:t>
      </w:r>
    </w:p>
    <w:p w14:paraId="33C0D968" w14:textId="77777777" w:rsidR="00746D3C" w:rsidRPr="006200EA" w:rsidRDefault="00746D3C" w:rsidP="00746D3C">
      <w:pPr>
        <w:jc w:val="both"/>
        <w:rPr>
          <w:rFonts w:eastAsia="Calibri"/>
          <w:iCs/>
        </w:rPr>
      </w:pPr>
    </w:p>
    <w:p w14:paraId="08613CFB" w14:textId="77777777" w:rsidR="00746D3C" w:rsidRPr="006200EA" w:rsidRDefault="00746D3C" w:rsidP="00746D3C">
      <w:pPr>
        <w:jc w:val="both"/>
        <w:rPr>
          <w:rFonts w:eastAsia="Calibri"/>
          <w:iCs/>
        </w:rPr>
      </w:pPr>
      <w:r w:rsidRPr="006200EA">
        <w:rPr>
          <w:rFonts w:eastAsia="Calibri"/>
          <w:iCs/>
        </w:rPr>
        <w:t>Kto bude zodpovedný za správnosť vystavenej FA? Bude to ten, kto dáta posiela (service provider), resp. ten, kto vystavuje FA?</w:t>
      </w:r>
    </w:p>
    <w:p w14:paraId="156D26A1" w14:textId="77777777" w:rsidR="00746D3C" w:rsidRPr="006200EA" w:rsidRDefault="00746D3C" w:rsidP="00746D3C">
      <w:pPr>
        <w:jc w:val="both"/>
        <w:rPr>
          <w:rFonts w:eastAsia="Calibri"/>
          <w:iCs/>
        </w:rPr>
      </w:pPr>
      <w:r w:rsidRPr="006200EA">
        <w:rPr>
          <w:rFonts w:eastAsia="Calibri"/>
          <w:iCs/>
        </w:rPr>
        <w:t>Toto sa nemení, ak bude za osobu konať aj tretia osoba, ona bude čerpať len z tých dát, ktoré jej platiteľ dá.</w:t>
      </w:r>
    </w:p>
    <w:p w14:paraId="176F9FDE" w14:textId="77777777" w:rsidR="00746D3C" w:rsidRPr="006200EA" w:rsidRDefault="00746D3C" w:rsidP="00746D3C">
      <w:pPr>
        <w:jc w:val="both"/>
        <w:rPr>
          <w:rFonts w:eastAsia="Calibri"/>
          <w:iCs/>
        </w:rPr>
      </w:pPr>
    </w:p>
    <w:p w14:paraId="3054D606" w14:textId="77777777" w:rsidR="00746D3C" w:rsidRPr="006200EA" w:rsidRDefault="00746D3C" w:rsidP="00746D3C">
      <w:pPr>
        <w:jc w:val="both"/>
        <w:rPr>
          <w:rFonts w:eastAsia="Calibri"/>
          <w:iCs/>
        </w:rPr>
      </w:pPr>
      <w:r w:rsidRPr="006200EA">
        <w:rPr>
          <w:rFonts w:eastAsia="Calibri"/>
          <w:iCs/>
        </w:rPr>
        <w:t>Veľmi podstatný pre nás je aj systém obrátenej FA; berie sa tento fakt do úvahy pri príprave zákona? Kto bude mať povinnosť oznamovať údaje v tomto prípade, ak vystavovateľom faktúry za tuzemský subjekt je subjekt z iného ČŠ? Rieši sa to aj z hľadiska prijatých FA?</w:t>
      </w:r>
    </w:p>
    <w:p w14:paraId="41A37DDE" w14:textId="77777777" w:rsidR="00746D3C" w:rsidRPr="006200EA" w:rsidRDefault="00746D3C" w:rsidP="00746D3C">
      <w:pPr>
        <w:jc w:val="both"/>
        <w:rPr>
          <w:rFonts w:eastAsia="Calibri"/>
          <w:iCs/>
        </w:rPr>
      </w:pPr>
      <w:r w:rsidRPr="006200EA">
        <w:rPr>
          <w:rFonts w:eastAsia="Calibri"/>
          <w:iCs/>
        </w:rPr>
        <w:t>Áno, počíta sa aj s prijatými FA. Pri obrátenej FA s tým smernica počíta, nemení sa nič, stále môže namiesto zdaniteľnej osoby vyhotoviť FA aj tretia osoba/zákazník. Čl. 263 ods. 1 druhý pododsek smernice ViDA - dáta bude oznamovať dodávateľ, lebo odsek hovorí o osobe povinnej vyhotoviť FA + aj odsek 3 to hovorí ešte, že zdaniteľná osoba alebo tretia osoba na jej účet a v jej mene.</w:t>
      </w:r>
    </w:p>
    <w:p w14:paraId="382097BF" w14:textId="77777777" w:rsidR="00746D3C" w:rsidRPr="006200EA" w:rsidRDefault="00746D3C" w:rsidP="00746D3C">
      <w:pPr>
        <w:jc w:val="both"/>
        <w:rPr>
          <w:rFonts w:eastAsia="Calibri"/>
          <w:iCs/>
        </w:rPr>
      </w:pPr>
    </w:p>
    <w:p w14:paraId="556A5C04" w14:textId="77777777" w:rsidR="00746D3C" w:rsidRPr="006200EA" w:rsidRDefault="00746D3C" w:rsidP="00746D3C">
      <w:pPr>
        <w:jc w:val="both"/>
        <w:rPr>
          <w:rFonts w:eastAsia="Calibri"/>
          <w:iCs/>
        </w:rPr>
      </w:pPr>
      <w:r w:rsidRPr="006200EA">
        <w:rPr>
          <w:rFonts w:eastAsia="Calibri"/>
          <w:iCs/>
        </w:rPr>
        <w:t>Bude povinnosť oznamovať údaje aj pre subjekty alebo údaje budú oznamovať len poskytovatelia (ak sa pôjde cez Peppol)?</w:t>
      </w:r>
    </w:p>
    <w:p w14:paraId="6C58F94A" w14:textId="77777777" w:rsidR="00746D3C" w:rsidRPr="006200EA" w:rsidRDefault="00746D3C" w:rsidP="00746D3C">
      <w:pPr>
        <w:jc w:val="both"/>
        <w:rPr>
          <w:rFonts w:eastAsia="Calibri"/>
          <w:iCs/>
        </w:rPr>
      </w:pPr>
      <w:r w:rsidRPr="006200EA">
        <w:rPr>
          <w:rFonts w:eastAsia="Calibri"/>
          <w:iCs/>
        </w:rPr>
        <w:t>Peppol C5 model pre reporting údajov by mal byť hotový v roku 2026 a v takýchto prípadoch by mal povinnosti za subjekty plniť Peppol provider; smernica je trochu širšia ako je Peppol, čiže ešte bude musieť byť aj iné riešenie, ale väčšina krajín používa práve Peppol. Zodpovedný za nahlasovanie extraktu dát z FA je poskytovateľ prístupového bodu, ktorý bude musieť komunikovať na piaty roh (C5), čo bude štátny access point/provider a teda sa odbremení podnikateľská verejnosť od nahlasovania údajov; budú dostupné aj iné formáty eFA, napr. EDIFACT</w:t>
      </w:r>
      <w:r>
        <w:rPr>
          <w:rFonts w:eastAsia="Calibri"/>
          <w:iCs/>
        </w:rPr>
        <w:t xml:space="preserve"> </w:t>
      </w:r>
      <w:r w:rsidRPr="006200EA">
        <w:rPr>
          <w:rFonts w:eastAsia="Calibri"/>
          <w:iCs/>
        </w:rPr>
        <w:t>...</w:t>
      </w:r>
    </w:p>
    <w:p w14:paraId="2C60850B" w14:textId="77777777" w:rsidR="00746D3C" w:rsidRPr="006200EA" w:rsidRDefault="00746D3C" w:rsidP="00746D3C">
      <w:pPr>
        <w:jc w:val="both"/>
        <w:rPr>
          <w:rFonts w:eastAsia="Calibri"/>
          <w:iCs/>
        </w:rPr>
      </w:pPr>
    </w:p>
    <w:p w14:paraId="0DDCC5E6" w14:textId="77777777" w:rsidR="00746D3C" w:rsidRPr="006200EA" w:rsidRDefault="00746D3C" w:rsidP="00746D3C">
      <w:pPr>
        <w:jc w:val="both"/>
        <w:rPr>
          <w:rFonts w:eastAsia="Calibri"/>
          <w:iCs/>
        </w:rPr>
      </w:pPr>
      <w:r w:rsidRPr="006200EA">
        <w:rPr>
          <w:rFonts w:eastAsia="Calibri"/>
          <w:iCs/>
        </w:rPr>
        <w:t>Čo keď vystavím FA na subjekt z 3. štátu?</w:t>
      </w:r>
    </w:p>
    <w:p w14:paraId="69A0C64B" w14:textId="77777777" w:rsidR="00746D3C" w:rsidRPr="006200EA" w:rsidRDefault="00746D3C" w:rsidP="00746D3C">
      <w:pPr>
        <w:jc w:val="both"/>
        <w:rPr>
          <w:rFonts w:eastAsia="Calibri"/>
          <w:iCs/>
        </w:rPr>
      </w:pPr>
      <w:r w:rsidRPr="006200EA">
        <w:rPr>
          <w:rFonts w:eastAsia="Calibri"/>
          <w:iCs/>
        </w:rPr>
        <w:t xml:space="preserve">To je mimo EÚ, zákon rieši tuzemské transakcie; pri vývoze sa nepredpokladá veľmi komplikovaný postup, lebo je tam preprava tovaru cez hranice. Smernica to nevylučuje, ale bude to len jednostranné keď tak; ak to bude štát mimo EÚ, tak sa nereportujú údaje; ani dnes sa v KV nereportujú vývozné transakcie. Uvidí sa ešte, či budú dotknuté aj vývozné FA. </w:t>
      </w:r>
    </w:p>
    <w:p w14:paraId="57E41EDC" w14:textId="77777777" w:rsidR="00746D3C" w:rsidRPr="006200EA" w:rsidRDefault="00746D3C" w:rsidP="00746D3C">
      <w:pPr>
        <w:jc w:val="both"/>
        <w:rPr>
          <w:rFonts w:eastAsia="Calibri"/>
          <w:iCs/>
        </w:rPr>
      </w:pPr>
    </w:p>
    <w:p w14:paraId="6580C22D" w14:textId="77777777" w:rsidR="00746D3C" w:rsidRPr="006200EA" w:rsidRDefault="00746D3C" w:rsidP="00746D3C">
      <w:pPr>
        <w:jc w:val="both"/>
        <w:rPr>
          <w:rFonts w:eastAsia="Calibri"/>
          <w:iCs/>
        </w:rPr>
      </w:pPr>
      <w:r w:rsidRPr="006200EA">
        <w:rPr>
          <w:rFonts w:eastAsia="Calibri"/>
          <w:iCs/>
        </w:rPr>
        <w:lastRenderedPageBreak/>
        <w:t>Predpokladá sa aj zmena povinných údajov FA? napr. daňové texty oslobodenia od dane a pod.?</w:t>
      </w:r>
    </w:p>
    <w:p w14:paraId="17A6138A" w14:textId="77777777" w:rsidR="00746D3C" w:rsidRPr="006200EA" w:rsidRDefault="00746D3C" w:rsidP="00746D3C">
      <w:pPr>
        <w:jc w:val="both"/>
        <w:rPr>
          <w:rFonts w:eastAsia="Calibri"/>
          <w:iCs/>
        </w:rPr>
      </w:pPr>
      <w:r w:rsidRPr="006200EA">
        <w:rPr>
          <w:rFonts w:eastAsia="Calibri"/>
          <w:iCs/>
        </w:rPr>
        <w:t>Áno, smernica predpokladá nové povinné údaje (od roku 2030) – trojstranný obchod; pri opravnej FA poradové číslo pôvodnej FA; číslo bankového účtu, na ktorý sa žiada úhrada.</w:t>
      </w:r>
    </w:p>
    <w:p w14:paraId="59484AC8" w14:textId="77777777" w:rsidR="00746D3C" w:rsidRPr="006200EA" w:rsidRDefault="00746D3C" w:rsidP="00746D3C">
      <w:pPr>
        <w:jc w:val="both"/>
        <w:rPr>
          <w:rFonts w:eastAsia="Calibri"/>
          <w:iCs/>
        </w:rPr>
      </w:pPr>
    </w:p>
    <w:p w14:paraId="4569B698" w14:textId="77777777" w:rsidR="00746D3C" w:rsidRPr="006200EA" w:rsidRDefault="00746D3C" w:rsidP="00746D3C">
      <w:pPr>
        <w:jc w:val="both"/>
        <w:rPr>
          <w:rFonts w:eastAsia="Calibri"/>
          <w:iCs/>
        </w:rPr>
      </w:pPr>
      <w:r w:rsidRPr="006200EA">
        <w:rPr>
          <w:rFonts w:eastAsia="Calibri"/>
          <w:iCs/>
        </w:rPr>
        <w:t xml:space="preserve">Kedy môžeme očakávať prvotný návrh? Čo ak budú iné ČŠ meškať s transpozíciou? </w:t>
      </w:r>
    </w:p>
    <w:p w14:paraId="038EBA31" w14:textId="77777777" w:rsidR="00746D3C" w:rsidRPr="006200EA" w:rsidRDefault="00746D3C" w:rsidP="00746D3C">
      <w:pPr>
        <w:jc w:val="both"/>
        <w:rPr>
          <w:rFonts w:eastAsia="Calibri"/>
          <w:iCs/>
        </w:rPr>
      </w:pPr>
      <w:r w:rsidRPr="006200EA">
        <w:rPr>
          <w:rFonts w:eastAsia="Calibri"/>
          <w:iCs/>
        </w:rPr>
        <w:t>Je veľmi predčasné hovoriť, kedy bude návrh zákona, štandardne sa subjekty dozvedajú o návrhu v priebehu PPK. Zákon chceme prijať ešte v tomto roku, aby bola zabezpečená minimálne jednoročná legisvakácia.</w:t>
      </w:r>
    </w:p>
    <w:p w14:paraId="15899C88" w14:textId="77777777" w:rsidR="00746D3C" w:rsidRPr="006200EA" w:rsidRDefault="00746D3C" w:rsidP="00746D3C">
      <w:pPr>
        <w:jc w:val="both"/>
        <w:rPr>
          <w:rFonts w:eastAsia="Calibri"/>
          <w:iCs/>
        </w:rPr>
      </w:pPr>
      <w:r w:rsidRPr="006200EA">
        <w:rPr>
          <w:rFonts w:eastAsia="Calibri"/>
          <w:iCs/>
        </w:rPr>
        <w:t>Čo sa týka druhej otázky – pripravenosti ČŠ, musíme sa držať smernice, ČŠ majú 5 rokov na zavedenie. Peppol nie je ale jedinou cestou, ak niekto bude chcieť mať vlastný systém, môže, ale reporting bude musieť robiť sám. Ak by niektorý ČŠ nestíhal, je to hypotetická otázka, ale ak áno, teoreticky by sa dala odložiť účinnosť smernice.</w:t>
      </w:r>
    </w:p>
    <w:p w14:paraId="5B46BFC2" w14:textId="77777777" w:rsidR="00746D3C" w:rsidRDefault="00746D3C" w:rsidP="00746D3C">
      <w:pPr>
        <w:jc w:val="both"/>
        <w:rPr>
          <w:rFonts w:eastAsia="Calibri"/>
          <w:iCs/>
        </w:rPr>
      </w:pPr>
    </w:p>
    <w:p w14:paraId="443751B7" w14:textId="77777777" w:rsidR="00746D3C" w:rsidRPr="00973565" w:rsidRDefault="00746D3C" w:rsidP="00746D3C">
      <w:pPr>
        <w:jc w:val="both"/>
        <w:rPr>
          <w:rFonts w:eastAsia="Calibri"/>
          <w:i/>
          <w:iCs/>
        </w:rPr>
      </w:pPr>
      <w:r w:rsidRPr="00973565">
        <w:rPr>
          <w:rFonts w:eastAsia="Calibri"/>
          <w:i/>
          <w:iCs/>
        </w:rPr>
        <w:t xml:space="preserve">Dňa 13. februára 2025 sa v nadväznosti na Jednotnú metodiku posudzovania vybraných vplyvov uskutočnili k predbežnej informácii </w:t>
      </w:r>
      <w:r w:rsidRPr="00973565">
        <w:rPr>
          <w:i/>
          <w:iCs/>
        </w:rPr>
        <w:t>PI/2024/334</w:t>
      </w:r>
      <w:r w:rsidRPr="00973565">
        <w:rPr>
          <w:rFonts w:eastAsia="Calibri"/>
          <w:i/>
          <w:iCs/>
        </w:rPr>
        <w:t xml:space="preserve"> stretnutia so zástupcami </w:t>
      </w:r>
      <w:r w:rsidRPr="00973565">
        <w:rPr>
          <w:i/>
          <w:iCs/>
        </w:rPr>
        <w:t>Asociácia hotelov a reštaurácií Slovenska (AHRS), LIDL, Slovenská asociácia finančníkov (SAF) a MH SR</w:t>
      </w:r>
      <w:r w:rsidRPr="00973565">
        <w:rPr>
          <w:rFonts w:eastAsia="Calibri"/>
          <w:i/>
          <w:iCs/>
        </w:rPr>
        <w:t>.</w:t>
      </w:r>
    </w:p>
    <w:p w14:paraId="1946A3F6" w14:textId="77777777" w:rsidR="00746D3C" w:rsidRDefault="00746D3C" w:rsidP="00746D3C">
      <w:pPr>
        <w:jc w:val="both"/>
        <w:rPr>
          <w:rFonts w:eastAsia="Calibri"/>
        </w:rPr>
      </w:pPr>
    </w:p>
    <w:p w14:paraId="460CDCF9" w14:textId="77777777" w:rsidR="00746D3C" w:rsidRDefault="00746D3C" w:rsidP="00746D3C">
      <w:pPr>
        <w:jc w:val="both"/>
      </w:pPr>
      <w:r w:rsidRPr="002754A5">
        <w:t>Zástupca MFSR predstavil základné ciele pripravovaného návrhu zákona, ktorým sa mení a dopĺňa zákon o DPH. Základom pre povinnú elektronickú fakturáciu bude smernica ViDA.</w:t>
      </w:r>
      <w:r>
        <w:t xml:space="preserve"> </w:t>
      </w:r>
      <w:r w:rsidRPr="00DE68E5">
        <w:t xml:space="preserve">Následne </w:t>
      </w:r>
      <w:r>
        <w:t xml:space="preserve">zástupca FRSR </w:t>
      </w:r>
      <w:r w:rsidRPr="00DE68E5">
        <w:t>uviedol a odprezentoval očakávané kroky a procesy v rámci elektronickej fakturácie.</w:t>
      </w:r>
    </w:p>
    <w:p w14:paraId="768616AB" w14:textId="77777777" w:rsidR="00746D3C" w:rsidRDefault="00746D3C" w:rsidP="00746D3C">
      <w:pPr>
        <w:jc w:val="both"/>
      </w:pPr>
    </w:p>
    <w:p w14:paraId="112092A3" w14:textId="77777777" w:rsidR="00746D3C" w:rsidRPr="00DE68E5" w:rsidRDefault="00746D3C" w:rsidP="00746D3C">
      <w:pPr>
        <w:jc w:val="both"/>
        <w:rPr>
          <w:rFonts w:eastAsia="Calibri"/>
          <w:iCs/>
        </w:rPr>
      </w:pPr>
      <w:r w:rsidRPr="00DE68E5">
        <w:rPr>
          <w:rFonts w:eastAsia="Calibri"/>
          <w:iCs/>
        </w:rPr>
        <w:t>K návrhu zákona odzneli nasledovné okruhy otázok a reakcií:</w:t>
      </w:r>
    </w:p>
    <w:p w14:paraId="29A63C13" w14:textId="77777777" w:rsidR="00746D3C" w:rsidRPr="00DE68E5" w:rsidRDefault="00746D3C" w:rsidP="00746D3C">
      <w:pPr>
        <w:jc w:val="both"/>
        <w:rPr>
          <w:rFonts w:eastAsia="Calibri"/>
          <w:iCs/>
        </w:rPr>
      </w:pPr>
    </w:p>
    <w:p w14:paraId="695B7BF8" w14:textId="77777777" w:rsidR="00746D3C" w:rsidRPr="00DE68E5" w:rsidRDefault="00746D3C" w:rsidP="00746D3C">
      <w:pPr>
        <w:jc w:val="both"/>
        <w:rPr>
          <w:rFonts w:eastAsia="Calibri"/>
          <w:iCs/>
        </w:rPr>
      </w:pPr>
      <w:r w:rsidRPr="00DE68E5">
        <w:rPr>
          <w:rFonts w:eastAsia="Calibri"/>
          <w:iCs/>
        </w:rPr>
        <w:t>AHRS: B2C oblasť - Ako to bude teraz fungovať pre túto sféru?</w:t>
      </w:r>
    </w:p>
    <w:p w14:paraId="75AFB57A" w14:textId="77777777" w:rsidR="00746D3C" w:rsidRPr="00DE68E5" w:rsidRDefault="00746D3C" w:rsidP="00746D3C">
      <w:pPr>
        <w:jc w:val="both"/>
        <w:rPr>
          <w:rFonts w:eastAsia="Calibri"/>
          <w:iCs/>
        </w:rPr>
      </w:pPr>
      <w:r w:rsidRPr="00DE68E5">
        <w:rPr>
          <w:rFonts w:eastAsia="Calibri"/>
          <w:iCs/>
        </w:rPr>
        <w:t xml:space="preserve">Zákon nemieni rozširovať scope fakturácie, t. j. rozšírenie na B2C. Nemalo by to byť predmetom e-fakturácie, údaje by mali prísť z e-kasy. </w:t>
      </w:r>
    </w:p>
    <w:p w14:paraId="70D20819" w14:textId="77777777" w:rsidR="00746D3C" w:rsidRPr="00DE68E5" w:rsidRDefault="00746D3C" w:rsidP="00746D3C">
      <w:pPr>
        <w:jc w:val="both"/>
        <w:rPr>
          <w:rFonts w:eastAsia="Calibri"/>
          <w:iCs/>
        </w:rPr>
      </w:pPr>
    </w:p>
    <w:p w14:paraId="448D8DCF" w14:textId="77777777" w:rsidR="00746D3C" w:rsidRPr="00DE68E5" w:rsidRDefault="00746D3C" w:rsidP="00746D3C">
      <w:pPr>
        <w:jc w:val="both"/>
        <w:rPr>
          <w:rFonts w:eastAsia="Calibri"/>
          <w:iCs/>
        </w:rPr>
      </w:pPr>
      <w:r w:rsidRPr="00DE68E5">
        <w:rPr>
          <w:rFonts w:eastAsia="Calibri"/>
          <w:iCs/>
        </w:rPr>
        <w:t>SAF: Aký bude dátum doručenia EFA, a kto bude posielať?</w:t>
      </w:r>
    </w:p>
    <w:p w14:paraId="0586193E" w14:textId="77777777" w:rsidR="00746D3C" w:rsidRPr="00DE68E5" w:rsidRDefault="00746D3C" w:rsidP="00746D3C">
      <w:pPr>
        <w:jc w:val="both"/>
        <w:rPr>
          <w:rFonts w:eastAsia="Calibri"/>
          <w:iCs/>
        </w:rPr>
      </w:pPr>
      <w:r w:rsidRPr="00DE68E5">
        <w:rPr>
          <w:rFonts w:eastAsia="Calibri"/>
          <w:iCs/>
        </w:rPr>
        <w:t xml:space="preserve">Moment doručenia od poskytovateľa prístupového bodu – dátová správa. </w:t>
      </w:r>
    </w:p>
    <w:p w14:paraId="0483073D" w14:textId="77777777" w:rsidR="00746D3C" w:rsidRPr="00DE68E5" w:rsidRDefault="00746D3C" w:rsidP="00746D3C">
      <w:pPr>
        <w:jc w:val="both"/>
        <w:rPr>
          <w:rFonts w:eastAsia="Calibri"/>
          <w:iCs/>
        </w:rPr>
      </w:pPr>
      <w:r w:rsidRPr="00DE68E5">
        <w:rPr>
          <w:rFonts w:eastAsia="Calibri"/>
          <w:iCs/>
        </w:rPr>
        <w:t>Kto bude posielať – osoba, ktorá bola povinná vyhotoviť faktúru alebo 3. strana alebo príjemca faktúry. Reporting buď na základe dohody s poskytovateľom (Peppol sieť) alebo si to bude subjekt robiť sám, ak nepôjde cez Peppol.</w:t>
      </w:r>
    </w:p>
    <w:p w14:paraId="31B96CFA" w14:textId="77777777" w:rsidR="00746D3C" w:rsidRPr="00DE68E5" w:rsidRDefault="00746D3C" w:rsidP="00746D3C">
      <w:pPr>
        <w:jc w:val="both"/>
        <w:rPr>
          <w:rFonts w:eastAsia="Calibri"/>
          <w:iCs/>
        </w:rPr>
      </w:pPr>
      <w:r w:rsidRPr="00DE68E5">
        <w:rPr>
          <w:rFonts w:eastAsia="Calibri"/>
          <w:iCs/>
        </w:rPr>
        <w:t>V rámci Peppol siete – reportovanie časti dát z faktúry – pribúda bod C5. C2 (poskytovateľ pre dodávateľa), C3 (poskytovateľ pre odberateľa) reportujú bodu C5 (štátny prístupový bod pre reporting), C3 pošle potvrdenie o prijatí EFA, že to bolo zaslané na C5. Odpadá povinnosť upravovať systémy podnikateľov, budú to robiť za nich poskytovatelia prístupových bodov.</w:t>
      </w:r>
    </w:p>
    <w:p w14:paraId="3196870A" w14:textId="77777777" w:rsidR="00746D3C" w:rsidRPr="00DE68E5" w:rsidRDefault="00746D3C" w:rsidP="00746D3C">
      <w:pPr>
        <w:jc w:val="both"/>
        <w:rPr>
          <w:rFonts w:eastAsia="Calibri"/>
          <w:iCs/>
        </w:rPr>
      </w:pPr>
    </w:p>
    <w:p w14:paraId="76C76AC3" w14:textId="77777777" w:rsidR="00746D3C" w:rsidRPr="00DE68E5" w:rsidRDefault="00746D3C" w:rsidP="00746D3C">
      <w:pPr>
        <w:jc w:val="both"/>
        <w:rPr>
          <w:rFonts w:eastAsia="Calibri"/>
          <w:iCs/>
        </w:rPr>
      </w:pPr>
      <w:r w:rsidRPr="00DE68E5">
        <w:rPr>
          <w:rFonts w:eastAsia="Calibri"/>
          <w:iCs/>
        </w:rPr>
        <w:t>Ako sa budú posielať prílohy? Aj prílohy sa budú posielať finančnej správe?</w:t>
      </w:r>
    </w:p>
    <w:p w14:paraId="5B57BCC4" w14:textId="77777777" w:rsidR="00746D3C" w:rsidRPr="00DE68E5" w:rsidRDefault="00746D3C" w:rsidP="00746D3C">
      <w:pPr>
        <w:jc w:val="both"/>
        <w:rPr>
          <w:rFonts w:eastAsia="Calibri"/>
          <w:iCs/>
        </w:rPr>
      </w:pPr>
      <w:r w:rsidRPr="00DE68E5">
        <w:rPr>
          <w:rFonts w:eastAsia="Calibri"/>
          <w:iCs/>
        </w:rPr>
        <w:t>K prvej otázke - v rámci siete Peppol – samotná EFA bude obsahovať prílohy v sebe zakódované, bude možné si ich stiahnuť.</w:t>
      </w:r>
    </w:p>
    <w:p w14:paraId="4FF183D8" w14:textId="77777777" w:rsidR="00746D3C" w:rsidRPr="00DE68E5" w:rsidRDefault="00746D3C" w:rsidP="00746D3C">
      <w:pPr>
        <w:jc w:val="both"/>
        <w:rPr>
          <w:rFonts w:eastAsia="Calibri"/>
          <w:iCs/>
        </w:rPr>
      </w:pPr>
      <w:r w:rsidRPr="00DE68E5">
        <w:rPr>
          <w:rFonts w:eastAsia="Calibri"/>
          <w:iCs/>
        </w:rPr>
        <w:t>K druhej otázke – finančnej správe sa prílohy nebudú posielať, len vybrané údaje vyžadované smernicou ViDA, niečo ako KV. Budú ešte doplnené nové náležitosti faktúry (od 2030). Štát nebude kontrolovať prílohy.</w:t>
      </w:r>
    </w:p>
    <w:p w14:paraId="7F5BCABC" w14:textId="77777777" w:rsidR="00746D3C" w:rsidRPr="00DE68E5" w:rsidRDefault="00746D3C" w:rsidP="00746D3C">
      <w:pPr>
        <w:jc w:val="both"/>
        <w:rPr>
          <w:rFonts w:eastAsia="Calibri"/>
          <w:iCs/>
        </w:rPr>
      </w:pPr>
    </w:p>
    <w:p w14:paraId="7F7D8342" w14:textId="77777777" w:rsidR="00746D3C" w:rsidRPr="00DE68E5" w:rsidRDefault="00746D3C" w:rsidP="00746D3C">
      <w:pPr>
        <w:jc w:val="both"/>
        <w:rPr>
          <w:rFonts w:eastAsia="Calibri"/>
          <w:iCs/>
        </w:rPr>
      </w:pPr>
      <w:r w:rsidRPr="00DE68E5">
        <w:rPr>
          <w:rFonts w:eastAsia="Calibri"/>
          <w:iCs/>
        </w:rPr>
        <w:t>Cez email už nebude možné zasielať faktúry? Napr. ako v DE cez PDF. U nás teda len cez providera (ak sa bude využívať sieť Peppol) alebo sám?</w:t>
      </w:r>
    </w:p>
    <w:p w14:paraId="0D2169A6" w14:textId="77777777" w:rsidR="00746D3C" w:rsidRPr="00DE68E5" w:rsidRDefault="00746D3C" w:rsidP="00746D3C">
      <w:pPr>
        <w:jc w:val="both"/>
        <w:rPr>
          <w:rFonts w:eastAsia="Calibri"/>
          <w:iCs/>
        </w:rPr>
      </w:pPr>
      <w:r w:rsidRPr="00DE68E5">
        <w:rPr>
          <w:rFonts w:eastAsia="Calibri"/>
          <w:iCs/>
        </w:rPr>
        <w:t>FRSR: áno. V DE od 1.1.2025 sú všetky spoločnosti povinné prijať EFA. Peppol by mal byť do 5 rokov jediný kanál, cez ktorý by sa mali faktúry posielať.</w:t>
      </w:r>
    </w:p>
    <w:p w14:paraId="55DEC3B8" w14:textId="77777777" w:rsidR="00746D3C" w:rsidRPr="00DE68E5" w:rsidRDefault="00746D3C" w:rsidP="00746D3C">
      <w:pPr>
        <w:jc w:val="both"/>
        <w:rPr>
          <w:rFonts w:eastAsia="Calibri"/>
          <w:iCs/>
        </w:rPr>
      </w:pPr>
    </w:p>
    <w:p w14:paraId="5E074F72" w14:textId="77777777" w:rsidR="00746D3C" w:rsidRPr="00DE68E5" w:rsidRDefault="00746D3C" w:rsidP="00746D3C">
      <w:pPr>
        <w:jc w:val="both"/>
        <w:rPr>
          <w:rFonts w:eastAsia="Calibri"/>
          <w:iCs/>
        </w:rPr>
      </w:pPr>
      <w:r w:rsidRPr="00DE68E5">
        <w:rPr>
          <w:rFonts w:eastAsia="Calibri"/>
          <w:iCs/>
        </w:rPr>
        <w:t>EDIFACT formát je podporovaný?</w:t>
      </w:r>
    </w:p>
    <w:p w14:paraId="597FADF1" w14:textId="77777777" w:rsidR="00746D3C" w:rsidRPr="00DE68E5" w:rsidRDefault="00746D3C" w:rsidP="00746D3C">
      <w:pPr>
        <w:jc w:val="both"/>
        <w:rPr>
          <w:rFonts w:eastAsia="Calibri"/>
          <w:iCs/>
        </w:rPr>
      </w:pPr>
      <w:r w:rsidRPr="00DE68E5">
        <w:rPr>
          <w:rFonts w:eastAsia="Calibri"/>
          <w:iCs/>
        </w:rPr>
        <w:lastRenderedPageBreak/>
        <w:t>FRSR: chceme ísť ako Belgicko, ak EDIFACT, tak potom v súlade s EN normou. Bude to môcť byť zasielané ako doteraz medzi subjektami na základe dohody, ale musí to byť v súlade s EN normou. Asi jediná výnimka, ktorú by sme chceli pripustiť. Len Peppol alebo potom EDIFACT.</w:t>
      </w:r>
    </w:p>
    <w:p w14:paraId="1240D51D" w14:textId="77777777" w:rsidR="00746D3C" w:rsidRPr="00DE68E5" w:rsidRDefault="00746D3C" w:rsidP="00746D3C">
      <w:pPr>
        <w:jc w:val="both"/>
        <w:rPr>
          <w:rFonts w:eastAsia="Calibri"/>
          <w:iCs/>
        </w:rPr>
      </w:pPr>
    </w:p>
    <w:p w14:paraId="5C3C75DA" w14:textId="77777777" w:rsidR="00746D3C" w:rsidRPr="00DE68E5" w:rsidRDefault="00746D3C" w:rsidP="00746D3C">
      <w:pPr>
        <w:jc w:val="both"/>
        <w:rPr>
          <w:rFonts w:eastAsia="Calibri"/>
          <w:iCs/>
        </w:rPr>
      </w:pPr>
      <w:r w:rsidRPr="00DE68E5">
        <w:rPr>
          <w:rFonts w:eastAsia="Calibri"/>
          <w:iCs/>
        </w:rPr>
        <w:t>Aká je možnosť odmietnutia faktúry, ak nie je relevantná?</w:t>
      </w:r>
    </w:p>
    <w:p w14:paraId="16820E81" w14:textId="77777777" w:rsidR="00746D3C" w:rsidRDefault="00746D3C" w:rsidP="00746D3C">
      <w:pPr>
        <w:jc w:val="both"/>
        <w:rPr>
          <w:rFonts w:eastAsia="Calibri"/>
          <w:iCs/>
        </w:rPr>
      </w:pPr>
      <w:r w:rsidRPr="00DE68E5">
        <w:rPr>
          <w:rFonts w:eastAsia="Calibri"/>
          <w:iCs/>
        </w:rPr>
        <w:t>Mal by to riešiť Peppol. Chápeme to skôr ako účtovný problém, je to doklad o odmietnutí.</w:t>
      </w:r>
      <w:r>
        <w:rPr>
          <w:rFonts w:eastAsia="Calibri"/>
          <w:iCs/>
        </w:rPr>
        <w:t xml:space="preserve"> </w:t>
      </w:r>
      <w:r w:rsidRPr="00DE68E5">
        <w:rPr>
          <w:rFonts w:eastAsia="Calibri"/>
          <w:iCs/>
        </w:rPr>
        <w:t>V Peppol sieti sa táto služba volá „Invoice response message“. Je to ale za poplatok ...</w:t>
      </w:r>
    </w:p>
    <w:p w14:paraId="16732A55" w14:textId="77777777" w:rsidR="00746D3C" w:rsidRDefault="00746D3C" w:rsidP="00746D3C">
      <w:pPr>
        <w:jc w:val="both"/>
        <w:rPr>
          <w:rFonts w:eastAsia="Calibri"/>
          <w:iCs/>
        </w:rPr>
      </w:pPr>
    </w:p>
    <w:p w14:paraId="5B2BAC95" w14:textId="77777777" w:rsidR="00746D3C" w:rsidRPr="00973565" w:rsidRDefault="00746D3C" w:rsidP="00746D3C">
      <w:pPr>
        <w:jc w:val="both"/>
        <w:rPr>
          <w:rFonts w:eastAsia="Calibri"/>
          <w:i/>
          <w:iCs/>
        </w:rPr>
      </w:pPr>
      <w:r w:rsidRPr="00973565">
        <w:rPr>
          <w:rFonts w:eastAsia="Calibri"/>
          <w:i/>
          <w:iCs/>
        </w:rPr>
        <w:t xml:space="preserve">Dňa 13. februára 2025 sa v nadväznosti na Jednotnú metodiku posudzovania vybraných vplyvov uskutočnili k predbežnej informácii </w:t>
      </w:r>
      <w:r w:rsidRPr="00973565">
        <w:rPr>
          <w:i/>
          <w:iCs/>
        </w:rPr>
        <w:t>PI/2024/334 aj</w:t>
      </w:r>
      <w:r w:rsidRPr="00973565">
        <w:rPr>
          <w:rFonts w:eastAsia="Calibri"/>
          <w:i/>
          <w:iCs/>
        </w:rPr>
        <w:t xml:space="preserve"> stretnutia so zástupcami </w:t>
      </w:r>
      <w:r w:rsidRPr="00973565">
        <w:rPr>
          <w:i/>
          <w:iCs/>
        </w:rPr>
        <w:t>KROS a.s., POHODA, Slovensko.Digital a MHSR</w:t>
      </w:r>
      <w:r w:rsidRPr="00973565">
        <w:rPr>
          <w:rFonts w:eastAsia="Calibri"/>
          <w:i/>
          <w:iCs/>
        </w:rPr>
        <w:t>.</w:t>
      </w:r>
    </w:p>
    <w:p w14:paraId="3588C8B1" w14:textId="77777777" w:rsidR="00746D3C" w:rsidRDefault="00746D3C" w:rsidP="00746D3C">
      <w:pPr>
        <w:jc w:val="both"/>
        <w:rPr>
          <w:rFonts w:eastAsia="Calibri"/>
        </w:rPr>
      </w:pPr>
    </w:p>
    <w:p w14:paraId="5B87EBBE" w14:textId="77777777" w:rsidR="00746D3C" w:rsidRDefault="00746D3C" w:rsidP="00746D3C">
      <w:pPr>
        <w:jc w:val="both"/>
      </w:pPr>
      <w:r w:rsidRPr="002754A5">
        <w:t>Zástupca MFSR predstavil základné ciele pripravovaného návrhu zákona, ktorým sa mení a dopĺňa zákon o DPH. Základom pre povinnú elektronickú fakturáciu bude smernica ViDA.</w:t>
      </w:r>
      <w:r w:rsidRPr="00DE68E5">
        <w:t xml:space="preserve"> Následne </w:t>
      </w:r>
      <w:r>
        <w:t xml:space="preserve">zástupca FRSR </w:t>
      </w:r>
      <w:r w:rsidRPr="00DE68E5">
        <w:t>uviedol a odprezentoval očakávané kroky a procesy v rámci elektronickej fakturácie.</w:t>
      </w:r>
      <w:r>
        <w:t xml:space="preserve"> </w:t>
      </w:r>
    </w:p>
    <w:p w14:paraId="086BAFC5" w14:textId="77777777" w:rsidR="00746D3C" w:rsidRDefault="00746D3C" w:rsidP="00746D3C">
      <w:pPr>
        <w:jc w:val="both"/>
        <w:rPr>
          <w:rFonts w:eastAsia="Calibri"/>
          <w:iCs/>
        </w:rPr>
      </w:pPr>
    </w:p>
    <w:p w14:paraId="2642C094" w14:textId="77777777" w:rsidR="00746D3C" w:rsidRPr="00DE68E5" w:rsidRDefault="00746D3C" w:rsidP="00746D3C">
      <w:pPr>
        <w:jc w:val="both"/>
        <w:rPr>
          <w:rFonts w:eastAsia="Calibri"/>
          <w:iCs/>
        </w:rPr>
      </w:pPr>
      <w:r w:rsidRPr="00DE68E5">
        <w:rPr>
          <w:rFonts w:eastAsia="Calibri"/>
          <w:iCs/>
        </w:rPr>
        <w:t>K návrhu zákona odzneli nasledovné okruhy otázok a reakcií:</w:t>
      </w:r>
    </w:p>
    <w:p w14:paraId="69E2C774" w14:textId="77777777" w:rsidR="00746D3C" w:rsidRPr="00DE68E5" w:rsidRDefault="00746D3C" w:rsidP="00746D3C">
      <w:pPr>
        <w:jc w:val="both"/>
        <w:rPr>
          <w:rFonts w:eastAsia="Calibri"/>
          <w:iCs/>
        </w:rPr>
      </w:pPr>
    </w:p>
    <w:p w14:paraId="3C0A973D" w14:textId="77777777" w:rsidR="00746D3C" w:rsidRPr="00DE68E5" w:rsidRDefault="00746D3C" w:rsidP="00746D3C">
      <w:pPr>
        <w:jc w:val="both"/>
        <w:rPr>
          <w:rFonts w:eastAsia="Calibri"/>
          <w:iCs/>
        </w:rPr>
      </w:pPr>
      <w:r w:rsidRPr="00DE68E5">
        <w:rPr>
          <w:rFonts w:eastAsia="Calibri"/>
          <w:iCs/>
        </w:rPr>
        <w:t>Formát EFA</w:t>
      </w:r>
    </w:p>
    <w:p w14:paraId="7D58E0CA" w14:textId="77777777" w:rsidR="00746D3C" w:rsidRPr="00DE68E5" w:rsidRDefault="00746D3C" w:rsidP="00746D3C">
      <w:pPr>
        <w:jc w:val="both"/>
        <w:rPr>
          <w:rFonts w:eastAsia="Calibri"/>
          <w:iCs/>
        </w:rPr>
      </w:pPr>
    </w:p>
    <w:p w14:paraId="55B49939" w14:textId="77777777" w:rsidR="00746D3C" w:rsidRPr="00DE68E5" w:rsidRDefault="00746D3C" w:rsidP="00746D3C">
      <w:pPr>
        <w:jc w:val="both"/>
        <w:rPr>
          <w:rFonts w:eastAsia="Calibri"/>
          <w:iCs/>
        </w:rPr>
      </w:pPr>
      <w:r w:rsidRPr="00DE68E5">
        <w:rPr>
          <w:rFonts w:eastAsia="Calibri"/>
          <w:iCs/>
        </w:rPr>
        <w:t>FRSR a MFSR: Všetky formáty, ktoré spĺňajú štandard EN 16931 a syntax UBL 2.1 alebo CII sú validné. Ak by sa umožnil pre tuzemské transakcie iný formát, od roku 2030 musí byť zmenený na normu EÚ.</w:t>
      </w:r>
    </w:p>
    <w:p w14:paraId="0C66F2A8" w14:textId="77777777" w:rsidR="00746D3C" w:rsidRPr="00DE68E5" w:rsidRDefault="00746D3C" w:rsidP="00746D3C">
      <w:pPr>
        <w:jc w:val="both"/>
        <w:rPr>
          <w:rFonts w:eastAsia="Calibri"/>
          <w:iCs/>
        </w:rPr>
      </w:pPr>
      <w:r w:rsidRPr="00DE68E5">
        <w:rPr>
          <w:rFonts w:eastAsia="Calibri"/>
          <w:iCs/>
        </w:rPr>
        <w:t xml:space="preserve">Slovensko.Digital: Ak by sa dnes spravila transpozícia českého IS DOC, čo je už hotové a využívané, či sa počíta alebo nepočíta do roku 2030, aby tento formát bol prijatý v rámci národného formátu. </w:t>
      </w:r>
    </w:p>
    <w:p w14:paraId="6477CD6D" w14:textId="77777777" w:rsidR="00746D3C" w:rsidRPr="00DE68E5" w:rsidRDefault="00746D3C" w:rsidP="00746D3C">
      <w:pPr>
        <w:jc w:val="both"/>
        <w:rPr>
          <w:rFonts w:eastAsia="Calibri"/>
          <w:iCs/>
        </w:rPr>
      </w:pPr>
      <w:r w:rsidRPr="00DE68E5">
        <w:rPr>
          <w:rFonts w:eastAsia="Calibri"/>
          <w:iCs/>
        </w:rPr>
        <w:t>MFSR: Chceme sa vyhnúť dualite systémov. Uvažuje sa len s normou EÚ pre tuzemské transakcie, od 2030 sa rozšíri povinnosť aj na cezhraničné.</w:t>
      </w:r>
    </w:p>
    <w:p w14:paraId="6310C9DA" w14:textId="77777777" w:rsidR="00746D3C" w:rsidRPr="00DE68E5" w:rsidRDefault="00746D3C" w:rsidP="00746D3C">
      <w:pPr>
        <w:jc w:val="both"/>
        <w:rPr>
          <w:rFonts w:eastAsia="Calibri"/>
          <w:iCs/>
        </w:rPr>
      </w:pPr>
    </w:p>
    <w:p w14:paraId="161CA8AF" w14:textId="77777777" w:rsidR="00746D3C" w:rsidRPr="00DE68E5" w:rsidRDefault="00746D3C" w:rsidP="00746D3C">
      <w:pPr>
        <w:jc w:val="both"/>
        <w:rPr>
          <w:rFonts w:eastAsia="Calibri"/>
          <w:iCs/>
        </w:rPr>
      </w:pPr>
      <w:r w:rsidRPr="00DE68E5">
        <w:rPr>
          <w:rFonts w:eastAsia="Calibri"/>
          <w:iCs/>
        </w:rPr>
        <w:t>Doručovanie tuzemských EFA, reporting – do akej miery sa zvažuje doručovanie tuzemských EFA do 2030 aj po roku 2030 cez Peppol. Doručovanie zákonnou cestou pre tuzemské transakcie bude naviazané na Peppol?</w:t>
      </w:r>
    </w:p>
    <w:p w14:paraId="647FF80C" w14:textId="77777777" w:rsidR="00746D3C" w:rsidRPr="00DE68E5" w:rsidRDefault="00746D3C" w:rsidP="00746D3C">
      <w:pPr>
        <w:jc w:val="both"/>
        <w:rPr>
          <w:rFonts w:eastAsia="Calibri"/>
          <w:iCs/>
        </w:rPr>
      </w:pPr>
    </w:p>
    <w:p w14:paraId="1C5BC039" w14:textId="77777777" w:rsidR="00746D3C" w:rsidRPr="00DE68E5" w:rsidRDefault="00746D3C" w:rsidP="00746D3C">
      <w:pPr>
        <w:jc w:val="both"/>
        <w:rPr>
          <w:rFonts w:eastAsia="Calibri"/>
          <w:iCs/>
        </w:rPr>
      </w:pPr>
      <w:r w:rsidRPr="00DE68E5">
        <w:rPr>
          <w:rFonts w:eastAsia="Calibri"/>
          <w:iCs/>
        </w:rPr>
        <w:t>MFSR: Smernica ViDA upravuje len EFA a zasielanie údajov z EFA. Tuzemské EFA od 2030 budú musieť byť v súlade s požiadavkami pre cezhraničné transakcie. V zákone nie je možné upraviť, že Peppol BIS 3.0 je jediný povinný formát, pretože ViDA hovorí, že členské štáty musia povoliť aj iný formát, ak sa strany takto dohodnú. Dáta z EFA sa musia následne zaslať FS v štandarde EÚ.</w:t>
      </w:r>
    </w:p>
    <w:p w14:paraId="06EA18B6" w14:textId="77777777" w:rsidR="00746D3C" w:rsidRPr="00DE68E5" w:rsidRDefault="00746D3C" w:rsidP="00746D3C">
      <w:pPr>
        <w:jc w:val="both"/>
        <w:rPr>
          <w:rFonts w:eastAsia="Calibri"/>
          <w:iCs/>
        </w:rPr>
      </w:pPr>
      <w:r w:rsidRPr="00DE68E5">
        <w:rPr>
          <w:rFonts w:eastAsia="Calibri"/>
          <w:iCs/>
        </w:rPr>
        <w:t>FRSR: Zvažujeme povinný Peppol. V Belgicku je pre tuzemské transakcie povinný Peppol, pre cezhraničné transakcie budú mať aj vlastné riešenie od roku 2030.</w:t>
      </w:r>
    </w:p>
    <w:p w14:paraId="5DC2B4F7" w14:textId="77777777" w:rsidR="00746D3C" w:rsidRPr="00DE68E5" w:rsidRDefault="00746D3C" w:rsidP="00746D3C">
      <w:pPr>
        <w:jc w:val="both"/>
        <w:rPr>
          <w:rFonts w:eastAsia="Calibri"/>
          <w:iCs/>
        </w:rPr>
      </w:pPr>
      <w:r w:rsidRPr="00DE68E5">
        <w:rPr>
          <w:rFonts w:eastAsia="Calibri"/>
          <w:iCs/>
        </w:rPr>
        <w:t>Zástupca Slovensko.Digital: Za sofware house – ak sa povie, že Peppol BIS 3.0, je to zrozumiteľné zadanie a dá sa bez problémov uchopiť a v tomto formáte fungovať.</w:t>
      </w:r>
      <w:r>
        <w:rPr>
          <w:rFonts w:eastAsia="Calibri"/>
          <w:iCs/>
        </w:rPr>
        <w:t xml:space="preserve"> </w:t>
      </w:r>
      <w:r w:rsidRPr="00DE68E5">
        <w:rPr>
          <w:rFonts w:eastAsia="Calibri"/>
          <w:iCs/>
        </w:rPr>
        <w:t xml:space="preserve">Doručovanie B2B a B2G alebo aj B2C však môže byť rôzne, keďže doručovanie B2B a B2G vedia dva softvérové domy zabezpečiť aj bez Peppol. </w:t>
      </w:r>
    </w:p>
    <w:p w14:paraId="11A54013" w14:textId="77777777" w:rsidR="00746D3C" w:rsidRPr="00DE68E5" w:rsidRDefault="00746D3C" w:rsidP="00746D3C">
      <w:pPr>
        <w:jc w:val="both"/>
        <w:rPr>
          <w:rFonts w:eastAsia="Calibri"/>
          <w:iCs/>
        </w:rPr>
      </w:pPr>
      <w:r w:rsidRPr="00DE68E5">
        <w:rPr>
          <w:rFonts w:eastAsia="Calibri"/>
          <w:iCs/>
        </w:rPr>
        <w:t xml:space="preserve">FRSR: Komplikácia s reportovaním údajov FS, keďže FS by museli vytvoriť ďalší proprietárny interface na doručovanie EFA medzi týmito systémami a vyťažovanie údajov z faktúr pre FS. Možné to je, ale je to duplicitná cesta nahlasovania údajov. </w:t>
      </w:r>
    </w:p>
    <w:p w14:paraId="0B97D24D" w14:textId="77777777" w:rsidR="00746D3C" w:rsidRPr="00DE68E5" w:rsidRDefault="00746D3C" w:rsidP="00746D3C">
      <w:pPr>
        <w:jc w:val="both"/>
        <w:rPr>
          <w:rFonts w:eastAsia="Calibri"/>
          <w:iCs/>
        </w:rPr>
      </w:pPr>
      <w:r w:rsidRPr="00DE68E5">
        <w:rPr>
          <w:rFonts w:eastAsia="Calibri"/>
          <w:iCs/>
        </w:rPr>
        <w:t xml:space="preserve">Zástupca Slovensko.Digital: Duplicitná cesta áno, ale na druhej strane by takáto cesta doručovania nepredstavovala ďalšie poplatky pre podnikateľov a pre vyhotovovateľov faktúr spojených s doručením, keďže Peppol je spoplatnený. Technicky je možné zabezpečiť doručenie pri tuzemských EFA aj medzi subjektmi navzájom. </w:t>
      </w:r>
    </w:p>
    <w:p w14:paraId="5A6B8CB1" w14:textId="77777777" w:rsidR="00746D3C" w:rsidRPr="00DE68E5" w:rsidRDefault="00746D3C" w:rsidP="00746D3C">
      <w:pPr>
        <w:jc w:val="both"/>
        <w:rPr>
          <w:rFonts w:eastAsia="Calibri"/>
          <w:iCs/>
        </w:rPr>
      </w:pPr>
      <w:r w:rsidRPr="00DE68E5">
        <w:rPr>
          <w:rFonts w:eastAsia="Calibri"/>
          <w:iCs/>
        </w:rPr>
        <w:lastRenderedPageBreak/>
        <w:t xml:space="preserve">FRSR: Vnímame takýto proprietárny spôsob ako vloženie ďalšieho systému/vetvy ako komu doručovať do celého systému fakturácie. Peppol má poplatky za vyhotovenie a zasielanie EFA. Nevidíme Váš pohľad ako cestu k jednotnosti. Jediná nevýhoda Peppol je, že ak nevznikne dostatočný počet SP, cena by bola za jednotlivé úkony vyššia. Eliminovali by sa však iné náklady, ktoré by boli spojené s poplatkami za vyhotovenie EFA cez Peppol. </w:t>
      </w:r>
    </w:p>
    <w:p w14:paraId="6B014F65" w14:textId="77777777" w:rsidR="00746D3C" w:rsidRPr="00DE68E5" w:rsidRDefault="00746D3C" w:rsidP="00746D3C">
      <w:pPr>
        <w:jc w:val="both"/>
        <w:rPr>
          <w:rFonts w:eastAsia="Calibri"/>
          <w:iCs/>
        </w:rPr>
      </w:pPr>
      <w:r w:rsidRPr="00DE68E5">
        <w:rPr>
          <w:rFonts w:eastAsia="Calibri"/>
          <w:iCs/>
        </w:rPr>
        <w:t>Zástupca POHODA: Pri poskytovateľoch služieb Peppol označených C2 ste povedali, že C2 by extrahovali dáta pre C5 – bude to povinné od 1.1.2027?</w:t>
      </w:r>
    </w:p>
    <w:p w14:paraId="2C4FC184" w14:textId="77777777" w:rsidR="00746D3C" w:rsidRPr="00DE68E5" w:rsidRDefault="00746D3C" w:rsidP="00746D3C">
      <w:pPr>
        <w:jc w:val="both"/>
        <w:rPr>
          <w:rFonts w:eastAsia="Calibri"/>
          <w:iCs/>
        </w:rPr>
      </w:pPr>
      <w:r w:rsidRPr="00DE68E5">
        <w:rPr>
          <w:rFonts w:eastAsia="Calibri"/>
          <w:iCs/>
        </w:rPr>
        <w:t>FRSR: Chceme, aby tento 5 rohový model bol v prevádzke od 1.1.2027.</w:t>
      </w:r>
    </w:p>
    <w:p w14:paraId="0ABFA71E" w14:textId="77777777" w:rsidR="00746D3C" w:rsidRPr="00DE68E5" w:rsidRDefault="00746D3C" w:rsidP="00746D3C">
      <w:pPr>
        <w:jc w:val="both"/>
        <w:rPr>
          <w:rFonts w:eastAsia="Calibri"/>
          <w:iCs/>
        </w:rPr>
      </w:pPr>
      <w:r w:rsidRPr="00DE68E5">
        <w:rPr>
          <w:rFonts w:eastAsia="Calibri"/>
          <w:iCs/>
        </w:rPr>
        <w:t>Zástupca POHODA: Poskytovateľom služieb Peppol by mohla byť akákoľvek spoločnosť, ktorá sa stane SP. Musí sa stať aj členom OpenPeppol?</w:t>
      </w:r>
    </w:p>
    <w:p w14:paraId="757AEC48" w14:textId="77777777" w:rsidR="00746D3C" w:rsidRPr="00DE68E5" w:rsidRDefault="00746D3C" w:rsidP="00746D3C">
      <w:pPr>
        <w:jc w:val="both"/>
        <w:rPr>
          <w:rFonts w:eastAsia="Calibri"/>
          <w:iCs/>
        </w:rPr>
      </w:pPr>
      <w:r w:rsidRPr="00DE68E5">
        <w:rPr>
          <w:rFonts w:eastAsia="Calibri"/>
          <w:iCs/>
        </w:rPr>
        <w:t>FRSR: Členský poplatok OpenPeppol je od 2 000 EUR do 10 000 EUR ročne, aby mohol byť certifikovaný SP, ide o náklady na certifikáciu, testovanie.</w:t>
      </w:r>
    </w:p>
    <w:p w14:paraId="07C783D1" w14:textId="77777777" w:rsidR="00746D3C" w:rsidRPr="00DE68E5" w:rsidRDefault="00746D3C" w:rsidP="00746D3C">
      <w:pPr>
        <w:jc w:val="both"/>
        <w:rPr>
          <w:rFonts w:eastAsia="Calibri"/>
          <w:iCs/>
        </w:rPr>
      </w:pPr>
      <w:r w:rsidRPr="00DE68E5">
        <w:rPr>
          <w:rFonts w:eastAsia="Calibri"/>
          <w:iCs/>
        </w:rPr>
        <w:t>Mapovanie prvkov EFA, výsledná štruktúra XML EFA</w:t>
      </w:r>
    </w:p>
    <w:p w14:paraId="0C188D92" w14:textId="77777777" w:rsidR="00746D3C" w:rsidRPr="00DE68E5" w:rsidRDefault="00746D3C" w:rsidP="00746D3C">
      <w:pPr>
        <w:jc w:val="both"/>
        <w:rPr>
          <w:rFonts w:eastAsia="Calibri"/>
          <w:iCs/>
        </w:rPr>
      </w:pPr>
    </w:p>
    <w:p w14:paraId="24FBC6B3" w14:textId="77777777" w:rsidR="00746D3C" w:rsidRPr="00DE68E5" w:rsidRDefault="00746D3C" w:rsidP="00746D3C">
      <w:pPr>
        <w:jc w:val="both"/>
        <w:rPr>
          <w:rFonts w:eastAsia="Calibri"/>
          <w:iCs/>
        </w:rPr>
      </w:pPr>
      <w:r w:rsidRPr="00DE68E5">
        <w:rPr>
          <w:rFonts w:eastAsia="Calibri"/>
          <w:iCs/>
        </w:rPr>
        <w:t xml:space="preserve">Zástupca POHODA: Implementácia a syntax, mapovanie prvkov – každý prvok v sémantickom modeli sa mapuje na každý prvok zvolenej syntaxe, aby každý prvok bol správne štruktúrovaný a interpretovaný. Očakávame ako softvérové spoločnosti, že nám bude poskytnutá výsledná XML štruktúra EFA, ktorú budeme vedieť implementovať. Kto zabezpečí výslednú XML štruktúru prispôsobenú národným výnimkám a požiadavkám? </w:t>
      </w:r>
    </w:p>
    <w:p w14:paraId="6A027E64" w14:textId="77777777" w:rsidR="00746D3C" w:rsidRPr="00DE68E5" w:rsidRDefault="00746D3C" w:rsidP="00746D3C">
      <w:pPr>
        <w:jc w:val="both"/>
        <w:rPr>
          <w:rFonts w:eastAsia="Calibri"/>
          <w:iCs/>
        </w:rPr>
      </w:pPr>
      <w:r w:rsidRPr="00DE68E5">
        <w:rPr>
          <w:rFonts w:eastAsia="Calibri"/>
          <w:iCs/>
        </w:rPr>
        <w:t>FRSR: Na stránke OpenPeppol máme transformáciu do validného XML aj s takými funkciami, ktoré sa volajú schematrons, t.j. nejaký programátorský jazyk, ktorý vie skontrolovať biznis pravidlá. Nedovolí sa zaslanie nevalidnej EFA. Pracujeme na tom, aby boli vyhotovené dodatočné príručky, ako porovnať národnú legislatívu s Peppol Bis 3.0, alebo aj či nevytvoriť nejaký národný štandard, ktorý vie poňať Peppol Bis 3.0., ktorý už ale spĺňa všetko podstatné na správne vyhotovenie a doručovanie EFA. Vznikli požiadavky na ďalšie polia, ale tie sa dajú dať aj do príloh.</w:t>
      </w:r>
    </w:p>
    <w:p w14:paraId="7CB7B976" w14:textId="77777777" w:rsidR="00746D3C" w:rsidRPr="00DE68E5" w:rsidRDefault="00746D3C" w:rsidP="00746D3C">
      <w:pPr>
        <w:jc w:val="both"/>
        <w:rPr>
          <w:rFonts w:eastAsia="Calibri"/>
          <w:iCs/>
        </w:rPr>
      </w:pPr>
      <w:r w:rsidRPr="00DE68E5">
        <w:rPr>
          <w:rFonts w:eastAsia="Calibri"/>
          <w:iCs/>
        </w:rPr>
        <w:t>Zástupca POHODA: Kto ale teda bude zodpovedať za výslednú XML štruktúru, kto ju pripraví?</w:t>
      </w:r>
    </w:p>
    <w:p w14:paraId="2F52DCBA" w14:textId="77777777" w:rsidR="00746D3C" w:rsidRPr="00DE68E5" w:rsidRDefault="00746D3C" w:rsidP="00746D3C">
      <w:pPr>
        <w:jc w:val="both"/>
        <w:rPr>
          <w:rFonts w:eastAsia="Calibri"/>
          <w:iCs/>
        </w:rPr>
      </w:pPr>
      <w:r w:rsidRPr="00DE68E5">
        <w:rPr>
          <w:rFonts w:eastAsia="Calibri"/>
          <w:iCs/>
        </w:rPr>
        <w:t>MFSR: Skúmame, či postačí dať do zákona odkaz na EÚ normu so všetkými jej syntaxami, ak nebudeme mať presnú špecifikáciu XML formuláru. Nejde o zodpovedanú otázku.</w:t>
      </w:r>
    </w:p>
    <w:p w14:paraId="18EAA4F6" w14:textId="77777777" w:rsidR="00746D3C" w:rsidRPr="00DE68E5" w:rsidRDefault="00746D3C" w:rsidP="00746D3C">
      <w:pPr>
        <w:jc w:val="both"/>
        <w:rPr>
          <w:rFonts w:eastAsia="Calibri"/>
          <w:iCs/>
        </w:rPr>
      </w:pPr>
      <w:r w:rsidRPr="00DE68E5">
        <w:rPr>
          <w:rFonts w:eastAsia="Calibri"/>
          <w:iCs/>
        </w:rPr>
        <w:t>Zástupca POHODA: Budú podnikatelia, ktorí možno nebudú chcieť ísť cez sieť Peppol a Peppol BIS 3.0. Ja ako zástupca softvérovej spoločnosti nevidím zmysel, aby si niekto posielal EFA aj v inom formáte. Ak by sa aj povedalo, že to bude Peppol Bis 3.0 a vznikne Peppol autorita, tak či tak ma zaujíma výsledná XML štruktúra, keďže máme skúsenosť s IS DOC. Všetku prácu – analýza sémantického modelu, výber syntaxe, mapovanie prvkov, validácia aj testovanie sme vykonali, pričom samotná implementácia je už akoby nič. Tie štyri veci by však mal niekto urobiť. Pre nikoho nie je prijateľné, aby robil analýzu sémantického modelu nanovo sám za seba. Ak by to aj niekto spravil, tak to nebude sedieť krížovo s ostatnými.</w:t>
      </w:r>
    </w:p>
    <w:p w14:paraId="7CC73F97" w14:textId="77777777" w:rsidR="00746D3C" w:rsidRPr="00DE68E5" w:rsidRDefault="00746D3C" w:rsidP="00746D3C">
      <w:pPr>
        <w:jc w:val="both"/>
        <w:rPr>
          <w:rFonts w:eastAsia="Calibri"/>
          <w:iCs/>
        </w:rPr>
      </w:pPr>
      <w:r w:rsidRPr="00DE68E5">
        <w:rPr>
          <w:rFonts w:eastAsia="Calibri"/>
          <w:iCs/>
        </w:rPr>
        <w:t>FRSR: Presne na tom pracujeme.</w:t>
      </w:r>
    </w:p>
    <w:p w14:paraId="02DF75FA" w14:textId="77777777" w:rsidR="00746D3C" w:rsidRPr="00DE68E5" w:rsidRDefault="00746D3C" w:rsidP="00746D3C">
      <w:pPr>
        <w:jc w:val="both"/>
        <w:rPr>
          <w:rFonts w:eastAsia="Calibri"/>
          <w:iCs/>
        </w:rPr>
      </w:pPr>
    </w:p>
    <w:p w14:paraId="51BD9D82" w14:textId="77777777" w:rsidR="00746D3C" w:rsidRPr="00DE68E5" w:rsidRDefault="00746D3C" w:rsidP="00746D3C">
      <w:pPr>
        <w:jc w:val="both"/>
        <w:rPr>
          <w:rFonts w:eastAsia="Calibri"/>
          <w:iCs/>
        </w:rPr>
      </w:pPr>
      <w:r w:rsidRPr="00DE68E5">
        <w:rPr>
          <w:rFonts w:eastAsia="Calibri"/>
          <w:iCs/>
        </w:rPr>
        <w:t>Doručovanie a reportovanie EFA/vybraných údajov EFA</w:t>
      </w:r>
    </w:p>
    <w:p w14:paraId="72506C14" w14:textId="77777777" w:rsidR="00746D3C" w:rsidRPr="00DE68E5" w:rsidRDefault="00746D3C" w:rsidP="00746D3C">
      <w:pPr>
        <w:jc w:val="both"/>
        <w:rPr>
          <w:rFonts w:eastAsia="Calibri"/>
          <w:iCs/>
        </w:rPr>
      </w:pPr>
    </w:p>
    <w:p w14:paraId="124F22AB" w14:textId="77777777" w:rsidR="00746D3C" w:rsidRPr="00DE68E5" w:rsidRDefault="00746D3C" w:rsidP="00746D3C">
      <w:pPr>
        <w:jc w:val="both"/>
        <w:rPr>
          <w:rFonts w:eastAsia="Calibri"/>
          <w:iCs/>
        </w:rPr>
      </w:pPr>
      <w:r w:rsidRPr="00DE68E5">
        <w:rPr>
          <w:rFonts w:eastAsia="Calibri"/>
          <w:iCs/>
        </w:rPr>
        <w:t>Zástupca KROS: Téma zaručeného doručovania faktúr – povinnosť zo smernice ViDA alebo ide iba o zjednotenie formátu? Ako zástupca spoločnosti, ktorá vytvára fakturačný softvér – nevidíme situácie, aby sa faktúry strácali, poštou sa už nedeje takmer nič a všetko ide elektronicky. Naši zákazníci budú negatívne vnímať prvok Peppolu, ktorý komplikuje doručovanie, nehovoriac o poplatkoch. Už dnes máme jedno tlačidlo a faktúra ide druhej strane, čo vieme aj automaticky prečítať, keďže sme sa ako softvérové domy dohodli.</w:t>
      </w:r>
    </w:p>
    <w:p w14:paraId="00F1C714" w14:textId="77777777" w:rsidR="00746D3C" w:rsidRPr="00DE68E5" w:rsidRDefault="00746D3C" w:rsidP="00746D3C">
      <w:pPr>
        <w:jc w:val="both"/>
        <w:rPr>
          <w:rFonts w:eastAsia="Calibri"/>
          <w:iCs/>
        </w:rPr>
      </w:pPr>
      <w:r w:rsidRPr="00DE68E5">
        <w:rPr>
          <w:rFonts w:eastAsia="Calibri"/>
          <w:iCs/>
        </w:rPr>
        <w:t xml:space="preserve">MFSR: Cieľ ViDA – získať údaje z faktúr, v čo najkratšom čase, a aby boli štandardizované pre výmenu v členských štátoch. ViDA nehovorí nič o doručovaní, ale upravuje štandardizáciu, preto je naviazaná na normu EÚ. ViDA chce zjednodušiť život podnikateľom tak, aby sa nateraz veľmi fragmentované vnútrozemské systémy zjednotili, a aby nadviazali na cezhraničné požiadavky. ViDA nerieši doručovanie, len že EFA má byť vyhotovená, zaslaná a </w:t>
      </w:r>
      <w:r w:rsidRPr="00DE68E5">
        <w:rPr>
          <w:rFonts w:eastAsia="Calibri"/>
          <w:iCs/>
        </w:rPr>
        <w:lastRenderedPageBreak/>
        <w:t>spracovaná v elektronickom štruktúrovanom formáte tak, aby ju dodávateľ vedel vytvoriť a odberateľ vedel prijať. Cieľ ViDA v súlade s cieľom DPH – vybrať DPH v správnej výške, EFA má iné využitie pre podnikateľov a FS potrebuje len vybrané údaje z EFA, aby vedeli správne skontrolovať DPH.</w:t>
      </w:r>
    </w:p>
    <w:p w14:paraId="566EEC48" w14:textId="77777777" w:rsidR="00746D3C" w:rsidRPr="00DE68E5" w:rsidRDefault="00746D3C" w:rsidP="00746D3C">
      <w:pPr>
        <w:jc w:val="both"/>
        <w:rPr>
          <w:rFonts w:eastAsia="Calibri"/>
          <w:iCs/>
        </w:rPr>
      </w:pPr>
      <w:r w:rsidRPr="00DE68E5">
        <w:rPr>
          <w:rFonts w:eastAsia="Calibri"/>
          <w:iCs/>
        </w:rPr>
        <w:t>FRSR: Sme si vedomí, že ste si transponovaním v IS DOC-u vytvorili EFA, máte softvérové domy, ktoré to používajú, ste krok vpred, čo sa týka elektronickej fakturácie, ale doručovanie e-mailom nie je asi to, čo nás v budúcnosti očakáva. V celej EÚ si budeme vymieňať EFA e-mailom? – negarantovaná služba, kybernetické útoky. Uvedomujúc si to, že ste vložili veľké úsilie do elektronickej fakturácie, spravili ste prvý krok, pre Vás bude minimum preformátovať sa z ISDOC do Peppol BIS 3.0. Tento formát už bude pre celú SR a EÚ tam, kde je sieť Peppol dostupná.</w:t>
      </w:r>
    </w:p>
    <w:p w14:paraId="786B71D4" w14:textId="77777777" w:rsidR="00746D3C" w:rsidRPr="00DE68E5" w:rsidRDefault="00746D3C" w:rsidP="00746D3C">
      <w:pPr>
        <w:jc w:val="both"/>
        <w:rPr>
          <w:rFonts w:eastAsia="Calibri"/>
          <w:iCs/>
        </w:rPr>
      </w:pPr>
      <w:r w:rsidRPr="00DE68E5">
        <w:rPr>
          <w:rFonts w:eastAsia="Calibri"/>
          <w:iCs/>
        </w:rPr>
        <w:t>Zástupca KROS: Pre nás nebude až tak náročné zmeniť IS DOC za národný resp. celoeurópsky formát. Skôr išlo o samotné doručenie – C2 – C4 – C5. Doručovanie z C1 do C5 vie urobiť každý jeden softvérový dom. Aby sme nenútili podnikateľov robiť nejaký konkrétny spôsob doručenia faktúry len medzi platiteľmi, keď podnikatelia majú viacero spôsobov doručenia - aj faktúry k neplatiteľom – museli by rozlišovať.</w:t>
      </w:r>
    </w:p>
    <w:p w14:paraId="4CFAB7FE" w14:textId="77777777" w:rsidR="00746D3C" w:rsidRPr="00DE68E5" w:rsidRDefault="00746D3C" w:rsidP="00746D3C">
      <w:pPr>
        <w:jc w:val="both"/>
        <w:rPr>
          <w:rFonts w:eastAsia="Calibri"/>
          <w:iCs/>
        </w:rPr>
      </w:pPr>
      <w:r w:rsidRPr="00DE68E5">
        <w:rPr>
          <w:rFonts w:eastAsia="Calibri"/>
          <w:iCs/>
        </w:rPr>
        <w:t>FRSR: Vy ako výrobca softvéru sa môžete stať SP, viete byť bodom prístupu.</w:t>
      </w:r>
    </w:p>
    <w:p w14:paraId="49716D5B" w14:textId="77777777" w:rsidR="00746D3C" w:rsidRPr="00DE68E5" w:rsidRDefault="00746D3C" w:rsidP="00746D3C">
      <w:pPr>
        <w:jc w:val="both"/>
        <w:rPr>
          <w:rFonts w:eastAsia="Calibri"/>
          <w:iCs/>
        </w:rPr>
      </w:pPr>
      <w:r w:rsidRPr="00DE68E5">
        <w:rPr>
          <w:rFonts w:eastAsia="Calibri"/>
          <w:iCs/>
        </w:rPr>
        <w:t>Zástupca Slovensko.Digital: Ak C1 bude softvérový dom, ktorý vystavuje EFA pre C4, tak sa môže stať C2 a tým pádom doručovanie ide ako dnes. Rozumieme, že technicky je pre FS zložité dosiahnuť to, aby tuzemské doručovanie išlo mimo Peppolu, aby takýmto spôsobom vedelo vyťažovať EFA. Už pri transponovaní IS DOC-u sme sa zamýšľali nad tým, že technicky nie je zložité, aby softvérový dom bol dopytovaný FS na údaje, ktoré v real time potrebuje, doručovanie B2B by prebiehalo medzi dvomi softvérovými domami v SR a vyťažovanie údajov z EFA pre FS by išlo na softvérové domy. Aby to bolo medzinárodné, je lepšie využívať Peppol na cezhraničné faktúry. Je otázne, či takýto postup pri tuzemských faktúrach nie je jednou z alternatív, ako sa vyhnúť poplatkom Peppolu. Ak by sa ustanovilo, že Peppol bude bezplatný a využívala by sa aplikácia tretej strany, na doručovanie aj vyťažovanie, tak táto debata by bola úplne o niečom inom. Dnes má podnikateľská verejnosť vysoké poplatkové zaťažovanie, preto sa zamýšľame aj na inom technickom riešení, pokiaľ ide o tuzemské EFA.</w:t>
      </w:r>
    </w:p>
    <w:p w14:paraId="1F7D0CFC" w14:textId="77777777" w:rsidR="00746D3C" w:rsidRPr="00DE68E5" w:rsidRDefault="00746D3C" w:rsidP="00746D3C">
      <w:pPr>
        <w:jc w:val="both"/>
        <w:rPr>
          <w:rFonts w:eastAsia="Calibri"/>
          <w:iCs/>
        </w:rPr>
      </w:pPr>
      <w:r w:rsidRPr="00DE68E5">
        <w:rPr>
          <w:rFonts w:eastAsia="Calibri"/>
          <w:iCs/>
        </w:rPr>
        <w:t>FRSR: Potvrdili sme si, že je to vloženie ďalšej komplexity. Technicky je všetko možné. Otázka je, koľko variácií si vieme dovoliť vniesť do tejto problematiky. V Taliansku a Poľsku majú samostatné systémy pre B2B a pre B2G – nemajú jedno štandardné riešenie, nateraz problém. Otázne teda je štandardné nastavenie a nebudeme sa odlišovať v ničom. Ak pôjde o malé podniky, pre tie určite budeme poskytovať, dotovať SP, ktorým bude štát, ak sa dostatočne nevyvinie trh.</w:t>
      </w:r>
    </w:p>
    <w:p w14:paraId="1B67D99E" w14:textId="77777777" w:rsidR="00746D3C" w:rsidRPr="00DE68E5" w:rsidRDefault="00746D3C" w:rsidP="00746D3C">
      <w:pPr>
        <w:jc w:val="both"/>
        <w:rPr>
          <w:rFonts w:eastAsia="Calibri"/>
          <w:iCs/>
        </w:rPr>
      </w:pPr>
      <w:r w:rsidRPr="00DE68E5">
        <w:rPr>
          <w:rFonts w:eastAsia="Calibri"/>
          <w:iCs/>
        </w:rPr>
        <w:t xml:space="preserve">Zástupca POHODA: Chcem sa spýtať, prečo od C1 to nemôže ísť rovno na C5. Ak C2 má niečo extrahovať na FS, FS ich bude musieť vedieť prijať, čítať, vykazovať v čase. Prístupový bod Peppolu, ktorý v tomto mal byť zahrnutý, tak tú najväčšiu výhodu robíte v čom, ak Vám ako softvérový dom povieme, že vieme v akomkoľvek čase, aj v Peppole BIS 3.0 extrahovať to, čo potrebujete. V minulosti sa nás nikto nepýtal, či vieme KV DPH posielať elektronicky. Ak by niekto povedal, že chceme KV DPH každý deň, tak to sme schopní pripraviť. </w:t>
      </w:r>
    </w:p>
    <w:p w14:paraId="7A145378" w14:textId="77777777" w:rsidR="00746D3C" w:rsidRPr="00DE68E5" w:rsidRDefault="00746D3C" w:rsidP="00746D3C">
      <w:pPr>
        <w:jc w:val="both"/>
        <w:rPr>
          <w:rFonts w:eastAsia="Calibri"/>
          <w:iCs/>
        </w:rPr>
      </w:pPr>
      <w:r w:rsidRPr="00DE68E5">
        <w:rPr>
          <w:rFonts w:eastAsia="Calibri"/>
          <w:iCs/>
        </w:rPr>
        <w:t>MFSR: Zdaniteľná osoba podľa smernice je povinná zasielať údaje z EFA sama, alebo to môže urobiť tretia strana za ňu.</w:t>
      </w:r>
    </w:p>
    <w:p w14:paraId="78D310F6" w14:textId="77777777" w:rsidR="00746D3C" w:rsidRPr="00DE68E5" w:rsidRDefault="00746D3C" w:rsidP="00746D3C">
      <w:pPr>
        <w:jc w:val="both"/>
        <w:rPr>
          <w:rFonts w:eastAsia="Calibri"/>
          <w:iCs/>
        </w:rPr>
      </w:pPr>
      <w:r w:rsidRPr="00DE68E5">
        <w:rPr>
          <w:rFonts w:eastAsia="Calibri"/>
          <w:iCs/>
        </w:rPr>
        <w:t>FRSR: Áno, ale až od roku 2030. Do roku 2030 chceme reportovať cez C2 a C3.</w:t>
      </w:r>
    </w:p>
    <w:p w14:paraId="543E9CA3" w14:textId="77777777" w:rsidR="00746D3C" w:rsidRPr="00DE68E5" w:rsidRDefault="00746D3C" w:rsidP="00746D3C">
      <w:pPr>
        <w:jc w:val="both"/>
        <w:rPr>
          <w:rFonts w:eastAsia="Calibri"/>
          <w:iCs/>
        </w:rPr>
      </w:pPr>
      <w:r w:rsidRPr="00DE68E5">
        <w:rPr>
          <w:rFonts w:eastAsia="Calibri"/>
          <w:iCs/>
        </w:rPr>
        <w:t>Zástupca POHODA: Nevieme, koľko percent podnikateľov zo SR zasiela faktúry do zahraničia. Nevidíme výhodu v tom, ak ide o spoločnosti, ktoré generujú 50 000 faktúr denne, možno to aj pošlú v jednej dávke a následne ten z toho C3 má ťahať a platiť za tieto údaje ďalej. Ak to nie je ako povinnosť z ViDA a od roku 2030 ani nebude, povedzte formát a dáta, ktoré chcete extrahovať a máte ich tam každodenne.</w:t>
      </w:r>
    </w:p>
    <w:p w14:paraId="010BE905" w14:textId="77777777" w:rsidR="00746D3C" w:rsidRPr="00DE68E5" w:rsidRDefault="00746D3C" w:rsidP="00746D3C">
      <w:pPr>
        <w:jc w:val="both"/>
        <w:rPr>
          <w:rFonts w:eastAsia="Calibri"/>
          <w:iCs/>
        </w:rPr>
      </w:pPr>
      <w:r w:rsidRPr="00DE68E5">
        <w:rPr>
          <w:rFonts w:eastAsia="Calibri"/>
          <w:iCs/>
        </w:rPr>
        <w:t>FRSR: Potrebujeme harmonizovať formát a zasielanie EFA.</w:t>
      </w:r>
    </w:p>
    <w:p w14:paraId="40F70316" w14:textId="77777777" w:rsidR="00746D3C" w:rsidRDefault="00746D3C" w:rsidP="00746D3C">
      <w:pPr>
        <w:jc w:val="both"/>
        <w:rPr>
          <w:rFonts w:eastAsia="Calibri"/>
          <w:iCs/>
        </w:rPr>
      </w:pPr>
      <w:r w:rsidRPr="00DE68E5">
        <w:rPr>
          <w:rFonts w:eastAsia="Calibri"/>
          <w:iCs/>
        </w:rPr>
        <w:lastRenderedPageBreak/>
        <w:t>Zástupca Slovensko.Digital: Jednotný formát faktúry nie je problém. Nerobiť transponovanie na ďalších desať formátov. Doručovanie je hlavne témou ekonomiky, ale SR ho potrebuje, nielen G2B a B2G. Dnes nemáme dostatok dát, aj ekonomických, či toto doručovanie cez Peppol bude pre koncových používateľov lacnejšie, alebo drahšie oproti tomu, ak by SR mala zabezpečiť doručovanie EFA vo vlastnej réžii. Doručovanie EFA raz bude musieť prísť. ViDA ešte nerieši doručovanie. Je to téma, ktorá bude veľmi skoro nastolená.</w:t>
      </w:r>
    </w:p>
    <w:p w14:paraId="5F3E4B84" w14:textId="77777777" w:rsidR="00746D3C" w:rsidRDefault="00746D3C" w:rsidP="00746D3C">
      <w:pPr>
        <w:jc w:val="both"/>
        <w:rPr>
          <w:rFonts w:eastAsia="Calibri"/>
          <w:iCs/>
        </w:rPr>
      </w:pPr>
    </w:p>
    <w:p w14:paraId="73E3FB2A" w14:textId="77777777" w:rsidR="00746D3C" w:rsidRDefault="00746D3C" w:rsidP="00746D3C">
      <w:pPr>
        <w:jc w:val="both"/>
        <w:rPr>
          <w:rFonts w:eastAsia="Calibri"/>
          <w:iCs/>
        </w:rPr>
      </w:pPr>
    </w:p>
    <w:p w14:paraId="0C276FE6" w14:textId="77777777" w:rsidR="00746D3C" w:rsidRPr="00973565" w:rsidRDefault="00746D3C" w:rsidP="00746D3C">
      <w:pPr>
        <w:jc w:val="both"/>
        <w:rPr>
          <w:rFonts w:eastAsia="Calibri"/>
          <w:i/>
          <w:iCs/>
        </w:rPr>
      </w:pPr>
      <w:r w:rsidRPr="00973565">
        <w:rPr>
          <w:rFonts w:eastAsia="Calibri"/>
          <w:i/>
          <w:iCs/>
        </w:rPr>
        <w:t xml:space="preserve">Dňa 14. februára 2025 sa v nadväznosti na Jednotnú metodiku posudzovania vybraných vplyvov uskutočnili k predbežnej informácii </w:t>
      </w:r>
      <w:r w:rsidRPr="00973565">
        <w:rPr>
          <w:i/>
          <w:iCs/>
        </w:rPr>
        <w:t>PI/2024/334 aj</w:t>
      </w:r>
      <w:r w:rsidRPr="00973565">
        <w:rPr>
          <w:rFonts w:eastAsia="Calibri"/>
          <w:i/>
          <w:iCs/>
        </w:rPr>
        <w:t xml:space="preserve"> stretnutia so zástupcami </w:t>
      </w:r>
      <w:r w:rsidRPr="00973565">
        <w:rPr>
          <w:i/>
          <w:iCs/>
        </w:rPr>
        <w:t>Act'o-soft, Sovos, Pagero/Thomson Reuters a MHSR</w:t>
      </w:r>
      <w:r w:rsidRPr="00973565">
        <w:rPr>
          <w:rFonts w:eastAsia="Calibri"/>
          <w:i/>
          <w:iCs/>
        </w:rPr>
        <w:t>.</w:t>
      </w:r>
    </w:p>
    <w:p w14:paraId="5FFC84EC" w14:textId="77777777" w:rsidR="00746D3C" w:rsidRDefault="00746D3C" w:rsidP="00746D3C">
      <w:pPr>
        <w:jc w:val="both"/>
        <w:rPr>
          <w:rFonts w:eastAsia="Calibri"/>
        </w:rPr>
      </w:pPr>
    </w:p>
    <w:p w14:paraId="75843EAD" w14:textId="77777777" w:rsidR="00746D3C" w:rsidRDefault="00746D3C" w:rsidP="00746D3C">
      <w:pPr>
        <w:jc w:val="both"/>
      </w:pPr>
      <w:r w:rsidRPr="002754A5">
        <w:t>Zástupca MFSR predstavil základné ciele pripravovaného návrhu zákona, ktorým sa mení a dopĺňa zákon o DPH. Základom pre povinnú elektronickú fakturáciu bude smernica ViDA.</w:t>
      </w:r>
      <w:r w:rsidRPr="00DE68E5">
        <w:t xml:space="preserve"> Následne </w:t>
      </w:r>
      <w:r>
        <w:t xml:space="preserve">zástupca FRSR </w:t>
      </w:r>
      <w:r w:rsidRPr="00DE68E5">
        <w:t>uviedol a odprezentoval očakávané kroky a procesy v rámci elektronickej fakturácie.</w:t>
      </w:r>
    </w:p>
    <w:p w14:paraId="6D657718" w14:textId="77777777" w:rsidR="00746D3C" w:rsidRDefault="00746D3C" w:rsidP="00746D3C">
      <w:pPr>
        <w:jc w:val="both"/>
      </w:pPr>
    </w:p>
    <w:p w14:paraId="6896C47C" w14:textId="77777777" w:rsidR="00746D3C" w:rsidRPr="00DD0939" w:rsidRDefault="00746D3C" w:rsidP="00746D3C">
      <w:pPr>
        <w:jc w:val="both"/>
      </w:pPr>
      <w:r>
        <w:t xml:space="preserve"> </w:t>
      </w:r>
      <w:r w:rsidRPr="00DD0939">
        <w:t>K návrhu zákona odzneli nasledovné okruhy otázok a reakcií:</w:t>
      </w:r>
    </w:p>
    <w:p w14:paraId="7AFCB11E" w14:textId="77777777" w:rsidR="00746D3C" w:rsidRPr="00DD0939" w:rsidRDefault="00746D3C" w:rsidP="00746D3C">
      <w:pPr>
        <w:jc w:val="both"/>
      </w:pPr>
    </w:p>
    <w:p w14:paraId="4B23D790" w14:textId="77777777" w:rsidR="00746D3C" w:rsidRPr="00DD0939" w:rsidRDefault="00746D3C" w:rsidP="00746D3C">
      <w:pPr>
        <w:jc w:val="both"/>
      </w:pPr>
      <w:r w:rsidRPr="00DD0939">
        <w:t>Pagero/Thomson Reuters: Chcete zaviesť najprv povinnú elektronickú fakturáciu a oznamovanie údajov z EFA v reálnom čase pre tuzemské transakcie pre platiteľov dane (belgický model) - len pre subjekty registrované v SR, alebo aj pre zahraničné subjekty, ktoré majú DPH registráciu v SR?</w:t>
      </w:r>
    </w:p>
    <w:p w14:paraId="39119F55" w14:textId="77777777" w:rsidR="00746D3C" w:rsidRPr="00DD0939" w:rsidRDefault="00746D3C" w:rsidP="00746D3C">
      <w:pPr>
        <w:jc w:val="both"/>
      </w:pPr>
      <w:r w:rsidRPr="00DD0939">
        <w:t>MFSR chce v súlade s čl. 0 smernice ViDA od publikácie smernice v Úradnom vestníku EÚ zaviesť povinnú elektronickú fakturáciu len pre tuzemských platiteľov dane od 1.1.2027. Nemôžeme stanoviť povinnosť pre zahraničných podnikateľov.</w:t>
      </w:r>
    </w:p>
    <w:p w14:paraId="741A488E" w14:textId="77777777" w:rsidR="00746D3C" w:rsidRPr="00DD0939" w:rsidRDefault="00746D3C" w:rsidP="00746D3C">
      <w:pPr>
        <w:jc w:val="both"/>
      </w:pPr>
    </w:p>
    <w:p w14:paraId="2F5E7722" w14:textId="77777777" w:rsidR="00746D3C" w:rsidRPr="00DD0939" w:rsidRDefault="00746D3C" w:rsidP="00746D3C">
      <w:pPr>
        <w:jc w:val="both"/>
      </w:pPr>
      <w:r w:rsidRPr="00DD0939">
        <w:t>Sovos: Otázka ohľadom C5 modelu – požadujete nejakú ďalšiu akreditáciu/certifikáciu pre SP, ktorí budú v kontakte s C5, ak už majú OpenPeppol akreditáciu?</w:t>
      </w:r>
    </w:p>
    <w:p w14:paraId="560D1D74" w14:textId="77777777" w:rsidR="00746D3C" w:rsidRPr="00DD0939" w:rsidRDefault="00746D3C" w:rsidP="00746D3C">
      <w:pPr>
        <w:jc w:val="both"/>
      </w:pPr>
      <w:r w:rsidRPr="00DD0939">
        <w:t>FRSR: Len v súlade s CTC dokumentáciou Peppol, ich akreditačným procesom a podmienkami. Neplánujeme požadovať viac, ako vyžaduje OpenPeppol.</w:t>
      </w:r>
    </w:p>
    <w:p w14:paraId="502FDDA1" w14:textId="77777777" w:rsidR="00746D3C" w:rsidRPr="00DD0939" w:rsidRDefault="00746D3C" w:rsidP="00746D3C">
      <w:pPr>
        <w:jc w:val="both"/>
      </w:pPr>
    </w:p>
    <w:p w14:paraId="5756584E" w14:textId="77777777" w:rsidR="00746D3C" w:rsidRPr="00DD0939" w:rsidRDefault="00746D3C" w:rsidP="00746D3C">
      <w:pPr>
        <w:jc w:val="both"/>
      </w:pPr>
      <w:r w:rsidRPr="00DD0939">
        <w:t>Pagero/Thomson Reuters: Časový rámec – od roku 2027 chcete implemetnovať naraz elektronickú fakturáciu aj zasielanie údajov z EFA, alebo nafázovať proces ako v Belgicku, od 2026 – elektronická fakturácia a od 2028 – zasielanie údajov z EFA.</w:t>
      </w:r>
    </w:p>
    <w:p w14:paraId="26869AFA" w14:textId="77777777" w:rsidR="00746D3C" w:rsidRPr="00DD0939" w:rsidRDefault="00746D3C" w:rsidP="00746D3C">
      <w:pPr>
        <w:jc w:val="both"/>
      </w:pPr>
      <w:r w:rsidRPr="00DD0939">
        <w:t>FRSR: Budeme sledovať C5 Peppol ViDA pilot projekt. Ak model bude schválený a bude úspešný, bude pripravené prostredie pre SP a C5 model pripravený, tak áno. Ak však budú omeškania, je možné, že budeme povinnosti zavádzať postupne.</w:t>
      </w:r>
    </w:p>
    <w:p w14:paraId="14F43F37" w14:textId="77777777" w:rsidR="00746D3C" w:rsidRPr="00DD0939" w:rsidRDefault="00746D3C" w:rsidP="00746D3C">
      <w:pPr>
        <w:jc w:val="both"/>
      </w:pPr>
    </w:p>
    <w:p w14:paraId="7929E503" w14:textId="77777777" w:rsidR="00746D3C" w:rsidRPr="00DD0939" w:rsidRDefault="00746D3C" w:rsidP="00746D3C">
      <w:pPr>
        <w:jc w:val="both"/>
      </w:pPr>
      <w:r w:rsidRPr="00DD0939">
        <w:t>Pagero/Thomson Reuters: Zasielanie údajov z EFA sa bude týkať aj dodávateľa aj odberateľa v reálnom čase?</w:t>
      </w:r>
    </w:p>
    <w:p w14:paraId="5743A198" w14:textId="77777777" w:rsidR="00746D3C" w:rsidRPr="00DD0939" w:rsidRDefault="00746D3C" w:rsidP="00746D3C">
      <w:pPr>
        <w:jc w:val="both"/>
      </w:pPr>
      <w:r w:rsidRPr="00DD0939">
        <w:t>MFSR: V súčasnosti aplikovaný kontrolný výkaz, zbiera údaje od oboch, chceme to zachovať.</w:t>
      </w:r>
    </w:p>
    <w:p w14:paraId="589B27A6" w14:textId="77777777" w:rsidR="00746D3C" w:rsidRPr="00DD0939" w:rsidRDefault="00746D3C" w:rsidP="00746D3C">
      <w:pPr>
        <w:jc w:val="both"/>
      </w:pPr>
    </w:p>
    <w:p w14:paraId="534CE691" w14:textId="77777777" w:rsidR="00746D3C" w:rsidRPr="00DD0939" w:rsidRDefault="00746D3C" w:rsidP="00746D3C">
      <w:pPr>
        <w:jc w:val="both"/>
      </w:pPr>
      <w:r w:rsidRPr="00DD0939">
        <w:t>Sovos: Bude sa elektronická fakturácia týkať B2B alebo aj B2C transakcií?</w:t>
      </w:r>
    </w:p>
    <w:p w14:paraId="48362BA8" w14:textId="77777777" w:rsidR="00746D3C" w:rsidRPr="00DD0939" w:rsidRDefault="00746D3C" w:rsidP="00746D3C">
      <w:pPr>
        <w:jc w:val="both"/>
      </w:pPr>
      <w:r w:rsidRPr="00DD0939">
        <w:t>MFSR: Povinná elektronická fakturácia sa bude týkať len zdaniteľných osôb, ktoré sú registrovaným platiteľmi.</w:t>
      </w:r>
      <w:r>
        <w:t xml:space="preserve"> </w:t>
      </w:r>
      <w:r w:rsidRPr="00DD0939">
        <w:t>Ak po určitom čase uvidíme nie dobré znaky výberu, môžu sa požiadavky prehodnotiť.</w:t>
      </w:r>
    </w:p>
    <w:p w14:paraId="6135A3D8" w14:textId="77777777" w:rsidR="00746D3C" w:rsidRPr="00DD0939" w:rsidRDefault="00746D3C" w:rsidP="00746D3C">
      <w:pPr>
        <w:jc w:val="both"/>
      </w:pPr>
    </w:p>
    <w:p w14:paraId="61DB912C" w14:textId="77777777" w:rsidR="00746D3C" w:rsidRPr="00DD0939" w:rsidRDefault="00746D3C" w:rsidP="00746D3C">
      <w:pPr>
        <w:jc w:val="both"/>
      </w:pPr>
      <w:r w:rsidRPr="00DD0939">
        <w:t>Pagero/Thomson Reuters: Rozsah - B2C bude mimo, ale B2B and B2G bude v rámci. IS</w:t>
      </w:r>
      <w:r>
        <w:t xml:space="preserve"> </w:t>
      </w:r>
      <w:r w:rsidRPr="00DD0939">
        <w:t>EFA bolo plánované pre B2G a potom aj rozšírenie na B2B – je IS EFA zrušený, alebo je tam možnosť, že bude ako C5?</w:t>
      </w:r>
    </w:p>
    <w:p w14:paraId="3F5D40EB" w14:textId="77777777" w:rsidR="00746D3C" w:rsidRPr="00DD0939" w:rsidRDefault="00746D3C" w:rsidP="00746D3C">
      <w:pPr>
        <w:jc w:val="both"/>
      </w:pPr>
      <w:r w:rsidRPr="00DD0939">
        <w:lastRenderedPageBreak/>
        <w:t xml:space="preserve">FRSR: Projekt IS EFA je ukončený a nahrádzame ho decentralizovaným konceptom. Plánujeme mať SP, ktorý bude slúžiť pre vládne agentúry. Taktiež chceme mať špeciálny C5 model, len pre zbieranie vybraných dát z EFA. Zároveň plánujeme niečo ako v Belgicku pre malé podniky, ak podmienky na trhu nebudú dostatočné - malým dodávateľom by sme tiež chceli ponúknuť tento SP. </w:t>
      </w:r>
    </w:p>
    <w:p w14:paraId="77903B7A" w14:textId="77777777" w:rsidR="00746D3C" w:rsidRPr="00DD0939" w:rsidRDefault="00746D3C" w:rsidP="00746D3C">
      <w:pPr>
        <w:jc w:val="both"/>
      </w:pPr>
      <w:r w:rsidRPr="00DD0939">
        <w:t>MFSR: Ohľadom IS EFA bude ešte rozhodnuté, ale s veľkou pravdepodobnosťou sa v projekte IS EFA nebude pokračovať, závisí to však od rozhodnutia ministra.</w:t>
      </w:r>
    </w:p>
    <w:p w14:paraId="7346BBCA" w14:textId="77777777" w:rsidR="00746D3C" w:rsidRDefault="00746D3C" w:rsidP="00746D3C">
      <w:pPr>
        <w:jc w:val="both"/>
      </w:pPr>
      <w:r w:rsidRPr="00DD0939">
        <w:t>FRSR: Máme predbežnú dohodu, že preskúmame Peppol (decentralizovaný systém).</w:t>
      </w:r>
    </w:p>
    <w:p w14:paraId="7B9F39FA" w14:textId="77777777" w:rsidR="00746D3C" w:rsidRDefault="00746D3C" w:rsidP="00746D3C">
      <w:pPr>
        <w:jc w:val="both"/>
      </w:pPr>
    </w:p>
    <w:p w14:paraId="268026EE" w14:textId="77777777" w:rsidR="00746D3C" w:rsidRPr="00620B77" w:rsidRDefault="00746D3C" w:rsidP="00746D3C">
      <w:pPr>
        <w:jc w:val="both"/>
        <w:rPr>
          <w:rFonts w:eastAsia="Calibri"/>
          <w:b/>
          <w:bCs/>
          <w:iCs/>
        </w:rPr>
      </w:pPr>
      <w:r>
        <w:rPr>
          <w:rFonts w:eastAsia="Calibri"/>
          <w:b/>
          <w:bCs/>
          <w:iCs/>
        </w:rPr>
        <w:t>Workshop dňa 23.6.2025</w:t>
      </w:r>
    </w:p>
    <w:p w14:paraId="1D623CB9" w14:textId="77777777" w:rsidR="00746D3C" w:rsidRDefault="00746D3C" w:rsidP="00746D3C">
      <w:pPr>
        <w:jc w:val="both"/>
        <w:rPr>
          <w:rFonts w:eastAsia="Calibri"/>
          <w:iCs/>
        </w:rPr>
      </w:pPr>
      <w:r>
        <w:rPr>
          <w:rFonts w:eastAsia="Calibri"/>
          <w:iCs/>
        </w:rPr>
        <w:t xml:space="preserve">V nadväznosti na </w:t>
      </w:r>
      <w:r w:rsidRPr="00620B77">
        <w:rPr>
          <w:rFonts w:eastAsia="Calibri"/>
          <w:iCs/>
        </w:rPr>
        <w:t xml:space="preserve">prebiehajúci legislatívny proces k novele zákona o DPH, pokiaľ ide o povinnosť elektronickej fakturácie a oznamovanie údajov finančnej správe v reálnom čase (DRR), ako aj na prísľub daný počas konzultácií k príslušnej predbežnej informácii PI/2024/334, </w:t>
      </w:r>
      <w:r>
        <w:rPr>
          <w:rFonts w:eastAsia="Calibri"/>
          <w:iCs/>
        </w:rPr>
        <w:t xml:space="preserve">MFSR v spolupráci s FRSR zorganizovalo online formou workshop dňa 23.6.2025 od 09:00 do cca 11:30 </w:t>
      </w:r>
      <w:r w:rsidRPr="00620B77">
        <w:rPr>
          <w:rFonts w:eastAsia="Calibri"/>
          <w:iCs/>
        </w:rPr>
        <w:t>týkajúc</w:t>
      </w:r>
      <w:r>
        <w:rPr>
          <w:rFonts w:eastAsia="Calibri"/>
          <w:iCs/>
        </w:rPr>
        <w:t>i</w:t>
      </w:r>
      <w:r w:rsidRPr="00620B77">
        <w:rPr>
          <w:rFonts w:eastAsia="Calibri"/>
          <w:iCs/>
        </w:rPr>
        <w:t xml:space="preserve"> sa zavedenia povinnej elektronickej fakturácie na účely zákona o DPH a DRR.</w:t>
      </w:r>
      <w:r>
        <w:rPr>
          <w:rFonts w:eastAsia="Calibri"/>
          <w:iCs/>
        </w:rPr>
        <w:t xml:space="preserve"> Na workshope odprezentovalo MFSR legislatívne nastavenie novely zákona o DPH vyplývajúce zo smernice </w:t>
      </w:r>
      <w:r w:rsidRPr="00AD02C7">
        <w:rPr>
          <w:rFonts w:eastAsia="Calibri"/>
          <w:iCs/>
        </w:rPr>
        <w:t>Rady (EÚ) 2025/516 z 11. marca 2025, ktorou sa mení smernica 2006/112/ES o spoločnom systéme dane z pridanej hodnoty, pokiaľ ide o pravidlá DPH pre digitálny vek (ďalej len „smernica 2025/516“)</w:t>
      </w:r>
      <w:r>
        <w:rPr>
          <w:rFonts w:eastAsia="Calibri"/>
          <w:iCs/>
        </w:rPr>
        <w:t xml:space="preserve"> a FRSR odprezentovalo technické riešenie takéhoto nastavenia. V rámci pozvánky na workshop bola zaslaná aj pra</w:t>
      </w:r>
      <w:r w:rsidRPr="00620B77">
        <w:rPr>
          <w:rFonts w:eastAsia="Calibri"/>
          <w:iCs/>
        </w:rPr>
        <w:t>covn</w:t>
      </w:r>
      <w:r>
        <w:rPr>
          <w:rFonts w:eastAsia="Calibri"/>
          <w:iCs/>
        </w:rPr>
        <w:t>á</w:t>
      </w:r>
      <w:r w:rsidRPr="00620B77">
        <w:rPr>
          <w:rFonts w:eastAsia="Calibri"/>
          <w:iCs/>
        </w:rPr>
        <w:t xml:space="preserve"> verzi</w:t>
      </w:r>
      <w:r>
        <w:rPr>
          <w:rFonts w:eastAsia="Calibri"/>
          <w:iCs/>
        </w:rPr>
        <w:t>a dotknutej</w:t>
      </w:r>
      <w:r w:rsidRPr="00620B77">
        <w:rPr>
          <w:rFonts w:eastAsia="Calibri"/>
          <w:iCs/>
        </w:rPr>
        <w:t xml:space="preserve"> časti pripravovaného návrhu zákona</w:t>
      </w:r>
      <w:r>
        <w:rPr>
          <w:rFonts w:eastAsia="Calibri"/>
          <w:iCs/>
        </w:rPr>
        <w:t>. Subjektom, ktoré boli v rámci pozvánky oslovené bola ponúknutá aj možnosť zaslať vopred otázky týkajúce sa prezentovanej témy. Na workshope sa online zúčastnilo 392 účastníkov pokrývajúcich rôzne odvetvia národného hospodárstva (energetický priemysel, automobilový priemysel, telekomunikácie, potravinársky priemysel, obchod, hotelové a reštauračné služby, peňažníctvo a poisťovníctvo, zdravotníctvo a sociálna oblasť, poradenská oblasť a ďalšie) ako aj účastníci z štátnej a verejnej správy.</w:t>
      </w:r>
    </w:p>
    <w:p w14:paraId="5CC04AE4" w14:textId="77777777" w:rsidR="00746D3C" w:rsidRDefault="00746D3C" w:rsidP="00746D3C">
      <w:pPr>
        <w:jc w:val="both"/>
      </w:pPr>
    </w:p>
    <w:p w14:paraId="5805E3D2" w14:textId="77777777" w:rsidR="00746D3C" w:rsidRPr="00620B77" w:rsidRDefault="00746D3C" w:rsidP="00746D3C">
      <w:pPr>
        <w:jc w:val="both"/>
        <w:rPr>
          <w:rFonts w:eastAsia="Calibri"/>
          <w:b/>
          <w:bCs/>
          <w:iCs/>
        </w:rPr>
      </w:pPr>
      <w:r>
        <w:rPr>
          <w:rFonts w:eastAsia="Calibri"/>
          <w:b/>
          <w:bCs/>
          <w:iCs/>
        </w:rPr>
        <w:t>Zaslanie odpovedí na otázky ohľadom workshopu</w:t>
      </w:r>
    </w:p>
    <w:p w14:paraId="7501C4B4" w14:textId="77777777" w:rsidR="00746D3C" w:rsidRDefault="00746D3C" w:rsidP="00746D3C">
      <w:pPr>
        <w:jc w:val="both"/>
        <w:rPr>
          <w:rFonts w:eastAsia="Calibri"/>
          <w:iCs/>
        </w:rPr>
      </w:pPr>
      <w:r>
        <w:rPr>
          <w:rFonts w:eastAsia="Calibri"/>
          <w:iCs/>
        </w:rPr>
        <w:t>Vzhľadom na množstvo zaslaných otázok týkajúcich sa prezentovanej témy v rámci workshopu boli odpovede na otázky (47), po ich náležitom vyhodnotení, dňa 1.7.2025 zaslané na všetky identifikované e-mailové adresy účastníkov, ktorí sa zúčastnili workshopu. Mnoho z predložených otázok bolo zodpovedaných už v rámci samotnej prezentácie, ale MFSR a FRSR pre jednoznačnosť ohľadom legislatívnych a technických nastavení odprezentovanej témy pristúpilo aj k takémuto kroku. Zároveň boli účastníkom workshopu zaslané aj prezentácie MFSR a FRSR.</w:t>
      </w:r>
    </w:p>
    <w:p w14:paraId="5FE4304A" w14:textId="77777777" w:rsidR="00746D3C" w:rsidRPr="00115DF5" w:rsidRDefault="00746D3C" w:rsidP="00746D3C">
      <w:pPr>
        <w:jc w:val="both"/>
        <w:rPr>
          <w:rFonts w:eastAsia="Calibri"/>
          <w:iCs/>
        </w:rPr>
      </w:pPr>
    </w:p>
    <w:p w14:paraId="501D6D4F" w14:textId="77777777" w:rsidR="00746D3C" w:rsidRPr="001F1B43" w:rsidRDefault="00746D3C" w:rsidP="00746D3C">
      <w:pPr>
        <w:jc w:val="both"/>
        <w:rPr>
          <w:rFonts w:eastAsia="Calibri"/>
          <w:b/>
        </w:rPr>
      </w:pPr>
      <w:bookmarkStart w:id="15" w:name="_Hlk47698091"/>
      <w:r w:rsidRPr="001F1B43">
        <w:rPr>
          <w:rFonts w:eastAsia="Calibri"/>
          <w:b/>
        </w:rPr>
        <w:t>3.3 Vplyvy na konkurencieschopnosť a produktivitu</w:t>
      </w:r>
    </w:p>
    <w:bookmarkEnd w:id="15"/>
    <w:p w14:paraId="13F75528" w14:textId="77777777" w:rsidR="00746D3C" w:rsidRPr="00D8247C" w:rsidRDefault="00746D3C" w:rsidP="00746D3C">
      <w:pPr>
        <w:jc w:val="both"/>
        <w:rPr>
          <w:rFonts w:eastAsia="Calibri"/>
          <w:i/>
        </w:rPr>
      </w:pPr>
      <w:r w:rsidRPr="00D8247C">
        <w:rPr>
          <w:rFonts w:eastAsia="Calibri"/>
          <w:i/>
        </w:rPr>
        <w:t xml:space="preserve">Dochádza k vytvoreniu resp. k zmene bariér na trhu? </w:t>
      </w:r>
    </w:p>
    <w:p w14:paraId="128A90C3" w14:textId="77777777" w:rsidR="00746D3C" w:rsidRPr="00D8247C" w:rsidRDefault="00746D3C" w:rsidP="00746D3C">
      <w:pPr>
        <w:jc w:val="both"/>
        <w:rPr>
          <w:rFonts w:eastAsia="Calibri"/>
          <w:i/>
        </w:rPr>
      </w:pPr>
      <w:r w:rsidRPr="00D8247C">
        <w:rPr>
          <w:rFonts w:eastAsia="Calibri"/>
          <w:i/>
        </w:rPr>
        <w:t xml:space="preserve">Bude sa s niektorými podnikmi alebo produktmi zaobchádzať v porovnateľnej situácii rôzne (napr. špeciálne režimy pre mikro, malé a stredné podniky tzv. MSP)? </w:t>
      </w:r>
    </w:p>
    <w:p w14:paraId="68E04947" w14:textId="77777777" w:rsidR="00746D3C" w:rsidRPr="00D8247C" w:rsidRDefault="00746D3C" w:rsidP="00746D3C">
      <w:pPr>
        <w:jc w:val="both"/>
        <w:rPr>
          <w:rFonts w:eastAsia="Calibri"/>
          <w:i/>
        </w:rPr>
      </w:pPr>
      <w:r w:rsidRPr="00D8247C">
        <w:rPr>
          <w:rFonts w:eastAsia="Calibri"/>
          <w:i/>
        </w:rPr>
        <w:t xml:space="preserve">Ovplyvňuje zmena regulácie cezhraničné investície (príliv/odliv zahraničných investícií resp. uplatnenie slovenských podnikov na zahraničných trhoch)? </w:t>
      </w:r>
    </w:p>
    <w:p w14:paraId="7F680AB8" w14:textId="77777777" w:rsidR="00746D3C" w:rsidRDefault="00746D3C" w:rsidP="00746D3C">
      <w:pPr>
        <w:jc w:val="both"/>
        <w:rPr>
          <w:rFonts w:eastAsia="Calibri"/>
          <w:i/>
        </w:rPr>
      </w:pPr>
      <w:r w:rsidRPr="00D8247C">
        <w:rPr>
          <w:rFonts w:eastAsia="Calibri"/>
          <w:i/>
        </w:rPr>
        <w:t xml:space="preserve">Ovplyvní dostupnosť základných zdrojov (financie, pracovná sila, suroviny, mechanizmy, energie atď.)? </w:t>
      </w:r>
    </w:p>
    <w:p w14:paraId="5570448E" w14:textId="77777777" w:rsidR="00746D3C" w:rsidRDefault="00746D3C" w:rsidP="00746D3C">
      <w:pPr>
        <w:jc w:val="both"/>
        <w:rPr>
          <w:rFonts w:eastAsia="Calibri"/>
          <w:i/>
        </w:rPr>
      </w:pPr>
      <w:r>
        <w:rPr>
          <w:rFonts w:eastAsia="Calibri"/>
          <w:i/>
        </w:rPr>
        <w:t>Ovplyvňuje zmena regulácie inovácie, vedu a výskum?</w:t>
      </w:r>
    </w:p>
    <w:p w14:paraId="4F02E469" w14:textId="77777777" w:rsidR="00746D3C" w:rsidRPr="00D8247C" w:rsidRDefault="00746D3C" w:rsidP="00746D3C">
      <w:pPr>
        <w:jc w:val="both"/>
        <w:rPr>
          <w:rFonts w:eastAsia="Calibri"/>
          <w:i/>
        </w:rPr>
      </w:pPr>
      <w:r>
        <w:rPr>
          <w:rFonts w:eastAsia="Calibri"/>
          <w:i/>
        </w:rPr>
        <w:t>Ak bol identifikovaný goldplating, prispieva k zníženiu konkurencieschopnosti a produktivity? Akým spôsobom?</w:t>
      </w:r>
    </w:p>
    <w:p w14:paraId="3D016E68" w14:textId="77777777" w:rsidR="00746D3C" w:rsidRDefault="00746D3C" w:rsidP="00746D3C">
      <w:pPr>
        <w:jc w:val="both"/>
        <w:rPr>
          <w:rFonts w:eastAsia="Calibri"/>
        </w:rPr>
      </w:pPr>
      <w:r w:rsidRPr="00D8247C">
        <w:rPr>
          <w:rFonts w:eastAsia="Calibri"/>
          <w:i/>
          <w:iCs/>
        </w:rPr>
        <w:t>Ako prispieva zmena regulácie k cieľu Slovenska mať najlepšie podnikateľské prostredie spomedzi susediacich krajín EÚ?</w:t>
      </w:r>
    </w:p>
    <w:p w14:paraId="7AF55296" w14:textId="77777777" w:rsidR="00746D3C" w:rsidRPr="001F2B11" w:rsidRDefault="00746D3C" w:rsidP="00746D3C">
      <w:pPr>
        <w:jc w:val="both"/>
        <w:rPr>
          <w:rFonts w:eastAsia="Calibri"/>
        </w:rPr>
      </w:pPr>
      <w:r w:rsidRPr="001F2B11">
        <w:rPr>
          <w:rFonts w:eastAsia="Calibri"/>
        </w:rPr>
        <w:lastRenderedPageBreak/>
        <w:t>Nedochádza k vytvoreniu bariér pre vstup na trh pre nové zdaniteľné osoby. Návrhom zákona zavádzané povinnost</w:t>
      </w:r>
      <w:r>
        <w:rPr>
          <w:rFonts w:eastAsia="Calibri"/>
        </w:rPr>
        <w:t>i</w:t>
      </w:r>
      <w:r w:rsidRPr="001F2B11">
        <w:rPr>
          <w:rFonts w:eastAsia="Calibri"/>
        </w:rPr>
        <w:t xml:space="preserve"> nijakým spôsobom nezasahujú do oblastí upravujúcich podmienky, ktoré musia byť splnené, aby mohla tuzemská zdaniteľná osoba v tuzemsku podnikať. </w:t>
      </w:r>
    </w:p>
    <w:p w14:paraId="306E3749" w14:textId="77777777" w:rsidR="00746D3C" w:rsidRDefault="00746D3C" w:rsidP="00746D3C">
      <w:pPr>
        <w:jc w:val="both"/>
        <w:rPr>
          <w:rFonts w:eastAsia="Calibri"/>
        </w:rPr>
      </w:pPr>
      <w:r w:rsidRPr="001F2B11">
        <w:rPr>
          <w:rFonts w:eastAsia="Calibri"/>
        </w:rPr>
        <w:t>Navrhovaná právna úprava</w:t>
      </w:r>
      <w:r>
        <w:rPr>
          <w:rFonts w:eastAsia="Calibri"/>
        </w:rPr>
        <w:t xml:space="preserve"> má</w:t>
      </w:r>
      <w:r w:rsidRPr="001F2B11">
        <w:rPr>
          <w:rFonts w:eastAsia="Calibri"/>
        </w:rPr>
        <w:t xml:space="preserve"> v súlade s</w:t>
      </w:r>
      <w:r>
        <w:rPr>
          <w:rFonts w:eastAsia="Calibri"/>
        </w:rPr>
        <w:t> </w:t>
      </w:r>
      <w:r w:rsidRPr="001F2B11">
        <w:rPr>
          <w:rFonts w:eastAsia="Calibri"/>
        </w:rPr>
        <w:t>cieľom</w:t>
      </w:r>
      <w:r>
        <w:rPr>
          <w:rFonts w:eastAsia="Calibri"/>
        </w:rPr>
        <w:t xml:space="preserve"> sledovaným</w:t>
      </w:r>
      <w:r w:rsidRPr="001F2B11">
        <w:rPr>
          <w:rFonts w:eastAsia="Calibri"/>
        </w:rPr>
        <w:t xml:space="preserve"> smernic</w:t>
      </w:r>
      <w:r>
        <w:rPr>
          <w:rFonts w:eastAsia="Calibri"/>
        </w:rPr>
        <w:t>ou</w:t>
      </w:r>
      <w:r w:rsidRPr="001F2B11">
        <w:rPr>
          <w:rFonts w:eastAsia="Calibri"/>
        </w:rPr>
        <w:t xml:space="preserve"> 2025/516 </w:t>
      </w:r>
      <w:r w:rsidRPr="001F2B11">
        <w:rPr>
          <w:color w:val="000000" w:themeColor="text1"/>
        </w:rPr>
        <w:t>zvýšiť výber dane z pridanej hodnoty najmä pri cezhraničných transakciách a ukončiť súčasnú fragmentáciu vyplývajúcu z toho, že členské štáty majú zavedené rozdielne systémy oznamovania faktúr, resp. údajov z vyhotovených a prijatých faktúr</w:t>
      </w:r>
      <w:r>
        <w:rPr>
          <w:color w:val="000000" w:themeColor="text1"/>
        </w:rPr>
        <w:t xml:space="preserve"> (kontrolný výkaz)</w:t>
      </w:r>
      <w:r w:rsidRPr="001F2B11">
        <w:rPr>
          <w:color w:val="000000" w:themeColor="text1"/>
        </w:rPr>
        <w:t>. Nové pravidlá a súvisiace procesy majú byť založené na elektronickej fakturácii a digitálnom oznamovaní údajov o jednotlivých zdaniteľných obchodoch, v reálnom čase, a to nielen pokiaľ ide o cezhraničné transakcie, ale aj o tuzemské transakcie.</w:t>
      </w:r>
      <w:r>
        <w:rPr>
          <w:color w:val="000000" w:themeColor="text1"/>
        </w:rPr>
        <w:t xml:space="preserve"> </w:t>
      </w:r>
      <w:r w:rsidRPr="001F2B11">
        <w:t>Takúto právnu úpravu musia vo svojich právnych poriadkoch zaviesť</w:t>
      </w:r>
      <w:r>
        <w:t xml:space="preserve"> postupne</w:t>
      </w:r>
      <w:r w:rsidRPr="001F2B11">
        <w:t xml:space="preserve"> všetky členské štáty Európskej únie. </w:t>
      </w:r>
      <w:r>
        <w:t>Digitalizácia uvedených procesov môže napomôcť z</w:t>
      </w:r>
      <w:r w:rsidRPr="001F2B11">
        <w:t>ní</w:t>
      </w:r>
      <w:r>
        <w:t>ženiu administratívnej záťaže</w:t>
      </w:r>
      <w:r w:rsidRPr="001F2B11">
        <w:t>.</w:t>
      </w:r>
    </w:p>
    <w:p w14:paraId="0F4BA97D" w14:textId="77777777" w:rsidR="00746D3C" w:rsidRDefault="00746D3C" w:rsidP="00746D3C">
      <w:pPr>
        <w:jc w:val="both"/>
        <w:rPr>
          <w:rFonts w:eastAsia="Calibri"/>
        </w:rPr>
      </w:pPr>
      <w:r>
        <w:rPr>
          <w:rFonts w:eastAsia="Calibri"/>
        </w:rPr>
        <w:t>Návrh zákona nepredpokladá ani vplyv na vyvolanie cezhraničných investícií. Rovnako sa predmetným návrhom zákona neovplyvní cena alebo dostupnosť základných zdrojov a ani prístup k financiám.</w:t>
      </w:r>
    </w:p>
    <w:p w14:paraId="64B1DC33" w14:textId="77777777" w:rsidR="00746D3C" w:rsidRDefault="00746D3C" w:rsidP="00746D3C">
      <w:pPr>
        <w:jc w:val="both"/>
        <w:rPr>
          <w:rFonts w:eastAsia="Calibri"/>
          <w:i/>
        </w:rPr>
      </w:pPr>
      <w:r>
        <w:rPr>
          <w:rFonts w:eastAsia="Calibri"/>
        </w:rPr>
        <w:t>Regulácia neovplyvňuje ani inovácie, vedu a výskum.</w:t>
      </w:r>
    </w:p>
    <w:p w14:paraId="16598EC9" w14:textId="77777777" w:rsidR="00746D3C" w:rsidRPr="00D8247C" w:rsidRDefault="00746D3C" w:rsidP="00746D3C">
      <w:pPr>
        <w:jc w:val="both"/>
        <w:rPr>
          <w:rFonts w:eastAsia="Calibri"/>
          <w:i/>
        </w:rPr>
      </w:pPr>
    </w:p>
    <w:p w14:paraId="04C76AF9" w14:textId="77777777" w:rsidR="00746D3C" w:rsidRPr="00D8247C" w:rsidRDefault="00746D3C" w:rsidP="00746D3C">
      <w:pPr>
        <w:jc w:val="both"/>
        <w:rPr>
          <w:rFonts w:eastAsia="Calibri"/>
          <w:b/>
          <w:i/>
        </w:rPr>
      </w:pPr>
      <w:r w:rsidRPr="00D8247C">
        <w:rPr>
          <w:rFonts w:eastAsia="Calibri"/>
          <w:b/>
          <w:i/>
        </w:rPr>
        <w:t>Konkurencieschopnosť:</w:t>
      </w:r>
    </w:p>
    <w:p w14:paraId="715F7D8A" w14:textId="77777777" w:rsidR="00746D3C" w:rsidRPr="00D8247C" w:rsidRDefault="00746D3C" w:rsidP="00746D3C">
      <w:pPr>
        <w:jc w:val="both"/>
        <w:rPr>
          <w:rFonts w:eastAsia="Calibri"/>
          <w:i/>
        </w:rPr>
      </w:pPr>
      <w:r w:rsidRPr="00D8247C">
        <w:rPr>
          <w:rFonts w:eastAsia="Calibri"/>
          <w:i/>
        </w:rPr>
        <w:t>Na základe uvedených odpovedí zaškrtnite a popíšte, či materiál konkurencieschopnosť:</w:t>
      </w:r>
    </w:p>
    <w:p w14:paraId="776001FA" w14:textId="77777777" w:rsidR="00746D3C" w:rsidRPr="00D8247C" w:rsidRDefault="002C7EDD" w:rsidP="00746D3C">
      <w:pPr>
        <w:jc w:val="both"/>
        <w:rPr>
          <w:rFonts w:eastAsia="Calibri"/>
          <w:i/>
        </w:rPr>
      </w:pPr>
      <w:sdt>
        <w:sdtPr>
          <w:rPr>
            <w:rFonts w:eastAsia="Calibri"/>
            <w:i/>
          </w:rPr>
          <w:id w:val="798576880"/>
        </w:sdtPr>
        <w:sdtEndPr/>
        <w:sdtContent>
          <w:sdt>
            <w:sdtPr>
              <w:rPr>
                <w:rFonts w:eastAsia="Calibri"/>
                <w:i/>
              </w:rPr>
              <w:id w:val="1729873660"/>
            </w:sdtPr>
            <w:sdtEndPr/>
            <w:sdtContent>
              <w:r w:rsidR="00746D3C" w:rsidRPr="00D8247C">
                <w:rPr>
                  <w:rFonts w:ascii="Segoe UI Symbol" w:eastAsia="Calibri" w:hAnsi="Segoe UI Symbol" w:cs="Segoe UI Symbol"/>
                  <w:i/>
                </w:rPr>
                <w:t>☐</w:t>
              </w:r>
            </w:sdtContent>
          </w:sdt>
        </w:sdtContent>
      </w:sdt>
      <w:r w:rsidR="00746D3C" w:rsidRPr="00D8247C">
        <w:rPr>
          <w:rFonts w:eastAsia="Calibri"/>
          <w:i/>
        </w:rPr>
        <w:t xml:space="preserve"> zvyšuje</w:t>
      </w:r>
      <w:r w:rsidR="00746D3C">
        <w:rPr>
          <w:rFonts w:eastAsia="Calibri"/>
          <w:i/>
        </w:rPr>
        <w:t xml:space="preserve"> </w:t>
      </w:r>
      <w:r w:rsidR="00746D3C" w:rsidRPr="00D8247C">
        <w:rPr>
          <w:rFonts w:eastAsia="Calibri"/>
          <w:i/>
        </w:rPr>
        <w:tab/>
      </w:r>
      <w:sdt>
        <w:sdtPr>
          <w:rPr>
            <w:rFonts w:eastAsia="Calibri"/>
            <w:i/>
          </w:rPr>
          <w:id w:val="410579887"/>
        </w:sdtPr>
        <w:sdtEndPr/>
        <w:sdtContent>
          <w:sdt>
            <w:sdtPr>
              <w:rPr>
                <w:rFonts w:eastAsia="Calibri"/>
                <w:i/>
              </w:rPr>
              <w:id w:val="-80300261"/>
            </w:sdtPr>
            <w:sdtEndPr/>
            <w:sdtContent>
              <w:sdt>
                <w:sdtPr>
                  <w:rPr>
                    <w:rFonts w:eastAsia="Calibri"/>
                    <w:i/>
                  </w:rPr>
                  <w:id w:val="-1689825955"/>
                </w:sdtPr>
                <w:sdtEndPr/>
                <w:sdtContent>
                  <w:r w:rsidR="00746D3C" w:rsidRPr="00663C34">
                    <w:rPr>
                      <w:rFonts w:ascii="Segoe UI Symbol" w:eastAsia="MS Gothic" w:hAnsi="Segoe UI Symbol" w:cs="Segoe UI Symbol"/>
                      <w:i/>
                    </w:rPr>
                    <w:t>☒</w:t>
                  </w:r>
                </w:sdtContent>
              </w:sdt>
            </w:sdtContent>
          </w:sdt>
        </w:sdtContent>
      </w:sdt>
      <w:r w:rsidR="00746D3C" w:rsidRPr="00D8247C">
        <w:rPr>
          <w:rFonts w:eastAsia="Calibri"/>
          <w:i/>
        </w:rPr>
        <w:t xml:space="preserve"> nemení</w:t>
      </w:r>
      <w:r w:rsidR="00746D3C" w:rsidRPr="00D8247C">
        <w:rPr>
          <w:rFonts w:eastAsia="Calibri"/>
          <w:i/>
        </w:rPr>
        <w:tab/>
      </w:r>
      <w:sdt>
        <w:sdtPr>
          <w:rPr>
            <w:rFonts w:eastAsia="Calibri"/>
            <w:i/>
          </w:rPr>
          <w:id w:val="-474604883"/>
        </w:sdtPr>
        <w:sdtEndPr/>
        <w:sdtContent>
          <w:sdt>
            <w:sdtPr>
              <w:rPr>
                <w:rFonts w:eastAsia="Calibri"/>
                <w:i/>
              </w:rPr>
              <w:id w:val="-1706551548"/>
            </w:sdtPr>
            <w:sdtEndPr/>
            <w:sdtContent>
              <w:r w:rsidR="00746D3C" w:rsidRPr="00D8247C">
                <w:rPr>
                  <w:rFonts w:ascii="Segoe UI Symbol" w:eastAsia="Calibri" w:hAnsi="Segoe UI Symbol" w:cs="Segoe UI Symbol"/>
                  <w:i/>
                </w:rPr>
                <w:t>☐</w:t>
              </w:r>
            </w:sdtContent>
          </w:sdt>
        </w:sdtContent>
      </w:sdt>
      <w:r w:rsidR="00746D3C" w:rsidRPr="00D8247C">
        <w:rPr>
          <w:rFonts w:eastAsia="Calibri"/>
          <w:i/>
        </w:rPr>
        <w:t xml:space="preserve"> znižuje</w:t>
      </w:r>
    </w:p>
    <w:p w14:paraId="3938D4EC" w14:textId="77777777" w:rsidR="00746D3C" w:rsidRPr="00D8247C" w:rsidRDefault="00746D3C" w:rsidP="00746D3C">
      <w:pPr>
        <w:jc w:val="both"/>
        <w:rPr>
          <w:rFonts w:eastAsia="Calibri"/>
          <w:i/>
        </w:rPr>
      </w:pPr>
    </w:p>
    <w:p w14:paraId="544D3A60" w14:textId="77777777" w:rsidR="00746D3C" w:rsidRPr="00D8247C" w:rsidRDefault="00746D3C" w:rsidP="00746D3C">
      <w:pPr>
        <w:jc w:val="both"/>
        <w:rPr>
          <w:rFonts w:eastAsia="Calibri"/>
          <w:b/>
          <w:i/>
        </w:rPr>
      </w:pPr>
      <w:r w:rsidRPr="00D8247C">
        <w:rPr>
          <w:rFonts w:eastAsia="Calibri"/>
          <w:b/>
          <w:i/>
        </w:rPr>
        <w:t>Produktivita:</w:t>
      </w:r>
    </w:p>
    <w:p w14:paraId="31C54A25" w14:textId="77777777" w:rsidR="00746D3C" w:rsidRPr="00D8247C" w:rsidRDefault="00746D3C" w:rsidP="00746D3C">
      <w:pPr>
        <w:jc w:val="both"/>
        <w:rPr>
          <w:rFonts w:eastAsia="Calibri"/>
          <w:i/>
        </w:rPr>
      </w:pPr>
      <w:r w:rsidRPr="00D8247C">
        <w:rPr>
          <w:rFonts w:eastAsia="Calibri"/>
          <w:i/>
        </w:rPr>
        <w:t xml:space="preserve">Aký má materiál vplyv na zmenu pomeru medzi produkciou podnikov a ich nákladmi? </w:t>
      </w:r>
    </w:p>
    <w:p w14:paraId="78BA3C0A" w14:textId="77777777" w:rsidR="00746D3C" w:rsidRDefault="00746D3C" w:rsidP="00746D3C">
      <w:pPr>
        <w:jc w:val="both"/>
        <w:rPr>
          <w:rFonts w:eastAsia="Calibri"/>
          <w:i/>
        </w:rPr>
      </w:pPr>
    </w:p>
    <w:p w14:paraId="1B9E3A3B" w14:textId="77777777" w:rsidR="00746D3C" w:rsidRPr="007C0314" w:rsidRDefault="00746D3C" w:rsidP="00746D3C">
      <w:pPr>
        <w:jc w:val="both"/>
        <w:rPr>
          <w:rFonts w:eastAsia="Calibri"/>
          <w:i/>
        </w:rPr>
      </w:pPr>
      <w:r w:rsidRPr="007C0314">
        <w:rPr>
          <w:rFonts w:eastAsia="Calibri"/>
        </w:rPr>
        <w:t>Návrh zákona má vplyv na zmenu pomeru medzi produkciou podnikov a ich nákladmi.</w:t>
      </w:r>
    </w:p>
    <w:p w14:paraId="202CA0CF" w14:textId="77777777" w:rsidR="00746D3C" w:rsidRPr="00D8247C" w:rsidRDefault="00746D3C" w:rsidP="00746D3C">
      <w:pPr>
        <w:jc w:val="both"/>
        <w:rPr>
          <w:rFonts w:eastAsia="Calibri"/>
          <w:i/>
        </w:rPr>
      </w:pPr>
    </w:p>
    <w:p w14:paraId="6B21E197" w14:textId="77777777" w:rsidR="00746D3C" w:rsidRPr="00D8247C" w:rsidRDefault="00746D3C" w:rsidP="00746D3C">
      <w:pPr>
        <w:jc w:val="both"/>
        <w:rPr>
          <w:rFonts w:eastAsia="Calibri"/>
          <w:i/>
        </w:rPr>
      </w:pPr>
      <w:r w:rsidRPr="00D8247C">
        <w:rPr>
          <w:rFonts w:eastAsia="Calibri"/>
          <w:i/>
        </w:rPr>
        <w:t>Na základe uvedenej odpovede zaškrtnite a popíšte, či materiál produktivitu:</w:t>
      </w:r>
    </w:p>
    <w:p w14:paraId="0DD84722" w14:textId="77777777" w:rsidR="00746D3C" w:rsidRPr="00D8247C" w:rsidRDefault="002C7EDD" w:rsidP="00746D3C">
      <w:pPr>
        <w:jc w:val="both"/>
        <w:rPr>
          <w:rFonts w:eastAsia="Calibri"/>
          <w:i/>
        </w:rPr>
      </w:pPr>
      <w:sdt>
        <w:sdtPr>
          <w:rPr>
            <w:rFonts w:eastAsia="Calibri"/>
            <w:i/>
          </w:rPr>
          <w:id w:val="-1545903528"/>
        </w:sdtPr>
        <w:sdtEndPr/>
        <w:sdtContent>
          <w:sdt>
            <w:sdtPr>
              <w:rPr>
                <w:rFonts w:eastAsia="Calibri"/>
                <w:i/>
              </w:rPr>
              <w:id w:val="825715010"/>
            </w:sdtPr>
            <w:sdtEndPr/>
            <w:sdtContent>
              <w:sdt>
                <w:sdtPr>
                  <w:rPr>
                    <w:rFonts w:eastAsia="Calibri"/>
                    <w:i/>
                  </w:rPr>
                  <w:id w:val="-871309266"/>
                </w:sdtPr>
                <w:sdtEndPr/>
                <w:sdtContent>
                  <w:r w:rsidR="00746D3C" w:rsidRPr="00663C34">
                    <w:rPr>
                      <w:rFonts w:ascii="Segoe UI Symbol" w:eastAsia="MS Gothic" w:hAnsi="Segoe UI Symbol" w:cs="Segoe UI Symbol"/>
                      <w:i/>
                    </w:rPr>
                    <w:t>☒</w:t>
                  </w:r>
                </w:sdtContent>
              </w:sdt>
              <w:r w:rsidR="00746D3C" w:rsidRPr="00D8247C" w:rsidDel="00B01870">
                <w:rPr>
                  <w:rFonts w:ascii="Segoe UI Symbol" w:eastAsia="Calibri" w:hAnsi="Segoe UI Symbol" w:cs="Segoe UI Symbol"/>
                  <w:i/>
                </w:rPr>
                <w:t xml:space="preserve"> </w:t>
              </w:r>
            </w:sdtContent>
          </w:sdt>
        </w:sdtContent>
      </w:sdt>
      <w:r w:rsidR="00746D3C" w:rsidRPr="00D8247C">
        <w:rPr>
          <w:rFonts w:eastAsia="Calibri"/>
          <w:i/>
        </w:rPr>
        <w:t>zvyšuje</w:t>
      </w:r>
      <w:r w:rsidR="00746D3C">
        <w:rPr>
          <w:rFonts w:eastAsia="Calibri"/>
          <w:i/>
        </w:rPr>
        <w:t xml:space="preserve"> </w:t>
      </w:r>
      <w:r w:rsidR="00746D3C" w:rsidRPr="00D8247C">
        <w:rPr>
          <w:rFonts w:eastAsia="Calibri"/>
          <w:i/>
        </w:rPr>
        <w:tab/>
      </w:r>
      <w:sdt>
        <w:sdtPr>
          <w:rPr>
            <w:rFonts w:eastAsia="Calibri"/>
            <w:i/>
          </w:rPr>
          <w:id w:val="-353966921"/>
        </w:sdtPr>
        <w:sdtEndPr/>
        <w:sdtContent>
          <w:sdt>
            <w:sdtPr>
              <w:rPr>
                <w:rFonts w:eastAsia="Calibri"/>
                <w:i/>
              </w:rPr>
              <w:id w:val="-1222205104"/>
            </w:sdtPr>
            <w:sdtEndPr/>
            <w:sdtContent>
              <w:sdt>
                <w:sdtPr>
                  <w:rPr>
                    <w:rFonts w:eastAsia="Calibri"/>
                    <w:i/>
                  </w:rPr>
                  <w:id w:val="-386184674"/>
                </w:sdtPr>
                <w:sdtEndPr/>
                <w:sdtContent>
                  <w:sdt>
                    <w:sdtPr>
                      <w:rPr>
                        <w:rFonts w:eastAsia="Calibri"/>
                        <w:i/>
                      </w:rPr>
                      <w:id w:val="1261557933"/>
                    </w:sdtPr>
                    <w:sdtEndPr/>
                    <w:sdtContent>
                      <w:r w:rsidR="00746D3C" w:rsidRPr="00D8247C">
                        <w:rPr>
                          <w:rFonts w:ascii="Segoe UI Symbol" w:eastAsia="Calibri" w:hAnsi="Segoe UI Symbol" w:cs="Segoe UI Symbol"/>
                          <w:i/>
                        </w:rPr>
                        <w:t>☐</w:t>
                      </w:r>
                    </w:sdtContent>
                  </w:sdt>
                  <w:r w:rsidR="00746D3C" w:rsidRPr="00663C34" w:rsidDel="00B01870">
                    <w:rPr>
                      <w:rFonts w:ascii="Segoe UI Symbol" w:eastAsia="MS Gothic" w:hAnsi="Segoe UI Symbol" w:cs="Segoe UI Symbol"/>
                      <w:i/>
                    </w:rPr>
                    <w:t xml:space="preserve"> </w:t>
                  </w:r>
                </w:sdtContent>
              </w:sdt>
            </w:sdtContent>
          </w:sdt>
        </w:sdtContent>
      </w:sdt>
      <w:r w:rsidR="00746D3C" w:rsidRPr="00D8247C">
        <w:rPr>
          <w:rFonts w:eastAsia="Calibri"/>
          <w:i/>
        </w:rPr>
        <w:t>nemení</w:t>
      </w:r>
      <w:r w:rsidR="00746D3C" w:rsidRPr="00D8247C">
        <w:rPr>
          <w:rFonts w:eastAsia="Calibri"/>
          <w:i/>
        </w:rPr>
        <w:tab/>
      </w:r>
      <w:sdt>
        <w:sdtPr>
          <w:rPr>
            <w:rFonts w:eastAsia="Calibri"/>
            <w:i/>
          </w:rPr>
          <w:id w:val="-1457723544"/>
        </w:sdtPr>
        <w:sdtEndPr/>
        <w:sdtContent>
          <w:sdt>
            <w:sdtPr>
              <w:rPr>
                <w:rFonts w:eastAsia="Calibri"/>
                <w:i/>
              </w:rPr>
              <w:id w:val="-623767955"/>
            </w:sdtPr>
            <w:sdtEndPr/>
            <w:sdtContent>
              <w:r w:rsidR="00746D3C" w:rsidRPr="00D8247C">
                <w:rPr>
                  <w:rFonts w:ascii="Segoe UI Symbol" w:eastAsia="Calibri" w:hAnsi="Segoe UI Symbol" w:cs="Segoe UI Symbol"/>
                  <w:i/>
                </w:rPr>
                <w:t>☐</w:t>
              </w:r>
            </w:sdtContent>
          </w:sdt>
        </w:sdtContent>
      </w:sdt>
      <w:r w:rsidR="00746D3C" w:rsidRPr="00D8247C">
        <w:rPr>
          <w:rFonts w:eastAsia="Calibri"/>
          <w:i/>
        </w:rPr>
        <w:t xml:space="preserve"> znižuje</w:t>
      </w:r>
    </w:p>
    <w:p w14:paraId="3D2D9EC5" w14:textId="77777777" w:rsidR="00746D3C" w:rsidRDefault="00746D3C" w:rsidP="00746D3C">
      <w:pPr>
        <w:jc w:val="both"/>
        <w:rPr>
          <w:rFonts w:eastAsia="Calibri"/>
          <w:i/>
        </w:rPr>
      </w:pPr>
    </w:p>
    <w:p w14:paraId="1A30C6FB" w14:textId="77777777" w:rsidR="00746D3C" w:rsidRPr="001F1B43" w:rsidRDefault="00746D3C" w:rsidP="00746D3C">
      <w:pPr>
        <w:jc w:val="both"/>
        <w:rPr>
          <w:rFonts w:eastAsia="Calibri"/>
          <w:b/>
        </w:rPr>
      </w:pPr>
      <w:r w:rsidRPr="001F1B43">
        <w:rPr>
          <w:rFonts w:eastAsia="Calibri"/>
          <w:b/>
        </w:rPr>
        <w:t>3.4</w:t>
      </w:r>
      <w:r>
        <w:rPr>
          <w:rFonts w:eastAsia="Calibri"/>
          <w:b/>
        </w:rPr>
        <w:t xml:space="preserve"> </w:t>
      </w:r>
      <w:r w:rsidRPr="001F1B43">
        <w:rPr>
          <w:rFonts w:eastAsia="Calibri"/>
          <w:b/>
        </w:rPr>
        <w:t xml:space="preserve">Iné vplyvy na podnikateľské prostredie </w:t>
      </w:r>
    </w:p>
    <w:p w14:paraId="5C4E55BC" w14:textId="77777777" w:rsidR="00746D3C" w:rsidRDefault="00746D3C" w:rsidP="00746D3C">
      <w:pPr>
        <w:jc w:val="both"/>
        <w:rPr>
          <w:rFonts w:eastAsia="Calibri"/>
          <w:i/>
        </w:rPr>
      </w:pPr>
      <w:r>
        <w:rPr>
          <w:rFonts w:eastAsia="Calibri"/>
          <w:i/>
        </w:rPr>
        <w:t xml:space="preserve">Ak má materiál vplyvy na PP, ktoré nemožno zaradiť do predchádzajúcich častí, či už pozitívne alebo negatívne, tu ich uveďte. Patria sem: </w:t>
      </w:r>
    </w:p>
    <w:p w14:paraId="443C033C" w14:textId="77777777" w:rsidR="00746D3C" w:rsidRDefault="00746D3C" w:rsidP="00746D3C">
      <w:pPr>
        <w:pStyle w:val="Odsekzoznamu"/>
        <w:numPr>
          <w:ilvl w:val="0"/>
          <w:numId w:val="2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D54EAE4" w14:textId="77777777" w:rsidR="00746D3C" w:rsidRDefault="00746D3C" w:rsidP="00746D3C">
      <w:pPr>
        <w:pStyle w:val="Odsekzoznamu"/>
        <w:numPr>
          <w:ilvl w:val="0"/>
          <w:numId w:val="2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DC3FB5A" w14:textId="77777777" w:rsidR="00746D3C" w:rsidRPr="00F244DC" w:rsidRDefault="00746D3C" w:rsidP="00746D3C">
      <w:pPr>
        <w:pStyle w:val="Odsekzoznamu"/>
        <w:numPr>
          <w:ilvl w:val="0"/>
          <w:numId w:val="2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p>
    <w:p w14:paraId="728E9352" w14:textId="77777777" w:rsidR="00746D3C" w:rsidRPr="004568C9" w:rsidRDefault="00746D3C" w:rsidP="00746D3C">
      <w:pPr>
        <w:pStyle w:val="Odsekzoznamu"/>
        <w:numPr>
          <w:ilvl w:val="0"/>
          <w:numId w:val="21"/>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iné vplyvy podľa písm. a) až c), ktoré sú goldplatingom.</w:t>
      </w:r>
    </w:p>
    <w:p w14:paraId="62B692A5" w14:textId="77777777" w:rsidR="00746D3C" w:rsidRDefault="00746D3C" w:rsidP="00746D3C">
      <w:pPr>
        <w:spacing w:line="254" w:lineRule="auto"/>
        <w:jc w:val="both"/>
        <w:rPr>
          <w:rFonts w:eastAsia="Calibri"/>
          <w:i/>
        </w:rPr>
      </w:pPr>
    </w:p>
    <w:p w14:paraId="1124A67A" w14:textId="77777777" w:rsidR="00746D3C" w:rsidRDefault="00746D3C" w:rsidP="00746D3C">
      <w:pPr>
        <w:jc w:val="both"/>
        <w:rPr>
          <w:color w:val="000000"/>
          <w:shd w:val="clear" w:color="auto" w:fill="FFFFFF"/>
        </w:rPr>
      </w:pPr>
      <w:r w:rsidRPr="00F30EF3">
        <w:t>Návrh zákona sa popri už uvedených reguláciách zároveň orientuje na ďalšie úpravy v podobe zmien a doplnení niektorých ustanovení zákona o DPH, a to s</w:t>
      </w:r>
      <w:r>
        <w:t> </w:t>
      </w:r>
      <w:r w:rsidRPr="00F30EF3">
        <w:t>cieľom</w:t>
      </w:r>
      <w:r>
        <w:t xml:space="preserve"> transpozície práva EÚ </w:t>
      </w:r>
      <w:r w:rsidRPr="00F30EF3">
        <w:t>a zjednoduš</w:t>
      </w:r>
      <w:r>
        <w:t>enia</w:t>
      </w:r>
      <w:r w:rsidRPr="00F30EF3">
        <w:t>, prípadne precizova</w:t>
      </w:r>
      <w:r>
        <w:t>nia</w:t>
      </w:r>
      <w:r w:rsidRPr="00F30EF3">
        <w:t xml:space="preserve"> povinnosti daňový</w:t>
      </w:r>
      <w:r>
        <w:t>ch subjektov</w:t>
      </w:r>
      <w:r>
        <w:rPr>
          <w:color w:val="000000"/>
          <w:shd w:val="clear" w:color="auto" w:fill="FFFFFF"/>
        </w:rPr>
        <w:t>, ale aj ukladaniu sankcií, avšak vzhľadom na nedostupnosť alebo nejednoznačnosť dát ich nie je možné kvantifikovať.</w:t>
      </w:r>
    </w:p>
    <w:p w14:paraId="46134454" w14:textId="77777777" w:rsidR="00746D3C" w:rsidRDefault="00746D3C" w:rsidP="00746D3C">
      <w:pPr>
        <w:jc w:val="both"/>
        <w:rPr>
          <w:rFonts w:eastAsia="Calibri"/>
          <w:b/>
          <w:bCs/>
          <w:iCs/>
        </w:rPr>
      </w:pPr>
    </w:p>
    <w:p w14:paraId="6C311238" w14:textId="77777777" w:rsidR="00746D3C" w:rsidRPr="007F631D" w:rsidRDefault="00746D3C" w:rsidP="00746D3C">
      <w:pPr>
        <w:jc w:val="both"/>
        <w:rPr>
          <w:b/>
          <w:i/>
        </w:rPr>
      </w:pPr>
      <w:r w:rsidRPr="007F631D">
        <w:rPr>
          <w:b/>
          <w:i/>
          <w:color w:val="000000"/>
        </w:rPr>
        <w:t xml:space="preserve">23. Oslobodenie od dane pri </w:t>
      </w:r>
      <w:r w:rsidRPr="007F631D">
        <w:rPr>
          <w:b/>
          <w:i/>
        </w:rPr>
        <w:t xml:space="preserve">intrakomunitárnom dodaní </w:t>
      </w:r>
      <w:r>
        <w:rPr>
          <w:b/>
          <w:i/>
        </w:rPr>
        <w:t>(</w:t>
      </w:r>
      <w:r w:rsidRPr="007F631D">
        <w:rPr>
          <w:b/>
          <w:i/>
        </w:rPr>
        <w:t>§ 43 ods. 9</w:t>
      </w:r>
      <w:r>
        <w:rPr>
          <w:b/>
          <w:i/>
        </w:rPr>
        <w:t>)</w:t>
      </w:r>
    </w:p>
    <w:p w14:paraId="3194E807" w14:textId="77777777" w:rsidR="00746D3C" w:rsidRDefault="00746D3C" w:rsidP="00746D3C">
      <w:pPr>
        <w:jc w:val="both"/>
        <w:rPr>
          <w:b/>
          <w:i/>
          <w:color w:val="FF0000"/>
        </w:rPr>
      </w:pPr>
    </w:p>
    <w:p w14:paraId="38962DC9" w14:textId="77777777" w:rsidR="00746D3C" w:rsidRDefault="00746D3C" w:rsidP="00746D3C">
      <w:pPr>
        <w:jc w:val="both"/>
        <w:rPr>
          <w:shd w:val="clear" w:color="auto" w:fill="FFFFFF"/>
        </w:rPr>
      </w:pPr>
      <w:r w:rsidRPr="007F631D">
        <w:rPr>
          <w:shd w:val="clear" w:color="auto" w:fill="FFFFFF"/>
        </w:rPr>
        <w:t>Zmena regulácie dotknutým subjektom nezvyšuje náklady.</w:t>
      </w:r>
      <w:r w:rsidRPr="0044536B">
        <w:rPr>
          <w:shd w:val="clear" w:color="auto" w:fill="FFFFFF"/>
        </w:rPr>
        <w:t xml:space="preserve"> </w:t>
      </w:r>
      <w:r>
        <w:rPr>
          <w:shd w:val="clear" w:color="auto" w:fill="FFFFFF"/>
        </w:rPr>
        <w:t xml:space="preserve">Ustanovuje sa </w:t>
      </w:r>
      <w:r w:rsidRPr="00CF422B">
        <w:rPr>
          <w:shd w:val="clear" w:color="auto" w:fill="FFFFFF"/>
        </w:rPr>
        <w:t>nov</w:t>
      </w:r>
      <w:r>
        <w:rPr>
          <w:shd w:val="clear" w:color="auto" w:fill="FFFFFF"/>
        </w:rPr>
        <w:t>á</w:t>
      </w:r>
      <w:r w:rsidRPr="00CF422B">
        <w:rPr>
          <w:shd w:val="clear" w:color="auto" w:fill="FFFFFF"/>
        </w:rPr>
        <w:t xml:space="preserve"> podmienk</w:t>
      </w:r>
      <w:r>
        <w:rPr>
          <w:shd w:val="clear" w:color="auto" w:fill="FFFFFF"/>
        </w:rPr>
        <w:t>a</w:t>
      </w:r>
      <w:r w:rsidRPr="00CF422B">
        <w:rPr>
          <w:shd w:val="clear" w:color="auto" w:fill="FFFFFF"/>
        </w:rPr>
        <w:t xml:space="preserve"> na uplatnenie oslobodenia od dane pri dodaní tovaru z tuzemska do iného členského štátu</w:t>
      </w:r>
      <w:r>
        <w:rPr>
          <w:shd w:val="clear" w:color="auto" w:fill="FFFFFF"/>
        </w:rPr>
        <w:t xml:space="preserve"> v nadväznosti na zrušenie povinnosti podávať súhrnný výkaz, ktorá sa viaže na oznámenie</w:t>
      </w:r>
      <w:r w:rsidRPr="00CF422B">
        <w:rPr>
          <w:shd w:val="clear" w:color="auto" w:fill="FFFFFF"/>
        </w:rPr>
        <w:t xml:space="preserve"> údajov o cezhraničnom dodaní tovarov a služieb v rámci členských štátov</w:t>
      </w:r>
      <w:r>
        <w:rPr>
          <w:shd w:val="clear" w:color="auto" w:fill="FFFFFF"/>
        </w:rPr>
        <w:t xml:space="preserve"> FRSR. Negatívny </w:t>
      </w:r>
      <w:r>
        <w:rPr>
          <w:shd w:val="clear" w:color="auto" w:fill="FFFFFF"/>
        </w:rPr>
        <w:lastRenderedPageBreak/>
        <w:t>vplyv tejto regulácie je kvantifikovaný v rámci regulácie č. 22. Na strane druhej pozitívny vplyv bol kvantifikovaný v rámci regulácie č. 21.</w:t>
      </w:r>
    </w:p>
    <w:p w14:paraId="7467384E" w14:textId="77777777" w:rsidR="00746D3C" w:rsidRDefault="00746D3C" w:rsidP="00746D3C">
      <w:pPr>
        <w:jc w:val="both"/>
        <w:rPr>
          <w:rFonts w:eastAsia="Calibri"/>
          <w:bCs/>
          <w:i/>
          <w:iCs/>
          <w:color w:val="000000"/>
        </w:rPr>
      </w:pPr>
    </w:p>
    <w:p w14:paraId="36E802B2" w14:textId="77777777" w:rsidR="00746D3C" w:rsidRPr="007F631D" w:rsidRDefault="00746D3C" w:rsidP="00746D3C">
      <w:pPr>
        <w:jc w:val="both"/>
        <w:rPr>
          <w:rFonts w:eastAsia="Calibri"/>
          <w:b/>
          <w:bCs/>
          <w:i/>
        </w:rPr>
      </w:pPr>
      <w:r w:rsidRPr="007F631D">
        <w:rPr>
          <w:rFonts w:eastAsia="Calibri"/>
          <w:b/>
          <w:bCs/>
          <w:i/>
        </w:rPr>
        <w:t xml:space="preserve">24. </w:t>
      </w:r>
      <w:r w:rsidRPr="007F631D">
        <w:rPr>
          <w:b/>
          <w:bCs/>
          <w:i/>
        </w:rPr>
        <w:t>Nová hmotnoprávna podmienka práva na odpočítanie dane</w:t>
      </w:r>
      <w:r>
        <w:rPr>
          <w:b/>
          <w:bCs/>
          <w:i/>
        </w:rPr>
        <w:t xml:space="preserve"> (49 ods. 11)</w:t>
      </w:r>
    </w:p>
    <w:p w14:paraId="7DBC31F7" w14:textId="77777777" w:rsidR="00746D3C" w:rsidRDefault="00746D3C" w:rsidP="00746D3C">
      <w:pPr>
        <w:jc w:val="both"/>
      </w:pPr>
    </w:p>
    <w:p w14:paraId="37D5BFA0" w14:textId="77777777" w:rsidR="00746D3C" w:rsidRPr="00FB2F0E" w:rsidRDefault="00746D3C" w:rsidP="00746D3C">
      <w:pPr>
        <w:jc w:val="both"/>
        <w:rPr>
          <w:rFonts w:eastAsia="Calibri"/>
          <w:iCs/>
        </w:rPr>
      </w:pPr>
      <w:r>
        <w:t>Nová</w:t>
      </w:r>
      <w:r w:rsidRPr="0046683E">
        <w:t xml:space="preserve"> reguláci</w:t>
      </w:r>
      <w:r>
        <w:t>a</w:t>
      </w:r>
      <w:r w:rsidRPr="0046683E">
        <w:t xml:space="preserve"> dotknutým podnikateľským subjektom nezvyšuje ani neznižuje náklady.</w:t>
      </w:r>
      <w:r>
        <w:t xml:space="preserve"> </w:t>
      </w:r>
      <w:r w:rsidRPr="00FB2F0E">
        <w:t>Nová hmotnoprávna podmienka práva na odpočítanie dane</w:t>
      </w:r>
      <w:r>
        <w:t xml:space="preserve"> (§ 49 ods. 11)</w:t>
      </w:r>
      <w:r w:rsidRPr="00FB2F0E">
        <w:t>, a to dispozícia elektronickou faktúrou vyhotovenou podľa § 71 ods. 1 písm. b) platiteľom dane je už kvantifikovaná v rámci regulácie č. 9. Z hľadiska ustanovenia § 76 zákona o DPH, ktorý sa týka uchovávania faktúr nedochádza návrhom zákona k žiadnym zmenám.</w:t>
      </w:r>
    </w:p>
    <w:p w14:paraId="1E25305F" w14:textId="77777777" w:rsidR="00746D3C" w:rsidRDefault="00746D3C" w:rsidP="00746D3C">
      <w:pPr>
        <w:jc w:val="both"/>
        <w:rPr>
          <w:rFonts w:eastAsia="Calibri"/>
          <w:iCs/>
        </w:rPr>
      </w:pPr>
    </w:p>
    <w:p w14:paraId="13BD7EC9" w14:textId="77777777" w:rsidR="00746D3C" w:rsidRPr="007F631D" w:rsidRDefault="00746D3C" w:rsidP="00746D3C">
      <w:pPr>
        <w:jc w:val="both"/>
        <w:rPr>
          <w:b/>
          <w:i/>
          <w:color w:val="000000"/>
        </w:rPr>
      </w:pPr>
      <w:r w:rsidRPr="007F631D">
        <w:rPr>
          <w:rFonts w:eastAsia="Calibri"/>
          <w:b/>
          <w:bCs/>
          <w:i/>
        </w:rPr>
        <w:t xml:space="preserve">25. </w:t>
      </w:r>
      <w:r w:rsidRPr="007F631D">
        <w:rPr>
          <w:b/>
          <w:bCs/>
          <w:i/>
          <w:color w:val="000000"/>
        </w:rPr>
        <w:t>Vyhotovenie</w:t>
      </w:r>
      <w:r w:rsidRPr="007F631D">
        <w:rPr>
          <w:b/>
          <w:i/>
          <w:color w:val="000000"/>
        </w:rPr>
        <w:t xml:space="preserve"> elektronickej faktúry osobou registrovanou pre daň podľa § 7a zákona o DPH (cezhraničné transakcie)</w:t>
      </w:r>
    </w:p>
    <w:p w14:paraId="67B5A96D" w14:textId="77777777" w:rsidR="00746D3C" w:rsidRDefault="00746D3C" w:rsidP="00746D3C">
      <w:pPr>
        <w:jc w:val="both"/>
        <w:rPr>
          <w:b/>
          <w:i/>
          <w:color w:val="000000"/>
        </w:rPr>
      </w:pPr>
    </w:p>
    <w:p w14:paraId="3F31B495" w14:textId="77777777" w:rsidR="00746D3C" w:rsidRPr="00FB2F0E" w:rsidRDefault="00746D3C" w:rsidP="00746D3C">
      <w:pPr>
        <w:jc w:val="both"/>
        <w:rPr>
          <w:rFonts w:eastAsia="Calibri"/>
          <w:bCs/>
          <w:iCs/>
        </w:rPr>
      </w:pPr>
      <w:r w:rsidRPr="0046683E">
        <w:rPr>
          <w:bCs/>
          <w:iCs/>
          <w:color w:val="000000"/>
        </w:rPr>
        <w:t>Zmena regulácie dotknutým podnikateľským subjektom zvyšuje náklady</w:t>
      </w:r>
      <w:r>
        <w:rPr>
          <w:bCs/>
          <w:iCs/>
          <w:color w:val="000000"/>
        </w:rPr>
        <w:t>.</w:t>
      </w:r>
      <w:r w:rsidRPr="0046683E">
        <w:rPr>
          <w:bCs/>
          <w:iCs/>
          <w:color w:val="000000"/>
        </w:rPr>
        <w:t xml:space="preserve"> </w:t>
      </w:r>
      <w:r w:rsidRPr="00FB2F0E">
        <w:rPr>
          <w:bCs/>
          <w:iCs/>
          <w:color w:val="000000"/>
        </w:rPr>
        <w:t>Z údajov predložených FRSR nie je možné jednoznačne počet dotknutých osôb kvantifikovať. Zo súhrnn</w:t>
      </w:r>
      <w:r>
        <w:rPr>
          <w:bCs/>
          <w:iCs/>
          <w:color w:val="000000"/>
        </w:rPr>
        <w:t>ého</w:t>
      </w:r>
      <w:r w:rsidRPr="00FB2F0E">
        <w:rPr>
          <w:bCs/>
          <w:iCs/>
          <w:color w:val="000000"/>
        </w:rPr>
        <w:t xml:space="preserve"> výkaz</w:t>
      </w:r>
      <w:r>
        <w:rPr>
          <w:bCs/>
          <w:iCs/>
          <w:color w:val="000000"/>
        </w:rPr>
        <w:t>u</w:t>
      </w:r>
      <w:r w:rsidRPr="00FB2F0E">
        <w:rPr>
          <w:bCs/>
          <w:iCs/>
          <w:color w:val="000000"/>
        </w:rPr>
        <w:t xml:space="preserve"> vzhľadom na </w:t>
      </w:r>
      <w:r>
        <w:rPr>
          <w:bCs/>
          <w:iCs/>
          <w:color w:val="000000"/>
        </w:rPr>
        <w:t>jeho</w:t>
      </w:r>
      <w:r w:rsidRPr="00FB2F0E">
        <w:rPr>
          <w:bCs/>
          <w:iCs/>
          <w:color w:val="000000"/>
        </w:rPr>
        <w:t xml:space="preserve"> štruktúru nie je možné ani identifikovať počet faktúr vyhotovených osobami registrovanými </w:t>
      </w:r>
      <w:r>
        <w:rPr>
          <w:bCs/>
          <w:iCs/>
          <w:color w:val="000000"/>
        </w:rPr>
        <w:t xml:space="preserve">pre daň </w:t>
      </w:r>
      <w:r w:rsidRPr="00FB2F0E">
        <w:rPr>
          <w:bCs/>
          <w:iCs/>
          <w:color w:val="000000"/>
        </w:rPr>
        <w:t>podľa 7a</w:t>
      </w:r>
      <w:r>
        <w:rPr>
          <w:bCs/>
          <w:iCs/>
          <w:color w:val="000000"/>
        </w:rPr>
        <w:t xml:space="preserve"> pri </w:t>
      </w:r>
      <w:r w:rsidRPr="00FB2F0E">
        <w:rPr>
          <w:bCs/>
          <w:iCs/>
          <w:color w:val="000000"/>
        </w:rPr>
        <w:t>dod</w:t>
      </w:r>
      <w:r>
        <w:rPr>
          <w:bCs/>
          <w:iCs/>
          <w:color w:val="000000"/>
        </w:rPr>
        <w:t>aní</w:t>
      </w:r>
      <w:r w:rsidRPr="00FB2F0E">
        <w:rPr>
          <w:bCs/>
          <w:iCs/>
          <w:color w:val="000000"/>
        </w:rPr>
        <w:t xml:space="preserve"> služb</w:t>
      </w:r>
      <w:r>
        <w:rPr>
          <w:bCs/>
          <w:iCs/>
          <w:color w:val="000000"/>
        </w:rPr>
        <w:t>y</w:t>
      </w:r>
      <w:r w:rsidRPr="00FB2F0E">
        <w:rPr>
          <w:bCs/>
          <w:iCs/>
          <w:color w:val="000000"/>
        </w:rPr>
        <w:t>, pri ktorej je miesto dodania podľa § 15 ods. 1 v inom členskom štáte a osobou povinnou platiť daň je príjemca služby</w:t>
      </w:r>
      <w:r>
        <w:rPr>
          <w:bCs/>
          <w:iCs/>
          <w:color w:val="000000"/>
        </w:rPr>
        <w:t>. Tieto subjekty nemusia byť každoročne aktívne, ale môžu byť registrované podľa § 7a zákona o DPH. Podľa § 7a sú navyše registrované aj osoby, ktoré sú príjemcami služby od zahraničnej osoby z iného členského štátu, pri ktorej sú povinné platiť daň.</w:t>
      </w:r>
    </w:p>
    <w:p w14:paraId="70E986E0" w14:textId="77777777" w:rsidR="00746D3C" w:rsidRDefault="00746D3C" w:rsidP="00746D3C">
      <w:pPr>
        <w:jc w:val="both"/>
        <w:rPr>
          <w:rFonts w:eastAsia="Calibri"/>
          <w:iCs/>
        </w:rPr>
      </w:pPr>
    </w:p>
    <w:p w14:paraId="49E83BE8" w14:textId="77777777" w:rsidR="00746D3C" w:rsidRPr="007F631D" w:rsidRDefault="00746D3C" w:rsidP="00746D3C">
      <w:pPr>
        <w:jc w:val="both"/>
        <w:rPr>
          <w:rFonts w:eastAsia="Calibri"/>
          <w:b/>
          <w:bCs/>
          <w:i/>
        </w:rPr>
      </w:pPr>
      <w:r w:rsidRPr="007F631D">
        <w:rPr>
          <w:rFonts w:eastAsia="Calibri"/>
          <w:b/>
          <w:bCs/>
          <w:i/>
        </w:rPr>
        <w:t xml:space="preserve">26. </w:t>
      </w:r>
      <w:r w:rsidRPr="007F631D">
        <w:rPr>
          <w:b/>
          <w:bCs/>
          <w:i/>
        </w:rPr>
        <w:t>Osobitný spôsob úhrady dane</w:t>
      </w:r>
      <w:r w:rsidRPr="007F631D">
        <w:rPr>
          <w:rFonts w:eastAsia="Calibri"/>
          <w:b/>
          <w:bCs/>
          <w:i/>
        </w:rPr>
        <w:t xml:space="preserve"> </w:t>
      </w:r>
      <w:r>
        <w:rPr>
          <w:rFonts w:eastAsia="Calibri"/>
          <w:b/>
          <w:bCs/>
          <w:i/>
        </w:rPr>
        <w:t>[</w:t>
      </w:r>
      <w:r w:rsidRPr="007F631D">
        <w:rPr>
          <w:rFonts w:eastAsia="Calibri"/>
          <w:b/>
          <w:bCs/>
          <w:i/>
        </w:rPr>
        <w:t>§ 69c ods. 1 písm. a)</w:t>
      </w:r>
      <w:r>
        <w:rPr>
          <w:rFonts w:eastAsia="Calibri"/>
          <w:b/>
          <w:bCs/>
          <w:i/>
        </w:rPr>
        <w:t>]</w:t>
      </w:r>
    </w:p>
    <w:p w14:paraId="6D4F08EC" w14:textId="77777777" w:rsidR="00746D3C" w:rsidRPr="00AB2566" w:rsidRDefault="00746D3C" w:rsidP="00746D3C">
      <w:pPr>
        <w:jc w:val="both"/>
        <w:rPr>
          <w:rFonts w:eastAsia="Calibri"/>
          <w:iCs/>
        </w:rPr>
      </w:pPr>
    </w:p>
    <w:p w14:paraId="0C16372E" w14:textId="77777777" w:rsidR="00746D3C" w:rsidRPr="00AB2566" w:rsidRDefault="00746D3C" w:rsidP="00746D3C">
      <w:pPr>
        <w:jc w:val="both"/>
      </w:pPr>
      <w:r w:rsidRPr="0046683E">
        <w:t>Zmena regulácie dotknutým subjektom nezvyšuje náklady.</w:t>
      </w:r>
      <w:r>
        <w:t xml:space="preserve"> </w:t>
      </w:r>
      <w:r w:rsidRPr="00AB2566">
        <w:t>Osobitný spôsob úhrady dane umožňuje platiteľovi dane (odberateľovi) vyhnúť sa ručeniu za daň podľa § 69b zákona o DPH, ktorú v lehote splatnosti nezaplatil (vcelku alebo len sčasti) jeho dodávateľ tým, že sumu dane odberateľ neuhradí dodávateľovi, ale ju zašle na osobný účet daňového subjektu (OÚD) vedený správcom dane pre dodávateľa. Z pohľadu finančnej správy v Slovenskej republike má osobitný spôsob úhrady dane značný potenciál riešiť veľkú skupinu podvodov so zmiznutým obchodníkom.</w:t>
      </w:r>
      <w:r>
        <w:t xml:space="preserve"> Navrhovaná regulácia umožní platiteľovi, ktorý si riadne plní svoje povinnosti, vyhnúť sa v prípade podozrení, negatívnym postupom.</w:t>
      </w:r>
    </w:p>
    <w:p w14:paraId="4B4F937C" w14:textId="77777777" w:rsidR="00746D3C" w:rsidRPr="00AB2566" w:rsidRDefault="00746D3C" w:rsidP="00746D3C">
      <w:pPr>
        <w:jc w:val="both"/>
        <w:rPr>
          <w:rFonts w:eastAsia="Calibri"/>
          <w:iCs/>
        </w:rPr>
      </w:pPr>
    </w:p>
    <w:p w14:paraId="46D9E998" w14:textId="77777777" w:rsidR="00746D3C" w:rsidRPr="007F631D" w:rsidRDefault="00746D3C" w:rsidP="00746D3C">
      <w:pPr>
        <w:jc w:val="both"/>
        <w:rPr>
          <w:rFonts w:eastAsia="Calibri"/>
          <w:b/>
          <w:bCs/>
          <w:i/>
        </w:rPr>
      </w:pPr>
      <w:r w:rsidRPr="007F631D">
        <w:rPr>
          <w:rFonts w:eastAsia="Calibri"/>
          <w:b/>
          <w:bCs/>
          <w:i/>
        </w:rPr>
        <w:t xml:space="preserve">27. </w:t>
      </w:r>
      <w:r>
        <w:rPr>
          <w:rFonts w:eastAsia="Calibri"/>
          <w:b/>
          <w:bCs/>
          <w:i/>
        </w:rPr>
        <w:t>O</w:t>
      </w:r>
      <w:r w:rsidRPr="0046683E">
        <w:rPr>
          <w:rFonts w:eastAsia="Calibri"/>
          <w:b/>
          <w:bCs/>
          <w:i/>
        </w:rPr>
        <w:t>sobitný spôsob úhrady dane</w:t>
      </w:r>
      <w:r>
        <w:rPr>
          <w:rFonts w:eastAsia="Calibri"/>
          <w:b/>
          <w:bCs/>
          <w:i/>
        </w:rPr>
        <w:t xml:space="preserve"> [</w:t>
      </w:r>
      <w:r w:rsidRPr="007F631D">
        <w:rPr>
          <w:rFonts w:eastAsia="Calibri"/>
          <w:b/>
          <w:bCs/>
          <w:i/>
        </w:rPr>
        <w:t>§ 69c ods. 1 písm. b) a ods. 2</w:t>
      </w:r>
      <w:r>
        <w:rPr>
          <w:rFonts w:eastAsia="Calibri"/>
          <w:b/>
          <w:bCs/>
          <w:i/>
        </w:rPr>
        <w:t>]</w:t>
      </w:r>
    </w:p>
    <w:p w14:paraId="30E33520" w14:textId="77777777" w:rsidR="00746D3C" w:rsidRPr="00EF450B" w:rsidRDefault="00746D3C" w:rsidP="00746D3C">
      <w:pPr>
        <w:jc w:val="both"/>
        <w:rPr>
          <w:rFonts w:eastAsia="Calibri"/>
          <w:b/>
          <w:bCs/>
          <w:iCs/>
        </w:rPr>
      </w:pPr>
    </w:p>
    <w:p w14:paraId="1779DC5A" w14:textId="77777777" w:rsidR="00746D3C" w:rsidRDefault="00746D3C" w:rsidP="00746D3C">
      <w:pPr>
        <w:jc w:val="both"/>
      </w:pPr>
      <w:r w:rsidRPr="0046683E">
        <w:t xml:space="preserve">Zmena regulácie dotknutým subjektom </w:t>
      </w:r>
      <w:r>
        <w:t>plošne ne</w:t>
      </w:r>
      <w:r w:rsidRPr="0046683E">
        <w:t>zvyšuje náklady.</w:t>
      </w:r>
      <w:r>
        <w:t xml:space="preserve"> R</w:t>
      </w:r>
      <w:r w:rsidRPr="00EF450B">
        <w:t>ozš</w:t>
      </w:r>
      <w:r>
        <w:t>iruje sa</w:t>
      </w:r>
      <w:r w:rsidRPr="00EF450B">
        <w:t xml:space="preserve"> uplatňovani</w:t>
      </w:r>
      <w:r>
        <w:t>e</w:t>
      </w:r>
      <w:r w:rsidRPr="00EF450B">
        <w:t xml:space="preserve"> osobitného spôsobu úhrady dane podľa § 69c zákona o DPH takým spôsobom, že pri určitých transakciách vybraných platiteľov dane, pri ktorých je odôvodnené podozrenie, že daň u dodávateľa nebude uhradená, bude mať daňový úrad možnosť uložiť povinnosť odberateľovi uhradiť daň z faktúry priamo na OÚD správcu dane vedený pre dodávateľa. </w:t>
      </w:r>
      <w:r>
        <w:t>Ide</w:t>
      </w:r>
      <w:r w:rsidRPr="00EF450B">
        <w:t xml:space="preserve"> o cielené, nie plošné opatrenie.</w:t>
      </w:r>
      <w:r>
        <w:t xml:space="preserve"> Počet dotknutých podnikateľov nemožno vopred predpokladať. Dotknutý podnikateľ bude musieť, ak tak určí daňový úrad, rozdeliť platbu za dodanie tovaru alebo služby na dve platby.</w:t>
      </w:r>
    </w:p>
    <w:p w14:paraId="3907265D" w14:textId="77777777" w:rsidR="00746D3C" w:rsidRPr="00EF450B" w:rsidRDefault="00746D3C" w:rsidP="00746D3C">
      <w:pPr>
        <w:jc w:val="both"/>
      </w:pPr>
    </w:p>
    <w:p w14:paraId="62578411" w14:textId="77777777" w:rsidR="00746D3C" w:rsidRPr="007F631D" w:rsidRDefault="00746D3C" w:rsidP="00746D3C">
      <w:pPr>
        <w:jc w:val="both"/>
        <w:rPr>
          <w:rFonts w:eastAsia="Calibri"/>
          <w:b/>
          <w:bCs/>
          <w:i/>
        </w:rPr>
      </w:pPr>
      <w:r w:rsidRPr="007F631D">
        <w:rPr>
          <w:rFonts w:eastAsia="Calibri"/>
          <w:b/>
          <w:bCs/>
          <w:i/>
        </w:rPr>
        <w:t>2</w:t>
      </w:r>
      <w:r>
        <w:rPr>
          <w:rFonts w:eastAsia="Calibri"/>
          <w:b/>
          <w:bCs/>
          <w:i/>
        </w:rPr>
        <w:t>8</w:t>
      </w:r>
      <w:r w:rsidRPr="007F631D">
        <w:rPr>
          <w:rFonts w:eastAsia="Calibri"/>
          <w:b/>
          <w:bCs/>
          <w:i/>
        </w:rPr>
        <w:t xml:space="preserve">. </w:t>
      </w:r>
      <w:r>
        <w:rPr>
          <w:rFonts w:eastAsia="Calibri"/>
          <w:b/>
          <w:bCs/>
          <w:i/>
        </w:rPr>
        <w:t>Úprava daňového priznania (</w:t>
      </w:r>
      <w:r w:rsidRPr="007F631D">
        <w:rPr>
          <w:rFonts w:eastAsia="Calibri"/>
          <w:b/>
          <w:bCs/>
          <w:i/>
        </w:rPr>
        <w:t>§ 78</w:t>
      </w:r>
      <w:r>
        <w:rPr>
          <w:rFonts w:eastAsia="Calibri"/>
          <w:b/>
          <w:bCs/>
          <w:i/>
        </w:rPr>
        <w:t>)</w:t>
      </w:r>
    </w:p>
    <w:p w14:paraId="5272688D" w14:textId="77777777" w:rsidR="00746D3C" w:rsidRPr="003B3B7D" w:rsidRDefault="00746D3C" w:rsidP="00746D3C">
      <w:pPr>
        <w:jc w:val="both"/>
        <w:rPr>
          <w:rFonts w:eastAsia="Calibri"/>
          <w:b/>
          <w:bCs/>
          <w:iCs/>
        </w:rPr>
      </w:pPr>
    </w:p>
    <w:p w14:paraId="0A21C40A" w14:textId="77777777" w:rsidR="00746D3C" w:rsidRPr="003B3B7D" w:rsidRDefault="00746D3C" w:rsidP="00746D3C">
      <w:pPr>
        <w:jc w:val="both"/>
        <w:rPr>
          <w:rFonts w:eastAsia="Calibri"/>
          <w:b/>
          <w:bCs/>
          <w:iCs/>
        </w:rPr>
      </w:pPr>
      <w:r>
        <w:t>Zmena</w:t>
      </w:r>
      <w:r w:rsidRPr="0046683E">
        <w:t xml:space="preserve"> reguláci</w:t>
      </w:r>
      <w:r>
        <w:t>e</w:t>
      </w:r>
      <w:r w:rsidRPr="0046683E">
        <w:t xml:space="preserve"> dotknutým podnikateľským subjektom nezvyšuje ani neznižuje náklady.</w:t>
      </w:r>
      <w:r>
        <w:t xml:space="preserve"> </w:t>
      </w:r>
      <w:r w:rsidRPr="003B3B7D">
        <w:t>Z dôvodu vypustenia kontrolného výkazu od 1.7.2030 sa navrhuje ako súčasť daňového priznania uvádzať údaje o dodaniach, ktoré sa nebudú elektronicky oznamovať podľa § 80 a §80a zákona o</w:t>
      </w:r>
      <w:r>
        <w:t> </w:t>
      </w:r>
      <w:r w:rsidRPr="003B3B7D">
        <w:t>DPH</w:t>
      </w:r>
      <w:r>
        <w:t>, a ktoré sú súčasťou kontrolného výkazu do 30.6.2030.</w:t>
      </w:r>
      <w:r w:rsidRPr="003B3B7D">
        <w:t xml:space="preserve"> P</w:t>
      </w:r>
      <w:r w:rsidRPr="003B3B7D">
        <w:rPr>
          <w:color w:val="000000" w:themeColor="text1"/>
        </w:rPr>
        <w:t>odľa § 78 ods. 8 až 13 zákona, s účinnosťou od</w:t>
      </w:r>
      <w:r w:rsidRPr="003B3B7D">
        <w:t xml:space="preserve"> </w:t>
      </w:r>
      <w:r w:rsidRPr="003B3B7D">
        <w:rPr>
          <w:color w:val="000000" w:themeColor="text1"/>
        </w:rPr>
        <w:t xml:space="preserve">1.7.2030, budú v daňovom priznaní predmetom oznamovacej povinnosti aj </w:t>
      </w:r>
      <w:r w:rsidRPr="003B3B7D">
        <w:rPr>
          <w:color w:val="000000" w:themeColor="text1"/>
        </w:rPr>
        <w:lastRenderedPageBreak/>
        <w:t>údaje o dodaniach, ku ktorým sú vyhotovené zjednodušené faktúry, údaje z opravných faktúr a opravných dokladov podľa § 25a a § 53b zákona o DPH. Zachovanie oznamovania údajov pri niektorých druhoch dodaní tovarov a služieb je pre finančnú správu a boj proti daňovým podvodom kľúčové.</w:t>
      </w:r>
    </w:p>
    <w:p w14:paraId="4C6A6CCD" w14:textId="77777777" w:rsidR="00746D3C" w:rsidRPr="003B3B7D" w:rsidRDefault="00746D3C" w:rsidP="00746D3C">
      <w:pPr>
        <w:jc w:val="both"/>
        <w:rPr>
          <w:rFonts w:eastAsia="Calibri"/>
          <w:b/>
          <w:bCs/>
          <w:iCs/>
        </w:rPr>
      </w:pPr>
    </w:p>
    <w:p w14:paraId="29DCE504" w14:textId="77777777" w:rsidR="00746D3C" w:rsidRPr="00B30E8D" w:rsidRDefault="00746D3C" w:rsidP="00746D3C">
      <w:pPr>
        <w:jc w:val="both"/>
        <w:rPr>
          <w:rFonts w:eastAsia="Calibri"/>
          <w:b/>
          <w:bCs/>
          <w:i/>
        </w:rPr>
      </w:pPr>
      <w:r w:rsidRPr="00B30E8D">
        <w:rPr>
          <w:rFonts w:eastAsia="Calibri"/>
          <w:b/>
          <w:bCs/>
          <w:i/>
        </w:rPr>
        <w:t>29. Sankcie (§ 4c ods. 12, § 69c ods. 8, § 80 ods. 10 a ods. 11, § 80a ods. 9 a ods. 10, § 85n ods. 13 a ods. 14)</w:t>
      </w:r>
    </w:p>
    <w:p w14:paraId="1A4A9D8D" w14:textId="77777777" w:rsidR="00746D3C" w:rsidRDefault="00746D3C" w:rsidP="00746D3C">
      <w:pPr>
        <w:jc w:val="both"/>
        <w:rPr>
          <w:rFonts w:eastAsia="Calibri"/>
          <w:b/>
          <w:bCs/>
          <w:iCs/>
        </w:rPr>
      </w:pPr>
    </w:p>
    <w:p w14:paraId="3B8AEE8F" w14:textId="77777777" w:rsidR="00746D3C" w:rsidRDefault="00746D3C" w:rsidP="00746D3C">
      <w:pPr>
        <w:jc w:val="both"/>
      </w:pPr>
      <w:r w:rsidRPr="0046683E">
        <w:t>Zmena reguláci</w:t>
      </w:r>
      <w:r>
        <w:t>í a nové regulácie</w:t>
      </w:r>
      <w:r w:rsidRPr="0046683E">
        <w:t xml:space="preserve"> dotknutým subjektom zvyšuj</w:t>
      </w:r>
      <w:r>
        <w:t>ú</w:t>
      </w:r>
      <w:r w:rsidRPr="0046683E">
        <w:t xml:space="preserve"> náklady.</w:t>
      </w:r>
      <w:r>
        <w:t xml:space="preserve"> V</w:t>
      </w:r>
      <w:r w:rsidRPr="00C90F04">
        <w:t>zhľadom na skutočnosť, že ide o novo zavádzané ustanoveni</w:t>
      </w:r>
      <w:r>
        <w:t>a</w:t>
      </w:r>
      <w:r w:rsidRPr="00C90F04">
        <w:t>, nie je možné negatívny dopad sankcií na podnikateľské prostredie kvantifikovať</w:t>
      </w:r>
      <w:r>
        <w:t xml:space="preserve"> a ich primárnym cieľom nie je výber pokút, ale zabezpečenie riadneho plnenia povinností.</w:t>
      </w:r>
    </w:p>
    <w:p w14:paraId="5BEEB099" w14:textId="77777777" w:rsidR="00746D3C" w:rsidRPr="000F7FC9" w:rsidRDefault="00746D3C" w:rsidP="00746D3C">
      <w:pPr>
        <w:jc w:val="both"/>
      </w:pPr>
      <w:r>
        <w:t>Podľa § 4c ods. 12 návrhu zákona a</w:t>
      </w:r>
      <w:r w:rsidRPr="00F1566A">
        <w:t xml:space="preserve">k zástupca skupiny nesplní povinnosti podľa odsekov 8 až 10, daňový úrad príslušný pre skupinu uloží skupine pokutu do výšky 10 000 eur. Pri určení výšky pokuty </w:t>
      </w:r>
      <w:r w:rsidRPr="000F7FC9">
        <w:t xml:space="preserve">prihliadne daňový úrad na závažnosť, </w:t>
      </w:r>
      <w:r>
        <w:t xml:space="preserve">dĺžku </w:t>
      </w:r>
      <w:r w:rsidRPr="000F7FC9">
        <w:t>trvani</w:t>
      </w:r>
      <w:r>
        <w:t>a</w:t>
      </w:r>
      <w:r w:rsidRPr="000F7FC9">
        <w:t xml:space="preserve"> a následky protiprávneho stavu.</w:t>
      </w:r>
    </w:p>
    <w:p w14:paraId="6EF9D6D0" w14:textId="77777777" w:rsidR="00746D3C" w:rsidRPr="000F7FC9" w:rsidRDefault="00746D3C" w:rsidP="00746D3C">
      <w:pPr>
        <w:jc w:val="both"/>
      </w:pPr>
      <w:r w:rsidRPr="000F7FC9">
        <w:t>Podľa § 69c ods. 8 návrhu zákona ak platiteľ (odberateľ) daň uvedenú v rozhodnutí podľa odseku 1 písm. b) neuhradí v určenej lehote alebo uhradí len jej časť, daňový úrad mu uloží pokutu do výšky dane uvedenej na faktúre.</w:t>
      </w:r>
    </w:p>
    <w:p w14:paraId="01B2E5B9" w14:textId="77777777" w:rsidR="00746D3C" w:rsidRPr="000F7FC9" w:rsidRDefault="00746D3C" w:rsidP="00746D3C">
      <w:pPr>
        <w:jc w:val="both"/>
      </w:pPr>
      <w:r w:rsidRPr="000F7FC9">
        <w:t>Podľa § 80 ods. 10 a ods. 11, § 80a ods. 9 a ods. 10, § 85n ods. 1</w:t>
      </w:r>
      <w:r>
        <w:t>2</w:t>
      </w:r>
      <w:r w:rsidRPr="000F7FC9">
        <w:t xml:space="preserve"> a ods. 1</w:t>
      </w:r>
      <w:r>
        <w:t>3</w:t>
      </w:r>
      <w:r w:rsidRPr="000F7FC9">
        <w:t xml:space="preserve"> návrhu zákona daňový úrad uloží pokutu v súvislosti s oznamovaním údajov finančnému riaditeľstvu pri cezhraničnom dodaní a nadobudnutí tovaru a služby a pri tuzemskom dodaní tovaru a služby. V prípade neoznámenia požadovaných údajov, ich oznámenia po uplynutí lehoty, neoznámenia všetkých údajov alebo ich oznámenia nesprávne daňový úrad uloží pokutu do výšky 10 000 eur. Za opakované porušenie daňový úrad uloží pokutu do výšky 100 000 eur. Pri určení výšky pokuty prihliadne daňový úrad na závažnosť a dĺžku trvania protiprávneho stavu. </w:t>
      </w:r>
      <w:r>
        <w:t>V</w:t>
      </w:r>
      <w:r w:rsidRPr="008805D2">
        <w:t xml:space="preserve"> prípade, ak sú údaje oznámené dodávateľom alebo odberateľom nesprávne, a ide o zrejmý omyl, pričom nesprávne údaje dodávateľ alebo odberateľ následne opraví, daňový úrad pokutu neuloží.</w:t>
      </w:r>
      <w:r>
        <w:t xml:space="preserve"> Daňový úrad pokutu neuloží aj v prípade, ak platiteľ alebo zdaniteľná osoba neoznámili údaje z dôvodov preukázateľnej technickej poruchy na strane certifikovaného poskytovateľa doručovacej služby a údaje oznámili bezodkladne po odstránení tejto poruchy. </w:t>
      </w:r>
      <w:r w:rsidRPr="000F7FC9">
        <w:t>V tejto súvislosti je potrebné uviesť, že doručovacia služba</w:t>
      </w:r>
      <w:r>
        <w:t xml:space="preserve"> bude musieť </w:t>
      </w:r>
      <w:r w:rsidRPr="000F7FC9">
        <w:t>automatizovane plniť informačné povinnosti podľa § 80, § 80a a 85n</w:t>
      </w:r>
      <w:r>
        <w:t>, teda výrazne eliminuje možnosť nesplnenia oznamovacích povinností.</w:t>
      </w:r>
    </w:p>
    <w:p w14:paraId="47239CEF" w14:textId="77777777" w:rsidR="00746D3C" w:rsidRDefault="00746D3C" w:rsidP="00746D3C">
      <w:pPr>
        <w:jc w:val="both"/>
      </w:pPr>
    </w:p>
    <w:p w14:paraId="3C48558B" w14:textId="77777777" w:rsidR="00746D3C" w:rsidRDefault="00746D3C" w:rsidP="00746D3C">
      <w:pPr>
        <w:jc w:val="both"/>
        <w:rPr>
          <w:b/>
          <w:bCs/>
          <w:i/>
          <w:iCs/>
        </w:rPr>
      </w:pPr>
      <w:r w:rsidRPr="001955BB">
        <w:rPr>
          <w:b/>
          <w:bCs/>
          <w:i/>
          <w:iCs/>
        </w:rPr>
        <w:t xml:space="preserve">30. </w:t>
      </w:r>
      <w:r>
        <w:rPr>
          <w:b/>
          <w:bCs/>
          <w:i/>
          <w:iCs/>
        </w:rPr>
        <w:t>Spočívanie lehoty na vrátenie nadmerného odpočtu (§ 79 ods. 12)</w:t>
      </w:r>
    </w:p>
    <w:p w14:paraId="3E06825F" w14:textId="77777777" w:rsidR="00746D3C" w:rsidRDefault="00746D3C" w:rsidP="00746D3C">
      <w:pPr>
        <w:jc w:val="both"/>
        <w:rPr>
          <w:b/>
          <w:bCs/>
          <w:i/>
          <w:iCs/>
        </w:rPr>
      </w:pPr>
    </w:p>
    <w:p w14:paraId="1AC45E4A" w14:textId="77777777" w:rsidR="00746D3C" w:rsidRDefault="00746D3C" w:rsidP="00746D3C">
      <w:pPr>
        <w:jc w:val="both"/>
      </w:pPr>
      <w:r w:rsidRPr="0046683E">
        <w:t>Zmena regulácie dotknutým subjektom zvyšuje náklady.</w:t>
      </w:r>
      <w:r>
        <w:t xml:space="preserve"> </w:t>
      </w:r>
      <w:r>
        <w:rPr>
          <w:rFonts w:eastAsia="Calibri"/>
        </w:rPr>
        <w:t>O</w:t>
      </w:r>
      <w:r w:rsidRPr="00A82DA8">
        <w:rPr>
          <w:rFonts w:eastAsia="Calibri"/>
        </w:rPr>
        <w:t xml:space="preserve">do dňa vydania rozhodnutia o uložení predbežného opatrenia do dňa, kedy bolo rozhodnutie o uložení predbežného opatrenia zrušené alebo do </w:t>
      </w:r>
      <w:r>
        <w:rPr>
          <w:rFonts w:eastAsia="Calibri"/>
        </w:rPr>
        <w:t>dňa straty účinnosti predbežného opatrenia nebude plynúť lehota na vrátenie nadmerného odpočtu. Zároveň nie je týmto dotknutá l</w:t>
      </w:r>
      <w:r w:rsidRPr="000C16E3">
        <w:rPr>
          <w:rFonts w:eastAsia="Calibri"/>
        </w:rPr>
        <w:t>ehota na vrátenie nadmerného odpočtu podľa § 79 odsek 6 zákona o DPH.</w:t>
      </w:r>
      <w:r>
        <w:rPr>
          <w:rFonts w:eastAsia="Calibri"/>
        </w:rPr>
        <w:t xml:space="preserve"> Vzhľadom na skutočnosť, že sa rozširuje možnosť uplatňovania predbežného opatrenia podľa osobitného predpisu (Daňový poriadok), môže sa predĺžiť obdobie, počas ktorého nebude nadmerný odpočet platiteľovi dane vrátený. </w:t>
      </w:r>
      <w:r>
        <w:t>V</w:t>
      </w:r>
      <w:r w:rsidRPr="00C90F04">
        <w:t xml:space="preserve">zhľadom na skutočnosť, že ide o novo zavádzané </w:t>
      </w:r>
      <w:r>
        <w:t>opatrenie</w:t>
      </w:r>
      <w:r w:rsidRPr="00C90F04">
        <w:t xml:space="preserve">, nie je možné negatívny dopad </w:t>
      </w:r>
      <w:r>
        <w:t>tohto ustanovenia</w:t>
      </w:r>
      <w:r w:rsidRPr="00C90F04">
        <w:t xml:space="preserve"> na podnikateľské prostredie kvantifikovať</w:t>
      </w:r>
      <w:r>
        <w:t xml:space="preserve"> ani čo do počtu dotknutých subjektov, ani čo do výšky zadržanej sumy nadmerného odpočtu. Ide</w:t>
      </w:r>
      <w:r w:rsidRPr="00EF450B">
        <w:t xml:space="preserve"> o cielené, nie plošné opatrenie.</w:t>
      </w:r>
    </w:p>
    <w:p w14:paraId="7A62064F" w14:textId="77777777" w:rsidR="00746D3C" w:rsidRDefault="00746D3C" w:rsidP="00746D3C">
      <w:pPr>
        <w:jc w:val="both"/>
      </w:pPr>
    </w:p>
    <w:p w14:paraId="1D990534" w14:textId="77777777" w:rsidR="00746D3C" w:rsidRPr="001406E4" w:rsidRDefault="00746D3C" w:rsidP="00746D3C">
      <w:pPr>
        <w:jc w:val="both"/>
        <w:rPr>
          <w:b/>
          <w:bCs/>
          <w:i/>
          <w:iCs/>
        </w:rPr>
      </w:pPr>
      <w:r w:rsidRPr="001406E4">
        <w:rPr>
          <w:b/>
          <w:bCs/>
          <w:i/>
          <w:iCs/>
        </w:rPr>
        <w:t>3</w:t>
      </w:r>
      <w:r>
        <w:rPr>
          <w:b/>
          <w:bCs/>
          <w:i/>
          <w:iCs/>
        </w:rPr>
        <w:t>1</w:t>
      </w:r>
      <w:r w:rsidRPr="001406E4">
        <w:rPr>
          <w:b/>
          <w:bCs/>
          <w:i/>
          <w:iCs/>
        </w:rPr>
        <w:t xml:space="preserve">. Vypustenie povinnosti dotknutej účtovnej jednotky predkladať MFSR výročnú správu a záznamy z valných zhromaždení (§ 23 ods. 7 a 8 zákona č. 431/2002 </w:t>
      </w:r>
      <w:r>
        <w:rPr>
          <w:b/>
          <w:bCs/>
          <w:i/>
          <w:iCs/>
        </w:rPr>
        <w:t xml:space="preserve">Z. z. </w:t>
      </w:r>
      <w:r w:rsidRPr="001406E4">
        <w:rPr>
          <w:b/>
          <w:bCs/>
          <w:i/>
          <w:iCs/>
        </w:rPr>
        <w:t>o účtovníctve v znení neskorších predpisov)</w:t>
      </w:r>
    </w:p>
    <w:p w14:paraId="12696327" w14:textId="77777777" w:rsidR="00746D3C" w:rsidRDefault="00746D3C" w:rsidP="00746D3C">
      <w:pPr>
        <w:jc w:val="both"/>
        <w:rPr>
          <w:b/>
          <w:bCs/>
        </w:rPr>
      </w:pPr>
    </w:p>
    <w:p w14:paraId="5478CCC8" w14:textId="7CEA88A9" w:rsidR="00746D3C" w:rsidRDefault="00746D3C" w:rsidP="00746D3C">
      <w:pPr>
        <w:spacing w:line="257" w:lineRule="auto"/>
        <w:jc w:val="both"/>
        <w:rPr>
          <w:rFonts w:eastAsia="Calibri"/>
        </w:rPr>
      </w:pPr>
      <w:r>
        <w:lastRenderedPageBreak/>
        <w:t>Vypustenie predmetnej regulácie nemení náklady podnikateľského prostredia, keďže od roku 2006 sa nevyskytla obchodná spoločnosť, ktorej by vznikla povinnosť predkladať MFSR výročnú správu a záznamy z valných zhromaždení.</w:t>
      </w:r>
    </w:p>
    <w:p w14:paraId="5ADD6F1A" w14:textId="77777777" w:rsidR="00746D3C" w:rsidRDefault="00746D3C" w:rsidP="00746D3C">
      <w:pPr>
        <w:spacing w:line="257" w:lineRule="auto"/>
        <w:jc w:val="both"/>
        <w:rPr>
          <w:rFonts w:eastAsia="Calibri"/>
        </w:rPr>
      </w:pPr>
    </w:p>
    <w:p w14:paraId="1504F644" w14:textId="77777777" w:rsidR="00746D3C" w:rsidRDefault="00746D3C" w:rsidP="00746D3C">
      <w:pPr>
        <w:spacing w:line="257" w:lineRule="auto"/>
        <w:jc w:val="both"/>
        <w:rPr>
          <w:rFonts w:eastAsia="Calibri"/>
        </w:rPr>
      </w:pPr>
    </w:p>
    <w:p w14:paraId="0DDF2374" w14:textId="77777777" w:rsidR="00746D3C" w:rsidRDefault="00746D3C" w:rsidP="00746D3C">
      <w:pPr>
        <w:spacing w:line="257" w:lineRule="auto"/>
        <w:jc w:val="both"/>
        <w:rPr>
          <w:rFonts w:eastAsia="Calibri"/>
        </w:rPr>
      </w:pPr>
    </w:p>
    <w:p w14:paraId="2BA98A85" w14:textId="77777777" w:rsidR="00746D3C" w:rsidRDefault="00746D3C" w:rsidP="00746D3C">
      <w:pPr>
        <w:spacing w:line="257" w:lineRule="auto"/>
        <w:jc w:val="both"/>
        <w:rPr>
          <w:rFonts w:eastAsia="Calibri"/>
        </w:rPr>
      </w:pPr>
    </w:p>
    <w:p w14:paraId="3849C4A4" w14:textId="77777777" w:rsidR="00746D3C" w:rsidRDefault="00746D3C" w:rsidP="00746D3C">
      <w:pPr>
        <w:spacing w:line="257" w:lineRule="auto"/>
        <w:jc w:val="both"/>
        <w:rPr>
          <w:rFonts w:eastAsia="Calibri"/>
        </w:rPr>
      </w:pPr>
    </w:p>
    <w:p w14:paraId="68D5DF4D" w14:textId="77777777" w:rsidR="00746D3C" w:rsidRDefault="00746D3C" w:rsidP="00746D3C">
      <w:pPr>
        <w:spacing w:line="257" w:lineRule="auto"/>
        <w:jc w:val="both"/>
        <w:rPr>
          <w:rFonts w:eastAsia="Calibri"/>
        </w:rPr>
      </w:pPr>
    </w:p>
    <w:p w14:paraId="2AC739FD" w14:textId="77777777" w:rsidR="00746D3C" w:rsidRDefault="00746D3C" w:rsidP="00746D3C">
      <w:pPr>
        <w:spacing w:line="257" w:lineRule="auto"/>
        <w:jc w:val="both"/>
        <w:rPr>
          <w:rFonts w:eastAsia="Calibri"/>
        </w:rPr>
      </w:pPr>
    </w:p>
    <w:p w14:paraId="37AB73D2" w14:textId="77777777" w:rsidR="00746D3C" w:rsidRDefault="00746D3C" w:rsidP="00746D3C">
      <w:pPr>
        <w:spacing w:line="257" w:lineRule="auto"/>
        <w:jc w:val="both"/>
        <w:rPr>
          <w:rFonts w:eastAsia="Calibri"/>
        </w:rPr>
      </w:pPr>
    </w:p>
    <w:p w14:paraId="22CAF075" w14:textId="77777777" w:rsidR="00746D3C" w:rsidRDefault="00746D3C" w:rsidP="00746D3C">
      <w:pPr>
        <w:spacing w:line="257" w:lineRule="auto"/>
        <w:jc w:val="both"/>
        <w:rPr>
          <w:rFonts w:eastAsia="Calibri"/>
        </w:rPr>
      </w:pPr>
    </w:p>
    <w:p w14:paraId="3A814A3B" w14:textId="77777777" w:rsidR="00813A1D" w:rsidRDefault="00813A1D" w:rsidP="00746D3C">
      <w:pPr>
        <w:spacing w:line="257" w:lineRule="auto"/>
        <w:jc w:val="both"/>
        <w:rPr>
          <w:rFonts w:eastAsia="Calibri"/>
        </w:rPr>
      </w:pPr>
    </w:p>
    <w:p w14:paraId="4194EAEC" w14:textId="77777777" w:rsidR="00813A1D" w:rsidRDefault="00813A1D" w:rsidP="00746D3C">
      <w:pPr>
        <w:spacing w:line="257" w:lineRule="auto"/>
        <w:jc w:val="both"/>
        <w:rPr>
          <w:rFonts w:eastAsia="Calibri"/>
        </w:rPr>
      </w:pPr>
    </w:p>
    <w:p w14:paraId="2A1F5B53" w14:textId="77777777" w:rsidR="00813A1D" w:rsidRDefault="00813A1D" w:rsidP="00746D3C">
      <w:pPr>
        <w:spacing w:line="257" w:lineRule="auto"/>
        <w:jc w:val="both"/>
        <w:rPr>
          <w:rFonts w:eastAsia="Calibri"/>
        </w:rPr>
      </w:pPr>
    </w:p>
    <w:p w14:paraId="4EA4A0DF" w14:textId="77777777" w:rsidR="00813A1D" w:rsidRDefault="00813A1D" w:rsidP="00746D3C">
      <w:pPr>
        <w:spacing w:line="257" w:lineRule="auto"/>
        <w:jc w:val="both"/>
        <w:rPr>
          <w:rFonts w:eastAsia="Calibri"/>
        </w:rPr>
      </w:pPr>
    </w:p>
    <w:p w14:paraId="04501B88" w14:textId="77777777" w:rsidR="00813A1D" w:rsidRDefault="00813A1D" w:rsidP="00746D3C">
      <w:pPr>
        <w:spacing w:line="257" w:lineRule="auto"/>
        <w:jc w:val="both"/>
        <w:rPr>
          <w:rFonts w:eastAsia="Calibri"/>
        </w:rPr>
      </w:pPr>
    </w:p>
    <w:p w14:paraId="0C833551" w14:textId="77777777" w:rsidR="00813A1D" w:rsidRDefault="00813A1D" w:rsidP="00746D3C">
      <w:pPr>
        <w:spacing w:line="257" w:lineRule="auto"/>
        <w:jc w:val="both"/>
        <w:rPr>
          <w:rFonts w:eastAsia="Calibri"/>
        </w:rPr>
      </w:pPr>
    </w:p>
    <w:p w14:paraId="61EA8A63" w14:textId="77777777" w:rsidR="00813A1D" w:rsidRDefault="00813A1D" w:rsidP="00746D3C">
      <w:pPr>
        <w:spacing w:line="257" w:lineRule="auto"/>
        <w:jc w:val="both"/>
        <w:rPr>
          <w:rFonts w:eastAsia="Calibri"/>
        </w:rPr>
      </w:pPr>
    </w:p>
    <w:p w14:paraId="109E2D9B" w14:textId="77777777" w:rsidR="00813A1D" w:rsidRDefault="00813A1D" w:rsidP="00746D3C">
      <w:pPr>
        <w:spacing w:line="257" w:lineRule="auto"/>
        <w:jc w:val="both"/>
        <w:rPr>
          <w:rFonts w:eastAsia="Calibri"/>
        </w:rPr>
      </w:pPr>
    </w:p>
    <w:p w14:paraId="3188AD70" w14:textId="77777777" w:rsidR="00813A1D" w:rsidRDefault="00813A1D" w:rsidP="00746D3C">
      <w:pPr>
        <w:spacing w:line="257" w:lineRule="auto"/>
        <w:jc w:val="both"/>
        <w:rPr>
          <w:rFonts w:eastAsia="Calibri"/>
        </w:rPr>
      </w:pPr>
    </w:p>
    <w:p w14:paraId="3592EE69" w14:textId="77777777" w:rsidR="00813A1D" w:rsidRDefault="00813A1D" w:rsidP="00746D3C">
      <w:pPr>
        <w:spacing w:line="257" w:lineRule="auto"/>
        <w:jc w:val="both"/>
        <w:rPr>
          <w:rFonts w:eastAsia="Calibri"/>
        </w:rPr>
      </w:pPr>
    </w:p>
    <w:p w14:paraId="4F554DC0" w14:textId="77777777" w:rsidR="00813A1D" w:rsidRDefault="00813A1D" w:rsidP="00746D3C">
      <w:pPr>
        <w:spacing w:line="257" w:lineRule="auto"/>
        <w:jc w:val="both"/>
        <w:rPr>
          <w:rFonts w:eastAsia="Calibri"/>
        </w:rPr>
      </w:pPr>
    </w:p>
    <w:p w14:paraId="613B01A9" w14:textId="77777777" w:rsidR="00813A1D" w:rsidRDefault="00813A1D" w:rsidP="00746D3C">
      <w:pPr>
        <w:spacing w:line="257" w:lineRule="auto"/>
        <w:jc w:val="both"/>
        <w:rPr>
          <w:rFonts w:eastAsia="Calibri"/>
        </w:rPr>
      </w:pPr>
    </w:p>
    <w:p w14:paraId="48F22EA0" w14:textId="77777777" w:rsidR="00813A1D" w:rsidRDefault="00813A1D" w:rsidP="00746D3C">
      <w:pPr>
        <w:spacing w:line="257" w:lineRule="auto"/>
        <w:jc w:val="both"/>
        <w:rPr>
          <w:rFonts w:eastAsia="Calibri"/>
        </w:rPr>
      </w:pPr>
    </w:p>
    <w:p w14:paraId="50D8B33B" w14:textId="77777777" w:rsidR="00813A1D" w:rsidRDefault="00813A1D" w:rsidP="00746D3C">
      <w:pPr>
        <w:spacing w:line="257" w:lineRule="auto"/>
        <w:jc w:val="both"/>
        <w:rPr>
          <w:rFonts w:eastAsia="Calibri"/>
        </w:rPr>
      </w:pPr>
    </w:p>
    <w:p w14:paraId="3110BE7F" w14:textId="77777777" w:rsidR="00813A1D" w:rsidRDefault="00813A1D" w:rsidP="00746D3C">
      <w:pPr>
        <w:spacing w:line="257" w:lineRule="auto"/>
        <w:jc w:val="both"/>
        <w:rPr>
          <w:rFonts w:eastAsia="Calibri"/>
        </w:rPr>
      </w:pPr>
    </w:p>
    <w:p w14:paraId="5153E4A3" w14:textId="77777777" w:rsidR="00813A1D" w:rsidRDefault="00813A1D" w:rsidP="00746D3C">
      <w:pPr>
        <w:spacing w:line="257" w:lineRule="auto"/>
        <w:jc w:val="both"/>
        <w:rPr>
          <w:rFonts w:eastAsia="Calibri"/>
        </w:rPr>
      </w:pPr>
    </w:p>
    <w:p w14:paraId="653C066E" w14:textId="77777777" w:rsidR="00813A1D" w:rsidRDefault="00813A1D" w:rsidP="00746D3C">
      <w:pPr>
        <w:spacing w:line="257" w:lineRule="auto"/>
        <w:jc w:val="both"/>
        <w:rPr>
          <w:rFonts w:eastAsia="Calibri"/>
        </w:rPr>
      </w:pPr>
    </w:p>
    <w:p w14:paraId="18F6FF01" w14:textId="77777777" w:rsidR="00813A1D" w:rsidRDefault="00813A1D" w:rsidP="00746D3C">
      <w:pPr>
        <w:spacing w:line="257" w:lineRule="auto"/>
        <w:jc w:val="both"/>
        <w:rPr>
          <w:rFonts w:eastAsia="Calibri"/>
        </w:rPr>
      </w:pPr>
    </w:p>
    <w:p w14:paraId="0FDCAC23" w14:textId="77777777" w:rsidR="00813A1D" w:rsidRDefault="00813A1D" w:rsidP="00746D3C">
      <w:pPr>
        <w:spacing w:line="257" w:lineRule="auto"/>
        <w:jc w:val="both"/>
        <w:rPr>
          <w:rFonts w:eastAsia="Calibri"/>
        </w:rPr>
      </w:pPr>
    </w:p>
    <w:p w14:paraId="500E8517" w14:textId="77777777" w:rsidR="00813A1D" w:rsidRDefault="00813A1D" w:rsidP="00746D3C">
      <w:pPr>
        <w:spacing w:line="257" w:lineRule="auto"/>
        <w:jc w:val="both"/>
        <w:rPr>
          <w:rFonts w:eastAsia="Calibri"/>
        </w:rPr>
      </w:pPr>
    </w:p>
    <w:p w14:paraId="2A4C93EC" w14:textId="77777777" w:rsidR="00813A1D" w:rsidRDefault="00813A1D" w:rsidP="00746D3C">
      <w:pPr>
        <w:spacing w:line="257" w:lineRule="auto"/>
        <w:jc w:val="both"/>
        <w:rPr>
          <w:rFonts w:eastAsia="Calibri"/>
        </w:rPr>
      </w:pPr>
    </w:p>
    <w:p w14:paraId="0EED4549" w14:textId="77777777" w:rsidR="00813A1D" w:rsidRDefault="00813A1D" w:rsidP="00746D3C">
      <w:pPr>
        <w:spacing w:line="257" w:lineRule="auto"/>
        <w:jc w:val="both"/>
        <w:rPr>
          <w:rFonts w:eastAsia="Calibri"/>
        </w:rPr>
      </w:pPr>
    </w:p>
    <w:p w14:paraId="550C22BD" w14:textId="77777777" w:rsidR="00813A1D" w:rsidRDefault="00813A1D" w:rsidP="00746D3C">
      <w:pPr>
        <w:spacing w:line="257" w:lineRule="auto"/>
        <w:jc w:val="both"/>
        <w:rPr>
          <w:rFonts w:eastAsia="Calibri"/>
        </w:rPr>
      </w:pPr>
    </w:p>
    <w:p w14:paraId="2F772B96" w14:textId="77777777" w:rsidR="00813A1D" w:rsidRDefault="00813A1D" w:rsidP="00746D3C">
      <w:pPr>
        <w:spacing w:line="257" w:lineRule="auto"/>
        <w:jc w:val="both"/>
        <w:rPr>
          <w:rFonts w:eastAsia="Calibri"/>
        </w:rPr>
      </w:pPr>
    </w:p>
    <w:p w14:paraId="08CB2029" w14:textId="77777777" w:rsidR="00813A1D" w:rsidRDefault="00813A1D" w:rsidP="00746D3C">
      <w:pPr>
        <w:spacing w:line="257" w:lineRule="auto"/>
        <w:jc w:val="both"/>
        <w:rPr>
          <w:rFonts w:eastAsia="Calibri"/>
        </w:rPr>
      </w:pPr>
    </w:p>
    <w:p w14:paraId="79F4B3A1" w14:textId="77777777" w:rsidR="00813A1D" w:rsidRDefault="00813A1D" w:rsidP="00746D3C">
      <w:pPr>
        <w:spacing w:line="257" w:lineRule="auto"/>
        <w:jc w:val="both"/>
        <w:rPr>
          <w:rFonts w:eastAsia="Calibri"/>
        </w:rPr>
      </w:pPr>
    </w:p>
    <w:p w14:paraId="719CF82E" w14:textId="77777777" w:rsidR="00813A1D" w:rsidRDefault="00813A1D" w:rsidP="00746D3C">
      <w:pPr>
        <w:spacing w:line="257" w:lineRule="auto"/>
        <w:jc w:val="both"/>
        <w:rPr>
          <w:rFonts w:eastAsia="Calibri"/>
        </w:rPr>
      </w:pPr>
    </w:p>
    <w:p w14:paraId="05700522" w14:textId="77777777" w:rsidR="00813A1D" w:rsidRDefault="00813A1D" w:rsidP="00746D3C">
      <w:pPr>
        <w:spacing w:line="257" w:lineRule="auto"/>
        <w:jc w:val="both"/>
        <w:rPr>
          <w:rFonts w:eastAsia="Calibri"/>
        </w:rPr>
      </w:pPr>
    </w:p>
    <w:p w14:paraId="4A1C4F29" w14:textId="77777777" w:rsidR="00813A1D" w:rsidRDefault="00813A1D" w:rsidP="00746D3C">
      <w:pPr>
        <w:spacing w:line="257" w:lineRule="auto"/>
        <w:jc w:val="both"/>
        <w:rPr>
          <w:rFonts w:eastAsia="Calibri"/>
        </w:rPr>
      </w:pPr>
    </w:p>
    <w:p w14:paraId="48FA3A5C" w14:textId="77777777" w:rsidR="00813A1D" w:rsidRDefault="00813A1D" w:rsidP="00746D3C">
      <w:pPr>
        <w:spacing w:line="257" w:lineRule="auto"/>
        <w:jc w:val="both"/>
        <w:rPr>
          <w:rFonts w:eastAsia="Calibri"/>
        </w:rPr>
      </w:pPr>
    </w:p>
    <w:p w14:paraId="2ACBDBF0" w14:textId="77777777" w:rsidR="00746D3C" w:rsidRDefault="00746D3C" w:rsidP="00746D3C">
      <w:pPr>
        <w:spacing w:line="257" w:lineRule="auto"/>
        <w:jc w:val="both"/>
        <w:rPr>
          <w:rFonts w:eastAsia="Calibri"/>
        </w:rPr>
      </w:pPr>
    </w:p>
    <w:p w14:paraId="37D05DC5" w14:textId="77777777" w:rsidR="00746D3C" w:rsidRDefault="00746D3C" w:rsidP="00746D3C">
      <w:pPr>
        <w:spacing w:line="257" w:lineRule="auto"/>
        <w:jc w:val="both"/>
        <w:rPr>
          <w:rFonts w:eastAsia="Calibri"/>
        </w:rPr>
      </w:pPr>
    </w:p>
    <w:p w14:paraId="4F022243" w14:textId="77777777" w:rsidR="00746D3C" w:rsidRDefault="00746D3C" w:rsidP="00746D3C">
      <w:pPr>
        <w:spacing w:line="257" w:lineRule="auto"/>
        <w:jc w:val="both"/>
        <w:rPr>
          <w:rFonts w:eastAsia="Calibri"/>
        </w:rPr>
      </w:pPr>
    </w:p>
    <w:p w14:paraId="52313A50" w14:textId="77777777" w:rsidR="00746D3C" w:rsidRDefault="00746D3C" w:rsidP="00746D3C">
      <w:pPr>
        <w:spacing w:line="257" w:lineRule="auto"/>
        <w:jc w:val="both"/>
        <w:rPr>
          <w:rFonts w:eastAsia="Calibri"/>
        </w:rPr>
      </w:pPr>
    </w:p>
    <w:p w14:paraId="4AFE65BE" w14:textId="77777777" w:rsidR="00746D3C" w:rsidRDefault="00746D3C" w:rsidP="00746D3C">
      <w:pPr>
        <w:spacing w:line="257" w:lineRule="auto"/>
        <w:jc w:val="both"/>
        <w:rPr>
          <w:rFonts w:eastAsia="Calibri"/>
        </w:rPr>
      </w:pPr>
    </w:p>
    <w:p w14:paraId="299C7C18" w14:textId="77777777" w:rsidR="00746D3C" w:rsidRDefault="00746D3C" w:rsidP="00746D3C">
      <w:pPr>
        <w:spacing w:line="257" w:lineRule="auto"/>
        <w:jc w:val="both"/>
        <w:rPr>
          <w:rFonts w:eastAsia="Calibri"/>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746D3C" w:rsidRPr="005C4B9C" w14:paraId="5584DD36" w14:textId="77777777" w:rsidTr="007B3372">
        <w:trPr>
          <w:trHeight w:val="20"/>
          <w:jc w:val="center"/>
        </w:trPr>
        <w:tc>
          <w:tcPr>
            <w:tcW w:w="9371" w:type="dxa"/>
            <w:gridSpan w:val="6"/>
            <w:shd w:val="clear" w:color="auto" w:fill="BFBFBF"/>
            <w:vAlign w:val="center"/>
          </w:tcPr>
          <w:p w14:paraId="19E79BF6" w14:textId="77777777" w:rsidR="00746D3C" w:rsidRPr="005C4B9C" w:rsidRDefault="00746D3C" w:rsidP="007B3372">
            <w:pPr>
              <w:jc w:val="center"/>
              <w:rPr>
                <w:b/>
                <w:bCs/>
                <w:sz w:val="28"/>
                <w:szCs w:val="28"/>
              </w:rPr>
            </w:pPr>
            <w:r w:rsidRPr="005C4B9C">
              <w:rPr>
                <w:b/>
                <w:bCs/>
                <w:sz w:val="28"/>
                <w:szCs w:val="28"/>
              </w:rPr>
              <w:lastRenderedPageBreak/>
              <w:t>Analýza vplyvov na informatizáciu spoločnosti</w:t>
            </w:r>
          </w:p>
          <w:p w14:paraId="6556FF16" w14:textId="77777777" w:rsidR="00746D3C" w:rsidRPr="005C4B9C" w:rsidRDefault="00746D3C" w:rsidP="007B3372">
            <w:pPr>
              <w:jc w:val="center"/>
              <w:rPr>
                <w:b/>
                <w:i/>
                <w:iCs/>
                <w:sz w:val="2"/>
                <w:szCs w:val="22"/>
              </w:rPr>
            </w:pPr>
          </w:p>
        </w:tc>
      </w:tr>
      <w:tr w:rsidR="00746D3C" w:rsidRPr="005C4B9C" w14:paraId="2E16FF60" w14:textId="77777777" w:rsidTr="007B3372">
        <w:trPr>
          <w:trHeight w:val="20"/>
          <w:jc w:val="center"/>
        </w:trPr>
        <w:tc>
          <w:tcPr>
            <w:tcW w:w="9371" w:type="dxa"/>
            <w:gridSpan w:val="6"/>
            <w:shd w:val="clear" w:color="auto" w:fill="BFBFBF"/>
            <w:vAlign w:val="center"/>
          </w:tcPr>
          <w:p w14:paraId="652741DF" w14:textId="77777777" w:rsidR="00746D3C" w:rsidRPr="00F14E8D" w:rsidRDefault="00746D3C" w:rsidP="007B3372">
            <w:pPr>
              <w:jc w:val="center"/>
              <w:rPr>
                <w:b/>
                <w:bCs/>
              </w:rPr>
            </w:pPr>
            <w:r w:rsidRPr="00F14E8D">
              <w:rPr>
                <w:b/>
                <w:bCs/>
              </w:rPr>
              <w:t>Budovanie základných pilierov informatizácie</w:t>
            </w:r>
          </w:p>
        </w:tc>
      </w:tr>
      <w:tr w:rsidR="00746D3C" w:rsidRPr="005C4B9C" w14:paraId="0EA31DFF" w14:textId="77777777" w:rsidTr="007B3372">
        <w:trPr>
          <w:trHeight w:val="681"/>
          <w:jc w:val="center"/>
        </w:trPr>
        <w:tc>
          <w:tcPr>
            <w:tcW w:w="3956" w:type="dxa"/>
            <w:shd w:val="clear" w:color="auto" w:fill="C0C0C0"/>
            <w:vAlign w:val="center"/>
          </w:tcPr>
          <w:p w14:paraId="434FC6EA" w14:textId="77777777" w:rsidR="00746D3C" w:rsidRPr="00F4692C" w:rsidRDefault="00746D3C" w:rsidP="007B3372">
            <w:pPr>
              <w:jc w:val="center"/>
              <w:rPr>
                <w:b/>
              </w:rPr>
            </w:pPr>
            <w:r w:rsidRPr="00F4692C">
              <w:rPr>
                <w:b/>
              </w:rPr>
              <w:t>Biznis vrstva</w:t>
            </w:r>
          </w:p>
        </w:tc>
        <w:tc>
          <w:tcPr>
            <w:tcW w:w="1446" w:type="dxa"/>
            <w:shd w:val="clear" w:color="auto" w:fill="C0C0C0"/>
            <w:vAlign w:val="center"/>
          </w:tcPr>
          <w:p w14:paraId="668ECBF5" w14:textId="77777777" w:rsidR="00746D3C" w:rsidRPr="00F4692C" w:rsidRDefault="00746D3C" w:rsidP="007B3372">
            <w:pPr>
              <w:jc w:val="center"/>
              <w:rPr>
                <w:b/>
              </w:rPr>
            </w:pPr>
            <w:r w:rsidRPr="00F4692C">
              <w:rPr>
                <w:b/>
              </w:rPr>
              <w:t>A – nová služba</w:t>
            </w:r>
          </w:p>
          <w:p w14:paraId="0F3364C0" w14:textId="77777777" w:rsidR="00746D3C" w:rsidRPr="00F4692C" w:rsidRDefault="00746D3C" w:rsidP="007B3372">
            <w:pPr>
              <w:jc w:val="center"/>
              <w:rPr>
                <w:i/>
                <w:iCs/>
              </w:rPr>
            </w:pPr>
            <w:r w:rsidRPr="00F4692C">
              <w:rPr>
                <w:b/>
              </w:rPr>
              <w:t>B – zmena služby</w:t>
            </w:r>
            <w:r>
              <w:rPr>
                <w:b/>
              </w:rPr>
              <w:br/>
              <w:t xml:space="preserve"> C-zvýšené používanie služby</w:t>
            </w:r>
          </w:p>
        </w:tc>
        <w:tc>
          <w:tcPr>
            <w:tcW w:w="1134" w:type="dxa"/>
            <w:shd w:val="clear" w:color="auto" w:fill="C0C0C0"/>
            <w:vAlign w:val="center"/>
          </w:tcPr>
          <w:p w14:paraId="41ACDF0F" w14:textId="77777777" w:rsidR="00746D3C" w:rsidRPr="00F4692C" w:rsidRDefault="00746D3C" w:rsidP="007B3372">
            <w:r w:rsidRPr="00F4692C">
              <w:rPr>
                <w:b/>
              </w:rPr>
              <w:t>Kód koncovej služby</w:t>
            </w:r>
          </w:p>
        </w:tc>
        <w:tc>
          <w:tcPr>
            <w:tcW w:w="1276" w:type="dxa"/>
            <w:gridSpan w:val="2"/>
            <w:shd w:val="clear" w:color="auto" w:fill="C0C0C0"/>
            <w:vAlign w:val="center"/>
          </w:tcPr>
          <w:p w14:paraId="1FF61CF7" w14:textId="77777777" w:rsidR="00746D3C" w:rsidRPr="00F4692C" w:rsidRDefault="00746D3C" w:rsidP="007B3372">
            <w:pPr>
              <w:rPr>
                <w:i/>
                <w:iCs/>
              </w:rPr>
            </w:pPr>
            <w:r w:rsidRPr="00F4692C">
              <w:rPr>
                <w:b/>
              </w:rPr>
              <w:t>Názov koncovej služby</w:t>
            </w:r>
          </w:p>
        </w:tc>
        <w:tc>
          <w:tcPr>
            <w:tcW w:w="1559" w:type="dxa"/>
            <w:shd w:val="clear" w:color="auto" w:fill="C0C0C0"/>
          </w:tcPr>
          <w:p w14:paraId="3FC1F364" w14:textId="77777777" w:rsidR="00746D3C" w:rsidRPr="00F4692C" w:rsidRDefault="00746D3C" w:rsidP="007B3372">
            <w:pPr>
              <w:rPr>
                <w:b/>
              </w:rPr>
            </w:pPr>
            <w:r w:rsidRPr="00F4692C">
              <w:rPr>
                <w:b/>
              </w:rPr>
              <w:t>Úroveň elektronizácie</w:t>
            </w:r>
            <w:r>
              <w:rPr>
                <w:b/>
              </w:rPr>
              <w:t xml:space="preserve"> – pre C odhad počtu podaní</w:t>
            </w:r>
          </w:p>
        </w:tc>
      </w:tr>
      <w:tr w:rsidR="00746D3C" w:rsidRPr="005C4B9C" w14:paraId="56AF1325" w14:textId="77777777" w:rsidTr="007B3372">
        <w:trPr>
          <w:trHeight w:val="20"/>
          <w:jc w:val="center"/>
        </w:trPr>
        <w:tc>
          <w:tcPr>
            <w:tcW w:w="3956" w:type="dxa"/>
          </w:tcPr>
          <w:p w14:paraId="22C26ADF" w14:textId="77777777" w:rsidR="00746D3C" w:rsidRPr="0021424E" w:rsidRDefault="00746D3C" w:rsidP="007B3372">
            <w:pPr>
              <w:rPr>
                <w:szCs w:val="22"/>
              </w:rPr>
            </w:pPr>
            <w:r w:rsidRPr="005C4B9C">
              <w:rPr>
                <w:b/>
                <w:szCs w:val="22"/>
              </w:rPr>
              <w:t>6.1.</w:t>
            </w:r>
            <w:r w:rsidRPr="005C4B9C">
              <w:rPr>
                <w:szCs w:val="22"/>
              </w:rPr>
              <w:t xml:space="preserve"> Predpokladá predložený návrh zmenu existujúcich </w:t>
            </w:r>
            <w:r>
              <w:rPr>
                <w:szCs w:val="22"/>
              </w:rPr>
              <w:t>koncových</w:t>
            </w:r>
            <w:r w:rsidRPr="005C4B9C">
              <w:rPr>
                <w:szCs w:val="22"/>
              </w:rPr>
              <w:t xml:space="preserve"> služieb verejnej správy</w:t>
            </w:r>
            <w:r>
              <w:rPr>
                <w:szCs w:val="22"/>
              </w:rPr>
              <w:t xml:space="preserve">, </w:t>
            </w:r>
            <w:r w:rsidRPr="005C4B9C">
              <w:rPr>
                <w:szCs w:val="22"/>
              </w:rPr>
              <w:t>vytvorenie nových služieb</w:t>
            </w:r>
            <w:r>
              <w:rPr>
                <w:szCs w:val="22"/>
              </w:rPr>
              <w:t xml:space="preserve"> pre občana alebo podnikateľa alebo má vplyv na zvýšené používanie existujúcich služieb</w:t>
            </w:r>
            <w:r w:rsidRPr="005C4B9C">
              <w:rPr>
                <w:szCs w:val="22"/>
              </w:rPr>
              <w:t>?</w:t>
            </w:r>
          </w:p>
        </w:tc>
        <w:tc>
          <w:tcPr>
            <w:tcW w:w="1446" w:type="dxa"/>
            <w:shd w:val="clear" w:color="auto" w:fill="auto"/>
            <w:vAlign w:val="center"/>
          </w:tcPr>
          <w:p w14:paraId="178ABF70" w14:textId="77777777" w:rsidR="00746D3C" w:rsidRPr="00255724" w:rsidRDefault="00746D3C" w:rsidP="007B3372">
            <w:pPr>
              <w:jc w:val="center"/>
              <w:rPr>
                <w:b/>
                <w:sz w:val="22"/>
                <w:szCs w:val="22"/>
              </w:rPr>
            </w:pPr>
            <w:r w:rsidRPr="00255724">
              <w:t>B</w:t>
            </w:r>
          </w:p>
        </w:tc>
        <w:tc>
          <w:tcPr>
            <w:tcW w:w="1134" w:type="dxa"/>
            <w:shd w:val="clear" w:color="auto" w:fill="auto"/>
            <w:vAlign w:val="center"/>
          </w:tcPr>
          <w:p w14:paraId="40DED7AC" w14:textId="77777777" w:rsidR="00746D3C" w:rsidRPr="00255724" w:rsidRDefault="00746D3C" w:rsidP="007B3372">
            <w:pPr>
              <w:rPr>
                <w:b/>
                <w:sz w:val="22"/>
                <w:szCs w:val="22"/>
              </w:rPr>
            </w:pPr>
            <w:r w:rsidRPr="00255724">
              <w:t>sluzba_egov_1926</w:t>
            </w:r>
          </w:p>
        </w:tc>
        <w:tc>
          <w:tcPr>
            <w:tcW w:w="1276" w:type="dxa"/>
            <w:gridSpan w:val="2"/>
            <w:shd w:val="clear" w:color="auto" w:fill="auto"/>
            <w:vAlign w:val="center"/>
          </w:tcPr>
          <w:p w14:paraId="4004ACDD" w14:textId="77777777" w:rsidR="00746D3C" w:rsidRPr="00255724" w:rsidRDefault="00746D3C" w:rsidP="007B3372">
            <w:pPr>
              <w:jc w:val="center"/>
              <w:rPr>
                <w:b/>
                <w:sz w:val="22"/>
                <w:szCs w:val="22"/>
              </w:rPr>
            </w:pPr>
            <w:hyperlink r:id="rId18" w:tgtFrame="_blank" w:tooltip="Položka: Verejné informovanie o daňových subjektoch" w:history="1">
              <w:r w:rsidRPr="00255724">
                <w:t>Verejné informovanie o daňových subjektoch</w:t>
              </w:r>
            </w:hyperlink>
          </w:p>
        </w:tc>
        <w:tc>
          <w:tcPr>
            <w:tcW w:w="1559" w:type="dxa"/>
            <w:shd w:val="clear" w:color="auto" w:fill="auto"/>
            <w:vAlign w:val="center"/>
          </w:tcPr>
          <w:p w14:paraId="0E6869CA" w14:textId="77777777" w:rsidR="00746D3C" w:rsidRPr="00255724" w:rsidRDefault="00746D3C" w:rsidP="007B3372">
            <w:pPr>
              <w:jc w:val="center"/>
              <w:rPr>
                <w:b/>
                <w:i/>
                <w:sz w:val="22"/>
                <w:szCs w:val="22"/>
              </w:rPr>
            </w:pPr>
            <w:r w:rsidRPr="00255724">
              <w:rPr>
                <w:i/>
              </w:rPr>
              <w:t>4</w:t>
            </w:r>
          </w:p>
        </w:tc>
      </w:tr>
      <w:tr w:rsidR="00746D3C" w:rsidRPr="005C4B9C" w14:paraId="7DE45CB7" w14:textId="77777777" w:rsidTr="007B3372">
        <w:trPr>
          <w:trHeight w:val="20"/>
          <w:jc w:val="center"/>
        </w:trPr>
        <w:tc>
          <w:tcPr>
            <w:tcW w:w="3956" w:type="dxa"/>
          </w:tcPr>
          <w:p w14:paraId="157E4517" w14:textId="77777777" w:rsidR="00746D3C" w:rsidRPr="005C4B9C" w:rsidRDefault="00746D3C" w:rsidP="007B3372">
            <w:pPr>
              <w:rPr>
                <w:b/>
                <w:szCs w:val="22"/>
              </w:rPr>
            </w:pPr>
          </w:p>
        </w:tc>
        <w:tc>
          <w:tcPr>
            <w:tcW w:w="1446" w:type="dxa"/>
            <w:vAlign w:val="center"/>
          </w:tcPr>
          <w:p w14:paraId="282D443F" w14:textId="77777777" w:rsidR="00746D3C" w:rsidRPr="005C4B9C" w:rsidRDefault="00746D3C" w:rsidP="007B3372">
            <w:pPr>
              <w:jc w:val="center"/>
              <w:rPr>
                <w:b/>
                <w:sz w:val="22"/>
                <w:szCs w:val="22"/>
              </w:rPr>
            </w:pPr>
            <w:r>
              <w:t>B</w:t>
            </w:r>
          </w:p>
        </w:tc>
        <w:tc>
          <w:tcPr>
            <w:tcW w:w="1134" w:type="dxa"/>
            <w:vAlign w:val="center"/>
          </w:tcPr>
          <w:p w14:paraId="6B9FE3E6" w14:textId="77777777" w:rsidR="00746D3C" w:rsidRPr="005C4B9C" w:rsidRDefault="00746D3C" w:rsidP="007B3372">
            <w:pPr>
              <w:rPr>
                <w:b/>
                <w:sz w:val="22"/>
                <w:szCs w:val="22"/>
              </w:rPr>
            </w:pPr>
            <w:r>
              <w:t>ks</w:t>
            </w:r>
            <w:r w:rsidRPr="00255724">
              <w:t>_</w:t>
            </w:r>
            <w:r>
              <w:t>338995</w:t>
            </w:r>
          </w:p>
        </w:tc>
        <w:tc>
          <w:tcPr>
            <w:tcW w:w="1276" w:type="dxa"/>
            <w:gridSpan w:val="2"/>
            <w:vAlign w:val="center"/>
          </w:tcPr>
          <w:p w14:paraId="6FF6E58A" w14:textId="77777777" w:rsidR="00746D3C" w:rsidRPr="005C4B9C" w:rsidRDefault="00746D3C" w:rsidP="007B3372">
            <w:pPr>
              <w:jc w:val="center"/>
              <w:rPr>
                <w:b/>
                <w:sz w:val="22"/>
                <w:szCs w:val="22"/>
              </w:rPr>
            </w:pPr>
            <w:r w:rsidRPr="00813CBB">
              <w:t>Registrovanie subjektu k dani z príjmov, dani z pridanej hodnoty a dani z poistenia</w:t>
            </w:r>
          </w:p>
        </w:tc>
        <w:tc>
          <w:tcPr>
            <w:tcW w:w="1559" w:type="dxa"/>
            <w:vAlign w:val="center"/>
          </w:tcPr>
          <w:p w14:paraId="6DD0CA0E" w14:textId="77777777" w:rsidR="00746D3C" w:rsidRPr="005C4B9C" w:rsidRDefault="00746D3C" w:rsidP="007B3372">
            <w:pPr>
              <w:jc w:val="center"/>
              <w:rPr>
                <w:b/>
                <w:i/>
                <w:sz w:val="22"/>
                <w:szCs w:val="22"/>
              </w:rPr>
            </w:pPr>
            <w:r>
              <w:rPr>
                <w:i/>
              </w:rPr>
              <w:t>4</w:t>
            </w:r>
          </w:p>
        </w:tc>
      </w:tr>
      <w:tr w:rsidR="00746D3C" w:rsidRPr="005C4B9C" w14:paraId="46B60DBB" w14:textId="77777777" w:rsidTr="007B3372">
        <w:trPr>
          <w:trHeight w:val="20"/>
          <w:jc w:val="center"/>
        </w:trPr>
        <w:tc>
          <w:tcPr>
            <w:tcW w:w="3956" w:type="dxa"/>
          </w:tcPr>
          <w:p w14:paraId="3CC5CC65" w14:textId="77777777" w:rsidR="00746D3C" w:rsidRPr="005C4B9C" w:rsidRDefault="00746D3C" w:rsidP="007B3372">
            <w:pPr>
              <w:rPr>
                <w:b/>
                <w:szCs w:val="22"/>
              </w:rPr>
            </w:pPr>
          </w:p>
        </w:tc>
        <w:tc>
          <w:tcPr>
            <w:tcW w:w="1446" w:type="dxa"/>
            <w:vAlign w:val="center"/>
          </w:tcPr>
          <w:p w14:paraId="0B3F1889" w14:textId="77777777" w:rsidR="00746D3C" w:rsidRPr="005C4B9C" w:rsidRDefault="00746D3C" w:rsidP="007B3372">
            <w:pPr>
              <w:jc w:val="center"/>
              <w:rPr>
                <w:b/>
                <w:sz w:val="22"/>
                <w:szCs w:val="22"/>
              </w:rPr>
            </w:pPr>
            <w:r>
              <w:t>B</w:t>
            </w:r>
          </w:p>
        </w:tc>
        <w:tc>
          <w:tcPr>
            <w:tcW w:w="1134" w:type="dxa"/>
            <w:vAlign w:val="center"/>
          </w:tcPr>
          <w:p w14:paraId="0E9CEB15" w14:textId="77777777" w:rsidR="00746D3C" w:rsidRPr="005C4B9C" w:rsidRDefault="00746D3C" w:rsidP="007B3372">
            <w:pPr>
              <w:rPr>
                <w:b/>
                <w:sz w:val="22"/>
                <w:szCs w:val="22"/>
              </w:rPr>
            </w:pPr>
            <w:r w:rsidRPr="00813CBB">
              <w:t>ks_338999</w:t>
            </w:r>
          </w:p>
        </w:tc>
        <w:tc>
          <w:tcPr>
            <w:tcW w:w="1276" w:type="dxa"/>
            <w:gridSpan w:val="2"/>
            <w:vAlign w:val="center"/>
          </w:tcPr>
          <w:p w14:paraId="34F337A8" w14:textId="77777777" w:rsidR="00746D3C" w:rsidRPr="005C4B9C" w:rsidRDefault="00746D3C" w:rsidP="007B3372">
            <w:pPr>
              <w:jc w:val="center"/>
              <w:rPr>
                <w:b/>
                <w:sz w:val="22"/>
                <w:szCs w:val="22"/>
              </w:rPr>
            </w:pPr>
            <w:r w:rsidRPr="00813CBB">
              <w:t>Podávanie daňového priznania k dani z pridanej hodnoty</w:t>
            </w:r>
          </w:p>
        </w:tc>
        <w:tc>
          <w:tcPr>
            <w:tcW w:w="1559" w:type="dxa"/>
            <w:vAlign w:val="center"/>
          </w:tcPr>
          <w:p w14:paraId="71AAF641" w14:textId="77777777" w:rsidR="00746D3C" w:rsidRPr="005C4B9C" w:rsidRDefault="00746D3C" w:rsidP="007B3372">
            <w:pPr>
              <w:jc w:val="center"/>
              <w:rPr>
                <w:b/>
                <w:i/>
                <w:sz w:val="22"/>
                <w:szCs w:val="22"/>
              </w:rPr>
            </w:pPr>
            <w:r>
              <w:rPr>
                <w:i/>
              </w:rPr>
              <w:t>4</w:t>
            </w:r>
          </w:p>
        </w:tc>
      </w:tr>
      <w:tr w:rsidR="00746D3C" w:rsidRPr="005C4B9C" w14:paraId="1687B72A" w14:textId="77777777" w:rsidTr="007B3372">
        <w:trPr>
          <w:trHeight w:val="20"/>
          <w:jc w:val="center"/>
        </w:trPr>
        <w:tc>
          <w:tcPr>
            <w:tcW w:w="3956" w:type="dxa"/>
            <w:shd w:val="clear" w:color="auto" w:fill="C0C0C0"/>
            <w:vAlign w:val="center"/>
          </w:tcPr>
          <w:p w14:paraId="51398AFC" w14:textId="77777777" w:rsidR="00746D3C" w:rsidRPr="00F4692C" w:rsidRDefault="00746D3C" w:rsidP="007B3372">
            <w:pPr>
              <w:jc w:val="center"/>
              <w:rPr>
                <w:b/>
              </w:rPr>
            </w:pPr>
            <w:r w:rsidRPr="00F4692C">
              <w:rPr>
                <w:b/>
              </w:rPr>
              <w:t>Aplikačná a technologická vrstva</w:t>
            </w:r>
          </w:p>
        </w:tc>
        <w:tc>
          <w:tcPr>
            <w:tcW w:w="1446" w:type="dxa"/>
            <w:shd w:val="clear" w:color="auto" w:fill="C0C0C0"/>
          </w:tcPr>
          <w:p w14:paraId="2795CD66" w14:textId="77777777" w:rsidR="00746D3C" w:rsidRPr="00F4692C" w:rsidRDefault="00746D3C" w:rsidP="007B3372">
            <w:pPr>
              <w:jc w:val="center"/>
              <w:rPr>
                <w:b/>
              </w:rPr>
            </w:pPr>
            <w:r w:rsidRPr="00F4692C">
              <w:rPr>
                <w:b/>
              </w:rPr>
              <w:t>A – nový systém</w:t>
            </w:r>
          </w:p>
          <w:p w14:paraId="38F59274" w14:textId="77777777" w:rsidR="00746D3C" w:rsidRPr="00F4692C" w:rsidRDefault="00746D3C" w:rsidP="007B3372">
            <w:pPr>
              <w:jc w:val="center"/>
              <w:rPr>
                <w:b/>
              </w:rPr>
            </w:pPr>
            <w:r w:rsidRPr="00F4692C">
              <w:rPr>
                <w:b/>
              </w:rPr>
              <w:t>B – zmena systému</w:t>
            </w:r>
          </w:p>
        </w:tc>
        <w:tc>
          <w:tcPr>
            <w:tcW w:w="1134" w:type="dxa"/>
            <w:shd w:val="clear" w:color="auto" w:fill="C0C0C0"/>
            <w:vAlign w:val="center"/>
          </w:tcPr>
          <w:p w14:paraId="40004229" w14:textId="77777777" w:rsidR="00746D3C" w:rsidRPr="00F4692C" w:rsidRDefault="00746D3C" w:rsidP="007B3372">
            <w:pPr>
              <w:jc w:val="center"/>
              <w:rPr>
                <w:b/>
              </w:rPr>
            </w:pPr>
            <w:r w:rsidRPr="00F4692C">
              <w:rPr>
                <w:b/>
              </w:rPr>
              <w:t>Kód systému</w:t>
            </w:r>
          </w:p>
        </w:tc>
        <w:tc>
          <w:tcPr>
            <w:tcW w:w="1276" w:type="dxa"/>
            <w:gridSpan w:val="2"/>
            <w:shd w:val="clear" w:color="auto" w:fill="C0C0C0"/>
            <w:vAlign w:val="center"/>
          </w:tcPr>
          <w:p w14:paraId="64F6E673" w14:textId="77777777" w:rsidR="00746D3C" w:rsidRPr="00F4692C" w:rsidRDefault="00746D3C" w:rsidP="007B3372">
            <w:pPr>
              <w:jc w:val="center"/>
              <w:rPr>
                <w:b/>
              </w:rPr>
            </w:pPr>
            <w:r w:rsidRPr="00F4692C">
              <w:rPr>
                <w:b/>
              </w:rPr>
              <w:t>Názov systému</w:t>
            </w:r>
          </w:p>
        </w:tc>
        <w:tc>
          <w:tcPr>
            <w:tcW w:w="1559" w:type="dxa"/>
            <w:shd w:val="clear" w:color="auto" w:fill="C0C0C0"/>
            <w:vAlign w:val="center"/>
          </w:tcPr>
          <w:p w14:paraId="6EF3B586" w14:textId="77777777" w:rsidR="00746D3C" w:rsidRPr="00F4692C" w:rsidRDefault="00746D3C" w:rsidP="007B3372">
            <w:pPr>
              <w:jc w:val="center"/>
              <w:rPr>
                <w:b/>
              </w:rPr>
            </w:pPr>
            <w:r w:rsidRPr="00F4692C">
              <w:rPr>
                <w:b/>
              </w:rPr>
              <w:t>Vo vládnom cloude – áno / nie</w:t>
            </w:r>
          </w:p>
        </w:tc>
      </w:tr>
      <w:tr w:rsidR="00746D3C" w:rsidRPr="005C4B9C" w14:paraId="1C78CEB7" w14:textId="77777777" w:rsidTr="007B3372">
        <w:trPr>
          <w:trHeight w:val="20"/>
          <w:jc w:val="center"/>
        </w:trPr>
        <w:tc>
          <w:tcPr>
            <w:tcW w:w="3956" w:type="dxa"/>
          </w:tcPr>
          <w:p w14:paraId="6F8A85DF" w14:textId="77777777" w:rsidR="00746D3C" w:rsidRPr="005C4B9C" w:rsidRDefault="00746D3C" w:rsidP="007B3372">
            <w:r w:rsidRPr="005C4B9C">
              <w:rPr>
                <w:b/>
              </w:rPr>
              <w:t>6.2.</w:t>
            </w:r>
            <w:r w:rsidRPr="005C4B9C">
              <w:t xml:space="preserve"> Predpokladá predložený návrh zmenu existujúceho alebo vytvorenie nového informačného systému verejnej správy?</w:t>
            </w:r>
            <w:r>
              <w:t xml:space="preserve"> Predpokladá správca umiestnenie informačného systému vo vládnom cloude?</w:t>
            </w:r>
          </w:p>
        </w:tc>
        <w:tc>
          <w:tcPr>
            <w:tcW w:w="1446" w:type="dxa"/>
            <w:vAlign w:val="center"/>
          </w:tcPr>
          <w:p w14:paraId="303E9E05" w14:textId="77777777" w:rsidR="00746D3C" w:rsidRPr="005C4B9C" w:rsidRDefault="00746D3C" w:rsidP="007B3372">
            <w:pPr>
              <w:jc w:val="center"/>
              <w:rPr>
                <w:i/>
                <w:iCs/>
              </w:rPr>
            </w:pPr>
            <w:r w:rsidRPr="00C457E5">
              <w:rPr>
                <w:iCs/>
              </w:rPr>
              <w:t>B</w:t>
            </w:r>
          </w:p>
        </w:tc>
        <w:tc>
          <w:tcPr>
            <w:tcW w:w="1134" w:type="dxa"/>
            <w:vAlign w:val="center"/>
          </w:tcPr>
          <w:p w14:paraId="6D40EFC5" w14:textId="77777777" w:rsidR="00746D3C" w:rsidRPr="005C4B9C" w:rsidRDefault="00746D3C" w:rsidP="007B3372">
            <w:pPr>
              <w:jc w:val="center"/>
              <w:rPr>
                <w:i/>
                <w:iCs/>
              </w:rPr>
            </w:pPr>
            <w:r w:rsidRPr="00C457E5">
              <w:t>isvs_7714</w:t>
            </w:r>
          </w:p>
        </w:tc>
        <w:tc>
          <w:tcPr>
            <w:tcW w:w="1276" w:type="dxa"/>
            <w:gridSpan w:val="2"/>
            <w:vAlign w:val="center"/>
          </w:tcPr>
          <w:p w14:paraId="6F3B3D1E" w14:textId="77777777" w:rsidR="00746D3C" w:rsidRPr="005C4B9C" w:rsidRDefault="00746D3C" w:rsidP="007B3372">
            <w:pPr>
              <w:jc w:val="center"/>
              <w:rPr>
                <w:i/>
                <w:iCs/>
              </w:rPr>
            </w:pPr>
            <w:r w:rsidRPr="00C457E5">
              <w:rPr>
                <w:shd w:val="clear" w:color="auto" w:fill="FFFFFF"/>
              </w:rPr>
              <w:t>Integrovaný systém Finančnej správy - správa daní (ISFS-SD)</w:t>
            </w:r>
          </w:p>
        </w:tc>
        <w:tc>
          <w:tcPr>
            <w:tcW w:w="1559" w:type="dxa"/>
            <w:vAlign w:val="center"/>
          </w:tcPr>
          <w:p w14:paraId="4EA49F1C" w14:textId="77777777" w:rsidR="00746D3C" w:rsidRPr="005C4B9C" w:rsidRDefault="00746D3C" w:rsidP="007B3372">
            <w:pPr>
              <w:jc w:val="center"/>
              <w:rPr>
                <w:i/>
                <w:iCs/>
              </w:rPr>
            </w:pPr>
            <w:r w:rsidRPr="00C457E5">
              <w:rPr>
                <w:iCs/>
              </w:rPr>
              <w:t>nie</w:t>
            </w:r>
          </w:p>
        </w:tc>
      </w:tr>
      <w:tr w:rsidR="00746D3C" w:rsidRPr="005C4B9C" w14:paraId="20108ECB" w14:textId="77777777" w:rsidTr="007B3372">
        <w:trPr>
          <w:trHeight w:val="20"/>
          <w:jc w:val="center"/>
        </w:trPr>
        <w:tc>
          <w:tcPr>
            <w:tcW w:w="3956" w:type="dxa"/>
          </w:tcPr>
          <w:p w14:paraId="619EF847" w14:textId="77777777" w:rsidR="00746D3C" w:rsidRPr="005C4B9C" w:rsidRDefault="00746D3C" w:rsidP="007B3372">
            <w:pPr>
              <w:rPr>
                <w:b/>
              </w:rPr>
            </w:pPr>
          </w:p>
        </w:tc>
        <w:tc>
          <w:tcPr>
            <w:tcW w:w="1446" w:type="dxa"/>
            <w:vAlign w:val="center"/>
          </w:tcPr>
          <w:p w14:paraId="2AA7A5AB" w14:textId="77777777" w:rsidR="00746D3C" w:rsidRPr="005C4B9C" w:rsidRDefault="00746D3C" w:rsidP="007B3372">
            <w:pPr>
              <w:jc w:val="center"/>
              <w:rPr>
                <w:i/>
                <w:iCs/>
              </w:rPr>
            </w:pPr>
            <w:r w:rsidRPr="00C457E5">
              <w:rPr>
                <w:iCs/>
              </w:rPr>
              <w:t>B</w:t>
            </w:r>
          </w:p>
        </w:tc>
        <w:tc>
          <w:tcPr>
            <w:tcW w:w="1134" w:type="dxa"/>
            <w:vAlign w:val="center"/>
          </w:tcPr>
          <w:p w14:paraId="7C8B5DD8" w14:textId="77777777" w:rsidR="00746D3C" w:rsidRPr="005C4B9C" w:rsidRDefault="00746D3C" w:rsidP="007B3372">
            <w:pPr>
              <w:jc w:val="center"/>
              <w:rPr>
                <w:i/>
                <w:iCs/>
              </w:rPr>
            </w:pPr>
            <w:r w:rsidRPr="00C457E5">
              <w:rPr>
                <w:shd w:val="clear" w:color="auto" w:fill="FFFFFF"/>
              </w:rPr>
              <w:t>isvs_7145</w:t>
            </w:r>
          </w:p>
        </w:tc>
        <w:tc>
          <w:tcPr>
            <w:tcW w:w="1276" w:type="dxa"/>
            <w:gridSpan w:val="2"/>
            <w:vAlign w:val="center"/>
          </w:tcPr>
          <w:p w14:paraId="099C27AD" w14:textId="77777777" w:rsidR="00746D3C" w:rsidRPr="005C4B9C" w:rsidRDefault="00746D3C" w:rsidP="007B3372">
            <w:pPr>
              <w:jc w:val="center"/>
              <w:rPr>
                <w:i/>
                <w:iCs/>
              </w:rPr>
            </w:pPr>
            <w:r w:rsidRPr="00C457E5">
              <w:rPr>
                <w:shd w:val="clear" w:color="auto" w:fill="FFFFFF"/>
              </w:rPr>
              <w:t>Administratívny informačný systém (ADMIS)</w:t>
            </w:r>
          </w:p>
        </w:tc>
        <w:tc>
          <w:tcPr>
            <w:tcW w:w="1559" w:type="dxa"/>
            <w:vAlign w:val="center"/>
          </w:tcPr>
          <w:p w14:paraId="46AAC33B" w14:textId="77777777" w:rsidR="00746D3C" w:rsidRPr="005C4B9C" w:rsidRDefault="00746D3C" w:rsidP="007B3372">
            <w:pPr>
              <w:jc w:val="center"/>
              <w:rPr>
                <w:i/>
                <w:iCs/>
              </w:rPr>
            </w:pPr>
            <w:r w:rsidRPr="00C457E5">
              <w:rPr>
                <w:iCs/>
              </w:rPr>
              <w:t>nie</w:t>
            </w:r>
          </w:p>
        </w:tc>
      </w:tr>
      <w:tr w:rsidR="00746D3C" w:rsidRPr="005C4B9C" w14:paraId="24948499" w14:textId="77777777" w:rsidTr="007B3372">
        <w:trPr>
          <w:trHeight w:val="20"/>
          <w:jc w:val="center"/>
        </w:trPr>
        <w:tc>
          <w:tcPr>
            <w:tcW w:w="3956" w:type="dxa"/>
          </w:tcPr>
          <w:p w14:paraId="3642CBDA" w14:textId="77777777" w:rsidR="00746D3C" w:rsidRPr="005C4B9C" w:rsidRDefault="00746D3C" w:rsidP="007B3372">
            <w:pPr>
              <w:rPr>
                <w:b/>
              </w:rPr>
            </w:pPr>
          </w:p>
        </w:tc>
        <w:tc>
          <w:tcPr>
            <w:tcW w:w="1446" w:type="dxa"/>
            <w:vAlign w:val="center"/>
          </w:tcPr>
          <w:p w14:paraId="3B933653" w14:textId="77777777" w:rsidR="00746D3C" w:rsidRPr="005C4B9C" w:rsidRDefault="00746D3C" w:rsidP="007B3372">
            <w:pPr>
              <w:jc w:val="center"/>
              <w:rPr>
                <w:i/>
                <w:iCs/>
              </w:rPr>
            </w:pPr>
            <w:r w:rsidRPr="00C457E5">
              <w:rPr>
                <w:iCs/>
              </w:rPr>
              <w:t>B</w:t>
            </w:r>
          </w:p>
        </w:tc>
        <w:tc>
          <w:tcPr>
            <w:tcW w:w="1134" w:type="dxa"/>
            <w:vAlign w:val="center"/>
          </w:tcPr>
          <w:p w14:paraId="1997D69C" w14:textId="77777777" w:rsidR="00746D3C" w:rsidRPr="005C4B9C" w:rsidRDefault="00746D3C" w:rsidP="007B3372">
            <w:pPr>
              <w:jc w:val="center"/>
              <w:rPr>
                <w:i/>
                <w:iCs/>
              </w:rPr>
            </w:pPr>
            <w:r w:rsidRPr="00C457E5">
              <w:rPr>
                <w:shd w:val="clear" w:color="auto" w:fill="FFFFFF"/>
              </w:rPr>
              <w:t>isvs_7149</w:t>
            </w:r>
          </w:p>
        </w:tc>
        <w:tc>
          <w:tcPr>
            <w:tcW w:w="1276" w:type="dxa"/>
            <w:gridSpan w:val="2"/>
            <w:vAlign w:val="center"/>
          </w:tcPr>
          <w:p w14:paraId="7110EAF2" w14:textId="77777777" w:rsidR="00746D3C" w:rsidRPr="005C4B9C" w:rsidRDefault="00746D3C" w:rsidP="007B3372">
            <w:pPr>
              <w:jc w:val="center"/>
              <w:rPr>
                <w:i/>
                <w:iCs/>
              </w:rPr>
            </w:pPr>
            <w:r w:rsidRPr="00C457E5">
              <w:rPr>
                <w:shd w:val="clear" w:color="auto" w:fill="FFFFFF"/>
              </w:rPr>
              <w:t>DR</w:t>
            </w:r>
            <w:r>
              <w:rPr>
                <w:shd w:val="clear" w:color="auto" w:fill="FFFFFF"/>
              </w:rPr>
              <w:t xml:space="preserve"> </w:t>
            </w:r>
            <w:r w:rsidRPr="00C457E5">
              <w:rPr>
                <w:shd w:val="clear" w:color="auto" w:fill="FFFFFF"/>
              </w:rPr>
              <w:t>SCAN</w:t>
            </w:r>
          </w:p>
        </w:tc>
        <w:tc>
          <w:tcPr>
            <w:tcW w:w="1559" w:type="dxa"/>
            <w:vAlign w:val="center"/>
          </w:tcPr>
          <w:p w14:paraId="311242AC" w14:textId="77777777" w:rsidR="00746D3C" w:rsidRPr="005C4B9C" w:rsidRDefault="00746D3C" w:rsidP="007B3372">
            <w:pPr>
              <w:jc w:val="center"/>
              <w:rPr>
                <w:i/>
                <w:iCs/>
              </w:rPr>
            </w:pPr>
            <w:r w:rsidRPr="00C457E5">
              <w:rPr>
                <w:iCs/>
              </w:rPr>
              <w:t>nie</w:t>
            </w:r>
          </w:p>
        </w:tc>
      </w:tr>
      <w:tr w:rsidR="00746D3C" w:rsidRPr="005C4B9C" w14:paraId="62A8ED81" w14:textId="77777777" w:rsidTr="007B3372">
        <w:trPr>
          <w:trHeight w:val="20"/>
          <w:jc w:val="center"/>
        </w:trPr>
        <w:tc>
          <w:tcPr>
            <w:tcW w:w="3956" w:type="dxa"/>
          </w:tcPr>
          <w:p w14:paraId="70AF9953" w14:textId="77777777" w:rsidR="00746D3C" w:rsidRPr="005C4B9C" w:rsidRDefault="00746D3C" w:rsidP="007B3372">
            <w:pPr>
              <w:rPr>
                <w:b/>
              </w:rPr>
            </w:pPr>
          </w:p>
        </w:tc>
        <w:tc>
          <w:tcPr>
            <w:tcW w:w="1446" w:type="dxa"/>
            <w:vAlign w:val="center"/>
          </w:tcPr>
          <w:p w14:paraId="1B9A0AC1" w14:textId="77777777" w:rsidR="00746D3C" w:rsidRPr="005C4B9C" w:rsidRDefault="00746D3C" w:rsidP="007B3372">
            <w:pPr>
              <w:jc w:val="center"/>
              <w:rPr>
                <w:i/>
                <w:iCs/>
              </w:rPr>
            </w:pPr>
            <w:r w:rsidRPr="00C457E5">
              <w:rPr>
                <w:iCs/>
              </w:rPr>
              <w:t>B</w:t>
            </w:r>
          </w:p>
        </w:tc>
        <w:tc>
          <w:tcPr>
            <w:tcW w:w="1134" w:type="dxa"/>
            <w:vAlign w:val="center"/>
          </w:tcPr>
          <w:p w14:paraId="7F9B3C7E" w14:textId="77777777" w:rsidR="00746D3C" w:rsidRPr="005C4B9C" w:rsidRDefault="00746D3C" w:rsidP="007B3372">
            <w:pPr>
              <w:jc w:val="center"/>
              <w:rPr>
                <w:i/>
                <w:iCs/>
              </w:rPr>
            </w:pPr>
            <w:r w:rsidRPr="00C457E5">
              <w:rPr>
                <w:shd w:val="clear" w:color="auto" w:fill="FFFFFF"/>
              </w:rPr>
              <w:t>isvs_7146</w:t>
            </w:r>
          </w:p>
        </w:tc>
        <w:tc>
          <w:tcPr>
            <w:tcW w:w="1276" w:type="dxa"/>
            <w:gridSpan w:val="2"/>
            <w:vAlign w:val="center"/>
          </w:tcPr>
          <w:p w14:paraId="016C9853" w14:textId="77777777" w:rsidR="00746D3C" w:rsidRPr="005C4B9C" w:rsidRDefault="00746D3C" w:rsidP="007B3372">
            <w:pPr>
              <w:jc w:val="center"/>
              <w:rPr>
                <w:i/>
                <w:iCs/>
              </w:rPr>
            </w:pPr>
            <w:r w:rsidRPr="00C457E5">
              <w:rPr>
                <w:shd w:val="clear" w:color="auto" w:fill="FFFFFF"/>
              </w:rPr>
              <w:t>Data Warehouse (DWH)</w:t>
            </w:r>
          </w:p>
        </w:tc>
        <w:tc>
          <w:tcPr>
            <w:tcW w:w="1559" w:type="dxa"/>
            <w:vAlign w:val="center"/>
          </w:tcPr>
          <w:p w14:paraId="3E1C6705" w14:textId="77777777" w:rsidR="00746D3C" w:rsidRPr="005C4B9C" w:rsidRDefault="00746D3C" w:rsidP="007B3372">
            <w:pPr>
              <w:jc w:val="center"/>
              <w:rPr>
                <w:i/>
                <w:iCs/>
              </w:rPr>
            </w:pPr>
            <w:r w:rsidRPr="00C457E5">
              <w:rPr>
                <w:iCs/>
              </w:rPr>
              <w:t>nie</w:t>
            </w:r>
          </w:p>
        </w:tc>
      </w:tr>
      <w:tr w:rsidR="00746D3C" w:rsidRPr="005C4B9C" w14:paraId="2279E97C" w14:textId="77777777" w:rsidTr="007B3372">
        <w:trPr>
          <w:trHeight w:val="20"/>
          <w:jc w:val="center"/>
        </w:trPr>
        <w:tc>
          <w:tcPr>
            <w:tcW w:w="3956" w:type="dxa"/>
          </w:tcPr>
          <w:p w14:paraId="05AC4622" w14:textId="77777777" w:rsidR="00746D3C" w:rsidRPr="005C4B9C" w:rsidRDefault="00746D3C" w:rsidP="007B3372">
            <w:pPr>
              <w:rPr>
                <w:b/>
              </w:rPr>
            </w:pPr>
          </w:p>
        </w:tc>
        <w:tc>
          <w:tcPr>
            <w:tcW w:w="1446" w:type="dxa"/>
            <w:vAlign w:val="center"/>
          </w:tcPr>
          <w:p w14:paraId="3D0B38C7" w14:textId="77777777" w:rsidR="00746D3C" w:rsidRPr="005C4B9C" w:rsidRDefault="00746D3C" w:rsidP="007B3372">
            <w:pPr>
              <w:jc w:val="center"/>
              <w:rPr>
                <w:i/>
                <w:iCs/>
              </w:rPr>
            </w:pPr>
            <w:r w:rsidRPr="00C457E5">
              <w:rPr>
                <w:iCs/>
              </w:rPr>
              <w:t>B</w:t>
            </w:r>
          </w:p>
        </w:tc>
        <w:tc>
          <w:tcPr>
            <w:tcW w:w="1134" w:type="dxa"/>
            <w:vAlign w:val="center"/>
          </w:tcPr>
          <w:p w14:paraId="728E0D7F" w14:textId="77777777" w:rsidR="00746D3C" w:rsidRPr="005C4B9C" w:rsidRDefault="00746D3C" w:rsidP="007B3372">
            <w:pPr>
              <w:jc w:val="center"/>
              <w:rPr>
                <w:i/>
                <w:iCs/>
              </w:rPr>
            </w:pPr>
            <w:r w:rsidRPr="00C457E5">
              <w:rPr>
                <w:shd w:val="clear" w:color="auto" w:fill="FFFFFF"/>
              </w:rPr>
              <w:t>isvs_7148</w:t>
            </w:r>
          </w:p>
        </w:tc>
        <w:tc>
          <w:tcPr>
            <w:tcW w:w="1276" w:type="dxa"/>
            <w:gridSpan w:val="2"/>
            <w:vAlign w:val="center"/>
          </w:tcPr>
          <w:p w14:paraId="4EA8ADDB" w14:textId="77777777" w:rsidR="00746D3C" w:rsidRPr="005C4B9C" w:rsidRDefault="00746D3C" w:rsidP="007B3372">
            <w:pPr>
              <w:jc w:val="center"/>
              <w:rPr>
                <w:i/>
                <w:iCs/>
              </w:rPr>
            </w:pPr>
            <w:r w:rsidRPr="00844016">
              <w:t>Kontrolný výkaz DPH (KV DPH)</w:t>
            </w:r>
          </w:p>
        </w:tc>
        <w:tc>
          <w:tcPr>
            <w:tcW w:w="1559" w:type="dxa"/>
            <w:vAlign w:val="center"/>
          </w:tcPr>
          <w:p w14:paraId="382299FA" w14:textId="77777777" w:rsidR="00746D3C" w:rsidRPr="005C4B9C" w:rsidRDefault="00746D3C" w:rsidP="007B3372">
            <w:pPr>
              <w:jc w:val="center"/>
              <w:rPr>
                <w:i/>
                <w:iCs/>
              </w:rPr>
            </w:pPr>
            <w:r w:rsidRPr="00C457E5">
              <w:rPr>
                <w:iCs/>
              </w:rPr>
              <w:t>nie</w:t>
            </w:r>
          </w:p>
        </w:tc>
      </w:tr>
      <w:tr w:rsidR="00746D3C" w:rsidRPr="005C4B9C" w14:paraId="16430DA1" w14:textId="77777777" w:rsidTr="007B3372">
        <w:trPr>
          <w:trHeight w:val="20"/>
          <w:jc w:val="center"/>
        </w:trPr>
        <w:tc>
          <w:tcPr>
            <w:tcW w:w="3956" w:type="dxa"/>
          </w:tcPr>
          <w:p w14:paraId="39FEEF79" w14:textId="77777777" w:rsidR="00746D3C" w:rsidRPr="005C4B9C" w:rsidRDefault="00746D3C" w:rsidP="007B3372">
            <w:pPr>
              <w:rPr>
                <w:b/>
              </w:rPr>
            </w:pPr>
          </w:p>
        </w:tc>
        <w:tc>
          <w:tcPr>
            <w:tcW w:w="1446" w:type="dxa"/>
            <w:vAlign w:val="center"/>
          </w:tcPr>
          <w:p w14:paraId="0435BBFE" w14:textId="77777777" w:rsidR="00746D3C" w:rsidRPr="005C4B9C" w:rsidRDefault="00746D3C" w:rsidP="007B3372">
            <w:pPr>
              <w:jc w:val="center"/>
              <w:rPr>
                <w:i/>
                <w:iCs/>
              </w:rPr>
            </w:pPr>
            <w:r>
              <w:rPr>
                <w:iCs/>
              </w:rPr>
              <w:t>B</w:t>
            </w:r>
          </w:p>
        </w:tc>
        <w:tc>
          <w:tcPr>
            <w:tcW w:w="1134" w:type="dxa"/>
            <w:vAlign w:val="center"/>
          </w:tcPr>
          <w:p w14:paraId="1C79BA3F" w14:textId="77777777" w:rsidR="00746D3C" w:rsidRPr="005C4B9C" w:rsidRDefault="00746D3C" w:rsidP="007B3372">
            <w:pPr>
              <w:jc w:val="center"/>
              <w:rPr>
                <w:i/>
                <w:iCs/>
              </w:rPr>
            </w:pPr>
            <w:r>
              <w:rPr>
                <w:shd w:val="clear" w:color="auto" w:fill="FFFFFF"/>
              </w:rPr>
              <w:t>isvs_7136</w:t>
            </w:r>
          </w:p>
        </w:tc>
        <w:tc>
          <w:tcPr>
            <w:tcW w:w="1276" w:type="dxa"/>
            <w:gridSpan w:val="2"/>
            <w:vAlign w:val="center"/>
          </w:tcPr>
          <w:p w14:paraId="04EAB47E" w14:textId="77777777" w:rsidR="00746D3C" w:rsidRPr="005C4B9C" w:rsidRDefault="00746D3C" w:rsidP="007B3372">
            <w:pPr>
              <w:jc w:val="center"/>
              <w:rPr>
                <w:i/>
                <w:iCs/>
              </w:rPr>
            </w:pPr>
            <w:r w:rsidRPr="00BC3435">
              <w:t>VAT Information Exchange System (VIES)</w:t>
            </w:r>
          </w:p>
        </w:tc>
        <w:tc>
          <w:tcPr>
            <w:tcW w:w="1559" w:type="dxa"/>
            <w:vAlign w:val="center"/>
          </w:tcPr>
          <w:p w14:paraId="3B1B02B1" w14:textId="77777777" w:rsidR="00746D3C" w:rsidRPr="005C4B9C" w:rsidRDefault="00746D3C" w:rsidP="007B3372">
            <w:pPr>
              <w:jc w:val="center"/>
              <w:rPr>
                <w:i/>
                <w:iCs/>
              </w:rPr>
            </w:pPr>
            <w:r>
              <w:rPr>
                <w:iCs/>
              </w:rPr>
              <w:t>nie</w:t>
            </w:r>
          </w:p>
        </w:tc>
      </w:tr>
      <w:tr w:rsidR="00746D3C" w:rsidRPr="005C4B9C" w14:paraId="57C87BF7" w14:textId="77777777" w:rsidTr="007B3372">
        <w:trPr>
          <w:trHeight w:val="20"/>
          <w:jc w:val="center"/>
        </w:trPr>
        <w:tc>
          <w:tcPr>
            <w:tcW w:w="3956" w:type="dxa"/>
          </w:tcPr>
          <w:p w14:paraId="256E9E59" w14:textId="77777777" w:rsidR="00746D3C" w:rsidRPr="005C4B9C" w:rsidRDefault="00746D3C" w:rsidP="007B3372">
            <w:pPr>
              <w:rPr>
                <w:b/>
              </w:rPr>
            </w:pPr>
          </w:p>
        </w:tc>
        <w:tc>
          <w:tcPr>
            <w:tcW w:w="1446" w:type="dxa"/>
            <w:vAlign w:val="center"/>
          </w:tcPr>
          <w:p w14:paraId="1FBD9367" w14:textId="77777777" w:rsidR="00746D3C" w:rsidRPr="005C4B9C" w:rsidRDefault="00746D3C" w:rsidP="007B3372">
            <w:pPr>
              <w:jc w:val="center"/>
              <w:rPr>
                <w:i/>
                <w:iCs/>
              </w:rPr>
            </w:pPr>
            <w:r w:rsidRPr="00C457E5">
              <w:rPr>
                <w:iCs/>
              </w:rPr>
              <w:t>B</w:t>
            </w:r>
          </w:p>
        </w:tc>
        <w:tc>
          <w:tcPr>
            <w:tcW w:w="1134" w:type="dxa"/>
            <w:vAlign w:val="center"/>
          </w:tcPr>
          <w:p w14:paraId="46CC8C71" w14:textId="77777777" w:rsidR="00746D3C" w:rsidRPr="005C4B9C" w:rsidRDefault="00746D3C" w:rsidP="007B3372">
            <w:pPr>
              <w:jc w:val="center"/>
              <w:rPr>
                <w:i/>
                <w:iCs/>
              </w:rPr>
            </w:pPr>
            <w:r>
              <w:rPr>
                <w:shd w:val="clear" w:color="auto" w:fill="FFFFFF"/>
              </w:rPr>
              <w:t>isvs_7213</w:t>
            </w:r>
          </w:p>
        </w:tc>
        <w:tc>
          <w:tcPr>
            <w:tcW w:w="1276" w:type="dxa"/>
            <w:gridSpan w:val="2"/>
            <w:vAlign w:val="center"/>
          </w:tcPr>
          <w:p w14:paraId="3034A378" w14:textId="77777777" w:rsidR="00746D3C" w:rsidRPr="005C4B9C" w:rsidRDefault="00746D3C" w:rsidP="007B3372">
            <w:pPr>
              <w:jc w:val="center"/>
              <w:rPr>
                <w:i/>
                <w:iCs/>
              </w:rPr>
            </w:pPr>
            <w:r>
              <w:rPr>
                <w:iCs/>
              </w:rPr>
              <w:t>Portál finančnej správy (PFS)</w:t>
            </w:r>
          </w:p>
        </w:tc>
        <w:tc>
          <w:tcPr>
            <w:tcW w:w="1559" w:type="dxa"/>
            <w:vAlign w:val="center"/>
          </w:tcPr>
          <w:p w14:paraId="6E6FF2F4" w14:textId="77777777" w:rsidR="00746D3C" w:rsidRPr="005C4B9C" w:rsidRDefault="00746D3C" w:rsidP="007B3372">
            <w:pPr>
              <w:jc w:val="center"/>
              <w:rPr>
                <w:i/>
                <w:iCs/>
              </w:rPr>
            </w:pPr>
            <w:r w:rsidRPr="00C457E5">
              <w:rPr>
                <w:iCs/>
              </w:rPr>
              <w:t>nie</w:t>
            </w:r>
          </w:p>
        </w:tc>
      </w:tr>
      <w:tr w:rsidR="00746D3C" w:rsidRPr="005C4B9C" w14:paraId="5B724F78" w14:textId="77777777" w:rsidTr="007B3372">
        <w:trPr>
          <w:trHeight w:val="20"/>
          <w:jc w:val="center"/>
        </w:trPr>
        <w:tc>
          <w:tcPr>
            <w:tcW w:w="3956" w:type="dxa"/>
          </w:tcPr>
          <w:p w14:paraId="4148A05A" w14:textId="77777777" w:rsidR="00746D3C" w:rsidRPr="005C4B9C" w:rsidRDefault="00746D3C" w:rsidP="007B3372">
            <w:pPr>
              <w:rPr>
                <w:b/>
              </w:rPr>
            </w:pPr>
          </w:p>
        </w:tc>
        <w:tc>
          <w:tcPr>
            <w:tcW w:w="1446" w:type="dxa"/>
            <w:vAlign w:val="center"/>
          </w:tcPr>
          <w:p w14:paraId="1A3C6C92" w14:textId="77777777" w:rsidR="00746D3C" w:rsidRPr="00D80957" w:rsidRDefault="00746D3C" w:rsidP="007B3372">
            <w:pPr>
              <w:jc w:val="center"/>
              <w:rPr>
                <w:i/>
                <w:iCs/>
              </w:rPr>
            </w:pPr>
            <w:r w:rsidRPr="00D80957">
              <w:rPr>
                <w:iCs/>
              </w:rPr>
              <w:t>A</w:t>
            </w:r>
          </w:p>
        </w:tc>
        <w:tc>
          <w:tcPr>
            <w:tcW w:w="1134" w:type="dxa"/>
            <w:vAlign w:val="center"/>
          </w:tcPr>
          <w:p w14:paraId="1B1DE8A5" w14:textId="77777777" w:rsidR="00746D3C" w:rsidRPr="00944145" w:rsidRDefault="00746D3C" w:rsidP="007B3372">
            <w:pPr>
              <w:jc w:val="center"/>
            </w:pPr>
            <w:r w:rsidRPr="00944145">
              <w:t>isvs_15189</w:t>
            </w:r>
          </w:p>
        </w:tc>
        <w:tc>
          <w:tcPr>
            <w:tcW w:w="1276" w:type="dxa"/>
            <w:gridSpan w:val="2"/>
            <w:vAlign w:val="center"/>
          </w:tcPr>
          <w:p w14:paraId="6572BFFB" w14:textId="77777777" w:rsidR="00746D3C" w:rsidRPr="00D80957" w:rsidRDefault="00746D3C" w:rsidP="007B3372">
            <w:pPr>
              <w:jc w:val="center"/>
              <w:rPr>
                <w:i/>
                <w:iCs/>
              </w:rPr>
            </w:pPr>
            <w:r w:rsidRPr="00944145">
              <w:rPr>
                <w:iCs/>
              </w:rPr>
              <w:t>Service Metadata Provider (SMP)</w:t>
            </w:r>
          </w:p>
        </w:tc>
        <w:tc>
          <w:tcPr>
            <w:tcW w:w="1559" w:type="dxa"/>
            <w:vAlign w:val="center"/>
          </w:tcPr>
          <w:p w14:paraId="7E3BE94E" w14:textId="77777777" w:rsidR="00746D3C" w:rsidRPr="00D80957" w:rsidRDefault="00746D3C" w:rsidP="007B3372">
            <w:pPr>
              <w:jc w:val="center"/>
              <w:rPr>
                <w:i/>
                <w:iCs/>
              </w:rPr>
            </w:pPr>
            <w:r w:rsidRPr="00D80957">
              <w:rPr>
                <w:iCs/>
              </w:rPr>
              <w:t>nie</w:t>
            </w:r>
          </w:p>
        </w:tc>
      </w:tr>
      <w:tr w:rsidR="00746D3C" w:rsidRPr="005C4B9C" w14:paraId="076B3C07" w14:textId="77777777" w:rsidTr="007B3372">
        <w:trPr>
          <w:trHeight w:val="20"/>
          <w:jc w:val="center"/>
        </w:trPr>
        <w:tc>
          <w:tcPr>
            <w:tcW w:w="3956" w:type="dxa"/>
          </w:tcPr>
          <w:p w14:paraId="4B5F8B6E" w14:textId="77777777" w:rsidR="00746D3C" w:rsidRPr="005C4B9C" w:rsidRDefault="00746D3C" w:rsidP="007B3372">
            <w:pPr>
              <w:rPr>
                <w:b/>
              </w:rPr>
            </w:pPr>
          </w:p>
        </w:tc>
        <w:tc>
          <w:tcPr>
            <w:tcW w:w="1446" w:type="dxa"/>
            <w:vAlign w:val="center"/>
          </w:tcPr>
          <w:p w14:paraId="2B74D6D3" w14:textId="77777777" w:rsidR="00746D3C" w:rsidRPr="00D80957" w:rsidRDefault="00746D3C" w:rsidP="007B3372">
            <w:pPr>
              <w:jc w:val="center"/>
              <w:rPr>
                <w:i/>
                <w:iCs/>
              </w:rPr>
            </w:pPr>
            <w:r w:rsidRPr="00D80957">
              <w:rPr>
                <w:iCs/>
              </w:rPr>
              <w:t>A</w:t>
            </w:r>
          </w:p>
        </w:tc>
        <w:tc>
          <w:tcPr>
            <w:tcW w:w="1134" w:type="dxa"/>
            <w:vAlign w:val="center"/>
          </w:tcPr>
          <w:p w14:paraId="3C622AA7" w14:textId="77777777" w:rsidR="00746D3C" w:rsidRPr="00944145" w:rsidRDefault="00746D3C" w:rsidP="007B3372">
            <w:pPr>
              <w:jc w:val="center"/>
            </w:pPr>
            <w:r w:rsidRPr="00944145">
              <w:t>isvs_15190</w:t>
            </w:r>
          </w:p>
        </w:tc>
        <w:tc>
          <w:tcPr>
            <w:tcW w:w="1276" w:type="dxa"/>
            <w:gridSpan w:val="2"/>
            <w:vAlign w:val="center"/>
          </w:tcPr>
          <w:p w14:paraId="1D0B25E2" w14:textId="77777777" w:rsidR="00746D3C" w:rsidRPr="00D80957" w:rsidRDefault="00746D3C" w:rsidP="007B3372">
            <w:pPr>
              <w:jc w:val="center"/>
              <w:rPr>
                <w:i/>
                <w:iCs/>
              </w:rPr>
            </w:pPr>
            <w:r w:rsidRPr="00944145">
              <w:rPr>
                <w:iCs/>
              </w:rPr>
              <w:t>5-corner Access Point (C5)</w:t>
            </w:r>
          </w:p>
        </w:tc>
        <w:tc>
          <w:tcPr>
            <w:tcW w:w="1559" w:type="dxa"/>
            <w:vAlign w:val="center"/>
          </w:tcPr>
          <w:p w14:paraId="4FB90114" w14:textId="77777777" w:rsidR="00746D3C" w:rsidRPr="00D80957" w:rsidRDefault="00746D3C" w:rsidP="007B3372">
            <w:pPr>
              <w:jc w:val="center"/>
              <w:rPr>
                <w:i/>
                <w:iCs/>
              </w:rPr>
            </w:pPr>
            <w:r w:rsidRPr="00D80957">
              <w:rPr>
                <w:iCs/>
              </w:rPr>
              <w:t>nie</w:t>
            </w:r>
          </w:p>
        </w:tc>
      </w:tr>
      <w:tr w:rsidR="00746D3C" w:rsidRPr="005C4B9C" w14:paraId="1CAF8D16" w14:textId="77777777" w:rsidTr="007B3372">
        <w:trPr>
          <w:trHeight w:val="20"/>
          <w:jc w:val="center"/>
        </w:trPr>
        <w:tc>
          <w:tcPr>
            <w:tcW w:w="3956" w:type="dxa"/>
          </w:tcPr>
          <w:p w14:paraId="37EA9144" w14:textId="77777777" w:rsidR="00746D3C" w:rsidRPr="005C4B9C" w:rsidRDefault="00746D3C" w:rsidP="007B3372">
            <w:pPr>
              <w:rPr>
                <w:b/>
              </w:rPr>
            </w:pPr>
          </w:p>
        </w:tc>
        <w:tc>
          <w:tcPr>
            <w:tcW w:w="1446" w:type="dxa"/>
            <w:vAlign w:val="center"/>
          </w:tcPr>
          <w:p w14:paraId="3CD3A470" w14:textId="77777777" w:rsidR="00746D3C" w:rsidRPr="00D80957" w:rsidRDefault="00746D3C" w:rsidP="007B3372">
            <w:pPr>
              <w:jc w:val="center"/>
              <w:rPr>
                <w:iCs/>
              </w:rPr>
            </w:pPr>
            <w:r>
              <w:rPr>
                <w:iCs/>
              </w:rPr>
              <w:t>A</w:t>
            </w:r>
          </w:p>
        </w:tc>
        <w:tc>
          <w:tcPr>
            <w:tcW w:w="1134" w:type="dxa"/>
            <w:vAlign w:val="center"/>
          </w:tcPr>
          <w:p w14:paraId="1E582226" w14:textId="77777777" w:rsidR="00746D3C" w:rsidRPr="00944145" w:rsidRDefault="00746D3C" w:rsidP="007B3372">
            <w:pPr>
              <w:jc w:val="center"/>
            </w:pPr>
            <w:r w:rsidRPr="00944145">
              <w:t>isvs_15191</w:t>
            </w:r>
          </w:p>
        </w:tc>
        <w:tc>
          <w:tcPr>
            <w:tcW w:w="1276" w:type="dxa"/>
            <w:gridSpan w:val="2"/>
            <w:vAlign w:val="center"/>
          </w:tcPr>
          <w:p w14:paraId="3622CDE4" w14:textId="77777777" w:rsidR="00746D3C" w:rsidRPr="00D80957" w:rsidRDefault="00746D3C" w:rsidP="007B3372">
            <w:pPr>
              <w:jc w:val="center"/>
              <w:rPr>
                <w:iCs/>
              </w:rPr>
            </w:pPr>
            <w:r w:rsidRPr="00944145">
              <w:rPr>
                <w:iCs/>
              </w:rPr>
              <w:t>Know your customer (KYC)</w:t>
            </w:r>
          </w:p>
        </w:tc>
        <w:tc>
          <w:tcPr>
            <w:tcW w:w="1559" w:type="dxa"/>
            <w:vAlign w:val="center"/>
          </w:tcPr>
          <w:p w14:paraId="7041859B" w14:textId="77777777" w:rsidR="00746D3C" w:rsidRPr="00D80957" w:rsidRDefault="00746D3C" w:rsidP="007B3372">
            <w:pPr>
              <w:jc w:val="center"/>
              <w:rPr>
                <w:iCs/>
              </w:rPr>
            </w:pPr>
            <w:r>
              <w:rPr>
                <w:iCs/>
              </w:rPr>
              <w:t>nie</w:t>
            </w:r>
          </w:p>
        </w:tc>
      </w:tr>
      <w:tr w:rsidR="00746D3C" w:rsidRPr="005C4B9C" w14:paraId="1214DB49" w14:textId="77777777" w:rsidTr="007B3372">
        <w:trPr>
          <w:trHeight w:val="20"/>
          <w:jc w:val="center"/>
        </w:trPr>
        <w:tc>
          <w:tcPr>
            <w:tcW w:w="3956" w:type="dxa"/>
          </w:tcPr>
          <w:p w14:paraId="15C44F8C" w14:textId="77777777" w:rsidR="00746D3C" w:rsidRPr="005C4B9C" w:rsidRDefault="00746D3C" w:rsidP="007B3372">
            <w:pPr>
              <w:rPr>
                <w:b/>
              </w:rPr>
            </w:pPr>
          </w:p>
        </w:tc>
        <w:tc>
          <w:tcPr>
            <w:tcW w:w="1446" w:type="dxa"/>
            <w:vAlign w:val="center"/>
          </w:tcPr>
          <w:p w14:paraId="272C7D6F" w14:textId="77777777" w:rsidR="00746D3C" w:rsidRPr="00D80957" w:rsidRDefault="00746D3C" w:rsidP="007B3372">
            <w:pPr>
              <w:jc w:val="center"/>
              <w:rPr>
                <w:iCs/>
              </w:rPr>
            </w:pPr>
            <w:r>
              <w:rPr>
                <w:iCs/>
              </w:rPr>
              <w:t>A</w:t>
            </w:r>
          </w:p>
        </w:tc>
        <w:tc>
          <w:tcPr>
            <w:tcW w:w="1134" w:type="dxa"/>
            <w:vAlign w:val="center"/>
          </w:tcPr>
          <w:p w14:paraId="70D4E16A" w14:textId="77777777" w:rsidR="00746D3C" w:rsidRPr="00944145" w:rsidRDefault="00746D3C" w:rsidP="007B3372">
            <w:pPr>
              <w:jc w:val="center"/>
            </w:pPr>
            <w:r w:rsidRPr="00944145">
              <w:t>isvs_15192</w:t>
            </w:r>
          </w:p>
        </w:tc>
        <w:tc>
          <w:tcPr>
            <w:tcW w:w="1276" w:type="dxa"/>
            <w:gridSpan w:val="2"/>
            <w:vAlign w:val="center"/>
          </w:tcPr>
          <w:p w14:paraId="31D89466" w14:textId="77777777" w:rsidR="00746D3C" w:rsidRPr="00D80957" w:rsidRDefault="00746D3C" w:rsidP="007B3372">
            <w:pPr>
              <w:jc w:val="center"/>
              <w:rPr>
                <w:iCs/>
              </w:rPr>
            </w:pPr>
            <w:r w:rsidRPr="00944145">
              <w:rPr>
                <w:iCs/>
              </w:rPr>
              <w:t>Access Point provider (GovAP)</w:t>
            </w:r>
          </w:p>
        </w:tc>
        <w:tc>
          <w:tcPr>
            <w:tcW w:w="1559" w:type="dxa"/>
            <w:vAlign w:val="center"/>
          </w:tcPr>
          <w:p w14:paraId="5CC1CE51" w14:textId="77777777" w:rsidR="00746D3C" w:rsidRPr="00D80957" w:rsidRDefault="00746D3C" w:rsidP="007B3372">
            <w:pPr>
              <w:jc w:val="center"/>
              <w:rPr>
                <w:iCs/>
              </w:rPr>
            </w:pPr>
            <w:r>
              <w:rPr>
                <w:iCs/>
              </w:rPr>
              <w:t>nie</w:t>
            </w:r>
          </w:p>
        </w:tc>
      </w:tr>
      <w:tr w:rsidR="00746D3C" w:rsidRPr="005C4B9C" w14:paraId="2DC9A474" w14:textId="77777777" w:rsidTr="007B3372">
        <w:trPr>
          <w:trHeight w:val="20"/>
          <w:jc w:val="center"/>
        </w:trPr>
        <w:tc>
          <w:tcPr>
            <w:tcW w:w="3956" w:type="dxa"/>
            <w:shd w:val="clear" w:color="auto" w:fill="BFBFBF"/>
            <w:vAlign w:val="center"/>
          </w:tcPr>
          <w:p w14:paraId="452D3B89" w14:textId="77777777" w:rsidR="00746D3C" w:rsidRPr="00F4692C" w:rsidRDefault="00746D3C" w:rsidP="007B3372">
            <w:pPr>
              <w:spacing w:line="20" w:lineRule="atLeast"/>
              <w:ind w:hanging="55"/>
              <w:jc w:val="center"/>
              <w:rPr>
                <w:b/>
              </w:rPr>
            </w:pPr>
            <w:r w:rsidRPr="00F4692C">
              <w:rPr>
                <w:b/>
              </w:rPr>
              <w:t>Financovanie procesu informatizácie</w:t>
            </w:r>
          </w:p>
        </w:tc>
        <w:tc>
          <w:tcPr>
            <w:tcW w:w="1446" w:type="dxa"/>
            <w:shd w:val="clear" w:color="auto" w:fill="BFBFBF"/>
            <w:vAlign w:val="center"/>
          </w:tcPr>
          <w:p w14:paraId="7351E390" w14:textId="77777777" w:rsidR="00746D3C" w:rsidRPr="00F4692C" w:rsidRDefault="00746D3C" w:rsidP="007B3372">
            <w:pPr>
              <w:jc w:val="center"/>
              <w:rPr>
                <w:b/>
                <w:i/>
                <w:iCs/>
              </w:rPr>
            </w:pPr>
            <w:r w:rsidRPr="00F4692C">
              <w:rPr>
                <w:b/>
              </w:rPr>
              <w:t>Rezortná úroveň</w:t>
            </w:r>
          </w:p>
        </w:tc>
        <w:tc>
          <w:tcPr>
            <w:tcW w:w="1984" w:type="dxa"/>
            <w:gridSpan w:val="2"/>
            <w:shd w:val="clear" w:color="auto" w:fill="BFBFBF"/>
            <w:vAlign w:val="center"/>
          </w:tcPr>
          <w:p w14:paraId="279401A0" w14:textId="77777777" w:rsidR="00746D3C" w:rsidRPr="00F4692C" w:rsidRDefault="00746D3C" w:rsidP="007B3372">
            <w:pPr>
              <w:jc w:val="center"/>
              <w:rPr>
                <w:b/>
                <w:i/>
                <w:iCs/>
              </w:rPr>
            </w:pPr>
            <w:r w:rsidRPr="00F4692C">
              <w:rPr>
                <w:b/>
              </w:rPr>
              <w:t>Nadrezortná úroveň</w:t>
            </w:r>
          </w:p>
          <w:p w14:paraId="740F29C5" w14:textId="77777777" w:rsidR="00746D3C" w:rsidRPr="00F4692C" w:rsidRDefault="00746D3C" w:rsidP="007B3372">
            <w:pPr>
              <w:jc w:val="center"/>
              <w:rPr>
                <w:b/>
              </w:rPr>
            </w:pPr>
          </w:p>
        </w:tc>
        <w:tc>
          <w:tcPr>
            <w:tcW w:w="1985" w:type="dxa"/>
            <w:gridSpan w:val="2"/>
            <w:shd w:val="clear" w:color="auto" w:fill="BFBFBF"/>
            <w:vAlign w:val="center"/>
          </w:tcPr>
          <w:p w14:paraId="04C251D2" w14:textId="77777777" w:rsidR="00746D3C" w:rsidRPr="00F4692C" w:rsidRDefault="00746D3C" w:rsidP="007B3372">
            <w:pPr>
              <w:rPr>
                <w:b/>
              </w:rPr>
            </w:pPr>
            <w:r w:rsidRPr="00F4692C">
              <w:rPr>
                <w:b/>
              </w:rPr>
              <w:t>A - z prostriedkov EÚ   B - z ďalších zdrojov financovania</w:t>
            </w:r>
          </w:p>
        </w:tc>
      </w:tr>
      <w:tr w:rsidR="00746D3C" w:rsidRPr="005C4B9C" w14:paraId="7F1B4B7B" w14:textId="77777777" w:rsidTr="007B3372">
        <w:trPr>
          <w:trHeight w:val="20"/>
          <w:jc w:val="center"/>
        </w:trPr>
        <w:tc>
          <w:tcPr>
            <w:tcW w:w="3956" w:type="dxa"/>
            <w:tcBorders>
              <w:bottom w:val="single" w:sz="4" w:space="0" w:color="auto"/>
            </w:tcBorders>
          </w:tcPr>
          <w:p w14:paraId="2BB6D4B4" w14:textId="77777777" w:rsidR="00746D3C" w:rsidRPr="005C4B9C" w:rsidRDefault="00746D3C" w:rsidP="007B3372">
            <w:pPr>
              <w:jc w:val="both"/>
              <w:rPr>
                <w:szCs w:val="22"/>
              </w:rPr>
            </w:pPr>
            <w:r w:rsidRPr="005C4B9C">
              <w:rPr>
                <w:b/>
                <w:szCs w:val="22"/>
              </w:rPr>
              <w:t>6.3.</w:t>
            </w:r>
            <w:r w:rsidRPr="005C4B9C">
              <w:rPr>
                <w:szCs w:val="22"/>
              </w:rPr>
              <w:t xml:space="preserve"> Vyžaduje si proces informatizácie  finančné investície?</w:t>
            </w:r>
          </w:p>
          <w:p w14:paraId="200AB9B6" w14:textId="77777777" w:rsidR="00746D3C" w:rsidRPr="005C4B9C" w:rsidRDefault="00746D3C" w:rsidP="007B3372">
            <w:pPr>
              <w:spacing w:line="20" w:lineRule="atLeast"/>
              <w:jc w:val="both"/>
            </w:pPr>
            <w:r w:rsidRPr="005C4B9C">
              <w:rPr>
                <w:i/>
                <w:iCs/>
                <w:szCs w:val="22"/>
              </w:rPr>
              <w:t>(Uveďte príslušnú úroveň financovania a kvantifikáciu finančných výdavkov uveďte  v analýze vplyvov na rozpočet verejnej správy.)</w:t>
            </w:r>
          </w:p>
        </w:tc>
        <w:tc>
          <w:tcPr>
            <w:tcW w:w="1446" w:type="dxa"/>
            <w:tcBorders>
              <w:bottom w:val="single" w:sz="4" w:space="0" w:color="auto"/>
            </w:tcBorders>
            <w:vAlign w:val="center"/>
          </w:tcPr>
          <w:p w14:paraId="5683370F" w14:textId="77777777" w:rsidR="00746D3C" w:rsidRPr="005C4B9C" w:rsidRDefault="00746D3C" w:rsidP="007B3372">
            <w:pPr>
              <w:jc w:val="center"/>
              <w:rPr>
                <w:i/>
                <w:iCs/>
              </w:rPr>
            </w:pPr>
            <w:r w:rsidRPr="00DA2D4F">
              <w:rPr>
                <w:iCs/>
              </w:rPr>
              <w:t>X</w:t>
            </w:r>
          </w:p>
        </w:tc>
        <w:tc>
          <w:tcPr>
            <w:tcW w:w="1984" w:type="dxa"/>
            <w:gridSpan w:val="2"/>
            <w:tcBorders>
              <w:bottom w:val="single" w:sz="4" w:space="0" w:color="auto"/>
            </w:tcBorders>
          </w:tcPr>
          <w:p w14:paraId="02E42048" w14:textId="77777777" w:rsidR="00746D3C" w:rsidRPr="005C4B9C" w:rsidRDefault="00746D3C" w:rsidP="007B3372">
            <w:pPr>
              <w:rPr>
                <w:i/>
                <w:iCs/>
              </w:rPr>
            </w:pPr>
          </w:p>
        </w:tc>
        <w:tc>
          <w:tcPr>
            <w:tcW w:w="1985" w:type="dxa"/>
            <w:gridSpan w:val="2"/>
            <w:tcBorders>
              <w:bottom w:val="single" w:sz="4" w:space="0" w:color="auto"/>
            </w:tcBorders>
          </w:tcPr>
          <w:p w14:paraId="04B717DE" w14:textId="77777777" w:rsidR="00746D3C" w:rsidRPr="005C4B9C" w:rsidRDefault="00746D3C" w:rsidP="007B3372">
            <w:pPr>
              <w:rPr>
                <w:i/>
                <w:iCs/>
              </w:rPr>
            </w:pPr>
          </w:p>
        </w:tc>
      </w:tr>
      <w:tr w:rsidR="00746D3C" w:rsidRPr="005C4B9C" w14:paraId="06EB5C84" w14:textId="77777777" w:rsidTr="007B3372">
        <w:trPr>
          <w:trHeight w:val="20"/>
          <w:jc w:val="center"/>
        </w:trPr>
        <w:tc>
          <w:tcPr>
            <w:tcW w:w="9371" w:type="dxa"/>
            <w:gridSpan w:val="6"/>
            <w:shd w:val="pct25" w:color="auto" w:fill="auto"/>
          </w:tcPr>
          <w:p w14:paraId="552BA87B" w14:textId="77777777" w:rsidR="00746D3C" w:rsidRPr="00F14E8D" w:rsidRDefault="00746D3C" w:rsidP="007B3372">
            <w:pPr>
              <w:spacing w:line="20" w:lineRule="atLeast"/>
              <w:ind w:hanging="55"/>
              <w:jc w:val="center"/>
              <w:rPr>
                <w:i/>
                <w:iCs/>
                <w:highlight w:val="darkGray"/>
              </w:rPr>
            </w:pPr>
            <w:r w:rsidRPr="00F14E8D">
              <w:rPr>
                <w:b/>
              </w:rPr>
              <w:t>Zjednodušenie prístupu ku konaniu a odstraňovanie byrokracie</w:t>
            </w:r>
          </w:p>
        </w:tc>
      </w:tr>
      <w:tr w:rsidR="00746D3C" w:rsidRPr="005C4B9C" w14:paraId="1D05E298" w14:textId="77777777" w:rsidTr="007B3372">
        <w:trPr>
          <w:trHeight w:val="20"/>
          <w:jc w:val="center"/>
        </w:trPr>
        <w:tc>
          <w:tcPr>
            <w:tcW w:w="9371" w:type="dxa"/>
            <w:gridSpan w:val="6"/>
            <w:shd w:val="pct25" w:color="auto" w:fill="auto"/>
          </w:tcPr>
          <w:p w14:paraId="0E48E1AA" w14:textId="77777777" w:rsidR="00746D3C" w:rsidRPr="00F4692C" w:rsidRDefault="00746D3C" w:rsidP="007B3372">
            <w:pPr>
              <w:spacing w:line="20" w:lineRule="atLeast"/>
              <w:ind w:hanging="55"/>
              <w:jc w:val="center"/>
              <w:rPr>
                <w:b/>
              </w:rPr>
            </w:pPr>
            <w:r>
              <w:rPr>
                <w:b/>
              </w:rPr>
              <w:t>Elektronické konanie</w:t>
            </w:r>
          </w:p>
        </w:tc>
      </w:tr>
      <w:tr w:rsidR="00746D3C" w:rsidRPr="005C4B9C" w14:paraId="456217DF" w14:textId="77777777" w:rsidTr="007B3372">
        <w:trPr>
          <w:trHeight w:val="20"/>
          <w:jc w:val="center"/>
        </w:trPr>
        <w:tc>
          <w:tcPr>
            <w:tcW w:w="3956" w:type="dxa"/>
          </w:tcPr>
          <w:p w14:paraId="05D29EAA" w14:textId="77777777" w:rsidR="00746D3C" w:rsidRPr="005C4B9C" w:rsidRDefault="00746D3C" w:rsidP="007B3372">
            <w:pPr>
              <w:jc w:val="both"/>
              <w:rPr>
                <w:b/>
                <w:szCs w:val="22"/>
              </w:rPr>
            </w:pPr>
            <w:r>
              <w:rPr>
                <w:b/>
                <w:szCs w:val="22"/>
              </w:rPr>
              <w:t xml:space="preserve">6.4.1. </w:t>
            </w:r>
            <w:r w:rsidRPr="00FA16FE">
              <w:rPr>
                <w:szCs w:val="22"/>
              </w:rPr>
              <w:t xml:space="preserve">Predpokladá predložený návrh </w:t>
            </w:r>
            <w:r>
              <w:rPr>
                <w:szCs w:val="22"/>
              </w:rPr>
              <w:t>vedenie konania o právach, právom chránených záujmoch alebo povinnostiach fyzických osôb a právnických osôb</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14D0DE33" w14:textId="77777777" w:rsidTr="007B3372">
              <w:sdt>
                <w:sdtPr>
                  <w:id w:val="1051428338"/>
                  <w14:checkbox>
                    <w14:checked w14:val="1"/>
                    <w14:checkedState w14:val="2612" w14:font="MS Gothic"/>
                    <w14:uncheckedState w14:val="2610" w14:font="MS Gothic"/>
                  </w14:checkbox>
                </w:sdtPr>
                <w:sdtEndPr/>
                <w:sdtContent>
                  <w:tc>
                    <w:tcPr>
                      <w:tcW w:w="436" w:type="dxa"/>
                    </w:tcPr>
                    <w:p w14:paraId="7C1D9122"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1555BA18" w14:textId="77777777" w:rsidR="00746D3C" w:rsidRPr="00F04CCD" w:rsidRDefault="00746D3C" w:rsidP="007B3372">
                  <w:pPr>
                    <w:rPr>
                      <w:b/>
                    </w:rPr>
                  </w:pPr>
                  <w:r>
                    <w:rPr>
                      <w:b/>
                    </w:rPr>
                    <w:t>Áno</w:t>
                  </w:r>
                </w:p>
              </w:tc>
            </w:tr>
            <w:tr w:rsidR="00746D3C" w:rsidRPr="00F04CCD" w14:paraId="670EA293" w14:textId="77777777" w:rsidTr="007B3372">
              <w:sdt>
                <w:sdtPr>
                  <w:id w:val="-200025544"/>
                  <w14:checkbox>
                    <w14:checked w14:val="0"/>
                    <w14:checkedState w14:val="2612" w14:font="MS Gothic"/>
                    <w14:uncheckedState w14:val="2610" w14:font="MS Gothic"/>
                  </w14:checkbox>
                </w:sdtPr>
                <w:sdtEndPr/>
                <w:sdtContent>
                  <w:tc>
                    <w:tcPr>
                      <w:tcW w:w="436" w:type="dxa"/>
                    </w:tcPr>
                    <w:p w14:paraId="2BE8F5D6" w14:textId="77777777" w:rsidR="00746D3C" w:rsidRPr="00F04CCD" w:rsidRDefault="00746D3C" w:rsidP="007B3372">
                      <w:pPr>
                        <w:jc w:val="center"/>
                      </w:pPr>
                      <w:r w:rsidRPr="00F04CCD">
                        <w:rPr>
                          <w:rFonts w:ascii="MS Mincho" w:eastAsia="MS Mincho" w:hAnsi="MS Mincho" w:cs="MS Mincho" w:hint="eastAsia"/>
                        </w:rPr>
                        <w:t>☐</w:t>
                      </w:r>
                    </w:p>
                  </w:tc>
                </w:sdtContent>
              </w:sdt>
              <w:tc>
                <w:tcPr>
                  <w:tcW w:w="8545" w:type="dxa"/>
                </w:tcPr>
                <w:p w14:paraId="232BEC22" w14:textId="77777777" w:rsidR="00746D3C" w:rsidRPr="00F04CCD" w:rsidRDefault="00746D3C" w:rsidP="007B3372">
                  <w:pPr>
                    <w:rPr>
                      <w:b/>
                    </w:rPr>
                  </w:pPr>
                  <w:r>
                    <w:rPr>
                      <w:b/>
                    </w:rPr>
                    <w:t>Nie</w:t>
                  </w:r>
                </w:p>
              </w:tc>
            </w:tr>
          </w:tbl>
          <w:p w14:paraId="377FD385" w14:textId="77777777" w:rsidR="00746D3C" w:rsidRPr="00FA16FE" w:rsidRDefault="00746D3C" w:rsidP="007B3372"/>
        </w:tc>
        <w:tc>
          <w:tcPr>
            <w:tcW w:w="3969" w:type="dxa"/>
            <w:gridSpan w:val="4"/>
            <w:shd w:val="clear" w:color="auto" w:fill="auto"/>
          </w:tcPr>
          <w:p w14:paraId="3DE2614B" w14:textId="77777777" w:rsidR="00746D3C" w:rsidRDefault="00746D3C" w:rsidP="007B3372">
            <w:pPr>
              <w:pStyle w:val="Zkladntext1"/>
              <w:jc w:val="both"/>
              <w:rPr>
                <w:iCs/>
                <w:sz w:val="20"/>
              </w:rPr>
            </w:pPr>
            <w:r w:rsidRPr="00DA2D4F">
              <w:rPr>
                <w:iCs/>
                <w:sz w:val="20"/>
              </w:rPr>
              <w:t>Konanie o</w:t>
            </w:r>
            <w:r>
              <w:rPr>
                <w:iCs/>
                <w:sz w:val="20"/>
              </w:rPr>
              <w:t> určení spoločného zástupcu skupiny</w:t>
            </w:r>
            <w:r w:rsidRPr="00DA2D4F">
              <w:rPr>
                <w:iCs/>
                <w:sz w:val="20"/>
              </w:rPr>
              <w:t xml:space="preserve"> podľa § 4</w:t>
            </w:r>
            <w:r>
              <w:rPr>
                <w:iCs/>
                <w:sz w:val="20"/>
              </w:rPr>
              <w:t>c</w:t>
            </w:r>
            <w:r w:rsidRPr="00DA2D4F">
              <w:rPr>
                <w:iCs/>
                <w:sz w:val="20"/>
              </w:rPr>
              <w:t xml:space="preserve"> ods. 2 návrhu zákona, </w:t>
            </w:r>
            <w:r w:rsidRPr="00DA2D4F">
              <w:rPr>
                <w:color w:val="auto"/>
                <w:sz w:val="20"/>
              </w:rPr>
              <w:t>ktorým sa mení a dopĺňa zákon č. 222/2004 Z. z. o dani z pridanej hodnoty v znení neskorších predpisov a ktorým sa menia a dopĺňajú niektoré zákony</w:t>
            </w:r>
            <w:r w:rsidRPr="00DA2D4F">
              <w:rPr>
                <w:iCs/>
                <w:sz w:val="20"/>
              </w:rPr>
              <w:t xml:space="preserve"> (ďalej len „návrh zákona“)</w:t>
            </w:r>
            <w:r>
              <w:rPr>
                <w:iCs/>
                <w:sz w:val="20"/>
              </w:rPr>
              <w:t>.</w:t>
            </w:r>
          </w:p>
          <w:p w14:paraId="30BB5B21" w14:textId="77777777" w:rsidR="00746D3C" w:rsidRDefault="00746D3C" w:rsidP="007B3372">
            <w:pPr>
              <w:pStyle w:val="Zkladntext1"/>
              <w:jc w:val="both"/>
              <w:rPr>
                <w:iCs/>
                <w:sz w:val="20"/>
              </w:rPr>
            </w:pPr>
            <w:r>
              <w:rPr>
                <w:iCs/>
                <w:sz w:val="20"/>
              </w:rPr>
              <w:t>Konanie o registrácii skupiny z úradnej moci podľa § 4c ods. 4 návrhu zákona.</w:t>
            </w:r>
          </w:p>
          <w:p w14:paraId="1EA3D582" w14:textId="77777777" w:rsidR="00746D3C" w:rsidRDefault="00746D3C" w:rsidP="007B3372">
            <w:pPr>
              <w:pStyle w:val="Zkladntext1"/>
              <w:jc w:val="both"/>
              <w:rPr>
                <w:iCs/>
                <w:sz w:val="20"/>
              </w:rPr>
            </w:pPr>
            <w:r>
              <w:rPr>
                <w:iCs/>
                <w:sz w:val="20"/>
              </w:rPr>
              <w:t>Konanie o žiadosti o zmenu registrácie skupiny,</w:t>
            </w:r>
            <w:r>
              <w:t xml:space="preserve"> </w:t>
            </w:r>
            <w:r w:rsidRPr="00CE447E">
              <w:rPr>
                <w:iCs/>
                <w:sz w:val="20"/>
              </w:rPr>
              <w:lastRenderedPageBreak/>
              <w:t>ak ďalší člen skupiny spĺňa podmienky na registráciu skupiny z úradnej moci</w:t>
            </w:r>
            <w:r>
              <w:rPr>
                <w:iCs/>
                <w:sz w:val="20"/>
              </w:rPr>
              <w:t xml:space="preserve"> podľa § 4c ods. 8 návrhu zákona.</w:t>
            </w:r>
          </w:p>
          <w:p w14:paraId="0E42B1DF" w14:textId="77777777" w:rsidR="00746D3C" w:rsidRDefault="00746D3C" w:rsidP="007B3372">
            <w:pPr>
              <w:pStyle w:val="Zkladntext1"/>
              <w:jc w:val="both"/>
              <w:rPr>
                <w:iCs/>
                <w:sz w:val="20"/>
              </w:rPr>
            </w:pPr>
            <w:r>
              <w:rPr>
                <w:iCs/>
                <w:sz w:val="20"/>
              </w:rPr>
              <w:t>Konanie o žiadosti o zmenu registrácie skupiny (člen skupiny prestane spĺňať podmienky podľa § 4a) podľa § 4c ods. 9 návrhu zákona.</w:t>
            </w:r>
          </w:p>
          <w:p w14:paraId="2FAE8317" w14:textId="77777777" w:rsidR="00746D3C" w:rsidRDefault="00746D3C" w:rsidP="007B3372">
            <w:pPr>
              <w:pStyle w:val="Zkladntext1"/>
              <w:jc w:val="both"/>
              <w:rPr>
                <w:iCs/>
                <w:sz w:val="20"/>
              </w:rPr>
            </w:pPr>
            <w:r>
              <w:rPr>
                <w:iCs/>
                <w:sz w:val="20"/>
              </w:rPr>
              <w:t>Konanie o zmene registrácie skupiny z úradnej moci (člen skupiny prestane spĺňať podmienky podľa § 4a) podľa § 4c ods. 9 návrhu zákona.</w:t>
            </w:r>
          </w:p>
          <w:p w14:paraId="54E7E358" w14:textId="77777777" w:rsidR="00746D3C" w:rsidRDefault="00746D3C" w:rsidP="007B3372">
            <w:pPr>
              <w:pStyle w:val="Zkladntext1"/>
              <w:jc w:val="both"/>
              <w:rPr>
                <w:iCs/>
                <w:sz w:val="20"/>
              </w:rPr>
            </w:pPr>
            <w:r>
              <w:rPr>
                <w:iCs/>
                <w:sz w:val="20"/>
              </w:rPr>
              <w:t xml:space="preserve">Konanie o registrácii </w:t>
            </w:r>
            <w:r w:rsidRPr="00AE5929">
              <w:rPr>
                <w:iCs/>
                <w:sz w:val="20"/>
              </w:rPr>
              <w:t>člena skupiny, ktorý prestal spĺňať podmienky  podľa § 4a, za samostatného platiteľa</w:t>
            </w:r>
            <w:r>
              <w:rPr>
                <w:iCs/>
                <w:sz w:val="20"/>
              </w:rPr>
              <w:t xml:space="preserve"> podľa § 4c ods. 9 návrhu zákona.</w:t>
            </w:r>
          </w:p>
          <w:p w14:paraId="5F098693" w14:textId="77777777" w:rsidR="00746D3C" w:rsidRDefault="00746D3C" w:rsidP="007B3372">
            <w:pPr>
              <w:pStyle w:val="Zkladntext1"/>
              <w:jc w:val="both"/>
              <w:rPr>
                <w:iCs/>
                <w:sz w:val="20"/>
              </w:rPr>
            </w:pPr>
            <w:r>
              <w:rPr>
                <w:iCs/>
                <w:sz w:val="20"/>
              </w:rPr>
              <w:t xml:space="preserve">Konanie o </w:t>
            </w:r>
            <w:r w:rsidRPr="00E346EB">
              <w:rPr>
                <w:iCs/>
                <w:sz w:val="20"/>
              </w:rPr>
              <w:t>žiados</w:t>
            </w:r>
            <w:r>
              <w:rPr>
                <w:iCs/>
                <w:sz w:val="20"/>
              </w:rPr>
              <w:t>ti</w:t>
            </w:r>
            <w:r w:rsidRPr="00E346EB">
              <w:rPr>
                <w:iCs/>
                <w:sz w:val="20"/>
              </w:rPr>
              <w:t xml:space="preserve"> o zmenu registrácie skupiny</w:t>
            </w:r>
            <w:r>
              <w:rPr>
                <w:iCs/>
                <w:sz w:val="20"/>
              </w:rPr>
              <w:t>,</w:t>
            </w:r>
            <w:r w:rsidRPr="00E346EB">
              <w:rPr>
                <w:iCs/>
                <w:sz w:val="20"/>
              </w:rPr>
              <w:t xml:space="preserve"> </w:t>
            </w:r>
            <w:r>
              <w:rPr>
                <w:iCs/>
                <w:sz w:val="20"/>
              </w:rPr>
              <w:t>a</w:t>
            </w:r>
            <w:r w:rsidRPr="00E346EB">
              <w:rPr>
                <w:iCs/>
                <w:sz w:val="20"/>
              </w:rPr>
              <w:t>k niektorý z členov skupiny zanikne bez likvidácie a na právneho nástupcu prechádza majetok zanikajúceho člena skupiny</w:t>
            </w:r>
            <w:r>
              <w:rPr>
                <w:iCs/>
                <w:sz w:val="20"/>
              </w:rPr>
              <w:t xml:space="preserve"> podľa § 4c ods. 10 návrhu zákona.</w:t>
            </w:r>
          </w:p>
          <w:p w14:paraId="0B7CACEB" w14:textId="77777777" w:rsidR="00746D3C" w:rsidRDefault="00746D3C" w:rsidP="007B3372">
            <w:pPr>
              <w:pStyle w:val="Zkladntext1"/>
              <w:jc w:val="both"/>
              <w:rPr>
                <w:iCs/>
                <w:sz w:val="20"/>
              </w:rPr>
            </w:pPr>
            <w:r>
              <w:rPr>
                <w:iCs/>
                <w:sz w:val="20"/>
              </w:rPr>
              <w:t xml:space="preserve">Konanie o registrácii </w:t>
            </w:r>
            <w:r w:rsidRPr="00E346EB">
              <w:rPr>
                <w:iCs/>
                <w:sz w:val="20"/>
              </w:rPr>
              <w:t>právneho nástupcu, ktorý nespĺňa podmienky podľa § 4a</w:t>
            </w:r>
            <w:r>
              <w:rPr>
                <w:iCs/>
                <w:sz w:val="20"/>
              </w:rPr>
              <w:t>,</w:t>
            </w:r>
            <w:r w:rsidRPr="00E346EB">
              <w:rPr>
                <w:iCs/>
                <w:sz w:val="20"/>
              </w:rPr>
              <w:t xml:space="preserve"> za samostatného platiteľa </w:t>
            </w:r>
            <w:r>
              <w:rPr>
                <w:iCs/>
                <w:sz w:val="20"/>
              </w:rPr>
              <w:t>podľa § 4c ods. 10 návrhu zákona</w:t>
            </w:r>
            <w:r w:rsidRPr="00E346EB">
              <w:rPr>
                <w:iCs/>
                <w:sz w:val="20"/>
              </w:rPr>
              <w:t>.</w:t>
            </w:r>
          </w:p>
          <w:p w14:paraId="49025BFB" w14:textId="77777777" w:rsidR="00746D3C" w:rsidRPr="009B12DC" w:rsidRDefault="00746D3C" w:rsidP="007B3372">
            <w:pPr>
              <w:pStyle w:val="Zkladntext1"/>
              <w:jc w:val="both"/>
              <w:rPr>
                <w:iCs/>
                <w:sz w:val="20"/>
              </w:rPr>
            </w:pPr>
            <w:r>
              <w:rPr>
                <w:iCs/>
                <w:sz w:val="20"/>
              </w:rPr>
              <w:t xml:space="preserve">Konanie o </w:t>
            </w:r>
            <w:r w:rsidRPr="00E346EB">
              <w:rPr>
                <w:iCs/>
                <w:sz w:val="20"/>
              </w:rPr>
              <w:t>žiados</w:t>
            </w:r>
            <w:r>
              <w:rPr>
                <w:iCs/>
                <w:sz w:val="20"/>
              </w:rPr>
              <w:t>ti</w:t>
            </w:r>
            <w:r w:rsidRPr="00E346EB">
              <w:rPr>
                <w:iCs/>
                <w:sz w:val="20"/>
              </w:rPr>
              <w:t xml:space="preserve"> o </w:t>
            </w:r>
            <w:r w:rsidRPr="009B12DC">
              <w:rPr>
                <w:iCs/>
                <w:sz w:val="20"/>
              </w:rPr>
              <w:t xml:space="preserve">zmenu registrácie skupiny, ak niektorý z členov skupiny, </w:t>
            </w:r>
            <w:r w:rsidRPr="009B12DC">
              <w:rPr>
                <w:sz w:val="20"/>
              </w:rPr>
              <w:t>ktorý zanikol bez likvidácie</w:t>
            </w:r>
            <w:r>
              <w:rPr>
                <w:sz w:val="20"/>
              </w:rPr>
              <w:t xml:space="preserve"> (§ 4c ods. 11 návrhu zákona)</w:t>
            </w:r>
            <w:r w:rsidRPr="009B12DC">
              <w:rPr>
                <w:sz w:val="20"/>
              </w:rPr>
              <w:t>, nemá právneho nástupcu</w:t>
            </w:r>
            <w:r w:rsidRPr="009B12DC">
              <w:rPr>
                <w:iCs/>
                <w:sz w:val="20"/>
              </w:rPr>
              <w:t xml:space="preserve"> podľa § 4c ods. 10 návrhu zákona.</w:t>
            </w:r>
          </w:p>
          <w:p w14:paraId="7A8F9741" w14:textId="77777777" w:rsidR="00746D3C" w:rsidRDefault="00746D3C" w:rsidP="007B3372">
            <w:pPr>
              <w:pStyle w:val="Zkladntext1"/>
              <w:jc w:val="both"/>
              <w:rPr>
                <w:iCs/>
                <w:sz w:val="20"/>
              </w:rPr>
            </w:pPr>
            <w:r>
              <w:rPr>
                <w:iCs/>
                <w:sz w:val="20"/>
              </w:rPr>
              <w:t>Konanie o uložení pokuty skupine do výšky 10 000 eur podľa § 4c ods. 12 návrhu zákona, ak zástupca skupiny nesplní povinnosti podľa § 4c odsekov 8 až 10 návrhu zákona.</w:t>
            </w:r>
          </w:p>
          <w:p w14:paraId="71AA881B" w14:textId="77777777" w:rsidR="00746D3C" w:rsidRDefault="00746D3C" w:rsidP="007B3372">
            <w:pPr>
              <w:pStyle w:val="Zkladntext1"/>
              <w:jc w:val="both"/>
              <w:rPr>
                <w:iCs/>
                <w:sz w:val="20"/>
              </w:rPr>
            </w:pPr>
          </w:p>
          <w:p w14:paraId="36345870" w14:textId="77777777" w:rsidR="00746D3C" w:rsidRDefault="00746D3C" w:rsidP="007B3372">
            <w:pPr>
              <w:pStyle w:val="Zkladntext1"/>
              <w:jc w:val="both"/>
              <w:rPr>
                <w:iCs/>
                <w:sz w:val="20"/>
              </w:rPr>
            </w:pPr>
            <w:r>
              <w:rPr>
                <w:iCs/>
                <w:sz w:val="20"/>
              </w:rPr>
              <w:t>Konanie o ž</w:t>
            </w:r>
            <w:r w:rsidRPr="00ED2D75">
              <w:rPr>
                <w:iCs/>
                <w:sz w:val="20"/>
              </w:rPr>
              <w:t>iados</w:t>
            </w:r>
            <w:r>
              <w:rPr>
                <w:iCs/>
                <w:sz w:val="20"/>
              </w:rPr>
              <w:t>ti</w:t>
            </w:r>
            <w:r w:rsidRPr="00ED2D75">
              <w:rPr>
                <w:iCs/>
                <w:sz w:val="20"/>
              </w:rPr>
              <w:t xml:space="preserve"> o registráciu pre daň zdaniteľn</w:t>
            </w:r>
            <w:r>
              <w:rPr>
                <w:iCs/>
                <w:sz w:val="20"/>
              </w:rPr>
              <w:t>ou</w:t>
            </w:r>
            <w:r w:rsidRPr="00ED2D75">
              <w:rPr>
                <w:iCs/>
                <w:sz w:val="20"/>
              </w:rPr>
              <w:t xml:space="preserve"> osob</w:t>
            </w:r>
            <w:r>
              <w:rPr>
                <w:iCs/>
                <w:sz w:val="20"/>
              </w:rPr>
              <w:t>ou</w:t>
            </w:r>
            <w:r w:rsidRPr="00ED2D75">
              <w:rPr>
                <w:iCs/>
                <w:sz w:val="20"/>
              </w:rPr>
              <w:t>, ktorá nie je povinná podať žiadosť o registráciu pre daň podľa § 4, aj ak jej nevznikla povinnosť podľa</w:t>
            </w:r>
            <w:r>
              <w:rPr>
                <w:iCs/>
                <w:sz w:val="20"/>
              </w:rPr>
              <w:t xml:space="preserve"> § 7a ods. 1</w:t>
            </w:r>
            <w:r w:rsidRPr="00ED2D75">
              <w:rPr>
                <w:iCs/>
                <w:sz w:val="20"/>
              </w:rPr>
              <w:t xml:space="preserve"> prvej vety</w:t>
            </w:r>
            <w:r>
              <w:rPr>
                <w:iCs/>
                <w:sz w:val="20"/>
              </w:rPr>
              <w:t xml:space="preserve"> podľa § 7a ods. 1 návrhu zákona.</w:t>
            </w:r>
          </w:p>
          <w:p w14:paraId="1131986F" w14:textId="77777777" w:rsidR="00746D3C" w:rsidRDefault="00746D3C" w:rsidP="007B3372">
            <w:pPr>
              <w:pStyle w:val="Zkladntext1"/>
              <w:jc w:val="both"/>
              <w:rPr>
                <w:iCs/>
                <w:sz w:val="20"/>
              </w:rPr>
            </w:pPr>
          </w:p>
          <w:p w14:paraId="36B18256" w14:textId="77777777" w:rsidR="00746D3C" w:rsidRDefault="00746D3C" w:rsidP="007B3372">
            <w:pPr>
              <w:pStyle w:val="Zkladntext1"/>
              <w:jc w:val="both"/>
              <w:rPr>
                <w:iCs/>
                <w:sz w:val="20"/>
              </w:rPr>
            </w:pPr>
            <w:r>
              <w:rPr>
                <w:iCs/>
                <w:sz w:val="20"/>
              </w:rPr>
              <w:t>Konanie o </w:t>
            </w:r>
            <w:r w:rsidRPr="00994C2D">
              <w:rPr>
                <w:iCs/>
                <w:sz w:val="20"/>
              </w:rPr>
              <w:t>povinn</w:t>
            </w:r>
            <w:r>
              <w:rPr>
                <w:iCs/>
                <w:sz w:val="20"/>
              </w:rPr>
              <w:t xml:space="preserve">osti </w:t>
            </w:r>
            <w:r w:rsidRPr="00994C2D">
              <w:rPr>
                <w:iCs/>
                <w:sz w:val="20"/>
              </w:rPr>
              <w:t>zaplatiť</w:t>
            </w:r>
            <w:r w:rsidRPr="00994C2D">
              <w:rPr>
                <w:sz w:val="20"/>
              </w:rPr>
              <w:t xml:space="preserve"> d</w:t>
            </w:r>
            <w:r w:rsidRPr="00994C2D">
              <w:rPr>
                <w:iCs/>
                <w:sz w:val="20"/>
              </w:rPr>
              <w:t>aň uvedenú na faktúre, ktorú je z dodania tovaru alebo služby povinný platiť dodávateľ podľa § 69</w:t>
            </w:r>
            <w:r>
              <w:rPr>
                <w:iCs/>
                <w:sz w:val="20"/>
              </w:rPr>
              <w:t>c</w:t>
            </w:r>
            <w:r w:rsidRPr="00994C2D">
              <w:rPr>
                <w:iCs/>
                <w:sz w:val="20"/>
              </w:rPr>
              <w:t xml:space="preserve"> ods. 1</w:t>
            </w:r>
            <w:r>
              <w:rPr>
                <w:iCs/>
                <w:sz w:val="20"/>
              </w:rPr>
              <w:t>,</w:t>
            </w:r>
            <w:r w:rsidRPr="00994C2D">
              <w:rPr>
                <w:iCs/>
                <w:sz w:val="20"/>
              </w:rPr>
              <w:t xml:space="preserve"> platiteľ</w:t>
            </w:r>
            <w:r>
              <w:rPr>
                <w:iCs/>
                <w:sz w:val="20"/>
              </w:rPr>
              <w:t>om</w:t>
            </w:r>
            <w:r w:rsidRPr="00994C2D">
              <w:rPr>
                <w:iCs/>
                <w:sz w:val="20"/>
              </w:rPr>
              <w:t xml:space="preserve"> (odberateľ</w:t>
            </w:r>
            <w:r>
              <w:rPr>
                <w:iCs/>
                <w:sz w:val="20"/>
              </w:rPr>
              <w:t>om</w:t>
            </w:r>
            <w:r w:rsidRPr="00994C2D">
              <w:rPr>
                <w:iCs/>
                <w:sz w:val="20"/>
              </w:rPr>
              <w:t>) spôsobom podľa odseku 2</w:t>
            </w:r>
            <w:r>
              <w:rPr>
                <w:iCs/>
                <w:sz w:val="20"/>
              </w:rPr>
              <w:t>,</w:t>
            </w:r>
            <w:r w:rsidRPr="00994C2D">
              <w:rPr>
                <w:iCs/>
                <w:sz w:val="20"/>
              </w:rPr>
              <w:t xml:space="preserve"> </w:t>
            </w:r>
            <w:r w:rsidRPr="00022020">
              <w:rPr>
                <w:iCs/>
                <w:sz w:val="20"/>
              </w:rPr>
              <w:t xml:space="preserve">ak je dôvodná obava, že ju dodávateľ v lehote splatnosti dane </w:t>
            </w:r>
            <w:r>
              <w:rPr>
                <w:iCs/>
                <w:sz w:val="20"/>
              </w:rPr>
              <w:t xml:space="preserve">podľa </w:t>
            </w:r>
            <w:r w:rsidRPr="00022020">
              <w:rPr>
                <w:iCs/>
                <w:sz w:val="20"/>
              </w:rPr>
              <w:t>§</w:t>
            </w:r>
            <w:r>
              <w:rPr>
                <w:iCs/>
                <w:sz w:val="20"/>
              </w:rPr>
              <w:t xml:space="preserve"> </w:t>
            </w:r>
            <w:r w:rsidRPr="00022020">
              <w:rPr>
                <w:iCs/>
                <w:sz w:val="20"/>
              </w:rPr>
              <w:t>78 ods. 1 nezaplatí a</w:t>
            </w:r>
            <w:r>
              <w:rPr>
                <w:iCs/>
                <w:sz w:val="20"/>
              </w:rPr>
              <w:t xml:space="preserve"> ak tak </w:t>
            </w:r>
            <w:r w:rsidRPr="00022020">
              <w:rPr>
                <w:iCs/>
                <w:sz w:val="20"/>
              </w:rPr>
              <w:t xml:space="preserve">určí daňový úrad </w:t>
            </w:r>
            <w:r>
              <w:rPr>
                <w:iCs/>
                <w:sz w:val="20"/>
              </w:rPr>
              <w:t>podľa § 69c ods. 1 písm. b) návrhu zákona. D</w:t>
            </w:r>
            <w:r w:rsidRPr="005F62D7">
              <w:rPr>
                <w:iCs/>
                <w:sz w:val="20"/>
              </w:rPr>
              <w:t>aň je splatná v lehote určenej v rozhodnutí, proti ktorému nie je možné podať odvolanie.</w:t>
            </w:r>
          </w:p>
          <w:p w14:paraId="52E1F6EE" w14:textId="77777777" w:rsidR="00746D3C" w:rsidRDefault="00746D3C" w:rsidP="007B3372">
            <w:pPr>
              <w:pStyle w:val="Zkladntext1"/>
              <w:jc w:val="both"/>
              <w:rPr>
                <w:iCs/>
                <w:sz w:val="20"/>
              </w:rPr>
            </w:pPr>
            <w:r>
              <w:rPr>
                <w:iCs/>
                <w:sz w:val="20"/>
              </w:rPr>
              <w:t xml:space="preserve">Konanie o uložení </w:t>
            </w:r>
            <w:r w:rsidRPr="005A3BED">
              <w:rPr>
                <w:iCs/>
                <w:sz w:val="20"/>
              </w:rPr>
              <w:t>pokut</w:t>
            </w:r>
            <w:r>
              <w:rPr>
                <w:iCs/>
                <w:sz w:val="20"/>
              </w:rPr>
              <w:t>y</w:t>
            </w:r>
            <w:r w:rsidRPr="005A3BED">
              <w:rPr>
                <w:iCs/>
                <w:sz w:val="20"/>
              </w:rPr>
              <w:t xml:space="preserve"> do výšky dane uvedenej na faktúre</w:t>
            </w:r>
            <w:r>
              <w:rPr>
                <w:iCs/>
                <w:sz w:val="20"/>
              </w:rPr>
              <w:t>,</w:t>
            </w:r>
            <w:r w:rsidRPr="005A3BED">
              <w:rPr>
                <w:iCs/>
                <w:sz w:val="20"/>
              </w:rPr>
              <w:t xml:space="preserve"> </w:t>
            </w:r>
            <w:r>
              <w:rPr>
                <w:iCs/>
                <w:sz w:val="20"/>
              </w:rPr>
              <w:t>a</w:t>
            </w:r>
            <w:r w:rsidRPr="005A3BED">
              <w:rPr>
                <w:iCs/>
                <w:sz w:val="20"/>
              </w:rPr>
              <w:t xml:space="preserve">k platiteľ (odberateľ) daň uvedenú v rozhodnutí podľa </w:t>
            </w:r>
            <w:r>
              <w:rPr>
                <w:iCs/>
                <w:sz w:val="20"/>
              </w:rPr>
              <w:t xml:space="preserve">§ 69c </w:t>
            </w:r>
            <w:r w:rsidRPr="005A3BED">
              <w:rPr>
                <w:iCs/>
                <w:sz w:val="20"/>
              </w:rPr>
              <w:t>odseku 1 písm. b) neuhradí v určenej lehote alebo uhradí len jej časť</w:t>
            </w:r>
            <w:r>
              <w:rPr>
                <w:iCs/>
                <w:sz w:val="20"/>
              </w:rPr>
              <w:t xml:space="preserve"> podľa § 69c ods. 8 návrhu zákona.</w:t>
            </w:r>
          </w:p>
          <w:p w14:paraId="41CAF28F" w14:textId="77777777" w:rsidR="00746D3C" w:rsidRDefault="00746D3C" w:rsidP="007B3372">
            <w:pPr>
              <w:pStyle w:val="Zkladntext1"/>
              <w:jc w:val="both"/>
              <w:rPr>
                <w:iCs/>
                <w:sz w:val="20"/>
              </w:rPr>
            </w:pPr>
          </w:p>
          <w:p w14:paraId="21C83995" w14:textId="77777777" w:rsidR="00746D3C" w:rsidRDefault="00746D3C" w:rsidP="007B3372">
            <w:pPr>
              <w:pStyle w:val="Zkladntext1"/>
              <w:jc w:val="both"/>
              <w:rPr>
                <w:iCs/>
                <w:sz w:val="20"/>
              </w:rPr>
            </w:pPr>
            <w:r>
              <w:rPr>
                <w:iCs/>
                <w:sz w:val="20"/>
              </w:rPr>
              <w:t xml:space="preserve">Podľa § 76a ods. 6 návrhu zákona </w:t>
            </w:r>
            <w:r w:rsidRPr="007E3844">
              <w:rPr>
                <w:iCs/>
                <w:sz w:val="20"/>
              </w:rPr>
              <w:t xml:space="preserve">Finančné riaditeľstvo </w:t>
            </w:r>
            <w:r>
              <w:rPr>
                <w:iCs/>
                <w:sz w:val="20"/>
              </w:rPr>
              <w:t xml:space="preserve">SR </w:t>
            </w:r>
            <w:r w:rsidRPr="007E3844">
              <w:rPr>
                <w:iCs/>
                <w:sz w:val="20"/>
              </w:rPr>
              <w:t>zapíše do evidencie podľa odseku 5 európsky doručovací štandard, ktorý je všeobecne akceptovaný a rozšírený v členských štátoch.</w:t>
            </w:r>
          </w:p>
          <w:p w14:paraId="1955D69C" w14:textId="77777777" w:rsidR="00746D3C" w:rsidRDefault="00746D3C" w:rsidP="007B3372">
            <w:pPr>
              <w:pStyle w:val="Zkladntext1"/>
              <w:jc w:val="both"/>
              <w:rPr>
                <w:iCs/>
                <w:sz w:val="20"/>
              </w:rPr>
            </w:pPr>
          </w:p>
          <w:p w14:paraId="0D16CB1C" w14:textId="77777777" w:rsidR="00746D3C" w:rsidRPr="00B45A55" w:rsidRDefault="00746D3C" w:rsidP="007B3372">
            <w:pPr>
              <w:pStyle w:val="Zkladntext1"/>
              <w:jc w:val="both"/>
              <w:rPr>
                <w:iCs/>
                <w:sz w:val="20"/>
              </w:rPr>
            </w:pPr>
            <w:r>
              <w:rPr>
                <w:iCs/>
                <w:sz w:val="20"/>
              </w:rPr>
              <w:t>Podľa § 76a ods. 8 návrhu zákona</w:t>
            </w:r>
            <w:r w:rsidRPr="007E3844">
              <w:rPr>
                <w:iCs/>
                <w:sz w:val="20"/>
              </w:rPr>
              <w:tab/>
            </w:r>
            <w:r w:rsidRPr="00B45A55">
              <w:rPr>
                <w:iCs/>
                <w:sz w:val="20"/>
              </w:rPr>
              <w:t>Finančné riaditeľstvo</w:t>
            </w:r>
            <w:r>
              <w:rPr>
                <w:iCs/>
                <w:sz w:val="20"/>
              </w:rPr>
              <w:t xml:space="preserve"> SR</w:t>
            </w:r>
            <w:r w:rsidRPr="00B45A55">
              <w:rPr>
                <w:iCs/>
                <w:sz w:val="20"/>
              </w:rPr>
              <w:t xml:space="preserve"> zapíše ako certifikovaného poskytovateľa doručovacej služby osobu, ktorá podala žiadosť o zápis do evidencie podľa </w:t>
            </w:r>
            <w:r w:rsidRPr="00B45A55">
              <w:rPr>
                <w:iCs/>
                <w:sz w:val="20"/>
              </w:rPr>
              <w:lastRenderedPageBreak/>
              <w:t xml:space="preserve">odseku 5, a to do </w:t>
            </w:r>
            <w:r>
              <w:rPr>
                <w:iCs/>
                <w:sz w:val="20"/>
              </w:rPr>
              <w:t>30</w:t>
            </w:r>
            <w:r w:rsidRPr="00B45A55">
              <w:rPr>
                <w:iCs/>
                <w:sz w:val="20"/>
              </w:rPr>
              <w:t xml:space="preserve"> dní odo dňa podania žiadosti, ak</w:t>
            </w:r>
          </w:p>
          <w:p w14:paraId="3E7A99A2" w14:textId="77777777" w:rsidR="00746D3C" w:rsidRPr="00B45A55" w:rsidRDefault="00746D3C" w:rsidP="007B3372">
            <w:pPr>
              <w:pStyle w:val="Zkladntext1"/>
              <w:jc w:val="both"/>
              <w:rPr>
                <w:iCs/>
                <w:sz w:val="20"/>
              </w:rPr>
            </w:pPr>
            <w:r w:rsidRPr="00B45A55">
              <w:rPr>
                <w:iCs/>
                <w:sz w:val="20"/>
              </w:rPr>
              <w:t>a)</w:t>
            </w:r>
            <w:r>
              <w:rPr>
                <w:iCs/>
                <w:sz w:val="20"/>
              </w:rPr>
              <w:t xml:space="preserve"> </w:t>
            </w:r>
            <w:r w:rsidRPr="00B45A55">
              <w:rPr>
                <w:iCs/>
                <w:sz w:val="20"/>
              </w:rPr>
              <w:t>má sídlo alebo miesto podnikania v členskom štáte,</w:t>
            </w:r>
          </w:p>
          <w:p w14:paraId="0064B8FE" w14:textId="77777777" w:rsidR="00746D3C" w:rsidRPr="00B45A55" w:rsidRDefault="00746D3C" w:rsidP="007B3372">
            <w:pPr>
              <w:pStyle w:val="Zkladntext1"/>
              <w:jc w:val="both"/>
              <w:rPr>
                <w:iCs/>
                <w:sz w:val="20"/>
              </w:rPr>
            </w:pPr>
            <w:r w:rsidRPr="00B45A55">
              <w:rPr>
                <w:iCs/>
                <w:sz w:val="20"/>
              </w:rPr>
              <w:t>b)</w:t>
            </w:r>
            <w:r>
              <w:rPr>
                <w:iCs/>
                <w:sz w:val="20"/>
              </w:rPr>
              <w:t xml:space="preserve"> </w:t>
            </w:r>
            <w:r w:rsidRPr="00B45A55">
              <w:rPr>
                <w:iCs/>
                <w:sz w:val="20"/>
              </w:rPr>
              <w:t xml:space="preserve">je bezúhonná a </w:t>
            </w:r>
            <w:r>
              <w:rPr>
                <w:iCs/>
                <w:sz w:val="20"/>
              </w:rPr>
              <w:t>jej</w:t>
            </w:r>
            <w:r w:rsidRPr="00B45A55">
              <w:rPr>
                <w:iCs/>
                <w:sz w:val="20"/>
              </w:rPr>
              <w:t xml:space="preserve"> štatutárny orgán alebo člen štatutárneho orgánu </w:t>
            </w:r>
            <w:r>
              <w:rPr>
                <w:iCs/>
                <w:sz w:val="20"/>
              </w:rPr>
              <w:t>je</w:t>
            </w:r>
            <w:r w:rsidRPr="00B45A55">
              <w:rPr>
                <w:iCs/>
                <w:sz w:val="20"/>
              </w:rPr>
              <w:t xml:space="preserve"> bezúhonn</w:t>
            </w:r>
            <w:r>
              <w:rPr>
                <w:iCs/>
                <w:sz w:val="20"/>
              </w:rPr>
              <w:t>ý</w:t>
            </w:r>
            <w:r w:rsidRPr="00B45A55">
              <w:rPr>
                <w:iCs/>
                <w:sz w:val="20"/>
              </w:rPr>
              <w:t>; za bezúhonného sa na účely tohto zákona nepovažuje ten, kto bol právoplatne odsúdený za úmyselný trestný čin,</w:t>
            </w:r>
          </w:p>
          <w:p w14:paraId="33199349" w14:textId="77777777" w:rsidR="00746D3C" w:rsidRPr="00B45A55" w:rsidRDefault="00746D3C" w:rsidP="007B3372">
            <w:pPr>
              <w:pStyle w:val="Zkladntext1"/>
              <w:jc w:val="both"/>
              <w:rPr>
                <w:iCs/>
                <w:sz w:val="20"/>
              </w:rPr>
            </w:pPr>
            <w:r w:rsidRPr="00B45A55">
              <w:rPr>
                <w:iCs/>
                <w:sz w:val="20"/>
              </w:rPr>
              <w:t>c)</w:t>
            </w:r>
            <w:r>
              <w:rPr>
                <w:iCs/>
                <w:sz w:val="20"/>
              </w:rPr>
              <w:t xml:space="preserve"> </w:t>
            </w:r>
            <w:r w:rsidRPr="00B45A55">
              <w:rPr>
                <w:iCs/>
                <w:sz w:val="20"/>
              </w:rPr>
              <w:t>preukáže splnenie podmienok podľa odseku 2,</w:t>
            </w:r>
          </w:p>
          <w:p w14:paraId="77341509" w14:textId="77777777" w:rsidR="00746D3C" w:rsidRDefault="00746D3C" w:rsidP="007B3372">
            <w:pPr>
              <w:pStyle w:val="Zkladntext1"/>
              <w:jc w:val="both"/>
              <w:rPr>
                <w:iCs/>
                <w:sz w:val="20"/>
              </w:rPr>
            </w:pPr>
            <w:r w:rsidRPr="00B45A55">
              <w:rPr>
                <w:iCs/>
                <w:sz w:val="20"/>
              </w:rPr>
              <w:t>d)</w:t>
            </w:r>
            <w:r>
              <w:rPr>
                <w:iCs/>
                <w:sz w:val="20"/>
              </w:rPr>
              <w:t xml:space="preserve"> </w:t>
            </w:r>
            <w:r w:rsidRPr="00B45A55">
              <w:rPr>
                <w:iCs/>
                <w:sz w:val="20"/>
              </w:rPr>
              <w:t>preukáže oprávnenie poskytovať doručovaciu službu v súlade s podmienkami európskeho doručovacieho štandardu a s použitím nástrojov a postupov podľa tohto štandardu.</w:t>
            </w:r>
          </w:p>
          <w:p w14:paraId="2417E75E" w14:textId="77777777" w:rsidR="00746D3C" w:rsidRDefault="00746D3C" w:rsidP="007B3372">
            <w:pPr>
              <w:pStyle w:val="Zkladntext1"/>
              <w:jc w:val="both"/>
              <w:rPr>
                <w:iCs/>
                <w:sz w:val="20"/>
              </w:rPr>
            </w:pPr>
          </w:p>
          <w:p w14:paraId="4413C69B" w14:textId="77777777" w:rsidR="00746D3C" w:rsidRDefault="00746D3C" w:rsidP="007B3372">
            <w:pPr>
              <w:pStyle w:val="Zkladntext1"/>
              <w:jc w:val="both"/>
              <w:rPr>
                <w:iCs/>
                <w:sz w:val="20"/>
              </w:rPr>
            </w:pPr>
            <w:r>
              <w:rPr>
                <w:iCs/>
                <w:sz w:val="20"/>
              </w:rPr>
              <w:t>Podľa § 76a ods. 10 návrhu zákona a</w:t>
            </w:r>
            <w:r w:rsidRPr="00450DD9">
              <w:rPr>
                <w:iCs/>
                <w:sz w:val="20"/>
              </w:rPr>
              <w:t xml:space="preserve">k osoba, ktorá podala žiadosť podľa odseku 8, nespĺňa podmienky podľa odseku 8, </w:t>
            </w:r>
            <w:r>
              <w:rPr>
                <w:iCs/>
                <w:sz w:val="20"/>
              </w:rPr>
              <w:t>F</w:t>
            </w:r>
            <w:r w:rsidRPr="00450DD9">
              <w:rPr>
                <w:iCs/>
                <w:sz w:val="20"/>
              </w:rPr>
              <w:t>inančné riaditeľstvo</w:t>
            </w:r>
            <w:r>
              <w:rPr>
                <w:iCs/>
                <w:sz w:val="20"/>
              </w:rPr>
              <w:t xml:space="preserve"> SR</w:t>
            </w:r>
            <w:r w:rsidRPr="00450DD9">
              <w:rPr>
                <w:iCs/>
                <w:sz w:val="20"/>
              </w:rPr>
              <w:t xml:space="preserve"> rozhodne o nezapísaní tejto osoby do evidencie podľa odseku 5 v lehote 30 dní odo dňa doručenia žiadosti; proti rozhodnutiu nemožno podať opravný prostriedok.</w:t>
            </w:r>
          </w:p>
          <w:p w14:paraId="45B710C2" w14:textId="77777777" w:rsidR="00746D3C" w:rsidRDefault="00746D3C" w:rsidP="007B3372">
            <w:pPr>
              <w:pStyle w:val="Zkladntext1"/>
              <w:jc w:val="both"/>
              <w:rPr>
                <w:iCs/>
                <w:sz w:val="20"/>
              </w:rPr>
            </w:pPr>
          </w:p>
          <w:p w14:paraId="1B0AC443" w14:textId="77777777" w:rsidR="00746D3C" w:rsidRPr="00450DD9" w:rsidRDefault="00746D3C" w:rsidP="007B3372">
            <w:pPr>
              <w:pStyle w:val="Zkladntext1"/>
              <w:jc w:val="both"/>
              <w:rPr>
                <w:iCs/>
                <w:sz w:val="20"/>
              </w:rPr>
            </w:pPr>
            <w:r>
              <w:rPr>
                <w:iCs/>
                <w:sz w:val="20"/>
              </w:rPr>
              <w:t xml:space="preserve">Podľa § 76a ods. 11 návrhu zákona </w:t>
            </w:r>
            <w:r w:rsidRPr="0015794C">
              <w:rPr>
                <w:iCs/>
                <w:sz w:val="20"/>
              </w:rPr>
              <w:t>Finančné riaditeľstvo</w:t>
            </w:r>
            <w:r>
              <w:rPr>
                <w:iCs/>
                <w:sz w:val="20"/>
              </w:rPr>
              <w:t xml:space="preserve"> SR</w:t>
            </w:r>
            <w:r w:rsidRPr="0015794C">
              <w:rPr>
                <w:iCs/>
                <w:sz w:val="20"/>
              </w:rPr>
              <w:t xml:space="preserve"> bezodkladne vymaže z evidencie podľa odseku </w:t>
            </w:r>
            <w:r w:rsidRPr="00450DD9">
              <w:rPr>
                <w:iCs/>
                <w:sz w:val="20"/>
              </w:rPr>
              <w:t xml:space="preserve">5 osobu, ktorá </w:t>
            </w:r>
          </w:p>
          <w:p w14:paraId="0717F365" w14:textId="77777777" w:rsidR="00746D3C" w:rsidRPr="00450DD9" w:rsidRDefault="00746D3C" w:rsidP="007B3372">
            <w:pPr>
              <w:pStyle w:val="Zkladntext1"/>
              <w:jc w:val="both"/>
              <w:rPr>
                <w:iCs/>
                <w:sz w:val="20"/>
              </w:rPr>
            </w:pPr>
            <w:r w:rsidRPr="00450DD9">
              <w:rPr>
                <w:iCs/>
                <w:sz w:val="20"/>
              </w:rPr>
              <w:t>a) podala žiadosť o výmaz z evidencie podľa odseku 5,</w:t>
            </w:r>
          </w:p>
          <w:p w14:paraId="3CE10DE2" w14:textId="77777777" w:rsidR="00746D3C" w:rsidRPr="00450DD9" w:rsidRDefault="00746D3C" w:rsidP="007B3372">
            <w:pPr>
              <w:pStyle w:val="Zkladntext1"/>
              <w:jc w:val="both"/>
              <w:rPr>
                <w:iCs/>
                <w:sz w:val="20"/>
              </w:rPr>
            </w:pPr>
            <w:r w:rsidRPr="00450DD9">
              <w:rPr>
                <w:iCs/>
                <w:sz w:val="20"/>
              </w:rPr>
              <w:t>b) nespĺňa podmienky podľa odseku 2 alebo odseku 7 alebo</w:t>
            </w:r>
          </w:p>
          <w:p w14:paraId="20DE66AD" w14:textId="77777777" w:rsidR="00746D3C" w:rsidRPr="00450DD9" w:rsidRDefault="00746D3C" w:rsidP="007B3372">
            <w:pPr>
              <w:pStyle w:val="Zkladntext1"/>
              <w:jc w:val="both"/>
              <w:rPr>
                <w:iCs/>
                <w:sz w:val="20"/>
              </w:rPr>
            </w:pPr>
            <w:r w:rsidRPr="00450DD9">
              <w:rPr>
                <w:iCs/>
                <w:sz w:val="20"/>
              </w:rPr>
              <w:t>c) zanikla bez právneho nástupcu.</w:t>
            </w:r>
          </w:p>
          <w:p w14:paraId="0F15D0F2" w14:textId="77777777" w:rsidR="00746D3C" w:rsidRDefault="00746D3C" w:rsidP="007B3372">
            <w:pPr>
              <w:pStyle w:val="Zkladntext1"/>
              <w:jc w:val="both"/>
              <w:rPr>
                <w:iCs/>
                <w:sz w:val="20"/>
              </w:rPr>
            </w:pPr>
            <w:r w:rsidRPr="00450DD9">
              <w:rPr>
                <w:iCs/>
                <w:sz w:val="20"/>
              </w:rPr>
              <w:t>Podľa § 76a ods. 12 návrhu zákona</w:t>
            </w:r>
            <w:r w:rsidRPr="004E39E7">
              <w:rPr>
                <w:sz w:val="20"/>
              </w:rPr>
              <w:t xml:space="preserve"> p</w:t>
            </w:r>
            <w:r w:rsidRPr="00450DD9">
              <w:rPr>
                <w:iCs/>
                <w:sz w:val="20"/>
              </w:rPr>
              <w:t>roti rozhodnutiu podľa odseku 11 písm. a)</w:t>
            </w:r>
            <w:r>
              <w:rPr>
                <w:iCs/>
                <w:sz w:val="20"/>
              </w:rPr>
              <w:t xml:space="preserve"> a b)</w:t>
            </w:r>
            <w:r w:rsidRPr="00450DD9">
              <w:rPr>
                <w:iCs/>
                <w:sz w:val="20"/>
              </w:rPr>
              <w:t xml:space="preserve"> </w:t>
            </w:r>
            <w:r>
              <w:rPr>
                <w:iCs/>
                <w:sz w:val="20"/>
              </w:rPr>
              <w:t>nemožno</w:t>
            </w:r>
            <w:r w:rsidRPr="00450DD9">
              <w:rPr>
                <w:iCs/>
                <w:sz w:val="20"/>
              </w:rPr>
              <w:t xml:space="preserve"> podať </w:t>
            </w:r>
            <w:r>
              <w:rPr>
                <w:iCs/>
                <w:sz w:val="20"/>
              </w:rPr>
              <w:t>opravný prostriedok</w:t>
            </w:r>
            <w:r w:rsidRPr="00450DD9">
              <w:rPr>
                <w:iCs/>
                <w:sz w:val="20"/>
              </w:rPr>
              <w:t>; ak finančné riaditeľstvo vymaže z evidencie podľa odseku 5 osobu, ktorá zanikla bez právneho nástupcu, rozhodnutie nevydá.</w:t>
            </w:r>
          </w:p>
          <w:p w14:paraId="52FD7C13" w14:textId="77777777" w:rsidR="00746D3C" w:rsidRDefault="00746D3C" w:rsidP="007B3372">
            <w:pPr>
              <w:pStyle w:val="Zkladntext1"/>
              <w:jc w:val="both"/>
              <w:rPr>
                <w:iCs/>
                <w:sz w:val="20"/>
              </w:rPr>
            </w:pPr>
            <w:r>
              <w:rPr>
                <w:iCs/>
                <w:sz w:val="20"/>
              </w:rPr>
              <w:t>Podľa § 76a ods. 13 návrhu zákona sa n</w:t>
            </w:r>
            <w:r w:rsidRPr="00763B1F">
              <w:rPr>
                <w:iCs/>
                <w:sz w:val="20"/>
              </w:rPr>
              <w:t>a zápis osoby do evidencie podľa odseku 5 a na výmaz osoby z tejto evidencie použije správny poriadok.</w:t>
            </w:r>
          </w:p>
          <w:p w14:paraId="618DCC87" w14:textId="77777777" w:rsidR="00746D3C" w:rsidRDefault="00746D3C" w:rsidP="007B3372">
            <w:pPr>
              <w:pStyle w:val="Zkladntext1"/>
              <w:jc w:val="both"/>
              <w:rPr>
                <w:iCs/>
                <w:sz w:val="20"/>
              </w:rPr>
            </w:pPr>
            <w:r>
              <w:rPr>
                <w:iCs/>
                <w:sz w:val="20"/>
              </w:rPr>
              <w:t>Podľa § 76a ods. 14 návrhu zákona sa n</w:t>
            </w:r>
            <w:r w:rsidRPr="00763B1F">
              <w:rPr>
                <w:iCs/>
                <w:sz w:val="20"/>
              </w:rPr>
              <w:t>a doručovanie písomností vo veci zápisu osoby do evidencie podľa odseku 5 a vo veci výmazu osoby z tejto evidencie použije postup podľa osobitného predpisu;</w:t>
            </w:r>
            <w:r w:rsidRPr="004E39E7">
              <w:rPr>
                <w:iCs/>
                <w:sz w:val="20"/>
                <w:vertAlign w:val="superscript"/>
              </w:rPr>
              <w:t>33a</w:t>
            </w:r>
            <w:r w:rsidRPr="00763B1F">
              <w:rPr>
                <w:iCs/>
                <w:sz w:val="20"/>
              </w:rPr>
              <w:t>) ak osoba, ktorá chce požiadať o zápis do evidencie podľa odseku 5, je zahraničnou osobou a nemá aktivovanú elektronickú schránku podľa osobitného predpisu, je povinná zvoliť si na účel doručovania písomností zástupcu na doručovanie, ktorý má aktivovanú elektronickú schránku podľa osobitného predpisu.</w:t>
            </w:r>
          </w:p>
          <w:p w14:paraId="17EC38E7" w14:textId="77777777" w:rsidR="00746D3C" w:rsidRPr="00450DD9" w:rsidRDefault="00746D3C" w:rsidP="007B3372">
            <w:pPr>
              <w:pStyle w:val="Zkladntext1"/>
              <w:jc w:val="both"/>
              <w:rPr>
                <w:iCs/>
                <w:sz w:val="20"/>
              </w:rPr>
            </w:pPr>
          </w:p>
          <w:p w14:paraId="5C4FB1EF" w14:textId="77777777" w:rsidR="00746D3C" w:rsidRPr="00E9116E" w:rsidRDefault="00746D3C" w:rsidP="007B3372">
            <w:pPr>
              <w:pStyle w:val="Zkladntext1"/>
              <w:jc w:val="both"/>
              <w:rPr>
                <w:iCs/>
                <w:sz w:val="20"/>
              </w:rPr>
            </w:pPr>
            <w:r>
              <w:rPr>
                <w:iCs/>
                <w:sz w:val="20"/>
              </w:rPr>
              <w:t xml:space="preserve">Konanie o uložení pokuty podľa § 80 ods. 9 návrhu zákona. </w:t>
            </w:r>
            <w:r w:rsidRPr="00E9116E">
              <w:rPr>
                <w:iCs/>
                <w:sz w:val="20"/>
              </w:rPr>
              <w:t>Daňový úrad uloží pokutu do výšky 10 000 eur</w:t>
            </w:r>
          </w:p>
          <w:p w14:paraId="786A0A9E" w14:textId="77777777" w:rsidR="00746D3C" w:rsidRPr="00E9116E" w:rsidRDefault="00746D3C" w:rsidP="007B3372">
            <w:pPr>
              <w:pStyle w:val="Zkladntext1"/>
              <w:jc w:val="both"/>
              <w:rPr>
                <w:iCs/>
                <w:sz w:val="20"/>
              </w:rPr>
            </w:pPr>
            <w:r w:rsidRPr="00E9116E">
              <w:rPr>
                <w:iCs/>
                <w:sz w:val="20"/>
              </w:rPr>
              <w:t>a)</w:t>
            </w:r>
            <w:r>
              <w:rPr>
                <w:iCs/>
                <w:sz w:val="20"/>
              </w:rPr>
              <w:t xml:space="preserve"> </w:t>
            </w:r>
            <w:r w:rsidRPr="00E9116E">
              <w:rPr>
                <w:iCs/>
                <w:sz w:val="20"/>
              </w:rPr>
              <w:t>platiteľovi podľa odseku 1, ktorý</w:t>
            </w:r>
          </w:p>
          <w:p w14:paraId="172645B7" w14:textId="77777777" w:rsidR="00746D3C" w:rsidRPr="00E9116E" w:rsidRDefault="00746D3C" w:rsidP="007B3372">
            <w:pPr>
              <w:pStyle w:val="Zkladntext1"/>
              <w:jc w:val="both"/>
              <w:rPr>
                <w:iCs/>
                <w:sz w:val="20"/>
              </w:rPr>
            </w:pPr>
            <w:r w:rsidRPr="00E9116E">
              <w:rPr>
                <w:iCs/>
                <w:sz w:val="20"/>
              </w:rPr>
              <w:t>1.</w:t>
            </w:r>
            <w:r>
              <w:rPr>
                <w:iCs/>
                <w:sz w:val="20"/>
              </w:rPr>
              <w:t xml:space="preserve"> </w:t>
            </w:r>
            <w:r w:rsidRPr="00E9116E">
              <w:rPr>
                <w:iCs/>
                <w:sz w:val="20"/>
              </w:rPr>
              <w:t>neoznámil údaje podľa odseku 4 písm. a) alebo odseku 5 písm. a) až c) alebo oznámil tieto údaje po uplynutí lehoty uvedenej v odseku 6,</w:t>
            </w:r>
          </w:p>
          <w:p w14:paraId="324D29C4" w14:textId="77777777" w:rsidR="00746D3C" w:rsidRPr="00E9116E" w:rsidRDefault="00746D3C" w:rsidP="007B3372">
            <w:pPr>
              <w:pStyle w:val="Zkladntext1"/>
              <w:jc w:val="both"/>
              <w:rPr>
                <w:iCs/>
                <w:sz w:val="20"/>
              </w:rPr>
            </w:pPr>
            <w:r w:rsidRPr="00E9116E">
              <w:rPr>
                <w:iCs/>
                <w:sz w:val="20"/>
              </w:rPr>
              <w:lastRenderedPageBreak/>
              <w:t>2.</w:t>
            </w:r>
            <w:r>
              <w:rPr>
                <w:iCs/>
                <w:sz w:val="20"/>
              </w:rPr>
              <w:t xml:space="preserve"> </w:t>
            </w:r>
            <w:r w:rsidRPr="00E9116E">
              <w:rPr>
                <w:iCs/>
                <w:sz w:val="20"/>
              </w:rPr>
              <w:t xml:space="preserve">neoznámil všetky údaje, ktoré bol povinný oznámiť podľa odseku 4 písm. a) alebo odseku 5 alebo oznámil údaje, ktoré bol povinný oznámiť podľa odseku 4 písm. a) alebo odseku 5, nesprávne, </w:t>
            </w:r>
          </w:p>
          <w:p w14:paraId="55480517" w14:textId="77777777" w:rsidR="00746D3C" w:rsidRPr="00E9116E" w:rsidRDefault="00746D3C" w:rsidP="007B3372">
            <w:pPr>
              <w:pStyle w:val="Zkladntext1"/>
              <w:jc w:val="both"/>
              <w:rPr>
                <w:iCs/>
                <w:sz w:val="20"/>
              </w:rPr>
            </w:pPr>
            <w:r w:rsidRPr="00E9116E">
              <w:rPr>
                <w:iCs/>
                <w:sz w:val="20"/>
              </w:rPr>
              <w:t>b)</w:t>
            </w:r>
            <w:r>
              <w:rPr>
                <w:iCs/>
                <w:sz w:val="20"/>
              </w:rPr>
              <w:t xml:space="preserve"> </w:t>
            </w:r>
            <w:r w:rsidRPr="00E9116E">
              <w:rPr>
                <w:iCs/>
                <w:sz w:val="20"/>
              </w:rPr>
              <w:t>platiteľovi podľa odseku 2, ktorý</w:t>
            </w:r>
          </w:p>
          <w:p w14:paraId="46F828BC" w14:textId="77777777" w:rsidR="00746D3C" w:rsidRPr="00E9116E" w:rsidRDefault="00746D3C" w:rsidP="007B3372">
            <w:pPr>
              <w:pStyle w:val="Zkladntext1"/>
              <w:jc w:val="both"/>
              <w:rPr>
                <w:iCs/>
                <w:sz w:val="20"/>
              </w:rPr>
            </w:pPr>
            <w:r w:rsidRPr="00E9116E">
              <w:rPr>
                <w:iCs/>
                <w:sz w:val="20"/>
              </w:rPr>
              <w:t>1.</w:t>
            </w:r>
            <w:r>
              <w:rPr>
                <w:iCs/>
                <w:sz w:val="20"/>
              </w:rPr>
              <w:t xml:space="preserve"> </w:t>
            </w:r>
            <w:r w:rsidRPr="00E9116E">
              <w:rPr>
                <w:iCs/>
                <w:sz w:val="20"/>
              </w:rPr>
              <w:t>neoznámil údaje podľa odseku 4 písm. a) alebo odseku 5 písm. d) a e) alebo oznámil tieto údaje po uplynutí lehoty uvedenej v odseku 7,</w:t>
            </w:r>
          </w:p>
          <w:p w14:paraId="393F84EC" w14:textId="77777777" w:rsidR="00746D3C" w:rsidRDefault="00746D3C" w:rsidP="007B3372">
            <w:pPr>
              <w:pStyle w:val="Zkladntext1"/>
              <w:jc w:val="both"/>
              <w:rPr>
                <w:iCs/>
                <w:sz w:val="20"/>
              </w:rPr>
            </w:pPr>
            <w:r w:rsidRPr="00E9116E">
              <w:rPr>
                <w:iCs/>
                <w:sz w:val="20"/>
              </w:rPr>
              <w:t>2.</w:t>
            </w:r>
            <w:r>
              <w:rPr>
                <w:iCs/>
                <w:sz w:val="20"/>
              </w:rPr>
              <w:t xml:space="preserve"> </w:t>
            </w:r>
            <w:r w:rsidRPr="00E9116E">
              <w:rPr>
                <w:iCs/>
                <w:sz w:val="20"/>
              </w:rPr>
              <w:t>neoznámil všetky údaje, ktoré bol povinný oznámiť podľa odseku 4 písm. a) alebo odseku 5 písm. d) a e) alebo oznámil údaje, ktoré bol povinný oznámiť podľa odseku 4 písm. a) alebo odseku 5 písm. d) a e), nesprávne.</w:t>
            </w:r>
          </w:p>
          <w:p w14:paraId="54DB164B" w14:textId="77777777" w:rsidR="00746D3C" w:rsidRPr="00E9116E" w:rsidRDefault="00746D3C" w:rsidP="007B3372">
            <w:pPr>
              <w:pStyle w:val="Zkladntext1"/>
              <w:jc w:val="both"/>
              <w:rPr>
                <w:iCs/>
                <w:sz w:val="20"/>
              </w:rPr>
            </w:pPr>
            <w:r>
              <w:rPr>
                <w:iCs/>
                <w:sz w:val="20"/>
              </w:rPr>
              <w:t xml:space="preserve">Konanie o uložení pokuty podľa § 80 ods. 10 návrhu zákona. </w:t>
            </w:r>
            <w:r w:rsidRPr="00E9116E">
              <w:rPr>
                <w:iCs/>
                <w:sz w:val="20"/>
              </w:rPr>
              <w:t>Daňový úrad uloží pokutu do výšky 10 000 eur</w:t>
            </w:r>
          </w:p>
          <w:p w14:paraId="73F31CCD" w14:textId="77777777" w:rsidR="00746D3C" w:rsidRPr="00E9116E" w:rsidRDefault="00746D3C" w:rsidP="007B3372">
            <w:pPr>
              <w:pStyle w:val="Zkladntext1"/>
              <w:jc w:val="both"/>
              <w:rPr>
                <w:iCs/>
                <w:sz w:val="20"/>
              </w:rPr>
            </w:pPr>
            <w:r w:rsidRPr="00E9116E">
              <w:rPr>
                <w:iCs/>
                <w:sz w:val="20"/>
              </w:rPr>
              <w:t>a)</w:t>
            </w:r>
            <w:r>
              <w:rPr>
                <w:iCs/>
                <w:sz w:val="20"/>
              </w:rPr>
              <w:t xml:space="preserve"> </w:t>
            </w:r>
            <w:r w:rsidRPr="00E9116E">
              <w:rPr>
                <w:iCs/>
                <w:sz w:val="20"/>
              </w:rPr>
              <w:t>zdaniteľnej osobe podľa odseku 3 písm. a), ktorá neoznámila údaje podľa odseku 4 písm. a) alebo odseku 5 písm. c), oznámila tieto údaje po uplynutí lehoty uvedenej v odseku 6, neoznámila všetky údaje podľa odseku 4 písm. a) alebo odseku 5 písm. c) alebo ich oznámila nesprávne,</w:t>
            </w:r>
          </w:p>
          <w:p w14:paraId="50A4D158" w14:textId="77777777" w:rsidR="00746D3C" w:rsidRDefault="00746D3C" w:rsidP="007B3372">
            <w:pPr>
              <w:pStyle w:val="Zkladntext1"/>
              <w:jc w:val="both"/>
              <w:rPr>
                <w:iCs/>
                <w:sz w:val="20"/>
              </w:rPr>
            </w:pPr>
            <w:r w:rsidRPr="00E9116E">
              <w:rPr>
                <w:iCs/>
                <w:sz w:val="20"/>
              </w:rPr>
              <w:t>b)</w:t>
            </w:r>
            <w:r>
              <w:rPr>
                <w:iCs/>
                <w:sz w:val="20"/>
              </w:rPr>
              <w:t xml:space="preserve"> </w:t>
            </w:r>
            <w:r w:rsidRPr="00E9116E">
              <w:rPr>
                <w:iCs/>
                <w:sz w:val="20"/>
              </w:rPr>
              <w:t>zdaniteľnej osobe podľa odseku 3 písm. b), ktorá neoznámila údaje podľa odseku 4 písm. a) alebo odseku 5 písm. d) a e), oznámila tieto údaje po uplynutí lehoty uvedenej v odseku 7, neoznámila všetky údaje podľa odseku 4 písm. a) alebo odseku 5 písm. d) a e) alebo ich oznámila nesprávne.</w:t>
            </w:r>
          </w:p>
          <w:p w14:paraId="5DFFF3F6" w14:textId="77777777" w:rsidR="00746D3C" w:rsidRPr="00E9116E" w:rsidRDefault="00746D3C" w:rsidP="007B3372">
            <w:pPr>
              <w:pStyle w:val="Zkladntext1"/>
              <w:jc w:val="both"/>
              <w:rPr>
                <w:iCs/>
                <w:sz w:val="20"/>
              </w:rPr>
            </w:pPr>
            <w:r>
              <w:rPr>
                <w:iCs/>
                <w:sz w:val="20"/>
              </w:rPr>
              <w:t xml:space="preserve">Konanie o uložení pokuty podľa § 80 ods. 11 návrhu zákona. </w:t>
            </w:r>
            <w:r w:rsidRPr="00E9116E">
              <w:rPr>
                <w:iCs/>
                <w:sz w:val="20"/>
              </w:rPr>
              <w:t>Daňový úrad uloží pokutu do výšky 100 000 eur</w:t>
            </w:r>
          </w:p>
          <w:p w14:paraId="3F3EF9C9" w14:textId="77777777" w:rsidR="00746D3C" w:rsidRPr="00E9116E" w:rsidRDefault="00746D3C" w:rsidP="007B3372">
            <w:pPr>
              <w:pStyle w:val="Zkladntext1"/>
              <w:jc w:val="both"/>
              <w:rPr>
                <w:iCs/>
                <w:sz w:val="20"/>
              </w:rPr>
            </w:pPr>
            <w:r w:rsidRPr="00E9116E">
              <w:rPr>
                <w:iCs/>
                <w:sz w:val="20"/>
              </w:rPr>
              <w:t>a)</w:t>
            </w:r>
            <w:r>
              <w:rPr>
                <w:iCs/>
                <w:sz w:val="20"/>
              </w:rPr>
              <w:t xml:space="preserve"> </w:t>
            </w:r>
            <w:r w:rsidRPr="00E9116E">
              <w:rPr>
                <w:iCs/>
                <w:sz w:val="20"/>
              </w:rPr>
              <w:t>platiteľovi podľa odseku 1 alebo odseku 2, ak sa dopustí konania podľa odseku 9 opakovane,</w:t>
            </w:r>
          </w:p>
          <w:p w14:paraId="6E01708E" w14:textId="77777777" w:rsidR="00746D3C" w:rsidRDefault="00746D3C" w:rsidP="007B3372">
            <w:pPr>
              <w:pStyle w:val="Zkladntext1"/>
              <w:jc w:val="both"/>
              <w:rPr>
                <w:iCs/>
                <w:sz w:val="20"/>
              </w:rPr>
            </w:pPr>
            <w:r w:rsidRPr="00E9116E">
              <w:rPr>
                <w:iCs/>
                <w:sz w:val="20"/>
              </w:rPr>
              <w:t>b)</w:t>
            </w:r>
            <w:r>
              <w:rPr>
                <w:iCs/>
                <w:sz w:val="20"/>
              </w:rPr>
              <w:t xml:space="preserve"> </w:t>
            </w:r>
            <w:r w:rsidRPr="00E9116E">
              <w:rPr>
                <w:iCs/>
                <w:sz w:val="20"/>
              </w:rPr>
              <w:t>zdaniteľnej osobe podľa odseku 3, ak sa dopustí konania podľa odseku 10 opakovane.</w:t>
            </w:r>
          </w:p>
          <w:p w14:paraId="4847DDF0" w14:textId="77777777" w:rsidR="00746D3C" w:rsidRDefault="00746D3C" w:rsidP="007B3372">
            <w:pPr>
              <w:pStyle w:val="Zkladntext1"/>
              <w:jc w:val="both"/>
              <w:rPr>
                <w:iCs/>
                <w:sz w:val="20"/>
              </w:rPr>
            </w:pPr>
          </w:p>
          <w:p w14:paraId="081A1ED3" w14:textId="77777777" w:rsidR="00746D3C" w:rsidRPr="00E9116E" w:rsidRDefault="00746D3C" w:rsidP="007B3372">
            <w:pPr>
              <w:pStyle w:val="Zkladntext1"/>
              <w:jc w:val="both"/>
              <w:rPr>
                <w:iCs/>
                <w:sz w:val="20"/>
              </w:rPr>
            </w:pPr>
            <w:r>
              <w:rPr>
                <w:iCs/>
                <w:sz w:val="20"/>
              </w:rPr>
              <w:t xml:space="preserve">Konanie o uložení pokuty podľa § 80a ods. 9 návrhu zákona. </w:t>
            </w:r>
            <w:r w:rsidRPr="00E9116E">
              <w:rPr>
                <w:iCs/>
                <w:sz w:val="20"/>
              </w:rPr>
              <w:t>Daňový úrad uloží pokutu do výšky 10 000 eur</w:t>
            </w:r>
          </w:p>
          <w:p w14:paraId="6D1D47EF" w14:textId="77777777" w:rsidR="00746D3C" w:rsidRPr="00E9116E" w:rsidRDefault="00746D3C" w:rsidP="007B3372">
            <w:pPr>
              <w:pStyle w:val="Zkladntext1"/>
              <w:jc w:val="both"/>
              <w:rPr>
                <w:iCs/>
                <w:sz w:val="20"/>
              </w:rPr>
            </w:pPr>
            <w:r w:rsidRPr="00E9116E">
              <w:rPr>
                <w:iCs/>
                <w:sz w:val="20"/>
              </w:rPr>
              <w:t>a)</w:t>
            </w:r>
            <w:r>
              <w:rPr>
                <w:iCs/>
                <w:sz w:val="20"/>
              </w:rPr>
              <w:t xml:space="preserve"> </w:t>
            </w:r>
            <w:r w:rsidRPr="00E9116E">
              <w:rPr>
                <w:iCs/>
                <w:sz w:val="20"/>
              </w:rPr>
              <w:t>platiteľovi podľa odseku 1, ktorý</w:t>
            </w:r>
          </w:p>
          <w:p w14:paraId="175DA060" w14:textId="77777777" w:rsidR="00746D3C" w:rsidRPr="00E9116E" w:rsidRDefault="00746D3C" w:rsidP="007B3372">
            <w:pPr>
              <w:pStyle w:val="Zkladntext1"/>
              <w:jc w:val="both"/>
              <w:rPr>
                <w:iCs/>
                <w:sz w:val="20"/>
              </w:rPr>
            </w:pPr>
            <w:r w:rsidRPr="00E9116E">
              <w:rPr>
                <w:iCs/>
                <w:sz w:val="20"/>
              </w:rPr>
              <w:t>1.</w:t>
            </w:r>
            <w:r>
              <w:rPr>
                <w:iCs/>
                <w:sz w:val="20"/>
              </w:rPr>
              <w:t xml:space="preserve"> </w:t>
            </w:r>
            <w:r w:rsidRPr="00E9116E">
              <w:rPr>
                <w:iCs/>
                <w:sz w:val="20"/>
              </w:rPr>
              <w:t>neoznámil údaje podľa odseku 3 alebo odseku 5 alebo oznámil tieto údaje po uplynutí lehoty uvedenej v odseku 6,</w:t>
            </w:r>
          </w:p>
          <w:p w14:paraId="7DDE42C9" w14:textId="77777777" w:rsidR="00746D3C" w:rsidRPr="00E9116E" w:rsidRDefault="00746D3C" w:rsidP="007B3372">
            <w:pPr>
              <w:pStyle w:val="Zkladntext1"/>
              <w:jc w:val="both"/>
              <w:rPr>
                <w:iCs/>
                <w:sz w:val="20"/>
              </w:rPr>
            </w:pPr>
            <w:r w:rsidRPr="00E9116E">
              <w:rPr>
                <w:iCs/>
                <w:sz w:val="20"/>
              </w:rPr>
              <w:t>2.</w:t>
            </w:r>
            <w:r>
              <w:rPr>
                <w:iCs/>
                <w:sz w:val="20"/>
              </w:rPr>
              <w:t xml:space="preserve"> </w:t>
            </w:r>
            <w:r w:rsidRPr="00E9116E">
              <w:rPr>
                <w:iCs/>
                <w:sz w:val="20"/>
              </w:rPr>
              <w:t xml:space="preserve">neoznámil všetky údaje, ktoré bol povinný oznámiť podľa odseku 3 alebo odseku 5 alebo oznámil údaje, ktoré bol povinný oznámiť podľa odseku 3 alebo odseku 5, nesprávne, </w:t>
            </w:r>
          </w:p>
          <w:p w14:paraId="52B516E6" w14:textId="77777777" w:rsidR="00746D3C" w:rsidRPr="00E9116E" w:rsidRDefault="00746D3C" w:rsidP="007B3372">
            <w:pPr>
              <w:pStyle w:val="Zkladntext1"/>
              <w:jc w:val="both"/>
              <w:rPr>
                <w:iCs/>
                <w:sz w:val="20"/>
              </w:rPr>
            </w:pPr>
            <w:r w:rsidRPr="00E9116E">
              <w:rPr>
                <w:iCs/>
                <w:sz w:val="20"/>
              </w:rPr>
              <w:t>b)</w:t>
            </w:r>
            <w:r>
              <w:rPr>
                <w:iCs/>
                <w:sz w:val="20"/>
              </w:rPr>
              <w:t xml:space="preserve"> </w:t>
            </w:r>
            <w:r w:rsidRPr="00E9116E">
              <w:rPr>
                <w:iCs/>
                <w:sz w:val="20"/>
              </w:rPr>
              <w:t>platiteľovi podľa odseku 2, ktorý</w:t>
            </w:r>
          </w:p>
          <w:p w14:paraId="083C5564" w14:textId="77777777" w:rsidR="00746D3C" w:rsidRPr="00E9116E" w:rsidRDefault="00746D3C" w:rsidP="007B3372">
            <w:pPr>
              <w:pStyle w:val="Zkladntext1"/>
              <w:jc w:val="both"/>
              <w:rPr>
                <w:iCs/>
                <w:sz w:val="20"/>
              </w:rPr>
            </w:pPr>
            <w:r w:rsidRPr="00E9116E">
              <w:rPr>
                <w:iCs/>
                <w:sz w:val="20"/>
              </w:rPr>
              <w:t>1.</w:t>
            </w:r>
            <w:r>
              <w:rPr>
                <w:iCs/>
                <w:sz w:val="20"/>
              </w:rPr>
              <w:t xml:space="preserve"> </w:t>
            </w:r>
            <w:r w:rsidRPr="00E9116E">
              <w:rPr>
                <w:iCs/>
                <w:sz w:val="20"/>
              </w:rPr>
              <w:t>neoznámil údaje podľa odseku 4 alebo odseku 5 alebo oznámil tieto údaje po uplynutí lehoty uvedenej v odseku 7,</w:t>
            </w:r>
          </w:p>
          <w:p w14:paraId="0DA49D05" w14:textId="77777777" w:rsidR="00746D3C" w:rsidRDefault="00746D3C" w:rsidP="007B3372">
            <w:pPr>
              <w:pStyle w:val="Zkladntext1"/>
              <w:jc w:val="both"/>
              <w:rPr>
                <w:iCs/>
                <w:sz w:val="20"/>
              </w:rPr>
            </w:pPr>
            <w:r w:rsidRPr="00E9116E">
              <w:rPr>
                <w:iCs/>
                <w:sz w:val="20"/>
              </w:rPr>
              <w:t>2.</w:t>
            </w:r>
            <w:r>
              <w:rPr>
                <w:iCs/>
                <w:sz w:val="20"/>
              </w:rPr>
              <w:t xml:space="preserve"> </w:t>
            </w:r>
            <w:r w:rsidRPr="00E9116E">
              <w:rPr>
                <w:iCs/>
                <w:sz w:val="20"/>
              </w:rPr>
              <w:t>neoznámil všetky údaje, ktoré bol povinný oznámiť podľa odseku 4 alebo odseku 5 alebo oznámil údaje, ktoré bol povinný oznámiť podľa odseku 4 alebo odseku 5, nesprávne.</w:t>
            </w:r>
          </w:p>
          <w:p w14:paraId="7F288B6D" w14:textId="77777777" w:rsidR="00746D3C" w:rsidRDefault="00746D3C" w:rsidP="007B3372">
            <w:pPr>
              <w:pStyle w:val="Zkladntext1"/>
              <w:jc w:val="both"/>
              <w:rPr>
                <w:iCs/>
                <w:sz w:val="20"/>
              </w:rPr>
            </w:pPr>
            <w:r>
              <w:rPr>
                <w:iCs/>
                <w:sz w:val="20"/>
              </w:rPr>
              <w:t xml:space="preserve">Konanie o uložení pokuty podľa § 80a ods. 10 návrhu zákona. </w:t>
            </w:r>
            <w:r w:rsidRPr="00E9116E">
              <w:rPr>
                <w:iCs/>
                <w:sz w:val="20"/>
              </w:rPr>
              <w:t>Ak sa platiteľ podľa odseku 1 alebo odseku 2 dopustí konania podľa odseku 9 opakovane, daňový úrad mu uloží pokutu do výšky 100 000 eur.</w:t>
            </w:r>
          </w:p>
          <w:p w14:paraId="5179C0CB" w14:textId="77777777" w:rsidR="00746D3C" w:rsidRDefault="00746D3C" w:rsidP="007B3372">
            <w:pPr>
              <w:pStyle w:val="Zkladntext1"/>
              <w:jc w:val="both"/>
              <w:rPr>
                <w:iCs/>
                <w:sz w:val="20"/>
              </w:rPr>
            </w:pPr>
          </w:p>
          <w:p w14:paraId="46E610AD" w14:textId="77777777" w:rsidR="00746D3C" w:rsidRDefault="00746D3C" w:rsidP="007B3372">
            <w:pPr>
              <w:pStyle w:val="Zkladntext1"/>
              <w:jc w:val="both"/>
              <w:rPr>
                <w:iCs/>
                <w:sz w:val="20"/>
              </w:rPr>
            </w:pPr>
            <w:r>
              <w:rPr>
                <w:iCs/>
                <w:sz w:val="20"/>
              </w:rPr>
              <w:t xml:space="preserve">Konanie o zrušení registrácie skupiny podľa § 81a sa upravuje v nadväznosti na návrh na doplnenie § 4c do zákona </w:t>
            </w:r>
            <w:r w:rsidRPr="00DA2D4F">
              <w:rPr>
                <w:color w:val="auto"/>
                <w:sz w:val="20"/>
              </w:rPr>
              <w:t>č. 222/2004 Z. z. o dani z pridanej hodnoty v znení neskorších predpisov</w:t>
            </w:r>
            <w:r>
              <w:rPr>
                <w:color w:val="auto"/>
                <w:sz w:val="20"/>
              </w:rPr>
              <w:t xml:space="preserve"> (ďalej len „zákon o DPH“)</w:t>
            </w:r>
            <w:r>
              <w:rPr>
                <w:iCs/>
                <w:sz w:val="20"/>
              </w:rPr>
              <w:t>.</w:t>
            </w:r>
          </w:p>
          <w:p w14:paraId="031A8A07" w14:textId="77777777" w:rsidR="00746D3C" w:rsidRDefault="00746D3C" w:rsidP="007B3372">
            <w:pPr>
              <w:pStyle w:val="Zkladntext1"/>
              <w:jc w:val="both"/>
              <w:rPr>
                <w:iCs/>
                <w:sz w:val="20"/>
              </w:rPr>
            </w:pPr>
          </w:p>
          <w:p w14:paraId="2C2DE578" w14:textId="77777777" w:rsidR="00746D3C" w:rsidRPr="006D6EF6" w:rsidRDefault="00746D3C" w:rsidP="007B3372">
            <w:pPr>
              <w:pStyle w:val="Zkladntext1"/>
              <w:jc w:val="both"/>
              <w:rPr>
                <w:iCs/>
                <w:sz w:val="20"/>
              </w:rPr>
            </w:pPr>
            <w:r>
              <w:rPr>
                <w:iCs/>
                <w:sz w:val="20"/>
              </w:rPr>
              <w:t xml:space="preserve">Konanie o uložení pokuty podľa § 85n ods. 12 návrhu zákona. </w:t>
            </w:r>
            <w:r w:rsidRPr="006D6EF6">
              <w:rPr>
                <w:iCs/>
                <w:sz w:val="20"/>
              </w:rPr>
              <w:t>Daňový úrad uloží pokutu do výšky 10 000 eur</w:t>
            </w:r>
          </w:p>
          <w:p w14:paraId="77C8E58A" w14:textId="77777777" w:rsidR="00746D3C" w:rsidRPr="006D6EF6" w:rsidRDefault="00746D3C" w:rsidP="007B3372">
            <w:pPr>
              <w:pStyle w:val="Zkladntext1"/>
              <w:jc w:val="both"/>
              <w:rPr>
                <w:iCs/>
                <w:sz w:val="20"/>
              </w:rPr>
            </w:pPr>
            <w:r w:rsidRPr="006D6EF6">
              <w:rPr>
                <w:iCs/>
                <w:sz w:val="20"/>
              </w:rPr>
              <w:t>a)</w:t>
            </w:r>
            <w:r>
              <w:rPr>
                <w:iCs/>
                <w:sz w:val="20"/>
              </w:rPr>
              <w:t xml:space="preserve"> </w:t>
            </w:r>
            <w:r w:rsidRPr="006D6EF6">
              <w:rPr>
                <w:iCs/>
                <w:sz w:val="20"/>
              </w:rPr>
              <w:t>platiteľovi podľa odseku 2, ktorý</w:t>
            </w:r>
          </w:p>
          <w:p w14:paraId="711AD1C5" w14:textId="77777777" w:rsidR="00746D3C" w:rsidRPr="006D6EF6" w:rsidRDefault="00746D3C" w:rsidP="007B3372">
            <w:pPr>
              <w:pStyle w:val="Zkladntext1"/>
              <w:jc w:val="both"/>
              <w:rPr>
                <w:iCs/>
                <w:sz w:val="20"/>
              </w:rPr>
            </w:pPr>
            <w:r w:rsidRPr="006D6EF6">
              <w:rPr>
                <w:iCs/>
                <w:sz w:val="20"/>
              </w:rPr>
              <w:t>1.</w:t>
            </w:r>
            <w:r>
              <w:rPr>
                <w:iCs/>
                <w:sz w:val="20"/>
              </w:rPr>
              <w:t xml:space="preserve"> </w:t>
            </w:r>
            <w:r w:rsidRPr="006D6EF6">
              <w:rPr>
                <w:iCs/>
                <w:sz w:val="20"/>
              </w:rPr>
              <w:t xml:space="preserve">neoznámil údaje podľa odseku </w:t>
            </w:r>
            <w:r>
              <w:rPr>
                <w:iCs/>
                <w:sz w:val="20"/>
              </w:rPr>
              <w:t>9</w:t>
            </w:r>
            <w:r w:rsidRPr="006D6EF6">
              <w:rPr>
                <w:iCs/>
                <w:sz w:val="20"/>
              </w:rPr>
              <w:t xml:space="preserve"> alebo oznámil tieto údaje po uplynutí lehoty uvedenej v odseku </w:t>
            </w:r>
            <w:r>
              <w:rPr>
                <w:iCs/>
                <w:sz w:val="20"/>
              </w:rPr>
              <w:t>9</w:t>
            </w:r>
            <w:r w:rsidRPr="006D6EF6">
              <w:rPr>
                <w:iCs/>
                <w:sz w:val="20"/>
              </w:rPr>
              <w:t>,</w:t>
            </w:r>
          </w:p>
          <w:p w14:paraId="2CEE6F79" w14:textId="77777777" w:rsidR="00746D3C" w:rsidRPr="006D6EF6" w:rsidRDefault="00746D3C" w:rsidP="007B3372">
            <w:pPr>
              <w:pStyle w:val="Zkladntext1"/>
              <w:jc w:val="both"/>
              <w:rPr>
                <w:iCs/>
                <w:sz w:val="20"/>
              </w:rPr>
            </w:pPr>
            <w:r w:rsidRPr="006D6EF6">
              <w:rPr>
                <w:iCs/>
                <w:sz w:val="20"/>
              </w:rPr>
              <w:t>2.</w:t>
            </w:r>
            <w:r>
              <w:rPr>
                <w:iCs/>
                <w:sz w:val="20"/>
              </w:rPr>
              <w:t xml:space="preserve"> </w:t>
            </w:r>
            <w:r w:rsidRPr="006D6EF6">
              <w:rPr>
                <w:iCs/>
                <w:sz w:val="20"/>
              </w:rPr>
              <w:t xml:space="preserve">neoznámil všetky údaje, ktoré bol povinný oznámiť podľa odseku </w:t>
            </w:r>
            <w:r>
              <w:rPr>
                <w:iCs/>
                <w:sz w:val="20"/>
              </w:rPr>
              <w:t>9</w:t>
            </w:r>
            <w:r w:rsidRPr="006D6EF6">
              <w:rPr>
                <w:iCs/>
                <w:sz w:val="20"/>
              </w:rPr>
              <w:t xml:space="preserve"> alebo oznámil údaje, ktoré bol povinný oznámiť podľa odseku </w:t>
            </w:r>
            <w:r>
              <w:rPr>
                <w:iCs/>
                <w:sz w:val="20"/>
              </w:rPr>
              <w:t>9</w:t>
            </w:r>
            <w:r w:rsidRPr="006D6EF6">
              <w:rPr>
                <w:iCs/>
                <w:sz w:val="20"/>
              </w:rPr>
              <w:t xml:space="preserve">, nesprávne, </w:t>
            </w:r>
          </w:p>
          <w:p w14:paraId="52374701" w14:textId="77777777" w:rsidR="00746D3C" w:rsidRPr="006D6EF6" w:rsidRDefault="00746D3C" w:rsidP="007B3372">
            <w:pPr>
              <w:pStyle w:val="Zkladntext1"/>
              <w:jc w:val="both"/>
              <w:rPr>
                <w:iCs/>
                <w:sz w:val="20"/>
              </w:rPr>
            </w:pPr>
            <w:r w:rsidRPr="006D6EF6">
              <w:rPr>
                <w:iCs/>
                <w:sz w:val="20"/>
              </w:rPr>
              <w:t>b)</w:t>
            </w:r>
            <w:r>
              <w:rPr>
                <w:iCs/>
                <w:sz w:val="20"/>
              </w:rPr>
              <w:t xml:space="preserve"> </w:t>
            </w:r>
            <w:r w:rsidRPr="006D6EF6">
              <w:rPr>
                <w:iCs/>
                <w:sz w:val="20"/>
              </w:rPr>
              <w:t>osobe podľa odseku 3 písm. a), ktorá je platiteľom podľa § 4, § 4b alebo § 4c, ktorá</w:t>
            </w:r>
          </w:p>
          <w:p w14:paraId="2DABC73C" w14:textId="77777777" w:rsidR="00746D3C" w:rsidRPr="006D6EF6" w:rsidRDefault="00746D3C" w:rsidP="007B3372">
            <w:pPr>
              <w:pStyle w:val="Zkladntext1"/>
              <w:jc w:val="both"/>
              <w:rPr>
                <w:iCs/>
                <w:sz w:val="20"/>
              </w:rPr>
            </w:pPr>
            <w:r w:rsidRPr="006D6EF6">
              <w:rPr>
                <w:iCs/>
                <w:sz w:val="20"/>
              </w:rPr>
              <w:t>1.</w:t>
            </w:r>
            <w:r>
              <w:rPr>
                <w:iCs/>
                <w:sz w:val="20"/>
              </w:rPr>
              <w:t xml:space="preserve"> </w:t>
            </w:r>
            <w:r w:rsidRPr="006D6EF6">
              <w:rPr>
                <w:iCs/>
                <w:sz w:val="20"/>
              </w:rPr>
              <w:t>neoznámila údaje podľa odseku 1</w:t>
            </w:r>
            <w:r>
              <w:rPr>
                <w:iCs/>
                <w:sz w:val="20"/>
              </w:rPr>
              <w:t>0</w:t>
            </w:r>
            <w:r w:rsidRPr="006D6EF6">
              <w:rPr>
                <w:iCs/>
                <w:sz w:val="20"/>
              </w:rPr>
              <w:t xml:space="preserve"> alebo oznámila tieto údaje po uplynutí lehoty uvedenej v odseku 1</w:t>
            </w:r>
            <w:r>
              <w:rPr>
                <w:iCs/>
                <w:sz w:val="20"/>
              </w:rPr>
              <w:t>0</w:t>
            </w:r>
            <w:r w:rsidRPr="006D6EF6">
              <w:rPr>
                <w:iCs/>
                <w:sz w:val="20"/>
              </w:rPr>
              <w:t>,</w:t>
            </w:r>
          </w:p>
          <w:p w14:paraId="3207026B" w14:textId="77777777" w:rsidR="00746D3C" w:rsidRPr="00367473" w:rsidRDefault="00746D3C" w:rsidP="007B3372">
            <w:pPr>
              <w:pStyle w:val="Zkladntext1"/>
              <w:jc w:val="both"/>
              <w:rPr>
                <w:iCs/>
                <w:sz w:val="20"/>
              </w:rPr>
            </w:pPr>
            <w:r w:rsidRPr="006D6EF6">
              <w:rPr>
                <w:iCs/>
                <w:sz w:val="20"/>
              </w:rPr>
              <w:t>2.</w:t>
            </w:r>
            <w:r>
              <w:rPr>
                <w:iCs/>
                <w:sz w:val="20"/>
              </w:rPr>
              <w:t xml:space="preserve"> </w:t>
            </w:r>
            <w:r w:rsidRPr="006D6EF6">
              <w:rPr>
                <w:iCs/>
                <w:sz w:val="20"/>
              </w:rPr>
              <w:t>neoznámila všetky údaje, ktoré bola povinná oznámiť podľa odseku 1</w:t>
            </w:r>
            <w:r>
              <w:rPr>
                <w:iCs/>
                <w:sz w:val="20"/>
              </w:rPr>
              <w:t>0</w:t>
            </w:r>
            <w:r w:rsidRPr="006D6EF6">
              <w:rPr>
                <w:iCs/>
                <w:sz w:val="20"/>
              </w:rPr>
              <w:t xml:space="preserve"> alebo oznámila údaje, ktoré bola povinná oznámiť podľa odseku 1</w:t>
            </w:r>
            <w:r>
              <w:rPr>
                <w:iCs/>
                <w:sz w:val="20"/>
              </w:rPr>
              <w:t>0</w:t>
            </w:r>
            <w:r w:rsidRPr="006D6EF6">
              <w:rPr>
                <w:iCs/>
                <w:sz w:val="20"/>
              </w:rPr>
              <w:t>, nesprávne.</w:t>
            </w:r>
          </w:p>
          <w:p w14:paraId="51F4907F" w14:textId="77777777" w:rsidR="00746D3C" w:rsidRPr="00D17901" w:rsidRDefault="00746D3C" w:rsidP="007B3372">
            <w:pPr>
              <w:pStyle w:val="Zkladntext1"/>
              <w:jc w:val="both"/>
              <w:rPr>
                <w:iCs/>
                <w:sz w:val="20"/>
              </w:rPr>
            </w:pPr>
            <w:r>
              <w:rPr>
                <w:iCs/>
                <w:sz w:val="20"/>
              </w:rPr>
              <w:t xml:space="preserve">Konanie o uložení pokuty podľa § 85n ods. 13 návrhu zákona. </w:t>
            </w:r>
            <w:r w:rsidRPr="00D17901">
              <w:rPr>
                <w:iCs/>
                <w:sz w:val="20"/>
              </w:rPr>
              <w:t xml:space="preserve">Daňový úrad uloží pokutu do výšky 100 000 eur </w:t>
            </w:r>
          </w:p>
          <w:p w14:paraId="2E5838DF" w14:textId="77777777" w:rsidR="00746D3C" w:rsidRPr="00D17901" w:rsidRDefault="00746D3C" w:rsidP="007B3372">
            <w:pPr>
              <w:pStyle w:val="Zkladntext1"/>
              <w:jc w:val="both"/>
              <w:rPr>
                <w:iCs/>
                <w:sz w:val="20"/>
              </w:rPr>
            </w:pPr>
            <w:r w:rsidRPr="00D17901">
              <w:rPr>
                <w:iCs/>
                <w:sz w:val="20"/>
              </w:rPr>
              <w:t>a)</w:t>
            </w:r>
            <w:r>
              <w:rPr>
                <w:iCs/>
                <w:sz w:val="20"/>
              </w:rPr>
              <w:t xml:space="preserve"> </w:t>
            </w:r>
            <w:r w:rsidRPr="00D17901">
              <w:rPr>
                <w:iCs/>
                <w:sz w:val="20"/>
              </w:rPr>
              <w:t>platiteľovi podľa odseku 2, ak sa dopustí konania podľa odseku 1</w:t>
            </w:r>
            <w:r>
              <w:rPr>
                <w:iCs/>
                <w:sz w:val="20"/>
              </w:rPr>
              <w:t>2</w:t>
            </w:r>
            <w:r w:rsidRPr="00D17901">
              <w:rPr>
                <w:iCs/>
                <w:sz w:val="20"/>
              </w:rPr>
              <w:t xml:space="preserve"> písm. a) opakovane,</w:t>
            </w:r>
          </w:p>
          <w:p w14:paraId="098A8999" w14:textId="77777777" w:rsidR="00746D3C" w:rsidRDefault="00746D3C" w:rsidP="007B3372">
            <w:pPr>
              <w:pStyle w:val="Zkladntext1"/>
              <w:jc w:val="both"/>
              <w:rPr>
                <w:iCs/>
                <w:sz w:val="20"/>
              </w:rPr>
            </w:pPr>
            <w:r w:rsidRPr="00D17901">
              <w:rPr>
                <w:iCs/>
                <w:sz w:val="20"/>
              </w:rPr>
              <w:t>b)</w:t>
            </w:r>
            <w:r>
              <w:rPr>
                <w:iCs/>
                <w:sz w:val="20"/>
              </w:rPr>
              <w:t xml:space="preserve"> </w:t>
            </w:r>
            <w:r w:rsidRPr="00D17901">
              <w:rPr>
                <w:iCs/>
                <w:sz w:val="20"/>
              </w:rPr>
              <w:t>osobe podľa odseku 3 písm. a), ktorá je platiteľom podľa § 4, § 4b alebo § 4c, ak sa dopustí konania podľa odseku 1</w:t>
            </w:r>
            <w:r>
              <w:rPr>
                <w:iCs/>
                <w:sz w:val="20"/>
              </w:rPr>
              <w:t>2</w:t>
            </w:r>
            <w:r w:rsidRPr="00D17901">
              <w:rPr>
                <w:iCs/>
                <w:sz w:val="20"/>
              </w:rPr>
              <w:t xml:space="preserve"> písm. b) opakovane.</w:t>
            </w:r>
          </w:p>
          <w:p w14:paraId="22CD6A1B" w14:textId="77777777" w:rsidR="00746D3C" w:rsidRDefault="00746D3C" w:rsidP="007B3372">
            <w:pPr>
              <w:pStyle w:val="Zkladntext1"/>
              <w:jc w:val="both"/>
              <w:rPr>
                <w:iCs/>
                <w:sz w:val="20"/>
              </w:rPr>
            </w:pPr>
          </w:p>
          <w:p w14:paraId="3D6C5823" w14:textId="77777777" w:rsidR="00746D3C" w:rsidRPr="00096CC6" w:rsidRDefault="00746D3C" w:rsidP="007B3372">
            <w:pPr>
              <w:pStyle w:val="Zkladntext1"/>
              <w:jc w:val="both"/>
              <w:rPr>
                <w:iCs/>
                <w:sz w:val="20"/>
              </w:rPr>
            </w:pPr>
            <w:r>
              <w:rPr>
                <w:iCs/>
                <w:sz w:val="20"/>
              </w:rPr>
              <w:t xml:space="preserve">Podľa § 85n ods. 19 návrhu zákona </w:t>
            </w:r>
            <w:r w:rsidRPr="00096CC6">
              <w:rPr>
                <w:iCs/>
                <w:sz w:val="20"/>
              </w:rPr>
              <w:t xml:space="preserve">Finančné riaditeľstvo </w:t>
            </w:r>
            <w:r>
              <w:rPr>
                <w:iCs/>
                <w:sz w:val="20"/>
              </w:rPr>
              <w:t>SR</w:t>
            </w:r>
          </w:p>
          <w:p w14:paraId="007E17C0" w14:textId="77777777" w:rsidR="00746D3C" w:rsidRPr="008B7BAE" w:rsidRDefault="00746D3C" w:rsidP="007B3372">
            <w:pPr>
              <w:pStyle w:val="Zkladntext1"/>
              <w:jc w:val="both"/>
              <w:rPr>
                <w:iCs/>
                <w:sz w:val="20"/>
              </w:rPr>
            </w:pPr>
            <w:r w:rsidRPr="008B7BAE">
              <w:rPr>
                <w:iCs/>
                <w:sz w:val="20"/>
              </w:rPr>
              <w:t>a)</w:t>
            </w:r>
            <w:r>
              <w:rPr>
                <w:iCs/>
                <w:sz w:val="20"/>
              </w:rPr>
              <w:t xml:space="preserve"> </w:t>
            </w:r>
            <w:r w:rsidRPr="005B42AF">
              <w:rPr>
                <w:iCs/>
                <w:sz w:val="20"/>
              </w:rPr>
              <w:t>vymaže 1. januára 2027 z evidencie podľa § 76a ods. 5 osobu, ktorá do 15. decembra 2026 nepreukázala splnenie podmienky podľa § 76a ods. 2 písm. e) v rozsahu podľa odsekov 9 až 11</w:t>
            </w:r>
            <w:r w:rsidRPr="008B7BAE">
              <w:rPr>
                <w:iCs/>
                <w:sz w:val="20"/>
              </w:rPr>
              <w:t xml:space="preserve">, </w:t>
            </w:r>
          </w:p>
          <w:p w14:paraId="0061DCD9" w14:textId="77777777" w:rsidR="00746D3C" w:rsidRPr="005C4B9C" w:rsidRDefault="00746D3C" w:rsidP="007B3372">
            <w:pPr>
              <w:pStyle w:val="Zkladntext1"/>
              <w:jc w:val="both"/>
              <w:rPr>
                <w:i/>
                <w:iCs/>
                <w:szCs w:val="24"/>
              </w:rPr>
            </w:pPr>
            <w:r w:rsidRPr="008B7BAE">
              <w:rPr>
                <w:iCs/>
                <w:sz w:val="20"/>
              </w:rPr>
              <w:t>b)</w:t>
            </w:r>
            <w:r>
              <w:rPr>
                <w:iCs/>
                <w:sz w:val="20"/>
              </w:rPr>
              <w:t xml:space="preserve"> </w:t>
            </w:r>
            <w:r w:rsidRPr="005B42AF">
              <w:rPr>
                <w:iCs/>
                <w:sz w:val="20"/>
              </w:rPr>
              <w:t>b)</w:t>
            </w:r>
            <w:r w:rsidRPr="005B42AF">
              <w:rPr>
                <w:iCs/>
                <w:sz w:val="20"/>
              </w:rPr>
              <w:tab/>
              <w:t>vymaže 1. júla 2030 z evidencie podľa § 76a ods. 5 osobu, ktorá do 15. júna 2030 nepreukázala splnenie podmienky podľa § 76a ods. 2 písm. e) v rozsahu podľa § 80 a 80a v znení účinnom od 1. júla 2030</w:t>
            </w:r>
            <w:r w:rsidRPr="00096CC6">
              <w:rPr>
                <w:iCs/>
                <w:sz w:val="20"/>
              </w:rPr>
              <w:t>.</w:t>
            </w:r>
          </w:p>
        </w:tc>
      </w:tr>
      <w:tr w:rsidR="00746D3C" w:rsidRPr="005C4B9C" w14:paraId="49D38B8D" w14:textId="77777777" w:rsidTr="007B3372">
        <w:trPr>
          <w:trHeight w:val="20"/>
          <w:jc w:val="center"/>
        </w:trPr>
        <w:tc>
          <w:tcPr>
            <w:tcW w:w="3956" w:type="dxa"/>
          </w:tcPr>
          <w:p w14:paraId="5F3A9D56" w14:textId="77777777" w:rsidR="00746D3C" w:rsidRPr="005C4B9C" w:rsidRDefault="00746D3C" w:rsidP="007B3372">
            <w:pPr>
              <w:jc w:val="both"/>
              <w:rPr>
                <w:b/>
                <w:szCs w:val="22"/>
              </w:rPr>
            </w:pPr>
            <w:r>
              <w:rPr>
                <w:b/>
                <w:szCs w:val="22"/>
              </w:rPr>
              <w:lastRenderedPageBreak/>
              <w:t xml:space="preserve">6.4.2. </w:t>
            </w:r>
            <w:r>
              <w:rPr>
                <w:szCs w:val="22"/>
              </w:rPr>
              <w:t>Je dané konanie možné v celku vykonať elektronicky</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208C1C6D" w14:textId="77777777" w:rsidTr="007B3372">
              <w:sdt>
                <w:sdtPr>
                  <w:id w:val="-945843635"/>
                  <w14:checkbox>
                    <w14:checked w14:val="1"/>
                    <w14:checkedState w14:val="2612" w14:font="MS Gothic"/>
                    <w14:uncheckedState w14:val="2610" w14:font="MS Gothic"/>
                  </w14:checkbox>
                </w:sdtPr>
                <w:sdtEndPr/>
                <w:sdtContent>
                  <w:tc>
                    <w:tcPr>
                      <w:tcW w:w="436" w:type="dxa"/>
                    </w:tcPr>
                    <w:p w14:paraId="66B2E014"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774B586C" w14:textId="77777777" w:rsidR="00746D3C" w:rsidRPr="00F04CCD" w:rsidRDefault="00746D3C" w:rsidP="007B3372">
                  <w:pPr>
                    <w:rPr>
                      <w:b/>
                    </w:rPr>
                  </w:pPr>
                  <w:r>
                    <w:rPr>
                      <w:b/>
                    </w:rPr>
                    <w:t>Áno</w:t>
                  </w:r>
                </w:p>
              </w:tc>
            </w:tr>
            <w:tr w:rsidR="00746D3C" w:rsidRPr="00F04CCD" w14:paraId="543772FB" w14:textId="77777777" w:rsidTr="007B3372">
              <w:sdt>
                <w:sdtPr>
                  <w:id w:val="31386459"/>
                  <w14:checkbox>
                    <w14:checked w14:val="0"/>
                    <w14:checkedState w14:val="2612" w14:font="MS Gothic"/>
                    <w14:uncheckedState w14:val="2610" w14:font="MS Gothic"/>
                  </w14:checkbox>
                </w:sdtPr>
                <w:sdtEndPr/>
                <w:sdtContent>
                  <w:tc>
                    <w:tcPr>
                      <w:tcW w:w="436" w:type="dxa"/>
                    </w:tcPr>
                    <w:p w14:paraId="3A2B385F" w14:textId="77777777" w:rsidR="00746D3C" w:rsidRPr="00F04CCD" w:rsidRDefault="00746D3C" w:rsidP="007B3372">
                      <w:pPr>
                        <w:jc w:val="center"/>
                      </w:pPr>
                      <w:r w:rsidRPr="00F04CCD">
                        <w:rPr>
                          <w:rFonts w:ascii="MS Mincho" w:eastAsia="MS Mincho" w:hAnsi="MS Mincho" w:cs="MS Mincho" w:hint="eastAsia"/>
                        </w:rPr>
                        <w:t>☐</w:t>
                      </w:r>
                    </w:p>
                  </w:tc>
                </w:sdtContent>
              </w:sdt>
              <w:tc>
                <w:tcPr>
                  <w:tcW w:w="8545" w:type="dxa"/>
                </w:tcPr>
                <w:p w14:paraId="271E65E3" w14:textId="77777777" w:rsidR="00746D3C" w:rsidRPr="00F04CCD" w:rsidRDefault="00746D3C" w:rsidP="007B3372">
                  <w:pPr>
                    <w:rPr>
                      <w:b/>
                    </w:rPr>
                  </w:pPr>
                  <w:r>
                    <w:rPr>
                      <w:b/>
                    </w:rPr>
                    <w:t>Nie</w:t>
                  </w:r>
                </w:p>
              </w:tc>
            </w:tr>
          </w:tbl>
          <w:p w14:paraId="6E42E5E4" w14:textId="77777777" w:rsidR="00746D3C" w:rsidRPr="00FA16FE" w:rsidRDefault="00746D3C" w:rsidP="007B3372"/>
        </w:tc>
        <w:tc>
          <w:tcPr>
            <w:tcW w:w="3969" w:type="dxa"/>
            <w:gridSpan w:val="4"/>
            <w:shd w:val="clear" w:color="auto" w:fill="auto"/>
          </w:tcPr>
          <w:p w14:paraId="177A4C73" w14:textId="77777777" w:rsidR="00746D3C" w:rsidRPr="005C4B9C" w:rsidRDefault="00746D3C" w:rsidP="007B3372">
            <w:pPr>
              <w:rPr>
                <w:i/>
                <w:iCs/>
              </w:rPr>
            </w:pPr>
          </w:p>
        </w:tc>
      </w:tr>
      <w:tr w:rsidR="00746D3C" w:rsidRPr="005C4B9C" w14:paraId="7C61C26D" w14:textId="77777777" w:rsidTr="007B3372">
        <w:trPr>
          <w:trHeight w:val="20"/>
          <w:jc w:val="center"/>
        </w:trPr>
        <w:tc>
          <w:tcPr>
            <w:tcW w:w="3956" w:type="dxa"/>
          </w:tcPr>
          <w:p w14:paraId="539D8DC4" w14:textId="77777777" w:rsidR="00746D3C" w:rsidRPr="005C4B9C" w:rsidRDefault="00746D3C" w:rsidP="007B3372">
            <w:pPr>
              <w:jc w:val="both"/>
              <w:rPr>
                <w:b/>
                <w:szCs w:val="22"/>
              </w:rPr>
            </w:pPr>
            <w:r>
              <w:rPr>
                <w:b/>
                <w:szCs w:val="22"/>
              </w:rPr>
              <w:t xml:space="preserve">6.4.3. </w:t>
            </w:r>
            <w:r>
              <w:rPr>
                <w:szCs w:val="22"/>
              </w:rPr>
              <w:t>Je úprava konania kompatibilná s inštitútmi zákona o e-Governmente a je na dané konanie zákon o e-Governmente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3E33833E" w14:textId="77777777" w:rsidTr="007B3372">
              <w:sdt>
                <w:sdtPr>
                  <w:id w:val="-812871524"/>
                  <w14:checkbox>
                    <w14:checked w14:val="1"/>
                    <w14:checkedState w14:val="2612" w14:font="MS Gothic"/>
                    <w14:uncheckedState w14:val="2610" w14:font="MS Gothic"/>
                  </w14:checkbox>
                </w:sdtPr>
                <w:sdtEndPr/>
                <w:sdtContent>
                  <w:tc>
                    <w:tcPr>
                      <w:tcW w:w="436" w:type="dxa"/>
                    </w:tcPr>
                    <w:p w14:paraId="5E548778"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6BDDFCAE" w14:textId="77777777" w:rsidR="00746D3C" w:rsidRPr="00F04CCD" w:rsidRDefault="00746D3C" w:rsidP="007B3372">
                  <w:pPr>
                    <w:rPr>
                      <w:b/>
                    </w:rPr>
                  </w:pPr>
                  <w:r>
                    <w:rPr>
                      <w:b/>
                    </w:rPr>
                    <w:t>Áno</w:t>
                  </w:r>
                </w:p>
              </w:tc>
            </w:tr>
            <w:tr w:rsidR="00746D3C" w:rsidRPr="00F04CCD" w14:paraId="5448C652" w14:textId="77777777" w:rsidTr="007B3372">
              <w:sdt>
                <w:sdtPr>
                  <w:id w:val="441276830"/>
                  <w14:checkbox>
                    <w14:checked w14:val="0"/>
                    <w14:checkedState w14:val="2612" w14:font="MS Gothic"/>
                    <w14:uncheckedState w14:val="2610" w14:font="MS Gothic"/>
                  </w14:checkbox>
                </w:sdtPr>
                <w:sdtEndPr/>
                <w:sdtContent>
                  <w:tc>
                    <w:tcPr>
                      <w:tcW w:w="436" w:type="dxa"/>
                    </w:tcPr>
                    <w:p w14:paraId="593EA7E1" w14:textId="77777777" w:rsidR="00746D3C" w:rsidRPr="00F04CCD" w:rsidRDefault="00746D3C" w:rsidP="007B3372">
                      <w:pPr>
                        <w:jc w:val="center"/>
                      </w:pPr>
                      <w:r w:rsidRPr="00F04CCD">
                        <w:rPr>
                          <w:rFonts w:ascii="MS Mincho" w:eastAsia="MS Mincho" w:hAnsi="MS Mincho" w:cs="MS Mincho" w:hint="eastAsia"/>
                        </w:rPr>
                        <w:t>☐</w:t>
                      </w:r>
                    </w:p>
                  </w:tc>
                </w:sdtContent>
              </w:sdt>
              <w:tc>
                <w:tcPr>
                  <w:tcW w:w="8545" w:type="dxa"/>
                </w:tcPr>
                <w:p w14:paraId="53BB5215" w14:textId="77777777" w:rsidR="00746D3C" w:rsidRPr="00F04CCD" w:rsidRDefault="00746D3C" w:rsidP="007B3372">
                  <w:pPr>
                    <w:rPr>
                      <w:b/>
                    </w:rPr>
                  </w:pPr>
                  <w:r>
                    <w:rPr>
                      <w:b/>
                    </w:rPr>
                    <w:t>Nie</w:t>
                  </w:r>
                </w:p>
              </w:tc>
            </w:tr>
          </w:tbl>
          <w:p w14:paraId="06ED17B3" w14:textId="77777777" w:rsidR="00746D3C" w:rsidRPr="00FA16FE" w:rsidRDefault="00746D3C" w:rsidP="007B3372"/>
        </w:tc>
        <w:tc>
          <w:tcPr>
            <w:tcW w:w="3969" w:type="dxa"/>
            <w:gridSpan w:val="4"/>
            <w:shd w:val="clear" w:color="auto" w:fill="auto"/>
          </w:tcPr>
          <w:p w14:paraId="50B2F4AF" w14:textId="77777777" w:rsidR="00746D3C" w:rsidRPr="005C4B9C" w:rsidRDefault="00746D3C" w:rsidP="007B3372">
            <w:pPr>
              <w:rPr>
                <w:i/>
                <w:iCs/>
              </w:rPr>
            </w:pPr>
          </w:p>
        </w:tc>
      </w:tr>
      <w:tr w:rsidR="00746D3C" w:rsidRPr="005C4B9C" w14:paraId="5F7B9F1A" w14:textId="77777777" w:rsidTr="007B3372">
        <w:trPr>
          <w:trHeight w:val="20"/>
          <w:jc w:val="center"/>
        </w:trPr>
        <w:tc>
          <w:tcPr>
            <w:tcW w:w="9371" w:type="dxa"/>
            <w:gridSpan w:val="6"/>
            <w:shd w:val="clear" w:color="auto" w:fill="BFBFBF" w:themeFill="background1" w:themeFillShade="BF"/>
          </w:tcPr>
          <w:p w14:paraId="4D6CBC2B" w14:textId="77777777" w:rsidR="00746D3C" w:rsidRPr="00F4692C" w:rsidRDefault="00746D3C" w:rsidP="007B3372">
            <w:pPr>
              <w:spacing w:line="20" w:lineRule="atLeast"/>
              <w:ind w:hanging="55"/>
              <w:jc w:val="center"/>
              <w:rPr>
                <w:i/>
                <w:iCs/>
              </w:rPr>
            </w:pPr>
            <w:r w:rsidRPr="00F4692C">
              <w:rPr>
                <w:b/>
              </w:rPr>
              <w:t>Zásada „jedenkrát a dosť“</w:t>
            </w:r>
          </w:p>
        </w:tc>
      </w:tr>
      <w:tr w:rsidR="00746D3C" w:rsidRPr="005C4B9C" w14:paraId="5A6657A5" w14:textId="77777777" w:rsidTr="007B3372">
        <w:trPr>
          <w:trHeight w:val="20"/>
          <w:jc w:val="center"/>
        </w:trPr>
        <w:tc>
          <w:tcPr>
            <w:tcW w:w="3956" w:type="dxa"/>
          </w:tcPr>
          <w:p w14:paraId="24938E5A" w14:textId="77777777" w:rsidR="00746D3C" w:rsidRPr="005C4B9C" w:rsidRDefault="00746D3C" w:rsidP="007B3372">
            <w:pPr>
              <w:jc w:val="both"/>
              <w:rPr>
                <w:b/>
                <w:szCs w:val="22"/>
              </w:rPr>
            </w:pPr>
            <w:r>
              <w:rPr>
                <w:b/>
                <w:szCs w:val="22"/>
              </w:rPr>
              <w:t xml:space="preserve">6.5.1. </w:t>
            </w:r>
            <w:r w:rsidRPr="00F14E8D">
              <w:rPr>
                <w:bCs/>
                <w:szCs w:val="22"/>
              </w:rPr>
              <w:t>Predpokladá predložený návrh predklada</w:t>
            </w:r>
            <w:r>
              <w:rPr>
                <w:bCs/>
                <w:szCs w:val="22"/>
              </w:rPr>
              <w:t>nie</w:t>
            </w:r>
            <w:r w:rsidRPr="00F14E8D">
              <w:rPr>
                <w:bCs/>
                <w:szCs w:val="22"/>
              </w:rPr>
              <w:t xml:space="preserve"> dokument</w:t>
            </w:r>
            <w:r>
              <w:rPr>
                <w:bCs/>
                <w:szCs w:val="22"/>
              </w:rPr>
              <w:t>ov</w:t>
            </w:r>
            <w:r w:rsidRPr="00F14E8D">
              <w:rPr>
                <w:bCs/>
                <w:szCs w:val="22"/>
              </w:rPr>
              <w:t>, informáci</w:t>
            </w:r>
            <w:r>
              <w:rPr>
                <w:bCs/>
                <w:szCs w:val="22"/>
              </w:rPr>
              <w:t>í</w:t>
            </w:r>
            <w:r w:rsidRPr="00F14E8D">
              <w:rPr>
                <w:bCs/>
                <w:szCs w:val="22"/>
              </w:rPr>
              <w:t xml:space="preserve"> alebo preukazova</w:t>
            </w:r>
            <w:r>
              <w:rPr>
                <w:bCs/>
                <w:szCs w:val="22"/>
              </w:rPr>
              <w:t>nie</w:t>
            </w:r>
            <w:r w:rsidRPr="00F14E8D">
              <w:rPr>
                <w:bCs/>
                <w:szCs w:val="22"/>
              </w:rPr>
              <w:t xml:space="preserve"> skutočnost</w:t>
            </w:r>
            <w:r>
              <w:rPr>
                <w:bCs/>
                <w:szCs w:val="22"/>
              </w:rPr>
              <w:t>í</w:t>
            </w:r>
            <w:r w:rsidRPr="00F14E8D">
              <w:rPr>
                <w:bCs/>
                <w:szCs w:val="22"/>
              </w:rPr>
              <w:t xml:space="preserve"> (ďalej </w:t>
            </w:r>
            <w:r w:rsidRPr="00F14E8D">
              <w:rPr>
                <w:bCs/>
                <w:szCs w:val="22"/>
              </w:rPr>
              <w:lastRenderedPageBreak/>
              <w:t>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2C013FAC" w14:textId="77777777" w:rsidTr="007B3372">
              <w:sdt>
                <w:sdtPr>
                  <w:id w:val="43339831"/>
                  <w14:checkbox>
                    <w14:checked w14:val="1"/>
                    <w14:checkedState w14:val="2612" w14:font="MS Gothic"/>
                    <w14:uncheckedState w14:val="2610" w14:font="MS Gothic"/>
                  </w14:checkbox>
                </w:sdtPr>
                <w:sdtEndPr/>
                <w:sdtContent>
                  <w:tc>
                    <w:tcPr>
                      <w:tcW w:w="436" w:type="dxa"/>
                    </w:tcPr>
                    <w:p w14:paraId="4BC8C75F"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70955596" w14:textId="77777777" w:rsidR="00746D3C" w:rsidRPr="00F04CCD" w:rsidRDefault="00746D3C" w:rsidP="007B3372">
                  <w:pPr>
                    <w:rPr>
                      <w:b/>
                    </w:rPr>
                  </w:pPr>
                  <w:r>
                    <w:rPr>
                      <w:b/>
                    </w:rPr>
                    <w:t>Áno</w:t>
                  </w:r>
                </w:p>
              </w:tc>
            </w:tr>
            <w:tr w:rsidR="00746D3C" w:rsidRPr="00F04CCD" w14:paraId="4A565422" w14:textId="77777777" w:rsidTr="007B3372">
              <w:sdt>
                <w:sdtPr>
                  <w:id w:val="-79453833"/>
                  <w14:checkbox>
                    <w14:checked w14:val="0"/>
                    <w14:checkedState w14:val="2612" w14:font="MS Gothic"/>
                    <w14:uncheckedState w14:val="2610" w14:font="MS Gothic"/>
                  </w14:checkbox>
                </w:sdtPr>
                <w:sdtEndPr/>
                <w:sdtContent>
                  <w:tc>
                    <w:tcPr>
                      <w:tcW w:w="436" w:type="dxa"/>
                    </w:tcPr>
                    <w:p w14:paraId="46F47DC7" w14:textId="77777777" w:rsidR="00746D3C" w:rsidRPr="00F04CCD" w:rsidRDefault="00746D3C" w:rsidP="007B3372">
                      <w:pPr>
                        <w:jc w:val="center"/>
                      </w:pPr>
                      <w:r w:rsidRPr="00F04CCD">
                        <w:rPr>
                          <w:rFonts w:ascii="MS Mincho" w:eastAsia="MS Mincho" w:hAnsi="MS Mincho" w:cs="MS Mincho" w:hint="eastAsia"/>
                        </w:rPr>
                        <w:t>☐</w:t>
                      </w:r>
                    </w:p>
                  </w:tc>
                </w:sdtContent>
              </w:sdt>
              <w:tc>
                <w:tcPr>
                  <w:tcW w:w="8545" w:type="dxa"/>
                </w:tcPr>
                <w:p w14:paraId="2C8A2265" w14:textId="77777777" w:rsidR="00746D3C" w:rsidRPr="00F04CCD" w:rsidRDefault="00746D3C" w:rsidP="007B3372">
                  <w:pPr>
                    <w:rPr>
                      <w:b/>
                    </w:rPr>
                  </w:pPr>
                  <w:r>
                    <w:rPr>
                      <w:b/>
                    </w:rPr>
                    <w:t>Nie</w:t>
                  </w:r>
                </w:p>
              </w:tc>
            </w:tr>
          </w:tbl>
          <w:p w14:paraId="6CE67537" w14:textId="77777777" w:rsidR="00746D3C" w:rsidRPr="00FA16FE" w:rsidRDefault="00746D3C" w:rsidP="007B3372"/>
        </w:tc>
        <w:tc>
          <w:tcPr>
            <w:tcW w:w="3969" w:type="dxa"/>
            <w:gridSpan w:val="4"/>
          </w:tcPr>
          <w:p w14:paraId="602BA927" w14:textId="77777777" w:rsidR="00746D3C" w:rsidRDefault="00746D3C" w:rsidP="007B3372">
            <w:pPr>
              <w:pStyle w:val="Zkladntext1"/>
              <w:jc w:val="both"/>
              <w:rPr>
                <w:iCs/>
                <w:sz w:val="20"/>
              </w:rPr>
            </w:pPr>
            <w:r>
              <w:rPr>
                <w:iCs/>
                <w:sz w:val="20"/>
              </w:rPr>
              <w:t>V k</w:t>
            </w:r>
            <w:r w:rsidRPr="00DA2D4F">
              <w:rPr>
                <w:iCs/>
                <w:sz w:val="20"/>
              </w:rPr>
              <w:t>onan</w:t>
            </w:r>
            <w:r>
              <w:rPr>
                <w:iCs/>
                <w:sz w:val="20"/>
              </w:rPr>
              <w:t>í</w:t>
            </w:r>
            <w:r w:rsidRPr="00DA2D4F">
              <w:rPr>
                <w:iCs/>
                <w:sz w:val="20"/>
              </w:rPr>
              <w:t xml:space="preserve"> o</w:t>
            </w:r>
            <w:r>
              <w:rPr>
                <w:iCs/>
                <w:sz w:val="20"/>
              </w:rPr>
              <w:t> určení spoločného zástupcu skupiny</w:t>
            </w:r>
            <w:r w:rsidRPr="00DA2D4F">
              <w:rPr>
                <w:iCs/>
                <w:sz w:val="20"/>
              </w:rPr>
              <w:t xml:space="preserve"> podľa § 4</w:t>
            </w:r>
            <w:r>
              <w:rPr>
                <w:iCs/>
                <w:sz w:val="20"/>
              </w:rPr>
              <w:t>c</w:t>
            </w:r>
            <w:r w:rsidRPr="00DA2D4F">
              <w:rPr>
                <w:iCs/>
                <w:sz w:val="20"/>
              </w:rPr>
              <w:t xml:space="preserve"> ods. 2 návrhu zákona</w:t>
            </w:r>
            <w:r>
              <w:rPr>
                <w:iCs/>
                <w:sz w:val="20"/>
              </w:rPr>
              <w:t xml:space="preserve"> </w:t>
            </w:r>
            <w:r w:rsidRPr="00F661BA">
              <w:rPr>
                <w:iCs/>
                <w:sz w:val="20"/>
              </w:rPr>
              <w:t>predpokladan</w:t>
            </w:r>
            <w:r>
              <w:rPr>
                <w:iCs/>
                <w:sz w:val="20"/>
              </w:rPr>
              <w:t>í</w:t>
            </w:r>
            <w:r w:rsidRPr="00F661BA">
              <w:rPr>
                <w:iCs/>
                <w:sz w:val="20"/>
              </w:rPr>
              <w:t xml:space="preserve"> členov</w:t>
            </w:r>
            <w:r>
              <w:rPr>
                <w:iCs/>
                <w:sz w:val="20"/>
              </w:rPr>
              <w:t>ia</w:t>
            </w:r>
            <w:r w:rsidRPr="00F661BA">
              <w:rPr>
                <w:iCs/>
                <w:sz w:val="20"/>
              </w:rPr>
              <w:t xml:space="preserve"> skupiny spomedzi seba urči</w:t>
            </w:r>
            <w:r>
              <w:rPr>
                <w:iCs/>
                <w:sz w:val="20"/>
              </w:rPr>
              <w:t>a</w:t>
            </w:r>
            <w:r w:rsidRPr="00F661BA">
              <w:rPr>
                <w:iCs/>
                <w:sz w:val="20"/>
              </w:rPr>
              <w:t xml:space="preserve"> spoločného zástupcu na účely registračného konania z úradnej moci</w:t>
            </w:r>
            <w:r>
              <w:rPr>
                <w:iCs/>
                <w:sz w:val="20"/>
              </w:rPr>
              <w:t>.</w:t>
            </w:r>
          </w:p>
          <w:p w14:paraId="060525D9" w14:textId="77777777" w:rsidR="00746D3C" w:rsidRDefault="00746D3C" w:rsidP="007B3372">
            <w:pPr>
              <w:pStyle w:val="Zkladntext1"/>
              <w:jc w:val="both"/>
              <w:rPr>
                <w:iCs/>
                <w:sz w:val="20"/>
              </w:rPr>
            </w:pPr>
            <w:r>
              <w:rPr>
                <w:iCs/>
                <w:sz w:val="20"/>
              </w:rPr>
              <w:lastRenderedPageBreak/>
              <w:t>V konaní o registrácii skupiny z úradnej moci podľa § 4c ods. 4 návrhu zákona sa predkladá na výzvu vyjadrenie spoločného zástupcu k dôvodom na registráciu skupiny.</w:t>
            </w:r>
          </w:p>
          <w:p w14:paraId="0E899FCC" w14:textId="77777777" w:rsidR="00746D3C" w:rsidRDefault="00746D3C" w:rsidP="007B3372">
            <w:pPr>
              <w:pStyle w:val="Zkladntext1"/>
              <w:jc w:val="both"/>
              <w:rPr>
                <w:iCs/>
                <w:sz w:val="20"/>
              </w:rPr>
            </w:pPr>
            <w:r>
              <w:rPr>
                <w:iCs/>
                <w:sz w:val="20"/>
              </w:rPr>
              <w:t>V konaní o žiadosti o zmenu registrácie skupiny,</w:t>
            </w:r>
            <w:r>
              <w:t xml:space="preserve"> </w:t>
            </w:r>
            <w:r w:rsidRPr="00CE447E">
              <w:rPr>
                <w:iCs/>
                <w:sz w:val="20"/>
              </w:rPr>
              <w:t>ak ďalší člen skupiny spĺňa podmienky na registráciu skupiny z úradnej moci</w:t>
            </w:r>
            <w:r>
              <w:rPr>
                <w:iCs/>
                <w:sz w:val="20"/>
              </w:rPr>
              <w:t xml:space="preserve"> podľa § 4c ods. 8 návrhu zákona označenie ďalšieho člena.</w:t>
            </w:r>
          </w:p>
          <w:p w14:paraId="50C3FDCB" w14:textId="77777777" w:rsidR="00746D3C" w:rsidRDefault="00746D3C" w:rsidP="007B3372">
            <w:pPr>
              <w:pStyle w:val="Zkladntext1"/>
              <w:jc w:val="both"/>
              <w:rPr>
                <w:iCs/>
                <w:sz w:val="20"/>
              </w:rPr>
            </w:pPr>
            <w:r>
              <w:rPr>
                <w:iCs/>
                <w:sz w:val="20"/>
              </w:rPr>
              <w:t>V konaní o žiadosti o zmenu registrácie skupiny (člen skupiny prestane spĺňať podmienky podľa § 4a) podľa § 4c ods. 9 návrhu zákona označenie člena.</w:t>
            </w:r>
          </w:p>
          <w:p w14:paraId="09EC46CA" w14:textId="77777777" w:rsidR="00746D3C" w:rsidRDefault="00746D3C" w:rsidP="007B3372">
            <w:pPr>
              <w:pStyle w:val="Zkladntext1"/>
              <w:jc w:val="both"/>
              <w:rPr>
                <w:iCs/>
                <w:sz w:val="20"/>
              </w:rPr>
            </w:pPr>
            <w:r>
              <w:rPr>
                <w:iCs/>
                <w:sz w:val="20"/>
              </w:rPr>
              <w:t xml:space="preserve">V konaní o </w:t>
            </w:r>
            <w:r w:rsidRPr="00E346EB">
              <w:rPr>
                <w:iCs/>
                <w:sz w:val="20"/>
              </w:rPr>
              <w:t>žiados</w:t>
            </w:r>
            <w:r>
              <w:rPr>
                <w:iCs/>
                <w:sz w:val="20"/>
              </w:rPr>
              <w:t>ti</w:t>
            </w:r>
            <w:r w:rsidRPr="00E346EB">
              <w:rPr>
                <w:iCs/>
                <w:sz w:val="20"/>
              </w:rPr>
              <w:t xml:space="preserve"> o zmenu registrácie skupiny</w:t>
            </w:r>
            <w:r>
              <w:rPr>
                <w:iCs/>
                <w:sz w:val="20"/>
              </w:rPr>
              <w:t>,</w:t>
            </w:r>
            <w:r w:rsidRPr="00E346EB">
              <w:rPr>
                <w:iCs/>
                <w:sz w:val="20"/>
              </w:rPr>
              <w:t xml:space="preserve"> </w:t>
            </w:r>
            <w:r>
              <w:rPr>
                <w:iCs/>
                <w:sz w:val="20"/>
              </w:rPr>
              <w:t>a</w:t>
            </w:r>
            <w:r w:rsidRPr="00E346EB">
              <w:rPr>
                <w:iCs/>
                <w:sz w:val="20"/>
              </w:rPr>
              <w:t>k niektorý z členov skupiny zanikne bez likvidácie a na právneho nástupcu prechádza majetok zanikajúceho člena skupiny</w:t>
            </w:r>
            <w:r>
              <w:rPr>
                <w:iCs/>
                <w:sz w:val="20"/>
              </w:rPr>
              <w:t xml:space="preserve"> podľa § 4c ods. 10 návrhu zákona označenie člena.</w:t>
            </w:r>
          </w:p>
          <w:p w14:paraId="48647864" w14:textId="77777777" w:rsidR="00746D3C" w:rsidRDefault="00746D3C" w:rsidP="007B3372">
            <w:pPr>
              <w:pStyle w:val="Zkladntext1"/>
              <w:jc w:val="both"/>
              <w:rPr>
                <w:iCs/>
                <w:sz w:val="20"/>
              </w:rPr>
            </w:pPr>
            <w:r>
              <w:rPr>
                <w:iCs/>
                <w:sz w:val="20"/>
              </w:rPr>
              <w:t xml:space="preserve">Konanie o </w:t>
            </w:r>
            <w:r w:rsidRPr="00E346EB">
              <w:rPr>
                <w:iCs/>
                <w:sz w:val="20"/>
              </w:rPr>
              <w:t>žiados</w:t>
            </w:r>
            <w:r>
              <w:rPr>
                <w:iCs/>
                <w:sz w:val="20"/>
              </w:rPr>
              <w:t>ti</w:t>
            </w:r>
            <w:r w:rsidRPr="00E346EB">
              <w:rPr>
                <w:iCs/>
                <w:sz w:val="20"/>
              </w:rPr>
              <w:t xml:space="preserve"> o </w:t>
            </w:r>
            <w:r w:rsidRPr="009B12DC">
              <w:rPr>
                <w:iCs/>
                <w:sz w:val="20"/>
              </w:rPr>
              <w:t xml:space="preserve">zmenu registrácie skupiny, ak niektorý z členov skupiny, </w:t>
            </w:r>
            <w:r w:rsidRPr="009B12DC">
              <w:rPr>
                <w:sz w:val="20"/>
              </w:rPr>
              <w:t>ktorý zanikol bez likvidácie</w:t>
            </w:r>
            <w:r>
              <w:rPr>
                <w:sz w:val="20"/>
              </w:rPr>
              <w:t xml:space="preserve"> (§ 4c ods. 11 návrhu zákona)</w:t>
            </w:r>
            <w:r w:rsidRPr="009B12DC">
              <w:rPr>
                <w:sz w:val="20"/>
              </w:rPr>
              <w:t>, nemá právneho nástupcu</w:t>
            </w:r>
            <w:r w:rsidRPr="009B12DC">
              <w:rPr>
                <w:iCs/>
                <w:sz w:val="20"/>
              </w:rPr>
              <w:t xml:space="preserve"> podľa § 4c ods. 10 návrhu zákona</w:t>
            </w:r>
            <w:r>
              <w:rPr>
                <w:iCs/>
                <w:sz w:val="20"/>
              </w:rPr>
              <w:t xml:space="preserve"> označenie člena.</w:t>
            </w:r>
          </w:p>
          <w:p w14:paraId="516B7955" w14:textId="77777777" w:rsidR="00746D3C" w:rsidRDefault="00746D3C" w:rsidP="007B3372">
            <w:pPr>
              <w:pStyle w:val="Zkladntext1"/>
              <w:jc w:val="both"/>
              <w:rPr>
                <w:iCs/>
                <w:sz w:val="20"/>
              </w:rPr>
            </w:pPr>
          </w:p>
          <w:p w14:paraId="231A8607" w14:textId="77777777" w:rsidR="00746D3C" w:rsidRDefault="00746D3C" w:rsidP="007B3372">
            <w:pPr>
              <w:pStyle w:val="Zkladntext1"/>
              <w:jc w:val="both"/>
              <w:rPr>
                <w:iCs/>
                <w:sz w:val="20"/>
              </w:rPr>
            </w:pPr>
            <w:r>
              <w:rPr>
                <w:iCs/>
                <w:sz w:val="20"/>
              </w:rPr>
              <w:t xml:space="preserve">Podľa § 76a ods. </w:t>
            </w:r>
            <w:r w:rsidRPr="009408B3">
              <w:rPr>
                <w:iCs/>
                <w:sz w:val="20"/>
              </w:rPr>
              <w:t>4</w:t>
            </w:r>
            <w:r>
              <w:rPr>
                <w:iCs/>
                <w:sz w:val="20"/>
              </w:rPr>
              <w:t xml:space="preserve"> p</w:t>
            </w:r>
            <w:r w:rsidRPr="009408B3">
              <w:rPr>
                <w:iCs/>
                <w:sz w:val="20"/>
              </w:rPr>
              <w:t>odmienka všeobecnej akceptácie a rozšírenia podľa odseku 3 je splnená, ak je európsky doručovací štandard dostupný a používaný pre doručovaciu službu najmenej v polovici členských štátov a ak sa na činnosti osoby spravujúcej tento štandard podieľajú aj orgány verejnej moci najmenej polovice členských štátov.</w:t>
            </w:r>
          </w:p>
          <w:p w14:paraId="4B946D58" w14:textId="77777777" w:rsidR="00746D3C" w:rsidRDefault="00746D3C" w:rsidP="007B3372">
            <w:pPr>
              <w:pStyle w:val="Zkladntext1"/>
              <w:jc w:val="both"/>
              <w:rPr>
                <w:iCs/>
                <w:sz w:val="20"/>
              </w:rPr>
            </w:pPr>
          </w:p>
          <w:p w14:paraId="1833A8A8" w14:textId="77777777" w:rsidR="00746D3C" w:rsidRPr="00873542" w:rsidRDefault="00746D3C" w:rsidP="007B3372">
            <w:pPr>
              <w:pStyle w:val="Zkladntext1"/>
              <w:jc w:val="both"/>
              <w:rPr>
                <w:iCs/>
                <w:sz w:val="20"/>
              </w:rPr>
            </w:pPr>
            <w:r>
              <w:rPr>
                <w:iCs/>
                <w:sz w:val="20"/>
              </w:rPr>
              <w:t xml:space="preserve">Podľa § 76a ods. 8 návrhu zákona </w:t>
            </w:r>
            <w:r w:rsidRPr="00873542">
              <w:rPr>
                <w:iCs/>
                <w:sz w:val="20"/>
              </w:rPr>
              <w:t xml:space="preserve">Finančné riaditeľstvo zapíše ako certifikovaného poskytovateľa doručovacej služby osobu, ktorá podala žiadosť o zápis do evidencie podľa odseku 5, a to do </w:t>
            </w:r>
            <w:r>
              <w:rPr>
                <w:iCs/>
                <w:sz w:val="20"/>
              </w:rPr>
              <w:t>30</w:t>
            </w:r>
            <w:r w:rsidRPr="00873542">
              <w:rPr>
                <w:iCs/>
                <w:sz w:val="20"/>
              </w:rPr>
              <w:t xml:space="preserve"> dní odo dňa podania žiadosti, ak</w:t>
            </w:r>
          </w:p>
          <w:p w14:paraId="10D9E6C9" w14:textId="77777777" w:rsidR="00746D3C" w:rsidRPr="00873542" w:rsidRDefault="00746D3C" w:rsidP="007B3372">
            <w:pPr>
              <w:pStyle w:val="Zkladntext1"/>
              <w:jc w:val="both"/>
              <w:rPr>
                <w:iCs/>
                <w:sz w:val="20"/>
              </w:rPr>
            </w:pPr>
            <w:r w:rsidRPr="00873542">
              <w:rPr>
                <w:iCs/>
                <w:sz w:val="20"/>
              </w:rPr>
              <w:t>a)</w:t>
            </w:r>
            <w:r>
              <w:rPr>
                <w:iCs/>
                <w:sz w:val="20"/>
              </w:rPr>
              <w:t xml:space="preserve"> </w:t>
            </w:r>
            <w:r w:rsidRPr="00873542">
              <w:rPr>
                <w:iCs/>
                <w:sz w:val="20"/>
              </w:rPr>
              <w:t>má sídlo alebo miesto podnikania v členskom štáte,</w:t>
            </w:r>
          </w:p>
          <w:p w14:paraId="127777E0" w14:textId="77777777" w:rsidR="00746D3C" w:rsidRPr="00873542" w:rsidRDefault="00746D3C" w:rsidP="007B3372">
            <w:pPr>
              <w:pStyle w:val="Zkladntext1"/>
              <w:jc w:val="both"/>
              <w:rPr>
                <w:iCs/>
                <w:sz w:val="20"/>
              </w:rPr>
            </w:pPr>
            <w:r w:rsidRPr="00873542">
              <w:rPr>
                <w:iCs/>
                <w:sz w:val="20"/>
              </w:rPr>
              <w:t>b)</w:t>
            </w:r>
            <w:r>
              <w:rPr>
                <w:iCs/>
                <w:sz w:val="20"/>
              </w:rPr>
              <w:t xml:space="preserve"> </w:t>
            </w:r>
            <w:r w:rsidRPr="00873542">
              <w:rPr>
                <w:iCs/>
                <w:sz w:val="20"/>
              </w:rPr>
              <w:t xml:space="preserve">je bezúhonná a </w:t>
            </w:r>
            <w:r>
              <w:rPr>
                <w:iCs/>
                <w:sz w:val="20"/>
              </w:rPr>
              <w:t>jej</w:t>
            </w:r>
            <w:r w:rsidRPr="00873542">
              <w:rPr>
                <w:iCs/>
                <w:sz w:val="20"/>
              </w:rPr>
              <w:t xml:space="preserve"> štatutárny orgán alebo člen štatutárneho orgánu </w:t>
            </w:r>
            <w:r>
              <w:rPr>
                <w:iCs/>
                <w:sz w:val="20"/>
              </w:rPr>
              <w:t>je</w:t>
            </w:r>
            <w:r w:rsidRPr="00873542">
              <w:rPr>
                <w:iCs/>
                <w:sz w:val="20"/>
              </w:rPr>
              <w:t xml:space="preserve"> bezúhonn</w:t>
            </w:r>
            <w:r>
              <w:rPr>
                <w:iCs/>
                <w:sz w:val="20"/>
              </w:rPr>
              <w:t>ý</w:t>
            </w:r>
            <w:r w:rsidRPr="00873542">
              <w:rPr>
                <w:iCs/>
                <w:sz w:val="20"/>
              </w:rPr>
              <w:t>; za bezúhonného sa na účely tohto zákona nepovažuje ten, kto bol právoplatne odsúdený za úmyselný trestný čin,</w:t>
            </w:r>
          </w:p>
          <w:p w14:paraId="0C3E9176" w14:textId="77777777" w:rsidR="00746D3C" w:rsidRPr="00873542" w:rsidRDefault="00746D3C" w:rsidP="007B3372">
            <w:pPr>
              <w:pStyle w:val="Zkladntext1"/>
              <w:jc w:val="both"/>
              <w:rPr>
                <w:iCs/>
                <w:sz w:val="20"/>
              </w:rPr>
            </w:pPr>
            <w:r w:rsidRPr="00873542">
              <w:rPr>
                <w:iCs/>
                <w:sz w:val="20"/>
              </w:rPr>
              <w:t>c)</w:t>
            </w:r>
            <w:r>
              <w:rPr>
                <w:iCs/>
                <w:sz w:val="20"/>
              </w:rPr>
              <w:t xml:space="preserve"> </w:t>
            </w:r>
            <w:r w:rsidRPr="00873542">
              <w:rPr>
                <w:iCs/>
                <w:sz w:val="20"/>
              </w:rPr>
              <w:t>preukáže splnenie podmienok podľa odseku 2,</w:t>
            </w:r>
          </w:p>
          <w:p w14:paraId="575F2179" w14:textId="77777777" w:rsidR="00746D3C" w:rsidRDefault="00746D3C" w:rsidP="007B3372">
            <w:pPr>
              <w:pStyle w:val="Zkladntext1"/>
              <w:jc w:val="both"/>
              <w:rPr>
                <w:iCs/>
                <w:sz w:val="20"/>
              </w:rPr>
            </w:pPr>
            <w:r w:rsidRPr="00873542">
              <w:rPr>
                <w:iCs/>
                <w:sz w:val="20"/>
              </w:rPr>
              <w:t>d)</w:t>
            </w:r>
            <w:r>
              <w:rPr>
                <w:iCs/>
                <w:sz w:val="20"/>
              </w:rPr>
              <w:t xml:space="preserve"> </w:t>
            </w:r>
            <w:r w:rsidRPr="00873542">
              <w:rPr>
                <w:iCs/>
                <w:sz w:val="20"/>
              </w:rPr>
              <w:t>preukáže oprávnenie poskytovať doručovaciu službu v súlade s podmienkami európskeho doručovacieho štandardu a s použitím nástrojov a postupov podľa tohto štandardu.</w:t>
            </w:r>
          </w:p>
          <w:p w14:paraId="77941557" w14:textId="77777777" w:rsidR="00746D3C" w:rsidRPr="000770DC" w:rsidRDefault="00746D3C" w:rsidP="007B3372">
            <w:pPr>
              <w:pStyle w:val="Zkladntext1"/>
              <w:jc w:val="both"/>
              <w:rPr>
                <w:iCs/>
                <w:sz w:val="20"/>
              </w:rPr>
            </w:pPr>
            <w:r>
              <w:rPr>
                <w:iCs/>
                <w:sz w:val="20"/>
              </w:rPr>
              <w:t>Podľa § 76a ods. 9 návrhu zákona sú s</w:t>
            </w:r>
            <w:r w:rsidRPr="000770DC">
              <w:rPr>
                <w:iCs/>
                <w:sz w:val="20"/>
              </w:rPr>
              <w:t>účasťou žiadosti podľa odseku 8 doklady preukazujúce splnenie podmienok podľa odseku 8 písm. a), c) a d). Na účel preukázania bezúhonnosti podľa odseku 8 písm. b) poskytne osoba</w:t>
            </w:r>
          </w:p>
          <w:p w14:paraId="0703AA83" w14:textId="77777777" w:rsidR="00746D3C" w:rsidRPr="000770DC" w:rsidRDefault="00746D3C" w:rsidP="007B3372">
            <w:pPr>
              <w:pStyle w:val="Zkladntext1"/>
              <w:jc w:val="both"/>
              <w:rPr>
                <w:iCs/>
                <w:sz w:val="20"/>
              </w:rPr>
            </w:pPr>
            <w:r w:rsidRPr="000770DC">
              <w:rPr>
                <w:iCs/>
                <w:sz w:val="20"/>
              </w:rPr>
              <w:t>a)</w:t>
            </w:r>
            <w:r>
              <w:rPr>
                <w:iCs/>
                <w:sz w:val="20"/>
              </w:rPr>
              <w:t xml:space="preserve"> </w:t>
            </w:r>
            <w:r w:rsidRPr="000770DC">
              <w:rPr>
                <w:iCs/>
                <w:sz w:val="20"/>
              </w:rPr>
              <w:t>údaje potrebné na vyžiadanie výpisu z registra trestov,</w:t>
            </w:r>
            <w:r w:rsidRPr="004A1FC6">
              <w:rPr>
                <w:iCs/>
                <w:sz w:val="20"/>
                <w:vertAlign w:val="superscript"/>
              </w:rPr>
              <w:t>29aac</w:t>
            </w:r>
            <w:r w:rsidRPr="000770DC">
              <w:rPr>
                <w:iCs/>
                <w:sz w:val="20"/>
              </w:rPr>
              <w:t>) ktoré finančné riaditeľstvo bezodkladne zašle v elektronickej podobe prostredníctvom elektronickej komunikácie Generálnej prokuratúre Slovenskej republiky na vydanie výpisu z registra trestov, alebo</w:t>
            </w:r>
          </w:p>
          <w:p w14:paraId="32B11977" w14:textId="77777777" w:rsidR="00746D3C" w:rsidRDefault="00746D3C" w:rsidP="007B3372">
            <w:pPr>
              <w:pStyle w:val="Zkladntext1"/>
              <w:jc w:val="both"/>
              <w:rPr>
                <w:iCs/>
                <w:sz w:val="20"/>
              </w:rPr>
            </w:pPr>
            <w:r w:rsidRPr="000770DC">
              <w:rPr>
                <w:iCs/>
                <w:sz w:val="20"/>
              </w:rPr>
              <w:t>b)</w:t>
            </w:r>
            <w:r>
              <w:rPr>
                <w:iCs/>
                <w:sz w:val="20"/>
              </w:rPr>
              <w:t xml:space="preserve"> </w:t>
            </w:r>
            <w:r w:rsidRPr="000770DC">
              <w:rPr>
                <w:iCs/>
                <w:sz w:val="20"/>
              </w:rPr>
              <w:t xml:space="preserve">iný rovnocenný doklad výpisu z registra </w:t>
            </w:r>
            <w:r w:rsidRPr="000770DC">
              <w:rPr>
                <w:iCs/>
                <w:sz w:val="20"/>
              </w:rPr>
              <w:lastRenderedPageBreak/>
              <w:t>trestov vydaný príslušným orgánom členského štátu, v ktorom má táto osoba sídlo alebo miesto podnikania, ak ide o zahraničnú osobu.</w:t>
            </w:r>
          </w:p>
          <w:p w14:paraId="4F2AB4B5" w14:textId="77777777" w:rsidR="00746D3C" w:rsidRDefault="00746D3C" w:rsidP="007B3372">
            <w:pPr>
              <w:pStyle w:val="Zkladntext1"/>
              <w:jc w:val="both"/>
              <w:rPr>
                <w:iCs/>
                <w:sz w:val="20"/>
              </w:rPr>
            </w:pPr>
          </w:p>
          <w:p w14:paraId="346372B9" w14:textId="77777777" w:rsidR="00746D3C" w:rsidRPr="004D4211" w:rsidRDefault="00746D3C" w:rsidP="007B3372">
            <w:pPr>
              <w:pStyle w:val="Zkladntext1"/>
              <w:jc w:val="both"/>
              <w:rPr>
                <w:iCs/>
                <w:sz w:val="20"/>
              </w:rPr>
            </w:pPr>
            <w:r>
              <w:rPr>
                <w:iCs/>
                <w:sz w:val="20"/>
              </w:rPr>
              <w:t>Podľa § 85n ods. 18 návrhu zákona sa n</w:t>
            </w:r>
            <w:r w:rsidRPr="004D4211">
              <w:rPr>
                <w:iCs/>
                <w:sz w:val="20"/>
              </w:rPr>
              <w:t xml:space="preserve">a zápis osoby ako certifikovaného poskytovateľa doručovacej služby do evidencie vedenej finančným riaditeľstvom podľa § 76a ods. 5 </w:t>
            </w:r>
          </w:p>
          <w:p w14:paraId="6634FD6B" w14:textId="77777777" w:rsidR="00746D3C" w:rsidRPr="008B7BAE" w:rsidRDefault="00746D3C" w:rsidP="007B3372">
            <w:pPr>
              <w:pStyle w:val="Zkladntext1"/>
              <w:jc w:val="both"/>
              <w:rPr>
                <w:iCs/>
                <w:sz w:val="20"/>
              </w:rPr>
            </w:pPr>
            <w:r w:rsidRPr="008B7BAE">
              <w:rPr>
                <w:iCs/>
                <w:sz w:val="20"/>
              </w:rPr>
              <w:t>a)</w:t>
            </w:r>
            <w:r>
              <w:rPr>
                <w:iCs/>
                <w:sz w:val="20"/>
              </w:rPr>
              <w:t xml:space="preserve"> </w:t>
            </w:r>
            <w:r w:rsidRPr="008B7BAE">
              <w:rPr>
                <w:iCs/>
                <w:sz w:val="20"/>
              </w:rPr>
              <w:t>v roku 2026 nevyžaduje preukázanie splnenia podmienky podľa § 76a ods. 2 písm. e) v rozsahu podľa odsekov 9 až 11,</w:t>
            </w:r>
          </w:p>
          <w:p w14:paraId="19EAE663" w14:textId="77777777" w:rsidR="00746D3C" w:rsidRDefault="00746D3C" w:rsidP="007B3372">
            <w:pPr>
              <w:pStyle w:val="Zkladntext1"/>
              <w:jc w:val="both"/>
              <w:rPr>
                <w:iCs/>
                <w:sz w:val="20"/>
              </w:rPr>
            </w:pPr>
            <w:r w:rsidRPr="008B7BAE">
              <w:rPr>
                <w:iCs/>
                <w:sz w:val="20"/>
              </w:rPr>
              <w:t>b)</w:t>
            </w:r>
            <w:r>
              <w:rPr>
                <w:iCs/>
                <w:sz w:val="20"/>
              </w:rPr>
              <w:t xml:space="preserve"> </w:t>
            </w:r>
            <w:r w:rsidRPr="008B7BAE">
              <w:rPr>
                <w:iCs/>
                <w:sz w:val="20"/>
              </w:rPr>
              <w:t>do 30. júna 2030 vrátane nevyžaduje preukázanie splnenia podmienky podľa § 76a ods. 2 písm. e) v rozsahu podľa § 80 a 80av znení účinnom od 1. júla 2030.</w:t>
            </w:r>
          </w:p>
          <w:p w14:paraId="639528BF" w14:textId="77777777" w:rsidR="00746D3C" w:rsidRDefault="00746D3C" w:rsidP="007B3372">
            <w:pPr>
              <w:pStyle w:val="Zkladntext1"/>
              <w:jc w:val="both"/>
              <w:rPr>
                <w:iCs/>
                <w:sz w:val="20"/>
              </w:rPr>
            </w:pPr>
            <w:r>
              <w:rPr>
                <w:iCs/>
                <w:sz w:val="20"/>
              </w:rPr>
              <w:t>Podľa § 76a ods. 20 návrhu zákona sa u</w:t>
            </w:r>
            <w:r w:rsidRPr="008B7BAE">
              <w:rPr>
                <w:iCs/>
                <w:sz w:val="20"/>
              </w:rPr>
              <w:t>stanovenie § 76a ods. 2 písm. e) neuplatňuje vo vzťahu k § 80 v znení účinnom do 30. júna 2030.</w:t>
            </w:r>
          </w:p>
          <w:p w14:paraId="6C491DD9" w14:textId="77777777" w:rsidR="00746D3C" w:rsidRDefault="00746D3C" w:rsidP="007B3372">
            <w:pPr>
              <w:pStyle w:val="Zkladntext1"/>
              <w:jc w:val="both"/>
              <w:rPr>
                <w:iCs/>
                <w:sz w:val="20"/>
              </w:rPr>
            </w:pPr>
          </w:p>
          <w:p w14:paraId="4C0AEE57" w14:textId="77777777" w:rsidR="00746D3C" w:rsidRPr="005C4B9C" w:rsidRDefault="00746D3C" w:rsidP="007B3372">
            <w:pPr>
              <w:pStyle w:val="Zkladntext1"/>
              <w:jc w:val="both"/>
              <w:rPr>
                <w:i/>
                <w:iCs/>
                <w:szCs w:val="24"/>
              </w:rPr>
            </w:pPr>
            <w:r>
              <w:rPr>
                <w:iCs/>
                <w:sz w:val="20"/>
              </w:rPr>
              <w:t>Konanie o zrušení registrácie skupiny podľa § 81a zákona o DPH sa obsahovo nemení.</w:t>
            </w:r>
          </w:p>
        </w:tc>
      </w:tr>
      <w:tr w:rsidR="00746D3C" w:rsidRPr="005C4B9C" w14:paraId="66FBC335" w14:textId="77777777" w:rsidTr="007B3372">
        <w:trPr>
          <w:trHeight w:val="20"/>
          <w:jc w:val="center"/>
        </w:trPr>
        <w:tc>
          <w:tcPr>
            <w:tcW w:w="3956" w:type="dxa"/>
          </w:tcPr>
          <w:p w14:paraId="233D3F31" w14:textId="77777777" w:rsidR="00746D3C" w:rsidRPr="005C4B9C" w:rsidRDefault="00746D3C" w:rsidP="007B3372">
            <w:pPr>
              <w:jc w:val="both"/>
              <w:rPr>
                <w:b/>
                <w:szCs w:val="22"/>
              </w:rPr>
            </w:pPr>
            <w:r>
              <w:rPr>
                <w:b/>
                <w:szCs w:val="22"/>
              </w:rPr>
              <w:lastRenderedPageBreak/>
              <w:t xml:space="preserve">6.5.2. </w:t>
            </w:r>
            <w:r w:rsidRPr="00F14E8D">
              <w:rPr>
                <w:bCs/>
                <w:szCs w:val="22"/>
              </w:rPr>
              <w:t xml:space="preserve">Predpokladá predložený návrh, aby </w:t>
            </w:r>
            <w:r>
              <w:rPr>
                <w:bCs/>
                <w:szCs w:val="22"/>
              </w:rPr>
              <w:t>sa</w:t>
            </w:r>
            <w:r w:rsidRPr="00F14E8D">
              <w:rPr>
                <w:bCs/>
                <w:szCs w:val="22"/>
              </w:rPr>
              <w:t xml:space="preserve"> predkladal</w:t>
            </w:r>
            <w:r>
              <w:rPr>
                <w:bCs/>
                <w:szCs w:val="22"/>
              </w:rPr>
              <w:t>i</w:t>
            </w:r>
            <w:r w:rsidRPr="00F14E8D">
              <w:rPr>
                <w:bCs/>
                <w:szCs w:val="22"/>
              </w:rPr>
              <w:t xml:space="preserve"> údaje, ktoré sa nachádzajú v zákonom ustanovenej evidencii</w:t>
            </w:r>
            <w:r>
              <w:rPr>
                <w:bCs/>
                <w:szCs w:val="22"/>
              </w:rPr>
              <w:t xml:space="preserve"> vedenej orgánom, ktorý konanie vedie alebo iným orgánom</w:t>
            </w:r>
            <w:r w:rsidRPr="00F14E8D">
              <w:rPr>
                <w:bCs/>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140C01EA" w14:textId="77777777" w:rsidTr="007B3372">
              <w:sdt>
                <w:sdtPr>
                  <w:id w:val="450372319"/>
                  <w14:checkbox>
                    <w14:checked w14:val="1"/>
                    <w14:checkedState w14:val="2612" w14:font="MS Gothic"/>
                    <w14:uncheckedState w14:val="2610" w14:font="MS Gothic"/>
                  </w14:checkbox>
                </w:sdtPr>
                <w:sdtEndPr/>
                <w:sdtContent>
                  <w:tc>
                    <w:tcPr>
                      <w:tcW w:w="436" w:type="dxa"/>
                    </w:tcPr>
                    <w:p w14:paraId="7FAE0401"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51DC85F6" w14:textId="77777777" w:rsidR="00746D3C" w:rsidRPr="00F04CCD" w:rsidRDefault="00746D3C" w:rsidP="007B3372">
                  <w:pPr>
                    <w:rPr>
                      <w:b/>
                    </w:rPr>
                  </w:pPr>
                  <w:r>
                    <w:rPr>
                      <w:b/>
                    </w:rPr>
                    <w:t>Áno</w:t>
                  </w:r>
                </w:p>
              </w:tc>
            </w:tr>
            <w:tr w:rsidR="00746D3C" w:rsidRPr="00F04CCD" w14:paraId="4B777B9A" w14:textId="77777777" w:rsidTr="007B3372">
              <w:sdt>
                <w:sdtPr>
                  <w:id w:val="617261598"/>
                  <w14:checkbox>
                    <w14:checked w14:val="0"/>
                    <w14:checkedState w14:val="2612" w14:font="MS Gothic"/>
                    <w14:uncheckedState w14:val="2610" w14:font="MS Gothic"/>
                  </w14:checkbox>
                </w:sdtPr>
                <w:sdtEndPr/>
                <w:sdtContent>
                  <w:tc>
                    <w:tcPr>
                      <w:tcW w:w="436" w:type="dxa"/>
                    </w:tcPr>
                    <w:p w14:paraId="2BB235CA"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6EC660AB" w14:textId="77777777" w:rsidR="00746D3C" w:rsidRPr="00F04CCD" w:rsidRDefault="00746D3C" w:rsidP="007B3372">
                  <w:pPr>
                    <w:rPr>
                      <w:b/>
                    </w:rPr>
                  </w:pPr>
                  <w:r>
                    <w:rPr>
                      <w:b/>
                    </w:rPr>
                    <w:t>Nie</w:t>
                  </w:r>
                </w:p>
              </w:tc>
            </w:tr>
          </w:tbl>
          <w:p w14:paraId="41CDA9F9" w14:textId="77777777" w:rsidR="00746D3C" w:rsidRPr="00FA16FE" w:rsidRDefault="00746D3C" w:rsidP="007B3372"/>
        </w:tc>
        <w:tc>
          <w:tcPr>
            <w:tcW w:w="3969" w:type="dxa"/>
            <w:gridSpan w:val="4"/>
          </w:tcPr>
          <w:p w14:paraId="09FE85EF" w14:textId="77777777" w:rsidR="00746D3C" w:rsidRDefault="00746D3C" w:rsidP="007B3372">
            <w:pPr>
              <w:jc w:val="both"/>
            </w:pPr>
            <w:r w:rsidRPr="00F14E8D">
              <w:rPr>
                <w:szCs w:val="22"/>
              </w:rPr>
              <w:t>Register právnických osôb, podnikateľov a orgánov verejnej moci podľa zákona</w:t>
            </w:r>
            <w:r>
              <w:rPr>
                <w:szCs w:val="22"/>
              </w:rPr>
              <w:t xml:space="preserve">                 </w:t>
            </w:r>
            <w:r w:rsidRPr="00F14E8D">
              <w:rPr>
                <w:szCs w:val="22"/>
              </w:rPr>
              <w:t xml:space="preserve"> č. 272/</w:t>
            </w:r>
            <w:r w:rsidRPr="00FB6591">
              <w:t>2015 Z. z.</w:t>
            </w:r>
            <w:r w:rsidRPr="006012B8">
              <w:t xml:space="preserve"> o registri právnických osôb, podnikateľov a orgánov verejnej moci a o zmene a doplnení niektorých zákonov</w:t>
            </w:r>
            <w:r w:rsidRPr="00463DC0">
              <w:t xml:space="preserve"> v znení neskorších predpisov</w:t>
            </w:r>
            <w:r w:rsidRPr="00F14E8D">
              <w:rPr>
                <w:szCs w:val="22"/>
              </w:rPr>
              <w:t>.</w:t>
            </w:r>
            <w:r>
              <w:t xml:space="preserve"> </w:t>
            </w:r>
          </w:p>
          <w:p w14:paraId="0464D873" w14:textId="77777777" w:rsidR="00746D3C" w:rsidRDefault="00746D3C" w:rsidP="007B3372">
            <w:pPr>
              <w:jc w:val="both"/>
            </w:pPr>
          </w:p>
          <w:p w14:paraId="2BD07737" w14:textId="77777777" w:rsidR="00746D3C" w:rsidRPr="003B0BA7" w:rsidRDefault="00746D3C" w:rsidP="007B3372">
            <w:pPr>
              <w:jc w:val="both"/>
              <w:rPr>
                <w:szCs w:val="22"/>
              </w:rPr>
            </w:pPr>
            <w:r>
              <w:rPr>
                <w:szCs w:val="22"/>
              </w:rPr>
              <w:t>Podľa § 76a ods. 9 návrhu zákona n</w:t>
            </w:r>
            <w:r w:rsidRPr="003B0BA7">
              <w:rPr>
                <w:szCs w:val="22"/>
              </w:rPr>
              <w:t xml:space="preserve">a účel preukázania bezúhonnosti podľa odseku </w:t>
            </w:r>
            <w:r>
              <w:rPr>
                <w:szCs w:val="22"/>
              </w:rPr>
              <w:t>8</w:t>
            </w:r>
            <w:r w:rsidRPr="003B0BA7">
              <w:rPr>
                <w:szCs w:val="22"/>
              </w:rPr>
              <w:t xml:space="preserve"> písm. b) poskytne fyzická alebo právnická osoba</w:t>
            </w:r>
          </w:p>
          <w:p w14:paraId="777A3EBC" w14:textId="77777777" w:rsidR="00746D3C" w:rsidRPr="003B0BA7" w:rsidRDefault="00746D3C" w:rsidP="007B3372">
            <w:pPr>
              <w:jc w:val="both"/>
              <w:rPr>
                <w:szCs w:val="22"/>
              </w:rPr>
            </w:pPr>
            <w:r w:rsidRPr="003B0BA7">
              <w:rPr>
                <w:szCs w:val="22"/>
              </w:rPr>
              <w:t>a)</w:t>
            </w:r>
            <w:r>
              <w:rPr>
                <w:szCs w:val="22"/>
              </w:rPr>
              <w:t xml:space="preserve"> </w:t>
            </w:r>
            <w:r w:rsidRPr="003B0BA7">
              <w:rPr>
                <w:szCs w:val="22"/>
              </w:rPr>
              <w:t>údaje potrebné na vyžiadanie výpisu z registra trestov,</w:t>
            </w:r>
            <w:r w:rsidRPr="004E39E7">
              <w:rPr>
                <w:szCs w:val="22"/>
                <w:vertAlign w:val="superscript"/>
              </w:rPr>
              <w:t>29aac</w:t>
            </w:r>
            <w:r w:rsidRPr="003B0BA7">
              <w:rPr>
                <w:szCs w:val="22"/>
              </w:rPr>
              <w:t>) ktoré finančné riaditeľstvo bezodkladne zašle v elektronickej podobe prostredníctvom elektronickej komunikácie Generálnej prokuratúre Slovenskej republiky na vydanie výpisu z registra trestov, alebo</w:t>
            </w:r>
          </w:p>
          <w:p w14:paraId="27C5B69F" w14:textId="77777777" w:rsidR="00746D3C" w:rsidRPr="005C4B9C" w:rsidRDefault="00746D3C" w:rsidP="007B3372">
            <w:pPr>
              <w:jc w:val="both"/>
              <w:rPr>
                <w:i/>
                <w:iCs/>
              </w:rPr>
            </w:pPr>
            <w:r w:rsidRPr="003B0BA7">
              <w:rPr>
                <w:szCs w:val="22"/>
              </w:rPr>
              <w:t>b)</w:t>
            </w:r>
            <w:r>
              <w:rPr>
                <w:szCs w:val="22"/>
              </w:rPr>
              <w:t xml:space="preserve"> </w:t>
            </w:r>
            <w:r w:rsidRPr="00C57219">
              <w:rPr>
                <w:szCs w:val="22"/>
              </w:rPr>
              <w:t>iný rovnocenný doklad výpisu z registra trestov vydaný príslušným orgánom členského štátu, v ktorom má táto fyzická osoba alebo právnická osoba sídlo alebo miesto podnikania, ak ide o zahraničnú osobu</w:t>
            </w:r>
            <w:r w:rsidRPr="003B0BA7">
              <w:rPr>
                <w:szCs w:val="22"/>
              </w:rPr>
              <w:t>.</w:t>
            </w:r>
          </w:p>
        </w:tc>
      </w:tr>
      <w:tr w:rsidR="00746D3C" w:rsidRPr="005C4B9C" w14:paraId="60B8C468" w14:textId="77777777" w:rsidTr="007B3372">
        <w:trPr>
          <w:trHeight w:val="20"/>
          <w:jc w:val="center"/>
        </w:trPr>
        <w:tc>
          <w:tcPr>
            <w:tcW w:w="3956" w:type="dxa"/>
          </w:tcPr>
          <w:p w14:paraId="637CB31A" w14:textId="77777777" w:rsidR="00746D3C" w:rsidRPr="005C4B9C" w:rsidRDefault="00746D3C" w:rsidP="007B3372">
            <w:pPr>
              <w:jc w:val="both"/>
              <w:rPr>
                <w:b/>
                <w:szCs w:val="22"/>
              </w:rPr>
            </w:pPr>
            <w:r>
              <w:rPr>
                <w:b/>
                <w:szCs w:val="22"/>
              </w:rPr>
              <w:t xml:space="preserve">6.5.3. </w:t>
            </w:r>
            <w:r w:rsidRPr="00FA16FE">
              <w:rPr>
                <w:szCs w:val="22"/>
              </w:rPr>
              <w:t>Budú údaje poskytované režimom podľa zákona č. 177/2018 Z.z. v znení neskorších predpisov alebo iným obdobným spôsobom, ktorý zabezpečí, aby si údaje orgán</w:t>
            </w:r>
            <w:r>
              <w:rPr>
                <w:szCs w:val="22"/>
              </w:rPr>
              <w:t>, ktorý konanie vedie,</w:t>
            </w:r>
            <w:r w:rsidRPr="00FA16FE">
              <w:rPr>
                <w:szCs w:val="22"/>
              </w:rPr>
              <w:t xml:space="preserve"> získaval </w:t>
            </w:r>
            <w:r>
              <w:rPr>
                <w:szCs w:val="22"/>
              </w:rPr>
              <w:t>z úradnej moci</w:t>
            </w:r>
            <w:r w:rsidRPr="00FA16FE">
              <w:rPr>
                <w:szCs w:val="22"/>
              </w:rPr>
              <w:t xml:space="preserve"> a nemuseli mu byť predkladané</w:t>
            </w:r>
            <w:r>
              <w:rPr>
                <w:szCs w:val="22"/>
              </w:rPr>
              <w:t xml:space="preserve"> </w:t>
            </w:r>
            <w:r>
              <w:rPr>
                <w:bCs/>
                <w:szCs w:val="22"/>
              </w:rPr>
              <w:t xml:space="preserve">subjektom súkromného práva, </w:t>
            </w:r>
            <w:r w:rsidRPr="001E754E">
              <w:rPr>
                <w:bCs/>
                <w:szCs w:val="22"/>
              </w:rPr>
              <w:t>navrhovateľ</w:t>
            </w:r>
            <w:r>
              <w:rPr>
                <w:bCs/>
                <w:szCs w:val="22"/>
              </w:rPr>
              <w:t xml:space="preserve">om, </w:t>
            </w:r>
            <w:r w:rsidRPr="001E754E">
              <w:rPr>
                <w:bCs/>
                <w:szCs w:val="22"/>
              </w:rPr>
              <w:t>žiadateľ</w:t>
            </w:r>
            <w:r>
              <w:rPr>
                <w:bCs/>
                <w:szCs w:val="22"/>
              </w:rPr>
              <w:t xml:space="preserve">om, </w:t>
            </w:r>
            <w:r>
              <w:rPr>
                <w:bCs/>
                <w:szCs w:val="22"/>
              </w:rPr>
              <w:lastRenderedPageBreak/>
              <w:t>účastníkom konania (ďalej len „účastník konania“)</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4CB24419" w14:textId="77777777" w:rsidTr="007B3372">
              <w:sdt>
                <w:sdtPr>
                  <w:id w:val="-2115887386"/>
                  <w14:checkbox>
                    <w14:checked w14:val="0"/>
                    <w14:checkedState w14:val="2612" w14:font="MS Gothic"/>
                    <w14:uncheckedState w14:val="2610" w14:font="MS Gothic"/>
                  </w14:checkbox>
                </w:sdtPr>
                <w:sdtEndPr/>
                <w:sdtContent>
                  <w:tc>
                    <w:tcPr>
                      <w:tcW w:w="436" w:type="dxa"/>
                    </w:tcPr>
                    <w:p w14:paraId="41EFC709" w14:textId="77777777" w:rsidR="00746D3C" w:rsidRPr="00F04CCD" w:rsidRDefault="00746D3C" w:rsidP="007B3372">
                      <w:pPr>
                        <w:jc w:val="center"/>
                      </w:pPr>
                      <w:r w:rsidRPr="00F04CCD">
                        <w:rPr>
                          <w:rFonts w:ascii="MS Mincho" w:eastAsia="MS Mincho" w:hAnsi="MS Mincho" w:cs="MS Mincho" w:hint="eastAsia"/>
                        </w:rPr>
                        <w:t>☐</w:t>
                      </w:r>
                    </w:p>
                  </w:tc>
                </w:sdtContent>
              </w:sdt>
              <w:tc>
                <w:tcPr>
                  <w:tcW w:w="8545" w:type="dxa"/>
                </w:tcPr>
                <w:p w14:paraId="26B36EE6" w14:textId="77777777" w:rsidR="00746D3C" w:rsidRPr="00F04CCD" w:rsidRDefault="00746D3C" w:rsidP="007B3372">
                  <w:pPr>
                    <w:rPr>
                      <w:b/>
                    </w:rPr>
                  </w:pPr>
                  <w:r>
                    <w:rPr>
                      <w:b/>
                    </w:rPr>
                    <w:t>Áno</w:t>
                  </w:r>
                </w:p>
              </w:tc>
            </w:tr>
            <w:tr w:rsidR="00746D3C" w:rsidRPr="00F04CCD" w14:paraId="2090BFBA" w14:textId="77777777" w:rsidTr="007B3372">
              <w:sdt>
                <w:sdtPr>
                  <w:id w:val="-1730609562"/>
                  <w14:checkbox>
                    <w14:checked w14:val="1"/>
                    <w14:checkedState w14:val="2612" w14:font="MS Gothic"/>
                    <w14:uncheckedState w14:val="2610" w14:font="MS Gothic"/>
                  </w14:checkbox>
                </w:sdtPr>
                <w:sdtEndPr/>
                <w:sdtContent>
                  <w:tc>
                    <w:tcPr>
                      <w:tcW w:w="436" w:type="dxa"/>
                    </w:tcPr>
                    <w:p w14:paraId="6DEB450D"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75C4F8FC" w14:textId="77777777" w:rsidR="00746D3C" w:rsidRPr="00F04CCD" w:rsidRDefault="00746D3C" w:rsidP="007B3372">
                  <w:pPr>
                    <w:rPr>
                      <w:b/>
                    </w:rPr>
                  </w:pPr>
                  <w:r>
                    <w:rPr>
                      <w:b/>
                    </w:rPr>
                    <w:t>Nie</w:t>
                  </w:r>
                </w:p>
              </w:tc>
            </w:tr>
          </w:tbl>
          <w:p w14:paraId="6C1816DD" w14:textId="77777777" w:rsidR="00746D3C" w:rsidRPr="00FA16FE" w:rsidRDefault="00746D3C" w:rsidP="007B3372"/>
        </w:tc>
        <w:tc>
          <w:tcPr>
            <w:tcW w:w="3969" w:type="dxa"/>
            <w:gridSpan w:val="4"/>
          </w:tcPr>
          <w:p w14:paraId="73320362" w14:textId="77777777" w:rsidR="00746D3C" w:rsidRPr="005C4B9C" w:rsidRDefault="00746D3C" w:rsidP="007B3372">
            <w:pPr>
              <w:rPr>
                <w:i/>
                <w:iCs/>
              </w:rPr>
            </w:pPr>
          </w:p>
        </w:tc>
      </w:tr>
      <w:tr w:rsidR="00746D3C" w:rsidRPr="005C4B9C" w14:paraId="35540831" w14:textId="77777777" w:rsidTr="007B3372">
        <w:trPr>
          <w:trHeight w:val="20"/>
          <w:jc w:val="center"/>
        </w:trPr>
        <w:tc>
          <w:tcPr>
            <w:tcW w:w="3956" w:type="dxa"/>
            <w:tcBorders>
              <w:bottom w:val="single" w:sz="4" w:space="0" w:color="auto"/>
            </w:tcBorders>
          </w:tcPr>
          <w:p w14:paraId="2B53A2B9" w14:textId="77777777" w:rsidR="00746D3C" w:rsidRPr="005C4B9C" w:rsidRDefault="00746D3C" w:rsidP="007B3372">
            <w:pPr>
              <w:jc w:val="both"/>
              <w:rPr>
                <w:b/>
                <w:szCs w:val="22"/>
              </w:rPr>
            </w:pPr>
            <w:r>
              <w:rPr>
                <w:b/>
                <w:szCs w:val="22"/>
              </w:rPr>
              <w:t xml:space="preserve">6.5.4. </w:t>
            </w:r>
            <w:r w:rsidRPr="00FC10E0">
              <w:rPr>
                <w:szCs w:val="22"/>
              </w:rPr>
              <w:t xml:space="preserve">Ak </w:t>
            </w:r>
            <w:r>
              <w:rPr>
                <w:szCs w:val="22"/>
              </w:rPr>
              <w:t xml:space="preserve">si orgán, ktorý konanie vedie, údaje nebude získavať z úradnej moci ale mu budú predkladané účastníkom konania, </w:t>
            </w:r>
            <w:r w:rsidRPr="00FC10E0">
              <w:rPr>
                <w:szCs w:val="22"/>
              </w:rPr>
              <w:t xml:space="preserve">je v návrhu upravené prechodné obdobie, po ktorého uplynutí </w:t>
            </w:r>
            <w:r w:rsidRPr="00FA16FE">
              <w:rPr>
                <w:szCs w:val="22"/>
              </w:rPr>
              <w:t>si údaje orgán</w:t>
            </w:r>
            <w:r>
              <w:rPr>
                <w:szCs w:val="22"/>
              </w:rPr>
              <w:t>, ktorý konanie vedie, bude získavať z úradnej moci</w:t>
            </w:r>
            <w:r w:rsidRPr="00FC10E0">
              <w:rPr>
                <w:szCs w:val="22"/>
              </w:rPr>
              <w:t>?</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2F1CE346" w14:textId="77777777" w:rsidTr="007B3372">
              <w:sdt>
                <w:sdtPr>
                  <w:id w:val="2088412960"/>
                  <w14:checkbox>
                    <w14:checked w14:val="0"/>
                    <w14:checkedState w14:val="2612" w14:font="MS Gothic"/>
                    <w14:uncheckedState w14:val="2610" w14:font="MS Gothic"/>
                  </w14:checkbox>
                </w:sdtPr>
                <w:sdtEndPr/>
                <w:sdtContent>
                  <w:tc>
                    <w:tcPr>
                      <w:tcW w:w="436" w:type="dxa"/>
                    </w:tcPr>
                    <w:p w14:paraId="42965DFC" w14:textId="77777777" w:rsidR="00746D3C" w:rsidRPr="00F04CCD" w:rsidRDefault="00746D3C" w:rsidP="007B3372">
                      <w:pPr>
                        <w:jc w:val="center"/>
                      </w:pPr>
                      <w:r w:rsidRPr="00F04CCD">
                        <w:rPr>
                          <w:rFonts w:ascii="MS Mincho" w:eastAsia="MS Mincho" w:hAnsi="MS Mincho" w:cs="MS Mincho" w:hint="eastAsia"/>
                        </w:rPr>
                        <w:t>☐</w:t>
                      </w:r>
                    </w:p>
                  </w:tc>
                </w:sdtContent>
              </w:sdt>
              <w:tc>
                <w:tcPr>
                  <w:tcW w:w="8545" w:type="dxa"/>
                </w:tcPr>
                <w:p w14:paraId="1DA07107" w14:textId="77777777" w:rsidR="00746D3C" w:rsidRPr="00F04CCD" w:rsidRDefault="00746D3C" w:rsidP="007B3372">
                  <w:pPr>
                    <w:rPr>
                      <w:b/>
                    </w:rPr>
                  </w:pPr>
                  <w:r>
                    <w:rPr>
                      <w:b/>
                    </w:rPr>
                    <w:t>Áno</w:t>
                  </w:r>
                </w:p>
              </w:tc>
            </w:tr>
            <w:tr w:rsidR="00746D3C" w:rsidRPr="00F04CCD" w14:paraId="4C9130EC" w14:textId="77777777" w:rsidTr="007B3372">
              <w:sdt>
                <w:sdtPr>
                  <w:id w:val="-439767500"/>
                  <w14:checkbox>
                    <w14:checked w14:val="1"/>
                    <w14:checkedState w14:val="2612" w14:font="MS Gothic"/>
                    <w14:uncheckedState w14:val="2610" w14:font="MS Gothic"/>
                  </w14:checkbox>
                </w:sdtPr>
                <w:sdtEndPr/>
                <w:sdtContent>
                  <w:tc>
                    <w:tcPr>
                      <w:tcW w:w="436" w:type="dxa"/>
                    </w:tcPr>
                    <w:p w14:paraId="0247C415"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163A1054" w14:textId="77777777" w:rsidR="00746D3C" w:rsidRPr="00F04CCD" w:rsidRDefault="00746D3C" w:rsidP="007B3372">
                  <w:pPr>
                    <w:rPr>
                      <w:b/>
                    </w:rPr>
                  </w:pPr>
                  <w:r>
                    <w:rPr>
                      <w:b/>
                    </w:rPr>
                    <w:t>Nie</w:t>
                  </w:r>
                </w:p>
              </w:tc>
            </w:tr>
          </w:tbl>
          <w:p w14:paraId="790EA65F" w14:textId="77777777" w:rsidR="00746D3C" w:rsidRPr="00FA16FE" w:rsidRDefault="00746D3C" w:rsidP="007B3372"/>
        </w:tc>
        <w:tc>
          <w:tcPr>
            <w:tcW w:w="3969" w:type="dxa"/>
            <w:gridSpan w:val="4"/>
            <w:tcBorders>
              <w:bottom w:val="single" w:sz="4" w:space="0" w:color="auto"/>
            </w:tcBorders>
          </w:tcPr>
          <w:p w14:paraId="42118625" w14:textId="77777777" w:rsidR="00746D3C" w:rsidRPr="005C4B9C" w:rsidRDefault="00746D3C" w:rsidP="007B3372">
            <w:pPr>
              <w:rPr>
                <w:i/>
                <w:iCs/>
              </w:rPr>
            </w:pPr>
          </w:p>
        </w:tc>
      </w:tr>
      <w:tr w:rsidR="00746D3C" w:rsidRPr="005C4B9C" w14:paraId="5116A096" w14:textId="77777777" w:rsidTr="007B3372">
        <w:trPr>
          <w:trHeight w:val="20"/>
          <w:jc w:val="center"/>
        </w:trPr>
        <w:tc>
          <w:tcPr>
            <w:tcW w:w="9371" w:type="dxa"/>
            <w:gridSpan w:val="6"/>
            <w:shd w:val="pct25" w:color="auto" w:fill="auto"/>
          </w:tcPr>
          <w:p w14:paraId="73CB15F7" w14:textId="77777777" w:rsidR="00746D3C" w:rsidRPr="00F4692C" w:rsidRDefault="00746D3C" w:rsidP="007B3372">
            <w:pPr>
              <w:spacing w:line="20" w:lineRule="atLeast"/>
              <w:ind w:hanging="55"/>
              <w:jc w:val="center"/>
              <w:rPr>
                <w:i/>
                <w:iCs/>
              </w:rPr>
            </w:pPr>
            <w:r w:rsidRPr="00F4692C">
              <w:rPr>
                <w:b/>
              </w:rPr>
              <w:t>Výmena údajov medzi orgánmi verejnej moci</w:t>
            </w:r>
          </w:p>
        </w:tc>
      </w:tr>
      <w:tr w:rsidR="00746D3C" w:rsidRPr="005C4B9C" w14:paraId="624C0481" w14:textId="77777777" w:rsidTr="007B3372">
        <w:trPr>
          <w:trHeight w:val="20"/>
          <w:jc w:val="center"/>
        </w:trPr>
        <w:tc>
          <w:tcPr>
            <w:tcW w:w="3956" w:type="dxa"/>
          </w:tcPr>
          <w:p w14:paraId="6C1B7E12" w14:textId="77777777" w:rsidR="00746D3C" w:rsidRPr="005C4B9C" w:rsidRDefault="00746D3C" w:rsidP="007B3372">
            <w:pPr>
              <w:jc w:val="both"/>
              <w:rPr>
                <w:b/>
                <w:szCs w:val="22"/>
              </w:rPr>
            </w:pPr>
            <w:r>
              <w:rPr>
                <w:b/>
                <w:szCs w:val="22"/>
              </w:rPr>
              <w:t xml:space="preserve">6.6.1. </w:t>
            </w:r>
            <w:r>
              <w:rPr>
                <w:szCs w:val="22"/>
              </w:rPr>
              <w:t>Predpokladá predložený návrh zriadenie novej evidencie údajov alebo upravuje vedenie evidencie údajov</w:t>
            </w:r>
            <w:r w:rsidRPr="00FC10E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7068A3B1" w14:textId="77777777" w:rsidTr="007B3372">
              <w:sdt>
                <w:sdtPr>
                  <w:id w:val="-581141114"/>
                  <w14:checkbox>
                    <w14:checked w14:val="1"/>
                    <w14:checkedState w14:val="2612" w14:font="MS Gothic"/>
                    <w14:uncheckedState w14:val="2610" w14:font="MS Gothic"/>
                  </w14:checkbox>
                </w:sdtPr>
                <w:sdtEndPr/>
                <w:sdtContent>
                  <w:tc>
                    <w:tcPr>
                      <w:tcW w:w="436" w:type="dxa"/>
                    </w:tcPr>
                    <w:p w14:paraId="75C061BC"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70726A65" w14:textId="77777777" w:rsidR="00746D3C" w:rsidRPr="00F04CCD" w:rsidRDefault="00746D3C" w:rsidP="007B3372">
                  <w:pPr>
                    <w:rPr>
                      <w:b/>
                    </w:rPr>
                  </w:pPr>
                  <w:r>
                    <w:rPr>
                      <w:b/>
                    </w:rPr>
                    <w:t>Áno</w:t>
                  </w:r>
                </w:p>
              </w:tc>
            </w:tr>
            <w:tr w:rsidR="00746D3C" w:rsidRPr="00F04CCD" w14:paraId="274EA2AB" w14:textId="77777777" w:rsidTr="007B3372">
              <w:sdt>
                <w:sdtPr>
                  <w:id w:val="-561481988"/>
                  <w14:checkbox>
                    <w14:checked w14:val="0"/>
                    <w14:checkedState w14:val="2612" w14:font="MS Gothic"/>
                    <w14:uncheckedState w14:val="2610" w14:font="MS Gothic"/>
                  </w14:checkbox>
                </w:sdtPr>
                <w:sdtEndPr/>
                <w:sdtContent>
                  <w:tc>
                    <w:tcPr>
                      <w:tcW w:w="436" w:type="dxa"/>
                    </w:tcPr>
                    <w:p w14:paraId="795CB901"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7532575E" w14:textId="77777777" w:rsidR="00746D3C" w:rsidRPr="00F04CCD" w:rsidRDefault="00746D3C" w:rsidP="007B3372">
                  <w:pPr>
                    <w:rPr>
                      <w:b/>
                    </w:rPr>
                  </w:pPr>
                  <w:r>
                    <w:rPr>
                      <w:b/>
                    </w:rPr>
                    <w:t>Nie</w:t>
                  </w:r>
                </w:p>
              </w:tc>
            </w:tr>
          </w:tbl>
          <w:p w14:paraId="0EC334CB" w14:textId="77777777" w:rsidR="00746D3C" w:rsidRPr="00FA16FE" w:rsidRDefault="00746D3C" w:rsidP="007B3372"/>
        </w:tc>
        <w:tc>
          <w:tcPr>
            <w:tcW w:w="3969" w:type="dxa"/>
            <w:gridSpan w:val="4"/>
          </w:tcPr>
          <w:p w14:paraId="71CD0BD6" w14:textId="77777777" w:rsidR="00746D3C" w:rsidRPr="005C4B9C" w:rsidRDefault="00746D3C" w:rsidP="007B3372">
            <w:pPr>
              <w:jc w:val="both"/>
              <w:rPr>
                <w:i/>
                <w:iCs/>
              </w:rPr>
            </w:pPr>
            <w:r>
              <w:rPr>
                <w:szCs w:val="22"/>
              </w:rPr>
              <w:t xml:space="preserve">Podľa § 76 ods. 5 návrhu zákona </w:t>
            </w:r>
            <w:r w:rsidRPr="003C4DBF">
              <w:rPr>
                <w:szCs w:val="22"/>
              </w:rPr>
              <w:t>Finančné riaditeľstvo</w:t>
            </w:r>
            <w:r>
              <w:rPr>
                <w:szCs w:val="22"/>
              </w:rPr>
              <w:t xml:space="preserve"> SR</w:t>
            </w:r>
            <w:r w:rsidRPr="003C4DBF">
              <w:rPr>
                <w:szCs w:val="22"/>
              </w:rPr>
              <w:t xml:space="preserve"> vedie evidenciu európskych doručovacích štandardov a certifikovaných poskytovateľov doručovacej služby pôsobiacich </w:t>
            </w:r>
            <w:r>
              <w:rPr>
                <w:szCs w:val="22"/>
              </w:rPr>
              <w:t>na území Slovenskej republiky</w:t>
            </w:r>
            <w:r w:rsidRPr="003C4DBF">
              <w:rPr>
                <w:szCs w:val="22"/>
              </w:rPr>
              <w:t xml:space="preserve"> a zverejňuje ju prostredníctvom svojho webového sídla.</w:t>
            </w:r>
          </w:p>
        </w:tc>
      </w:tr>
      <w:tr w:rsidR="00746D3C" w:rsidRPr="005C4B9C" w14:paraId="2ECFC0CB" w14:textId="77777777" w:rsidTr="007B3372">
        <w:trPr>
          <w:trHeight w:val="20"/>
          <w:jc w:val="center"/>
        </w:trPr>
        <w:tc>
          <w:tcPr>
            <w:tcW w:w="3956" w:type="dxa"/>
          </w:tcPr>
          <w:p w14:paraId="1955BB22" w14:textId="77777777" w:rsidR="00746D3C" w:rsidRPr="005C4B9C" w:rsidRDefault="00746D3C" w:rsidP="007B3372">
            <w:pPr>
              <w:jc w:val="both"/>
              <w:rPr>
                <w:b/>
                <w:szCs w:val="22"/>
              </w:rPr>
            </w:pPr>
            <w:r>
              <w:rPr>
                <w:b/>
                <w:szCs w:val="22"/>
              </w:rPr>
              <w:t xml:space="preserve">6.6.2. </w:t>
            </w:r>
            <w:r>
              <w:rPr>
                <w:szCs w:val="22"/>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r w:rsidRPr="00FC10E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79802B37" w14:textId="77777777" w:rsidTr="007B3372">
              <w:sdt>
                <w:sdtPr>
                  <w:id w:val="1434169894"/>
                  <w14:checkbox>
                    <w14:checked w14:val="0"/>
                    <w14:checkedState w14:val="2612" w14:font="MS Gothic"/>
                    <w14:uncheckedState w14:val="2610" w14:font="MS Gothic"/>
                  </w14:checkbox>
                </w:sdtPr>
                <w:sdtEndPr/>
                <w:sdtContent>
                  <w:tc>
                    <w:tcPr>
                      <w:tcW w:w="436" w:type="dxa"/>
                    </w:tcPr>
                    <w:p w14:paraId="08F8BAE8" w14:textId="77777777" w:rsidR="00746D3C" w:rsidRPr="00F04CCD" w:rsidRDefault="00746D3C" w:rsidP="007B3372">
                      <w:pPr>
                        <w:jc w:val="center"/>
                      </w:pPr>
                      <w:r w:rsidRPr="00F04CCD">
                        <w:rPr>
                          <w:rFonts w:ascii="MS Mincho" w:eastAsia="MS Mincho" w:hAnsi="MS Mincho" w:cs="MS Mincho" w:hint="eastAsia"/>
                        </w:rPr>
                        <w:t>☐</w:t>
                      </w:r>
                    </w:p>
                  </w:tc>
                </w:sdtContent>
              </w:sdt>
              <w:tc>
                <w:tcPr>
                  <w:tcW w:w="8545" w:type="dxa"/>
                </w:tcPr>
                <w:p w14:paraId="4927088F" w14:textId="77777777" w:rsidR="00746D3C" w:rsidRPr="00F04CCD" w:rsidRDefault="00746D3C" w:rsidP="007B3372">
                  <w:pPr>
                    <w:rPr>
                      <w:b/>
                    </w:rPr>
                  </w:pPr>
                  <w:r>
                    <w:rPr>
                      <w:b/>
                    </w:rPr>
                    <w:t>Áno</w:t>
                  </w:r>
                </w:p>
              </w:tc>
            </w:tr>
            <w:tr w:rsidR="00746D3C" w:rsidRPr="00F04CCD" w14:paraId="6D55BE0C" w14:textId="77777777" w:rsidTr="007B3372">
              <w:sdt>
                <w:sdtPr>
                  <w:id w:val="-1288507644"/>
                  <w14:checkbox>
                    <w14:checked w14:val="1"/>
                    <w14:checkedState w14:val="2612" w14:font="MS Gothic"/>
                    <w14:uncheckedState w14:val="2610" w14:font="MS Gothic"/>
                  </w14:checkbox>
                </w:sdtPr>
                <w:sdtEndPr/>
                <w:sdtContent>
                  <w:tc>
                    <w:tcPr>
                      <w:tcW w:w="436" w:type="dxa"/>
                    </w:tcPr>
                    <w:p w14:paraId="4506D1F2"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31B0F939" w14:textId="77777777" w:rsidR="00746D3C" w:rsidRPr="00F04CCD" w:rsidRDefault="00746D3C" w:rsidP="007B3372">
                  <w:pPr>
                    <w:rPr>
                      <w:b/>
                    </w:rPr>
                  </w:pPr>
                  <w:r>
                    <w:rPr>
                      <w:b/>
                    </w:rPr>
                    <w:t>Nie</w:t>
                  </w:r>
                </w:p>
              </w:tc>
            </w:tr>
          </w:tbl>
          <w:p w14:paraId="0D68B0FF" w14:textId="77777777" w:rsidR="00746D3C" w:rsidRPr="00FA16FE" w:rsidRDefault="00746D3C" w:rsidP="007B3372"/>
        </w:tc>
        <w:tc>
          <w:tcPr>
            <w:tcW w:w="3969" w:type="dxa"/>
            <w:gridSpan w:val="4"/>
          </w:tcPr>
          <w:p w14:paraId="045AEA00" w14:textId="77777777" w:rsidR="00746D3C" w:rsidRPr="005C4B9C" w:rsidRDefault="00746D3C" w:rsidP="007B3372">
            <w:pPr>
              <w:rPr>
                <w:i/>
                <w:iCs/>
              </w:rPr>
            </w:pPr>
          </w:p>
        </w:tc>
      </w:tr>
      <w:tr w:rsidR="00746D3C" w:rsidRPr="005C4B9C" w14:paraId="4ED107CD" w14:textId="77777777" w:rsidTr="007B3372">
        <w:trPr>
          <w:trHeight w:val="20"/>
          <w:jc w:val="center"/>
        </w:trPr>
        <w:tc>
          <w:tcPr>
            <w:tcW w:w="3956" w:type="dxa"/>
          </w:tcPr>
          <w:p w14:paraId="7323E776" w14:textId="77777777" w:rsidR="00746D3C" w:rsidRPr="005C4B9C" w:rsidRDefault="00746D3C" w:rsidP="007B3372">
            <w:pPr>
              <w:jc w:val="both"/>
              <w:rPr>
                <w:b/>
                <w:szCs w:val="22"/>
              </w:rPr>
            </w:pPr>
            <w:r>
              <w:rPr>
                <w:b/>
                <w:szCs w:val="22"/>
              </w:rPr>
              <w:t xml:space="preserve">6.6.3. </w:t>
            </w:r>
            <w:r>
              <w:rPr>
                <w:szCs w:val="22"/>
              </w:rPr>
              <w:t>Je zabezpečené poskytovanie údajov z evidencie elektronicky a automatizovaným spôsobom</w:t>
            </w:r>
            <w:r w:rsidRPr="00FC10E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2F0A9605" w14:textId="77777777" w:rsidTr="007B3372">
              <w:sdt>
                <w:sdtPr>
                  <w:id w:val="-1355335144"/>
                  <w14:checkbox>
                    <w14:checked w14:val="0"/>
                    <w14:checkedState w14:val="2612" w14:font="MS Gothic"/>
                    <w14:uncheckedState w14:val="2610" w14:font="MS Gothic"/>
                  </w14:checkbox>
                </w:sdtPr>
                <w:sdtEndPr/>
                <w:sdtContent>
                  <w:tc>
                    <w:tcPr>
                      <w:tcW w:w="436" w:type="dxa"/>
                    </w:tcPr>
                    <w:p w14:paraId="43739127" w14:textId="77777777" w:rsidR="00746D3C" w:rsidRPr="00F04CCD" w:rsidRDefault="00746D3C" w:rsidP="007B3372">
                      <w:pPr>
                        <w:jc w:val="center"/>
                      </w:pPr>
                      <w:r w:rsidRPr="00F04CCD">
                        <w:rPr>
                          <w:rFonts w:ascii="MS Mincho" w:eastAsia="MS Mincho" w:hAnsi="MS Mincho" w:cs="MS Mincho" w:hint="eastAsia"/>
                        </w:rPr>
                        <w:t>☐</w:t>
                      </w:r>
                    </w:p>
                  </w:tc>
                </w:sdtContent>
              </w:sdt>
              <w:tc>
                <w:tcPr>
                  <w:tcW w:w="8545" w:type="dxa"/>
                </w:tcPr>
                <w:p w14:paraId="4394659A" w14:textId="77777777" w:rsidR="00746D3C" w:rsidRPr="00F04CCD" w:rsidRDefault="00746D3C" w:rsidP="007B3372">
                  <w:pPr>
                    <w:rPr>
                      <w:b/>
                    </w:rPr>
                  </w:pPr>
                  <w:r>
                    <w:rPr>
                      <w:b/>
                    </w:rPr>
                    <w:t>Áno</w:t>
                  </w:r>
                </w:p>
              </w:tc>
            </w:tr>
            <w:tr w:rsidR="00746D3C" w:rsidRPr="00F04CCD" w14:paraId="5739B5CD" w14:textId="77777777" w:rsidTr="007B3372">
              <w:sdt>
                <w:sdtPr>
                  <w:id w:val="116884503"/>
                  <w14:checkbox>
                    <w14:checked w14:val="1"/>
                    <w14:checkedState w14:val="2612" w14:font="MS Gothic"/>
                    <w14:uncheckedState w14:val="2610" w14:font="MS Gothic"/>
                  </w14:checkbox>
                </w:sdtPr>
                <w:sdtEndPr/>
                <w:sdtContent>
                  <w:tc>
                    <w:tcPr>
                      <w:tcW w:w="436" w:type="dxa"/>
                    </w:tcPr>
                    <w:p w14:paraId="442A05D3"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1B2E387C" w14:textId="77777777" w:rsidR="00746D3C" w:rsidRPr="00F04CCD" w:rsidRDefault="00746D3C" w:rsidP="007B3372">
                  <w:pPr>
                    <w:rPr>
                      <w:b/>
                    </w:rPr>
                  </w:pPr>
                  <w:r>
                    <w:rPr>
                      <w:b/>
                    </w:rPr>
                    <w:t>Nie</w:t>
                  </w:r>
                </w:p>
              </w:tc>
            </w:tr>
          </w:tbl>
          <w:p w14:paraId="5C00619F" w14:textId="77777777" w:rsidR="00746D3C" w:rsidRPr="00FA16FE" w:rsidRDefault="00746D3C" w:rsidP="007B3372"/>
        </w:tc>
        <w:tc>
          <w:tcPr>
            <w:tcW w:w="3969" w:type="dxa"/>
            <w:gridSpan w:val="4"/>
          </w:tcPr>
          <w:p w14:paraId="15ADFD09" w14:textId="77777777" w:rsidR="00746D3C" w:rsidRPr="005C4B9C" w:rsidRDefault="00746D3C" w:rsidP="007B3372">
            <w:pPr>
              <w:rPr>
                <w:i/>
                <w:iCs/>
              </w:rPr>
            </w:pPr>
          </w:p>
        </w:tc>
      </w:tr>
      <w:tr w:rsidR="00746D3C" w:rsidRPr="005C4B9C" w14:paraId="69F98DCD" w14:textId="77777777" w:rsidTr="007B3372">
        <w:trPr>
          <w:trHeight w:val="20"/>
          <w:jc w:val="center"/>
        </w:trPr>
        <w:tc>
          <w:tcPr>
            <w:tcW w:w="3956" w:type="dxa"/>
          </w:tcPr>
          <w:p w14:paraId="442532E4" w14:textId="77777777" w:rsidR="00746D3C" w:rsidRPr="005C4B9C" w:rsidRDefault="00746D3C" w:rsidP="007B3372">
            <w:pPr>
              <w:jc w:val="both"/>
              <w:rPr>
                <w:b/>
                <w:szCs w:val="22"/>
              </w:rPr>
            </w:pPr>
            <w:r>
              <w:rPr>
                <w:b/>
                <w:szCs w:val="22"/>
              </w:rPr>
              <w:t xml:space="preserve">6.6.4. </w:t>
            </w:r>
            <w:r>
              <w:rPr>
                <w:szCs w:val="22"/>
              </w:rPr>
              <w:t xml:space="preserve">Je na poskytovanie údajov z evidencie využitý režim podľa zákona č. </w:t>
            </w:r>
            <w:r w:rsidRPr="00FA16FE">
              <w:rPr>
                <w:szCs w:val="22"/>
              </w:rPr>
              <w:t>177/2018 Z.z. v znení neskorších predpisov</w:t>
            </w:r>
            <w:r>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4897888F" w14:textId="77777777" w:rsidTr="007B3372">
              <w:sdt>
                <w:sdtPr>
                  <w:id w:val="-295379826"/>
                  <w14:checkbox>
                    <w14:checked w14:val="0"/>
                    <w14:checkedState w14:val="2612" w14:font="MS Gothic"/>
                    <w14:uncheckedState w14:val="2610" w14:font="MS Gothic"/>
                  </w14:checkbox>
                </w:sdtPr>
                <w:sdtEndPr/>
                <w:sdtContent>
                  <w:tc>
                    <w:tcPr>
                      <w:tcW w:w="436" w:type="dxa"/>
                    </w:tcPr>
                    <w:p w14:paraId="621E327D" w14:textId="77777777" w:rsidR="00746D3C" w:rsidRPr="00F04CCD" w:rsidRDefault="00746D3C" w:rsidP="007B3372">
                      <w:pPr>
                        <w:jc w:val="center"/>
                      </w:pPr>
                      <w:r w:rsidRPr="00F04CCD">
                        <w:rPr>
                          <w:rFonts w:ascii="MS Mincho" w:eastAsia="MS Mincho" w:hAnsi="MS Mincho" w:cs="MS Mincho" w:hint="eastAsia"/>
                        </w:rPr>
                        <w:t>☐</w:t>
                      </w:r>
                    </w:p>
                  </w:tc>
                </w:sdtContent>
              </w:sdt>
              <w:tc>
                <w:tcPr>
                  <w:tcW w:w="8545" w:type="dxa"/>
                </w:tcPr>
                <w:p w14:paraId="3B83C133" w14:textId="77777777" w:rsidR="00746D3C" w:rsidRPr="00F04CCD" w:rsidRDefault="00746D3C" w:rsidP="007B3372">
                  <w:pPr>
                    <w:rPr>
                      <w:b/>
                    </w:rPr>
                  </w:pPr>
                  <w:r>
                    <w:rPr>
                      <w:b/>
                    </w:rPr>
                    <w:t>Áno</w:t>
                  </w:r>
                </w:p>
              </w:tc>
            </w:tr>
            <w:tr w:rsidR="00746D3C" w:rsidRPr="00F04CCD" w14:paraId="6D2C11B0" w14:textId="77777777" w:rsidTr="007B3372">
              <w:sdt>
                <w:sdtPr>
                  <w:id w:val="-1689520971"/>
                  <w14:checkbox>
                    <w14:checked w14:val="1"/>
                    <w14:checkedState w14:val="2612" w14:font="MS Gothic"/>
                    <w14:uncheckedState w14:val="2610" w14:font="MS Gothic"/>
                  </w14:checkbox>
                </w:sdtPr>
                <w:sdtEndPr/>
                <w:sdtContent>
                  <w:tc>
                    <w:tcPr>
                      <w:tcW w:w="436" w:type="dxa"/>
                    </w:tcPr>
                    <w:p w14:paraId="785EB747"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64AA1D1F" w14:textId="77777777" w:rsidR="00746D3C" w:rsidRPr="00F04CCD" w:rsidRDefault="00746D3C" w:rsidP="007B3372">
                  <w:pPr>
                    <w:rPr>
                      <w:b/>
                    </w:rPr>
                  </w:pPr>
                  <w:r>
                    <w:rPr>
                      <w:b/>
                    </w:rPr>
                    <w:t>Nie</w:t>
                  </w:r>
                </w:p>
              </w:tc>
            </w:tr>
          </w:tbl>
          <w:p w14:paraId="4EAF8E90" w14:textId="77777777" w:rsidR="00746D3C" w:rsidRPr="00FA16FE" w:rsidRDefault="00746D3C" w:rsidP="007B3372"/>
        </w:tc>
        <w:tc>
          <w:tcPr>
            <w:tcW w:w="3969" w:type="dxa"/>
            <w:gridSpan w:val="4"/>
          </w:tcPr>
          <w:p w14:paraId="3FFD0D71" w14:textId="77777777" w:rsidR="00746D3C" w:rsidRPr="005C4B9C" w:rsidRDefault="00746D3C" w:rsidP="007B3372">
            <w:pPr>
              <w:rPr>
                <w:i/>
                <w:iCs/>
              </w:rPr>
            </w:pPr>
          </w:p>
        </w:tc>
      </w:tr>
      <w:tr w:rsidR="00746D3C" w:rsidRPr="005C4B9C" w14:paraId="1A78A182" w14:textId="77777777" w:rsidTr="007B3372">
        <w:trPr>
          <w:trHeight w:val="20"/>
          <w:jc w:val="center"/>
        </w:trPr>
        <w:tc>
          <w:tcPr>
            <w:tcW w:w="9371" w:type="dxa"/>
            <w:gridSpan w:val="6"/>
            <w:shd w:val="clear" w:color="auto" w:fill="A6A6A6" w:themeFill="background1" w:themeFillShade="A6"/>
          </w:tcPr>
          <w:p w14:paraId="25C1E4F0" w14:textId="77777777" w:rsidR="00746D3C" w:rsidRPr="00FA16FE" w:rsidRDefault="00746D3C" w:rsidP="007B3372">
            <w:pPr>
              <w:spacing w:line="20" w:lineRule="atLeast"/>
              <w:ind w:hanging="55"/>
              <w:jc w:val="center"/>
              <w:rPr>
                <w:i/>
                <w:iCs/>
                <w:szCs w:val="22"/>
              </w:rPr>
            </w:pPr>
            <w:r>
              <w:rPr>
                <w:b/>
              </w:rPr>
              <w:t>Referenčné údaje</w:t>
            </w:r>
          </w:p>
        </w:tc>
      </w:tr>
      <w:tr w:rsidR="00746D3C" w:rsidRPr="005C4B9C" w14:paraId="75C5B24F" w14:textId="77777777" w:rsidTr="007B3372">
        <w:trPr>
          <w:trHeight w:val="20"/>
          <w:jc w:val="center"/>
        </w:trPr>
        <w:tc>
          <w:tcPr>
            <w:tcW w:w="3956" w:type="dxa"/>
          </w:tcPr>
          <w:p w14:paraId="20D8B54C" w14:textId="77777777" w:rsidR="00746D3C" w:rsidRPr="00F14E8D" w:rsidRDefault="00746D3C" w:rsidP="007B3372">
            <w:pPr>
              <w:jc w:val="both"/>
              <w:rPr>
                <w:szCs w:val="22"/>
              </w:rPr>
            </w:pPr>
            <w:r w:rsidRPr="002003D2">
              <w:rPr>
                <w:b/>
                <w:bCs/>
                <w:szCs w:val="22"/>
              </w:rPr>
              <w:t>6.</w:t>
            </w:r>
            <w:r w:rsidRPr="00556083">
              <w:rPr>
                <w:b/>
                <w:bCs/>
                <w:szCs w:val="22"/>
              </w:rPr>
              <w:t>7.1</w:t>
            </w:r>
            <w:r w:rsidRPr="00867E33">
              <w:rPr>
                <w:b/>
                <w:bCs/>
                <w:szCs w:val="22"/>
              </w:rPr>
              <w:t>.</w:t>
            </w:r>
            <w:r w:rsidRPr="00F14E8D">
              <w:rPr>
                <w:szCs w:val="22"/>
              </w:rPr>
              <w:t xml:space="preserve"> Predpokladá predložený návrh zriadenie novej evidencie údajov</w:t>
            </w:r>
            <w:r>
              <w:rPr>
                <w:szCs w:val="22"/>
              </w:rPr>
              <w:t xml:space="preserve"> alebo upravuje vedenie evidencie údajov</w:t>
            </w:r>
            <w:r w:rsidRPr="00F14E8D">
              <w:rPr>
                <w:szCs w:val="22"/>
              </w:rPr>
              <w:t xml:space="preserve">, </w:t>
            </w:r>
            <w:r>
              <w:rPr>
                <w:szCs w:val="22"/>
              </w:rPr>
              <w:t>ktoré budú navrhnuté na zaradenie</w:t>
            </w:r>
            <w:r w:rsidRPr="00F14E8D">
              <w:rPr>
                <w:szCs w:val="22"/>
              </w:rPr>
              <w:t xml:space="preserve"> do </w:t>
            </w:r>
            <w:r>
              <w:rPr>
                <w:szCs w:val="22"/>
              </w:rPr>
              <w:t>z</w:t>
            </w:r>
            <w:r w:rsidRPr="00F14E8D">
              <w:rPr>
                <w:szCs w:val="22"/>
              </w:rPr>
              <w:t xml:space="preserve">oznamu referenčných údajov </w:t>
            </w:r>
            <w:r>
              <w:rPr>
                <w:szCs w:val="22"/>
              </w:rPr>
              <w:t>podľa</w:t>
            </w:r>
            <w:r w:rsidRPr="00F14E8D">
              <w:rPr>
                <w:szCs w:val="22"/>
              </w:rPr>
              <w:t xml:space="preserve"> § 51 zákona č. 305/20</w:t>
            </w:r>
            <w:r>
              <w:rPr>
                <w:szCs w:val="22"/>
              </w:rPr>
              <w:t>1</w:t>
            </w:r>
            <w:r w:rsidRPr="00F14E8D">
              <w:rPr>
                <w:szCs w:val="22"/>
              </w:rPr>
              <w:t>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5C115012" w14:textId="77777777" w:rsidTr="007B3372">
              <w:sdt>
                <w:sdtPr>
                  <w:id w:val="-677810283"/>
                  <w14:checkbox>
                    <w14:checked w14:val="0"/>
                    <w14:checkedState w14:val="2612" w14:font="MS Gothic"/>
                    <w14:uncheckedState w14:val="2610" w14:font="MS Gothic"/>
                  </w14:checkbox>
                </w:sdtPr>
                <w:sdtEndPr/>
                <w:sdtContent>
                  <w:tc>
                    <w:tcPr>
                      <w:tcW w:w="436" w:type="dxa"/>
                    </w:tcPr>
                    <w:p w14:paraId="34AFD983" w14:textId="77777777" w:rsidR="00746D3C" w:rsidRPr="00F04CCD" w:rsidRDefault="00746D3C" w:rsidP="007B3372">
                      <w:pPr>
                        <w:jc w:val="center"/>
                      </w:pPr>
                      <w:r w:rsidRPr="00F04CCD">
                        <w:rPr>
                          <w:rFonts w:ascii="Segoe UI Symbol" w:eastAsia="MS Mincho" w:hAnsi="Segoe UI Symbol" w:cs="Segoe UI Symbol"/>
                        </w:rPr>
                        <w:t>☐</w:t>
                      </w:r>
                    </w:p>
                  </w:tc>
                </w:sdtContent>
              </w:sdt>
              <w:tc>
                <w:tcPr>
                  <w:tcW w:w="8545" w:type="dxa"/>
                </w:tcPr>
                <w:p w14:paraId="59383335" w14:textId="77777777" w:rsidR="00746D3C" w:rsidRPr="00F04CCD" w:rsidRDefault="00746D3C" w:rsidP="007B3372">
                  <w:pPr>
                    <w:rPr>
                      <w:b/>
                    </w:rPr>
                  </w:pPr>
                  <w:r>
                    <w:rPr>
                      <w:b/>
                    </w:rPr>
                    <w:t>Áno</w:t>
                  </w:r>
                </w:p>
              </w:tc>
            </w:tr>
            <w:tr w:rsidR="00746D3C" w:rsidRPr="00F04CCD" w14:paraId="1B622099" w14:textId="77777777" w:rsidTr="007B3372">
              <w:sdt>
                <w:sdtPr>
                  <w:id w:val="-159857975"/>
                  <w14:checkbox>
                    <w14:checked w14:val="1"/>
                    <w14:checkedState w14:val="2612" w14:font="MS Gothic"/>
                    <w14:uncheckedState w14:val="2610" w14:font="MS Gothic"/>
                  </w14:checkbox>
                </w:sdtPr>
                <w:sdtEndPr/>
                <w:sdtContent>
                  <w:tc>
                    <w:tcPr>
                      <w:tcW w:w="436" w:type="dxa"/>
                    </w:tcPr>
                    <w:p w14:paraId="1F3997E2" w14:textId="77777777" w:rsidR="00746D3C" w:rsidRPr="00F04CCD" w:rsidRDefault="00746D3C" w:rsidP="007B3372">
                      <w:pPr>
                        <w:jc w:val="center"/>
                      </w:pPr>
                      <w:r>
                        <w:rPr>
                          <w:rFonts w:ascii="MS Gothic" w:eastAsia="MS Gothic" w:hAnsi="MS Gothic" w:hint="eastAsia"/>
                        </w:rPr>
                        <w:t>☒</w:t>
                      </w:r>
                    </w:p>
                  </w:tc>
                </w:sdtContent>
              </w:sdt>
              <w:tc>
                <w:tcPr>
                  <w:tcW w:w="8545" w:type="dxa"/>
                </w:tcPr>
                <w:p w14:paraId="7F848EAB" w14:textId="77777777" w:rsidR="00746D3C" w:rsidRPr="00F04CCD" w:rsidRDefault="00746D3C" w:rsidP="007B3372">
                  <w:pPr>
                    <w:rPr>
                      <w:b/>
                    </w:rPr>
                  </w:pPr>
                  <w:r>
                    <w:rPr>
                      <w:b/>
                    </w:rPr>
                    <w:t>Nie</w:t>
                  </w:r>
                </w:p>
              </w:tc>
            </w:tr>
          </w:tbl>
          <w:p w14:paraId="1E894568" w14:textId="77777777" w:rsidR="00746D3C" w:rsidRDefault="00746D3C" w:rsidP="007B3372">
            <w:pPr>
              <w:jc w:val="center"/>
            </w:pPr>
          </w:p>
        </w:tc>
        <w:tc>
          <w:tcPr>
            <w:tcW w:w="3969" w:type="dxa"/>
            <w:gridSpan w:val="4"/>
          </w:tcPr>
          <w:p w14:paraId="133866A0" w14:textId="77777777" w:rsidR="00746D3C" w:rsidRPr="00FA16FE" w:rsidRDefault="00746D3C" w:rsidP="007B3372">
            <w:pPr>
              <w:rPr>
                <w:i/>
                <w:iCs/>
                <w:szCs w:val="22"/>
              </w:rPr>
            </w:pPr>
          </w:p>
        </w:tc>
      </w:tr>
      <w:tr w:rsidR="00746D3C" w:rsidRPr="005C4B9C" w14:paraId="65A7ED9D" w14:textId="77777777" w:rsidTr="007B3372">
        <w:trPr>
          <w:trHeight w:val="20"/>
          <w:jc w:val="center"/>
        </w:trPr>
        <w:tc>
          <w:tcPr>
            <w:tcW w:w="3956" w:type="dxa"/>
          </w:tcPr>
          <w:p w14:paraId="3C5664A7" w14:textId="77777777" w:rsidR="00746D3C" w:rsidRPr="00F14E8D" w:rsidRDefault="00746D3C" w:rsidP="007B3372">
            <w:pPr>
              <w:jc w:val="both"/>
              <w:rPr>
                <w:szCs w:val="22"/>
              </w:rPr>
            </w:pPr>
            <w:r w:rsidRPr="002003D2">
              <w:rPr>
                <w:b/>
                <w:bCs/>
                <w:szCs w:val="22"/>
              </w:rPr>
              <w:t>6.</w:t>
            </w:r>
            <w:r w:rsidRPr="001E754E">
              <w:rPr>
                <w:b/>
                <w:bCs/>
                <w:szCs w:val="22"/>
              </w:rPr>
              <w:t>7.</w:t>
            </w:r>
            <w:r>
              <w:rPr>
                <w:b/>
                <w:bCs/>
                <w:szCs w:val="22"/>
              </w:rPr>
              <w:t>2</w:t>
            </w:r>
            <w:r w:rsidRPr="001E754E">
              <w:rPr>
                <w:b/>
                <w:bCs/>
                <w:szCs w:val="22"/>
              </w:rPr>
              <w:t>.</w:t>
            </w:r>
            <w:r w:rsidRPr="001E754E">
              <w:rPr>
                <w:szCs w:val="22"/>
              </w:rPr>
              <w:t xml:space="preserve"> </w:t>
            </w:r>
            <w:r>
              <w:rPr>
                <w:szCs w:val="22"/>
              </w:rPr>
              <w:t>Kedy je plánované zaradenie údajov z evidencie do zoznamu referenčných údajov podľa</w:t>
            </w:r>
            <w:r w:rsidRPr="001E754E">
              <w:rPr>
                <w:szCs w:val="22"/>
              </w:rPr>
              <w:t xml:space="preserve"> § 51 zákona č. 305/20</w:t>
            </w:r>
            <w:r>
              <w:rPr>
                <w:szCs w:val="22"/>
              </w:rPr>
              <w:t>1</w:t>
            </w:r>
            <w:r w:rsidRPr="001E754E">
              <w:rPr>
                <w:szCs w:val="22"/>
              </w:rPr>
              <w:t>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46D3C" w:rsidRPr="00F04CCD" w14:paraId="2C21EF74" w14:textId="77777777" w:rsidTr="007B3372">
              <w:tc>
                <w:tcPr>
                  <w:tcW w:w="436" w:type="dxa"/>
                </w:tcPr>
                <w:p w14:paraId="5960407F" w14:textId="77777777" w:rsidR="00746D3C" w:rsidRPr="00F04CCD" w:rsidRDefault="00746D3C" w:rsidP="007B3372">
                  <w:pPr>
                    <w:jc w:val="center"/>
                  </w:pPr>
                </w:p>
              </w:tc>
              <w:tc>
                <w:tcPr>
                  <w:tcW w:w="8545" w:type="dxa"/>
                </w:tcPr>
                <w:p w14:paraId="5C971C34" w14:textId="77777777" w:rsidR="00746D3C" w:rsidRPr="00F04CCD" w:rsidRDefault="00746D3C" w:rsidP="007B3372">
                  <w:pPr>
                    <w:rPr>
                      <w:b/>
                    </w:rPr>
                  </w:pPr>
                </w:p>
              </w:tc>
            </w:tr>
            <w:tr w:rsidR="00746D3C" w:rsidRPr="00F04CCD" w14:paraId="3441DA63" w14:textId="77777777" w:rsidTr="007B3372">
              <w:tc>
                <w:tcPr>
                  <w:tcW w:w="436" w:type="dxa"/>
                </w:tcPr>
                <w:p w14:paraId="2CEBF295" w14:textId="77777777" w:rsidR="00746D3C" w:rsidRPr="00F04CCD" w:rsidRDefault="00746D3C" w:rsidP="007B3372">
                  <w:pPr>
                    <w:jc w:val="center"/>
                  </w:pPr>
                </w:p>
              </w:tc>
              <w:tc>
                <w:tcPr>
                  <w:tcW w:w="8545" w:type="dxa"/>
                </w:tcPr>
                <w:p w14:paraId="72C615DE" w14:textId="77777777" w:rsidR="00746D3C" w:rsidRPr="00F04CCD" w:rsidRDefault="00746D3C" w:rsidP="007B3372">
                  <w:pPr>
                    <w:rPr>
                      <w:b/>
                    </w:rPr>
                  </w:pPr>
                </w:p>
              </w:tc>
            </w:tr>
          </w:tbl>
          <w:p w14:paraId="5D63E1CD" w14:textId="77777777" w:rsidR="00746D3C" w:rsidRDefault="00746D3C" w:rsidP="007B3372">
            <w:pPr>
              <w:jc w:val="center"/>
            </w:pPr>
          </w:p>
        </w:tc>
        <w:tc>
          <w:tcPr>
            <w:tcW w:w="3969" w:type="dxa"/>
            <w:gridSpan w:val="4"/>
          </w:tcPr>
          <w:p w14:paraId="5BDA6D82" w14:textId="77777777" w:rsidR="00746D3C" w:rsidRPr="00FA16FE" w:rsidRDefault="00746D3C" w:rsidP="007B3372">
            <w:pPr>
              <w:rPr>
                <w:i/>
                <w:iCs/>
                <w:szCs w:val="22"/>
              </w:rPr>
            </w:pPr>
          </w:p>
        </w:tc>
      </w:tr>
    </w:tbl>
    <w:p w14:paraId="7653949F" w14:textId="77777777" w:rsidR="00746D3C" w:rsidRPr="00852496" w:rsidRDefault="00746D3C" w:rsidP="00746D3C">
      <w:pPr>
        <w:jc w:val="both"/>
        <w:rPr>
          <w:b/>
          <w:bCs/>
          <w:i/>
          <w:highlight w:val="yellow"/>
        </w:rPr>
      </w:pPr>
    </w:p>
    <w:p w14:paraId="7F7989E0" w14:textId="77777777" w:rsidR="00746D3C" w:rsidRPr="00F14E8D" w:rsidRDefault="00746D3C" w:rsidP="00746D3C">
      <w:pPr>
        <w:autoSpaceDE w:val="0"/>
        <w:autoSpaceDN w:val="0"/>
        <w:adjustRightInd w:val="0"/>
        <w:jc w:val="center"/>
        <w:rPr>
          <w:rFonts w:eastAsia="Calibri"/>
          <w:b/>
          <w:bCs/>
          <w:color w:val="000000"/>
          <w:lang w:eastAsia="en-US"/>
        </w:rPr>
      </w:pPr>
    </w:p>
    <w:p w14:paraId="183D47F4" w14:textId="77777777" w:rsidR="00746D3C" w:rsidRDefault="00746D3C" w:rsidP="00746D3C">
      <w:pPr>
        <w:spacing w:line="257" w:lineRule="auto"/>
        <w:jc w:val="both"/>
        <w:rPr>
          <w:rStyle w:val="awspanawtext3"/>
          <w:rFonts w:eastAsia="Calibri"/>
        </w:rPr>
      </w:pPr>
    </w:p>
    <w:p w14:paraId="03E4580D" w14:textId="77777777" w:rsidR="00746D3C" w:rsidRDefault="00746D3C" w:rsidP="00746D3C">
      <w:pPr>
        <w:spacing w:line="257" w:lineRule="auto"/>
        <w:jc w:val="both"/>
        <w:rPr>
          <w:rStyle w:val="awspanawtext3"/>
          <w:rFonts w:eastAsia="Calibri"/>
        </w:rPr>
      </w:pPr>
    </w:p>
    <w:p w14:paraId="0BDCBAE8" w14:textId="77777777" w:rsidR="00746D3C" w:rsidRPr="00181470" w:rsidRDefault="00746D3C" w:rsidP="00746D3C">
      <w:pPr>
        <w:pStyle w:val="Nzov"/>
      </w:pPr>
      <w:r w:rsidRPr="00181470">
        <w:lastRenderedPageBreak/>
        <w:t>DOLOŽKA ZLUČITEĽNOSTI</w:t>
      </w:r>
    </w:p>
    <w:p w14:paraId="2DFAFDB2" w14:textId="77777777" w:rsidR="00746D3C" w:rsidRPr="00181470" w:rsidRDefault="00746D3C" w:rsidP="00746D3C">
      <w:pPr>
        <w:pStyle w:val="Zkladntext1"/>
        <w:pBdr>
          <w:bottom w:val="single" w:sz="12" w:space="1" w:color="auto"/>
        </w:pBdr>
        <w:jc w:val="center"/>
        <w:rPr>
          <w:b/>
          <w:bCs/>
          <w:szCs w:val="24"/>
        </w:rPr>
      </w:pPr>
    </w:p>
    <w:p w14:paraId="10E35DF9" w14:textId="77777777" w:rsidR="00746D3C" w:rsidRPr="00181470" w:rsidRDefault="00746D3C" w:rsidP="00746D3C">
      <w:pPr>
        <w:pStyle w:val="Zkladntext1"/>
        <w:pBdr>
          <w:bottom w:val="single" w:sz="12" w:space="1" w:color="auto"/>
        </w:pBdr>
        <w:jc w:val="center"/>
        <w:rPr>
          <w:b/>
          <w:bCs/>
          <w:szCs w:val="24"/>
        </w:rPr>
      </w:pPr>
      <w:r w:rsidRPr="00181470">
        <w:rPr>
          <w:b/>
          <w:bCs/>
          <w:szCs w:val="24"/>
        </w:rPr>
        <w:t xml:space="preserve">návrhu </w:t>
      </w:r>
      <w:r>
        <w:rPr>
          <w:b/>
          <w:szCs w:val="24"/>
        </w:rPr>
        <w:t xml:space="preserve">zákona </w:t>
      </w:r>
      <w:r w:rsidRPr="00181470">
        <w:rPr>
          <w:b/>
          <w:bCs/>
          <w:szCs w:val="24"/>
        </w:rPr>
        <w:t>s právom Európskej únie</w:t>
      </w:r>
    </w:p>
    <w:p w14:paraId="7D98D7CB" w14:textId="77777777" w:rsidR="00746D3C" w:rsidRPr="00181470" w:rsidRDefault="00746D3C" w:rsidP="00746D3C">
      <w:pPr>
        <w:pStyle w:val="Zkladntext1"/>
        <w:pBdr>
          <w:bottom w:val="single" w:sz="12" w:space="1" w:color="auto"/>
        </w:pBdr>
        <w:jc w:val="center"/>
        <w:rPr>
          <w:b/>
          <w:bCs/>
          <w:szCs w:val="24"/>
        </w:rPr>
      </w:pPr>
    </w:p>
    <w:p w14:paraId="6B9B8BBE" w14:textId="77777777" w:rsidR="00746D3C" w:rsidRPr="00181470" w:rsidRDefault="00746D3C" w:rsidP="00746D3C">
      <w:pPr>
        <w:pStyle w:val="Zkladntext1"/>
        <w:jc w:val="both"/>
        <w:rPr>
          <w:szCs w:val="24"/>
        </w:rPr>
      </w:pPr>
    </w:p>
    <w:p w14:paraId="494CE1BF" w14:textId="77777777" w:rsidR="00746D3C" w:rsidRPr="00181470" w:rsidRDefault="00746D3C" w:rsidP="00746D3C">
      <w:pPr>
        <w:jc w:val="center"/>
        <w:rPr>
          <w:b/>
          <w:bCs/>
        </w:rPr>
      </w:pPr>
    </w:p>
    <w:p w14:paraId="257D419E" w14:textId="77777777" w:rsidR="00746D3C" w:rsidRPr="00181470" w:rsidRDefault="00746D3C" w:rsidP="00746D3C">
      <w:pPr>
        <w:numPr>
          <w:ilvl w:val="0"/>
          <w:numId w:val="42"/>
        </w:numPr>
        <w:jc w:val="both"/>
      </w:pPr>
      <w:r w:rsidRPr="00181470">
        <w:rPr>
          <w:b/>
          <w:bCs/>
        </w:rPr>
        <w:t>Navrhovateľ zákona:</w:t>
      </w:r>
    </w:p>
    <w:p w14:paraId="514B0D15" w14:textId="77777777" w:rsidR="00746D3C" w:rsidRPr="00746D3C" w:rsidRDefault="00746D3C" w:rsidP="00746D3C">
      <w:pPr>
        <w:ind w:firstLine="425"/>
        <w:jc w:val="both"/>
      </w:pPr>
      <w:r w:rsidRPr="00746D3C">
        <w:t>Vláda Slovenskej republiky.</w:t>
      </w:r>
    </w:p>
    <w:p w14:paraId="4741D1CB" w14:textId="77777777" w:rsidR="00746D3C" w:rsidRPr="00746D3C" w:rsidRDefault="00746D3C" w:rsidP="00746D3C">
      <w:pPr>
        <w:ind w:firstLine="425"/>
        <w:jc w:val="both"/>
      </w:pPr>
    </w:p>
    <w:p w14:paraId="431A398E" w14:textId="77777777" w:rsidR="00746D3C" w:rsidRPr="00746D3C" w:rsidRDefault="00746D3C" w:rsidP="00746D3C">
      <w:pPr>
        <w:numPr>
          <w:ilvl w:val="0"/>
          <w:numId w:val="42"/>
        </w:numPr>
        <w:jc w:val="both"/>
        <w:rPr>
          <w:b/>
          <w:bCs/>
        </w:rPr>
      </w:pPr>
      <w:r w:rsidRPr="00746D3C">
        <w:rPr>
          <w:b/>
          <w:bCs/>
        </w:rPr>
        <w:t>Názov návrhu zákona:</w:t>
      </w:r>
    </w:p>
    <w:p w14:paraId="601ECA23" w14:textId="167888ED" w:rsidR="00746D3C" w:rsidRPr="00746D3C" w:rsidRDefault="00FA2EFF" w:rsidP="00746D3C">
      <w:pPr>
        <w:pStyle w:val="Zkladntext1"/>
        <w:ind w:left="426"/>
        <w:jc w:val="both"/>
        <w:rPr>
          <w:szCs w:val="24"/>
        </w:rPr>
      </w:pPr>
      <w:r>
        <w:rPr>
          <w:szCs w:val="24"/>
        </w:rPr>
        <w:t>Vládny n</w:t>
      </w:r>
      <w:r w:rsidR="00746D3C" w:rsidRPr="00746D3C">
        <w:rPr>
          <w:szCs w:val="24"/>
        </w:rPr>
        <w:t>ávrh zákona, ktorým sa mení a dopĺňa zákon č. 222/2004 Z. z. o dani z pridanej hodnoty v znení neskorších predpisov a ktorým sa menia a dopĺňajú niektoré zákony.</w:t>
      </w:r>
    </w:p>
    <w:p w14:paraId="183D7A7B" w14:textId="77777777" w:rsidR="00746D3C" w:rsidRPr="00746D3C" w:rsidRDefault="00746D3C" w:rsidP="00746D3C">
      <w:pPr>
        <w:jc w:val="both"/>
        <w:rPr>
          <w:bCs/>
        </w:rPr>
      </w:pPr>
    </w:p>
    <w:p w14:paraId="09908B64" w14:textId="77777777" w:rsidR="00746D3C" w:rsidRPr="00746D3C" w:rsidRDefault="00746D3C" w:rsidP="00746D3C">
      <w:pPr>
        <w:numPr>
          <w:ilvl w:val="0"/>
          <w:numId w:val="42"/>
        </w:numPr>
        <w:jc w:val="both"/>
        <w:rPr>
          <w:b/>
          <w:bCs/>
        </w:rPr>
      </w:pPr>
      <w:r w:rsidRPr="00746D3C">
        <w:rPr>
          <w:b/>
          <w:bCs/>
        </w:rPr>
        <w:t xml:space="preserve">Predmet návrhu zákona </w:t>
      </w:r>
      <w:r w:rsidRPr="00746D3C">
        <w:rPr>
          <w:b/>
        </w:rPr>
        <w:t>je upravený v práve Európskej únie:</w:t>
      </w:r>
    </w:p>
    <w:p w14:paraId="0940327B" w14:textId="77777777" w:rsidR="00746D3C" w:rsidRPr="00746D3C" w:rsidRDefault="00746D3C" w:rsidP="00746D3C">
      <w:pPr>
        <w:ind w:left="425"/>
        <w:jc w:val="both"/>
        <w:rPr>
          <w:b/>
          <w:bCs/>
        </w:rPr>
      </w:pPr>
    </w:p>
    <w:p w14:paraId="7EDD402B" w14:textId="77777777" w:rsidR="00746D3C" w:rsidRPr="00746D3C" w:rsidRDefault="00746D3C" w:rsidP="00746D3C">
      <w:pPr>
        <w:pStyle w:val="Odsekzoznamu"/>
        <w:numPr>
          <w:ilvl w:val="1"/>
          <w:numId w:val="42"/>
        </w:numPr>
        <w:spacing w:after="0" w:line="240" w:lineRule="auto"/>
        <w:ind w:left="851"/>
        <w:jc w:val="both"/>
        <w:rPr>
          <w:rFonts w:ascii="Times New Roman" w:hAnsi="Times New Roman" w:cs="Times New Roman"/>
          <w:bCs/>
          <w:sz w:val="24"/>
          <w:szCs w:val="24"/>
        </w:rPr>
      </w:pPr>
      <w:r w:rsidRPr="00746D3C">
        <w:rPr>
          <w:rFonts w:ascii="Times New Roman" w:hAnsi="Times New Roman" w:cs="Times New Roman"/>
          <w:bCs/>
          <w:iCs/>
          <w:sz w:val="24"/>
          <w:szCs w:val="24"/>
        </w:rPr>
        <w:t>v primárnom práve</w:t>
      </w:r>
    </w:p>
    <w:p w14:paraId="08F3A743" w14:textId="77777777" w:rsidR="00746D3C" w:rsidRPr="00746D3C" w:rsidRDefault="00746D3C" w:rsidP="00746D3C">
      <w:pPr>
        <w:pStyle w:val="Zkladntext"/>
        <w:tabs>
          <w:tab w:val="left" w:pos="709"/>
          <w:tab w:val="left" w:pos="851"/>
        </w:tabs>
        <w:spacing w:after="0"/>
        <w:ind w:left="850"/>
        <w:rPr>
          <w:b/>
          <w:bCs/>
          <w:iCs/>
        </w:rPr>
      </w:pPr>
    </w:p>
    <w:p w14:paraId="06646FB6" w14:textId="77777777" w:rsidR="00746D3C" w:rsidRPr="00746D3C" w:rsidRDefault="00746D3C" w:rsidP="00746D3C">
      <w:pPr>
        <w:pStyle w:val="Zkladntext"/>
        <w:numPr>
          <w:ilvl w:val="0"/>
          <w:numId w:val="43"/>
        </w:numPr>
        <w:tabs>
          <w:tab w:val="clear" w:pos="900"/>
          <w:tab w:val="num" w:pos="851"/>
        </w:tabs>
        <w:spacing w:after="0"/>
        <w:ind w:left="896" w:hanging="329"/>
        <w:jc w:val="both"/>
      </w:pPr>
      <w:r w:rsidRPr="00746D3C">
        <w:t>čl. 106, čl. 110 až 114, čl. 349 a 355 ods. 1 Zmluvy o fungovaní Európskej únie (Ú. v. EÚ C 202, 7.6.2016),</w:t>
      </w:r>
    </w:p>
    <w:p w14:paraId="561E5FB3" w14:textId="77777777" w:rsidR="00746D3C" w:rsidRPr="00746D3C" w:rsidRDefault="00746D3C" w:rsidP="00746D3C">
      <w:pPr>
        <w:pStyle w:val="Zkladntext"/>
        <w:numPr>
          <w:ilvl w:val="0"/>
          <w:numId w:val="43"/>
        </w:numPr>
        <w:tabs>
          <w:tab w:val="clear" w:pos="900"/>
          <w:tab w:val="num" w:pos="851"/>
        </w:tabs>
        <w:spacing w:after="0"/>
        <w:ind w:left="896" w:hanging="329"/>
      </w:pPr>
      <w:r w:rsidRPr="00746D3C">
        <w:t>čl. 52 Zmluvy o Európskej únii (Ú. v. EÚ C 202, 7.6.2016).</w:t>
      </w:r>
    </w:p>
    <w:p w14:paraId="664A33E9" w14:textId="77777777" w:rsidR="00746D3C" w:rsidRPr="00746D3C" w:rsidRDefault="00746D3C" w:rsidP="00746D3C">
      <w:pPr>
        <w:pStyle w:val="Zkladntext"/>
        <w:spacing w:after="0"/>
        <w:ind w:left="896"/>
      </w:pPr>
    </w:p>
    <w:p w14:paraId="47B66256" w14:textId="77777777" w:rsidR="00746D3C" w:rsidRPr="00746D3C" w:rsidRDefault="00746D3C" w:rsidP="00746D3C">
      <w:pPr>
        <w:pStyle w:val="Odsekzoznamu"/>
        <w:numPr>
          <w:ilvl w:val="1"/>
          <w:numId w:val="42"/>
        </w:numPr>
        <w:spacing w:after="0" w:line="240" w:lineRule="auto"/>
        <w:ind w:left="851"/>
        <w:jc w:val="both"/>
        <w:rPr>
          <w:rFonts w:ascii="Times New Roman" w:hAnsi="Times New Roman" w:cs="Times New Roman"/>
          <w:bCs/>
          <w:sz w:val="24"/>
          <w:szCs w:val="24"/>
        </w:rPr>
      </w:pPr>
      <w:r w:rsidRPr="00746D3C">
        <w:rPr>
          <w:rFonts w:ascii="Times New Roman" w:hAnsi="Times New Roman" w:cs="Times New Roman"/>
          <w:bCs/>
          <w:iCs/>
          <w:sz w:val="24"/>
          <w:szCs w:val="24"/>
        </w:rPr>
        <w:t>v sekundárnom práve</w:t>
      </w:r>
    </w:p>
    <w:p w14:paraId="3AE75E46" w14:textId="77777777" w:rsidR="00746D3C" w:rsidRPr="00746D3C" w:rsidRDefault="00746D3C" w:rsidP="00746D3C">
      <w:pPr>
        <w:pStyle w:val="Zarkazkladnhotextu"/>
        <w:ind w:left="850"/>
        <w:rPr>
          <w:rFonts w:ascii="Times New Roman" w:hAnsi="Times New Roman"/>
          <w:sz w:val="24"/>
          <w:szCs w:val="24"/>
        </w:rPr>
      </w:pPr>
    </w:p>
    <w:p w14:paraId="591885E2" w14:textId="77777777" w:rsidR="00746D3C" w:rsidRPr="00746D3C" w:rsidRDefault="00746D3C" w:rsidP="00746D3C">
      <w:pPr>
        <w:pStyle w:val="Odsekzoznamu"/>
        <w:widowControl w:val="0"/>
        <w:numPr>
          <w:ilvl w:val="1"/>
          <w:numId w:val="46"/>
        </w:numPr>
        <w:adjustRightInd w:val="0"/>
        <w:spacing w:after="0" w:line="240" w:lineRule="auto"/>
        <w:ind w:left="851" w:hanging="306"/>
        <w:jc w:val="both"/>
        <w:rPr>
          <w:rFonts w:ascii="Times New Roman" w:hAnsi="Times New Roman" w:cs="Times New Roman"/>
          <w:sz w:val="24"/>
          <w:szCs w:val="24"/>
        </w:rPr>
      </w:pPr>
      <w:r w:rsidRPr="00746D3C">
        <w:rPr>
          <w:rFonts w:ascii="Times New Roman" w:hAnsi="Times New Roman" w:cs="Times New Roman"/>
          <w:sz w:val="24"/>
          <w:szCs w:val="24"/>
        </w:rPr>
        <w:t>smernica Rady (EÚ) 2025/516 z 11. marca 2025, ktorou sa mení smernica 2006/112/ES, pokiaľ ide o pravidlá DPH pre digitálny vek (Ú. v. EÚ L, 2025/516, 25.3.2025), gestor: zatiaľ nebol určený,</w:t>
      </w:r>
    </w:p>
    <w:p w14:paraId="1CD522DE" w14:textId="77777777" w:rsidR="00746D3C" w:rsidRPr="00746D3C" w:rsidRDefault="00746D3C" w:rsidP="00746D3C">
      <w:pPr>
        <w:pStyle w:val="Odsekzoznamu"/>
        <w:ind w:left="851"/>
        <w:jc w:val="both"/>
        <w:rPr>
          <w:rFonts w:ascii="Times New Roman" w:hAnsi="Times New Roman" w:cs="Times New Roman"/>
          <w:sz w:val="24"/>
          <w:szCs w:val="24"/>
        </w:rPr>
      </w:pPr>
    </w:p>
    <w:p w14:paraId="37A76A7A" w14:textId="77777777" w:rsidR="00746D3C" w:rsidRPr="00746D3C" w:rsidRDefault="00746D3C" w:rsidP="00746D3C">
      <w:pPr>
        <w:pStyle w:val="Odsekzoznamu"/>
        <w:widowControl w:val="0"/>
        <w:numPr>
          <w:ilvl w:val="1"/>
          <w:numId w:val="46"/>
        </w:numPr>
        <w:adjustRightInd w:val="0"/>
        <w:spacing w:after="0" w:line="240" w:lineRule="auto"/>
        <w:ind w:left="851" w:hanging="306"/>
        <w:jc w:val="both"/>
        <w:rPr>
          <w:rFonts w:ascii="Times New Roman" w:hAnsi="Times New Roman" w:cs="Times New Roman"/>
          <w:sz w:val="24"/>
          <w:szCs w:val="24"/>
        </w:rPr>
      </w:pPr>
      <w:r w:rsidRPr="00746D3C">
        <w:rPr>
          <w:rFonts w:ascii="Times New Roman" w:hAnsi="Times New Roman" w:cs="Times New Roman"/>
          <w:sz w:val="24"/>
          <w:szCs w:val="24"/>
        </w:rPr>
        <w:t>smernica Komisie (EÚ) 2025/1442 z 18. júla 2025, ktorou sa mení smernica 2006/111/ES, pokiaľ ide o vykazovacie povinnosti (Ú. v. EÚ L, 2025/1442, 21.7.2025), gestor: zatiaľ nebol určený,</w:t>
      </w:r>
    </w:p>
    <w:p w14:paraId="2CAC9D44" w14:textId="77777777" w:rsidR="00746D3C" w:rsidRPr="00746D3C" w:rsidRDefault="00746D3C" w:rsidP="00746D3C">
      <w:pPr>
        <w:pStyle w:val="Odsekzoznamu"/>
        <w:ind w:left="851"/>
        <w:rPr>
          <w:rStyle w:val="Zvraznenie"/>
          <w:rFonts w:ascii="Times New Roman" w:hAnsi="Times New Roman" w:cs="Times New Roman"/>
          <w:i w:val="0"/>
          <w:iCs w:val="0"/>
          <w:sz w:val="24"/>
          <w:szCs w:val="24"/>
        </w:rPr>
      </w:pPr>
    </w:p>
    <w:p w14:paraId="751A1676" w14:textId="77777777" w:rsidR="00746D3C" w:rsidRPr="00746D3C" w:rsidRDefault="00746D3C" w:rsidP="00746D3C">
      <w:pPr>
        <w:pStyle w:val="Odsekzoznamu"/>
        <w:widowControl w:val="0"/>
        <w:numPr>
          <w:ilvl w:val="0"/>
          <w:numId w:val="43"/>
        </w:numPr>
        <w:shd w:val="clear" w:color="auto" w:fill="FFFFFF"/>
        <w:adjustRightInd w:val="0"/>
        <w:spacing w:after="0" w:line="240" w:lineRule="auto"/>
        <w:ind w:right="-115"/>
        <w:jc w:val="both"/>
        <w:rPr>
          <w:rFonts w:ascii="Times New Roman" w:hAnsi="Times New Roman" w:cs="Times New Roman"/>
          <w:sz w:val="24"/>
          <w:szCs w:val="24"/>
        </w:rPr>
      </w:pPr>
      <w:r w:rsidRPr="00746D3C">
        <w:rPr>
          <w:rFonts w:ascii="Times New Roman" w:hAnsi="Times New Roman" w:cs="Times New Roman"/>
          <w:sz w:val="24"/>
          <w:szCs w:val="24"/>
        </w:rPr>
        <w:t>smernica Európskeho parlamentu a Rady 2014/55/EÚ zo 16. apríla 2014 o elektronickej fakturácii vo verejnom obstarávaní (Ú. v. EÚ L 133, 06.05.2014), gestor: MF SR, spolugestor: UVO,</w:t>
      </w:r>
    </w:p>
    <w:p w14:paraId="04DCA821" w14:textId="77777777" w:rsidR="00746D3C" w:rsidRPr="00746D3C" w:rsidRDefault="00746D3C" w:rsidP="00746D3C">
      <w:pPr>
        <w:pStyle w:val="Odsekzoznamu"/>
        <w:shd w:val="clear" w:color="auto" w:fill="FFFFFF"/>
        <w:ind w:left="900" w:right="-115"/>
        <w:jc w:val="both"/>
        <w:rPr>
          <w:rFonts w:ascii="Times New Roman" w:hAnsi="Times New Roman" w:cs="Times New Roman"/>
          <w:sz w:val="24"/>
          <w:szCs w:val="24"/>
        </w:rPr>
      </w:pPr>
    </w:p>
    <w:p w14:paraId="202AA5D3" w14:textId="77777777" w:rsidR="00746D3C" w:rsidRPr="00746D3C" w:rsidRDefault="00746D3C" w:rsidP="00746D3C">
      <w:pPr>
        <w:pStyle w:val="Odsekzoznamu"/>
        <w:widowControl w:val="0"/>
        <w:numPr>
          <w:ilvl w:val="0"/>
          <w:numId w:val="43"/>
        </w:numPr>
        <w:shd w:val="clear" w:color="auto" w:fill="FFFFFF"/>
        <w:adjustRightInd w:val="0"/>
        <w:spacing w:after="0" w:line="240" w:lineRule="auto"/>
        <w:ind w:right="-115"/>
        <w:jc w:val="both"/>
        <w:rPr>
          <w:rFonts w:ascii="Times New Roman" w:hAnsi="Times New Roman" w:cs="Times New Roman"/>
          <w:sz w:val="24"/>
          <w:szCs w:val="24"/>
        </w:rPr>
      </w:pPr>
      <w:r w:rsidRPr="00746D3C">
        <w:rPr>
          <w:rFonts w:ascii="Times New Roman" w:hAnsi="Times New Roman" w:cs="Times New Roman"/>
          <w:sz w:val="24"/>
          <w:szCs w:val="24"/>
        </w:rPr>
        <w:t xml:space="preserve">smernica Rady 2010/45/EÚ z 13. júla 2010, ktorou sa mení a dopĺňa smernica 2006/112/ES o spoločnom systéme dane z pridanej hodnoty, pokiaľ ide o pravidlá fakturácie (Ú. v. EÚ L 189, 22.7.2010), gestor: MF SR, </w:t>
      </w:r>
    </w:p>
    <w:p w14:paraId="1F284D19" w14:textId="77777777" w:rsidR="00746D3C" w:rsidRPr="00746D3C" w:rsidRDefault="00746D3C" w:rsidP="00746D3C">
      <w:pPr>
        <w:pStyle w:val="Odsekzoznamu"/>
        <w:shd w:val="clear" w:color="auto" w:fill="FFFFFF"/>
        <w:spacing w:after="120"/>
        <w:ind w:left="900" w:right="-113"/>
        <w:jc w:val="both"/>
        <w:rPr>
          <w:rFonts w:ascii="Times New Roman" w:hAnsi="Times New Roman" w:cs="Times New Roman"/>
          <w:sz w:val="24"/>
          <w:szCs w:val="24"/>
        </w:rPr>
      </w:pPr>
    </w:p>
    <w:p w14:paraId="68226975" w14:textId="77777777" w:rsidR="00746D3C" w:rsidRPr="00746D3C" w:rsidRDefault="00746D3C" w:rsidP="00746D3C">
      <w:pPr>
        <w:pStyle w:val="Odsekzoznamu"/>
        <w:widowControl w:val="0"/>
        <w:numPr>
          <w:ilvl w:val="0"/>
          <w:numId w:val="43"/>
        </w:numPr>
        <w:shd w:val="clear" w:color="auto" w:fill="FFFFFF"/>
        <w:adjustRightInd w:val="0"/>
        <w:spacing w:after="120" w:line="240" w:lineRule="auto"/>
        <w:ind w:right="-113"/>
        <w:jc w:val="both"/>
        <w:rPr>
          <w:rFonts w:ascii="Times New Roman" w:hAnsi="Times New Roman" w:cs="Times New Roman"/>
          <w:sz w:val="24"/>
          <w:szCs w:val="24"/>
        </w:rPr>
      </w:pPr>
      <w:r w:rsidRPr="00746D3C">
        <w:rPr>
          <w:rFonts w:ascii="Times New Roman" w:hAnsi="Times New Roman" w:cs="Times New Roman"/>
          <w:sz w:val="24"/>
          <w:szCs w:val="24"/>
        </w:rPr>
        <w:t>smernica Rady 2006/112/ES z  28. novembra 2006 o spoločnom systéme dane z pridanej hodnoty (</w:t>
      </w:r>
      <w:r w:rsidRPr="00746D3C">
        <w:rPr>
          <w:rStyle w:val="Zvraznenie"/>
          <w:rFonts w:ascii="Times New Roman" w:hAnsi="Times New Roman" w:cs="Times New Roman"/>
          <w:sz w:val="24"/>
          <w:szCs w:val="24"/>
        </w:rPr>
        <w:t xml:space="preserve">Ú. v. EÚ L 347, 11.12.2006) v platnom znení, </w:t>
      </w:r>
      <w:r w:rsidRPr="00746D3C">
        <w:rPr>
          <w:rFonts w:ascii="Times New Roman" w:hAnsi="Times New Roman" w:cs="Times New Roman"/>
          <w:sz w:val="24"/>
          <w:szCs w:val="24"/>
        </w:rPr>
        <w:t>gestor: MF SR,</w:t>
      </w:r>
    </w:p>
    <w:p w14:paraId="0B34A23F" w14:textId="77777777" w:rsidR="00746D3C" w:rsidRPr="00746D3C" w:rsidRDefault="00746D3C" w:rsidP="00746D3C">
      <w:pPr>
        <w:pStyle w:val="Odsekzoznamu"/>
        <w:rPr>
          <w:rFonts w:ascii="Times New Roman" w:hAnsi="Times New Roman" w:cs="Times New Roman"/>
          <w:sz w:val="24"/>
          <w:szCs w:val="24"/>
        </w:rPr>
      </w:pPr>
    </w:p>
    <w:p w14:paraId="7D40FE36" w14:textId="77777777" w:rsidR="00746D3C" w:rsidRPr="00746D3C" w:rsidRDefault="00746D3C" w:rsidP="00746D3C">
      <w:pPr>
        <w:pStyle w:val="Odsekzoznamu"/>
        <w:widowControl w:val="0"/>
        <w:numPr>
          <w:ilvl w:val="0"/>
          <w:numId w:val="43"/>
        </w:numPr>
        <w:shd w:val="clear" w:color="auto" w:fill="FFFFFF"/>
        <w:adjustRightInd w:val="0"/>
        <w:spacing w:after="120" w:line="240" w:lineRule="auto"/>
        <w:ind w:right="-113"/>
        <w:jc w:val="both"/>
        <w:rPr>
          <w:rFonts w:ascii="Times New Roman" w:hAnsi="Times New Roman" w:cs="Times New Roman"/>
          <w:sz w:val="24"/>
          <w:szCs w:val="24"/>
        </w:rPr>
      </w:pPr>
      <w:r w:rsidRPr="00746D3C">
        <w:rPr>
          <w:rFonts w:ascii="Times New Roman" w:hAnsi="Times New Roman" w:cs="Times New Roman"/>
          <w:sz w:val="24"/>
          <w:szCs w:val="24"/>
        </w:rPr>
        <w:t xml:space="preserve">smernica Komisie 2006/111/ES zo 16. novembra 2006 o transparentnosti finančných vzťahov členských štátov a verejných podnikov a o finančnej transparentnosti v niektorých podnikoch (kodifikované znenie) </w:t>
      </w:r>
      <w:r w:rsidRPr="00746D3C">
        <w:rPr>
          <w:rFonts w:ascii="Times New Roman" w:hAnsi="Times New Roman" w:cs="Times New Roman"/>
          <w:color w:val="000000"/>
          <w:sz w:val="24"/>
          <w:szCs w:val="24"/>
        </w:rPr>
        <w:t xml:space="preserve">(Ú. v. EÚ L 318, 17.11.2006) </w:t>
      </w:r>
      <w:r w:rsidRPr="00746D3C">
        <w:rPr>
          <w:rFonts w:ascii="Times New Roman" w:hAnsi="Times New Roman" w:cs="Times New Roman"/>
          <w:sz w:val="24"/>
          <w:szCs w:val="24"/>
        </w:rPr>
        <w:t>v platnom znení, gestor: MFSR,</w:t>
      </w:r>
    </w:p>
    <w:p w14:paraId="416547B7" w14:textId="77777777" w:rsidR="00746D3C" w:rsidRPr="00746D3C" w:rsidRDefault="00746D3C" w:rsidP="00746D3C">
      <w:pPr>
        <w:pStyle w:val="Odsekzoznamu"/>
        <w:shd w:val="clear" w:color="auto" w:fill="FFFFFF"/>
        <w:ind w:left="900" w:right="-115"/>
        <w:jc w:val="both"/>
        <w:rPr>
          <w:rStyle w:val="Zvraznenie"/>
          <w:rFonts w:ascii="Times New Roman" w:hAnsi="Times New Roman" w:cs="Times New Roman"/>
          <w:i w:val="0"/>
          <w:iCs w:val="0"/>
          <w:sz w:val="24"/>
          <w:szCs w:val="24"/>
        </w:rPr>
      </w:pPr>
    </w:p>
    <w:p w14:paraId="657D191C" w14:textId="77777777" w:rsidR="00746D3C" w:rsidRPr="00746D3C" w:rsidRDefault="00746D3C" w:rsidP="00746D3C">
      <w:pPr>
        <w:pStyle w:val="Odsekzoznamu"/>
        <w:widowControl w:val="0"/>
        <w:numPr>
          <w:ilvl w:val="0"/>
          <w:numId w:val="43"/>
        </w:numPr>
        <w:shd w:val="clear" w:color="auto" w:fill="FFFFFF"/>
        <w:adjustRightInd w:val="0"/>
        <w:spacing w:after="0" w:line="240" w:lineRule="auto"/>
        <w:ind w:right="-115"/>
        <w:jc w:val="both"/>
        <w:rPr>
          <w:rStyle w:val="Zvraznenie"/>
          <w:rFonts w:ascii="Times New Roman" w:hAnsi="Times New Roman" w:cs="Times New Roman"/>
          <w:i w:val="0"/>
          <w:iCs w:val="0"/>
          <w:sz w:val="24"/>
          <w:szCs w:val="24"/>
        </w:rPr>
      </w:pPr>
      <w:r w:rsidRPr="00746D3C">
        <w:rPr>
          <w:rFonts w:ascii="Times New Roman" w:hAnsi="Times New Roman" w:cs="Times New Roman"/>
          <w:color w:val="000000"/>
          <w:sz w:val="24"/>
          <w:szCs w:val="24"/>
        </w:rPr>
        <w:t xml:space="preserve">vykonávacie nariadenie Komisie (EÚ) 2024/2952 z 29. novembra 2024, ktorým sa stanovuje spoločný vzor a elektronické formáty na podávanie správ na účely uplatňovania smernice Európskeho parlamentu a Rady 2013/34/EÚ, pokiaľ ide o informácie, ktoré sa majú predkladať v správach s informáciami o dani z príjmov (Ú. </w:t>
      </w:r>
      <w:r w:rsidRPr="00746D3C">
        <w:rPr>
          <w:rFonts w:ascii="Times New Roman" w:hAnsi="Times New Roman" w:cs="Times New Roman"/>
          <w:color w:val="000000"/>
          <w:sz w:val="24"/>
          <w:szCs w:val="24"/>
        </w:rPr>
        <w:lastRenderedPageBreak/>
        <w:t>v. EÚ L, 2024/2952, 2. 12. 2024) v platnom znení, gestor:</w:t>
      </w:r>
      <w:r w:rsidRPr="00746D3C">
        <w:rPr>
          <w:rFonts w:ascii="Times New Roman" w:hAnsi="Times New Roman" w:cs="Times New Roman"/>
          <w:sz w:val="24"/>
          <w:szCs w:val="24"/>
        </w:rPr>
        <w:t xml:space="preserve"> MF SR,</w:t>
      </w:r>
      <w:r w:rsidRPr="00746D3C">
        <w:rPr>
          <w:rFonts w:ascii="Times New Roman" w:hAnsi="Times New Roman" w:cs="Times New Roman"/>
          <w:color w:val="000000"/>
          <w:sz w:val="24"/>
          <w:szCs w:val="24"/>
        </w:rPr>
        <w:t xml:space="preserve"> </w:t>
      </w:r>
    </w:p>
    <w:p w14:paraId="0B393B04" w14:textId="77777777" w:rsidR="00746D3C" w:rsidRPr="00746D3C" w:rsidRDefault="00746D3C" w:rsidP="00746D3C">
      <w:pPr>
        <w:pStyle w:val="Odsekzoznamu"/>
        <w:rPr>
          <w:rFonts w:ascii="Times New Roman" w:hAnsi="Times New Roman" w:cs="Times New Roman"/>
          <w:sz w:val="24"/>
          <w:szCs w:val="24"/>
        </w:rPr>
      </w:pPr>
    </w:p>
    <w:p w14:paraId="2D99B4E3" w14:textId="77777777" w:rsidR="00746D3C" w:rsidRPr="00746D3C" w:rsidRDefault="00746D3C" w:rsidP="00746D3C">
      <w:pPr>
        <w:pStyle w:val="Odsekzoznamu"/>
        <w:widowControl w:val="0"/>
        <w:numPr>
          <w:ilvl w:val="0"/>
          <w:numId w:val="43"/>
        </w:numPr>
        <w:adjustRightInd w:val="0"/>
        <w:spacing w:after="0" w:line="240" w:lineRule="auto"/>
        <w:jc w:val="both"/>
        <w:rPr>
          <w:rFonts w:ascii="Times New Roman" w:hAnsi="Times New Roman" w:cs="Times New Roman"/>
          <w:sz w:val="24"/>
          <w:szCs w:val="24"/>
        </w:rPr>
      </w:pPr>
      <w:r w:rsidRPr="00746D3C">
        <w:rPr>
          <w:rFonts w:ascii="Times New Roman" w:hAnsi="Times New Roman" w:cs="Times New Roman"/>
          <w:sz w:val="24"/>
          <w:szCs w:val="24"/>
        </w:rPr>
        <w:t>delegované nariadenie Komisie (EÚ) 2019/815 zo 17. decembra 2018, ktorým sa dopĺňa smernica Európskeho parlamentu a Rady (EÚ) 2004/109/ES, pokiaľ ide o regulačné technické predpisy o špecifikácii jednotného elektronického formátu vykazovania (Ú. v. EÚ L 143, 29.5.2019) v platnom znení, gestori: MF SR, NBS,</w:t>
      </w:r>
    </w:p>
    <w:p w14:paraId="7CBD3749" w14:textId="77777777" w:rsidR="00746D3C" w:rsidRPr="00746D3C" w:rsidRDefault="00746D3C" w:rsidP="00746D3C">
      <w:pPr>
        <w:pStyle w:val="Odsekzoznamu"/>
        <w:rPr>
          <w:rFonts w:ascii="Times New Roman" w:hAnsi="Times New Roman" w:cs="Times New Roman"/>
          <w:sz w:val="24"/>
          <w:szCs w:val="24"/>
        </w:rPr>
      </w:pPr>
    </w:p>
    <w:p w14:paraId="01FEEF06" w14:textId="77777777" w:rsidR="00746D3C" w:rsidRPr="00746D3C" w:rsidRDefault="00746D3C" w:rsidP="00746D3C">
      <w:pPr>
        <w:pStyle w:val="Odsekzoznamu"/>
        <w:widowControl w:val="0"/>
        <w:numPr>
          <w:ilvl w:val="0"/>
          <w:numId w:val="43"/>
        </w:numPr>
        <w:shd w:val="clear" w:color="auto" w:fill="FFFFFF"/>
        <w:adjustRightInd w:val="0"/>
        <w:spacing w:after="0" w:line="240" w:lineRule="auto"/>
        <w:ind w:right="-115"/>
        <w:jc w:val="both"/>
        <w:rPr>
          <w:rFonts w:ascii="Times New Roman" w:hAnsi="Times New Roman" w:cs="Times New Roman"/>
          <w:sz w:val="24"/>
          <w:szCs w:val="24"/>
        </w:rPr>
      </w:pPr>
      <w:r w:rsidRPr="00746D3C">
        <w:rPr>
          <w:rFonts w:ascii="Times New Roman" w:hAnsi="Times New Roman" w:cs="Times New Roman"/>
          <w:sz w:val="24"/>
          <w:szCs w:val="24"/>
        </w:rPr>
        <w:t xml:space="preserve">vykonávacie rozhodnutie Komisie (EÚ) </w:t>
      </w:r>
      <w:bookmarkStart w:id="16" w:name="_Hlk203470742"/>
      <w:r w:rsidRPr="00746D3C">
        <w:rPr>
          <w:rFonts w:ascii="Times New Roman" w:hAnsi="Times New Roman" w:cs="Times New Roman"/>
          <w:sz w:val="24"/>
          <w:szCs w:val="24"/>
        </w:rPr>
        <w:t xml:space="preserve">2017/1870 </w:t>
      </w:r>
      <w:bookmarkEnd w:id="16"/>
      <w:r w:rsidRPr="00746D3C">
        <w:rPr>
          <w:rFonts w:ascii="Times New Roman" w:hAnsi="Times New Roman" w:cs="Times New Roman"/>
          <w:sz w:val="24"/>
          <w:szCs w:val="24"/>
        </w:rPr>
        <w:t>zo 16. októbra 2017 o uverejnení odkazu na európsku normu pre elektronickú fakturáciu a zoznamu syntaxí podľa smernice Európskeho parlamentu a Rady 2014/55/EÚ (Ú. v. EÚ L 266, 17. 10. 2017) gestori: MF SR, ÚVO,</w:t>
      </w:r>
    </w:p>
    <w:p w14:paraId="2C246444" w14:textId="77777777" w:rsidR="00746D3C" w:rsidRPr="00746D3C" w:rsidRDefault="00746D3C" w:rsidP="00746D3C">
      <w:pPr>
        <w:pStyle w:val="Odsekzoznamu"/>
        <w:shd w:val="clear" w:color="auto" w:fill="FFFFFF"/>
        <w:ind w:left="900" w:right="-115"/>
        <w:jc w:val="both"/>
        <w:rPr>
          <w:rFonts w:ascii="Times New Roman" w:hAnsi="Times New Roman" w:cs="Times New Roman"/>
          <w:sz w:val="24"/>
          <w:szCs w:val="24"/>
        </w:rPr>
      </w:pPr>
    </w:p>
    <w:p w14:paraId="0B274932" w14:textId="77777777" w:rsidR="00746D3C" w:rsidRPr="00746D3C" w:rsidRDefault="00746D3C" w:rsidP="00746D3C">
      <w:pPr>
        <w:pStyle w:val="Odsekzoznamu"/>
        <w:widowControl w:val="0"/>
        <w:numPr>
          <w:ilvl w:val="0"/>
          <w:numId w:val="43"/>
        </w:numPr>
        <w:shd w:val="clear" w:color="auto" w:fill="FFFFFF"/>
        <w:adjustRightInd w:val="0"/>
        <w:spacing w:after="0" w:line="240" w:lineRule="auto"/>
        <w:ind w:right="-115"/>
        <w:jc w:val="both"/>
        <w:rPr>
          <w:rFonts w:ascii="Times New Roman" w:hAnsi="Times New Roman" w:cs="Times New Roman"/>
          <w:sz w:val="24"/>
          <w:szCs w:val="24"/>
        </w:rPr>
      </w:pPr>
      <w:r w:rsidRPr="00746D3C">
        <w:rPr>
          <w:rFonts w:ascii="Times New Roman" w:hAnsi="Times New Roman" w:cs="Times New Roman"/>
          <w:color w:val="000000" w:themeColor="text1"/>
          <w:sz w:val="24"/>
          <w:szCs w:val="24"/>
        </w:rPr>
        <w:t xml:space="preserve">nariadenie Európskeho parlamentu a Rady (EÚ) č. 910/2014 </w:t>
      </w:r>
      <w:bookmarkStart w:id="17" w:name="_Hlk203471396"/>
      <w:r w:rsidRPr="00746D3C">
        <w:rPr>
          <w:rFonts w:ascii="Times New Roman" w:hAnsi="Times New Roman" w:cs="Times New Roman"/>
          <w:sz w:val="24"/>
          <w:szCs w:val="24"/>
        </w:rPr>
        <w:t xml:space="preserve">z 23. júla 2014 </w:t>
      </w:r>
      <w:bookmarkEnd w:id="17"/>
      <w:r w:rsidRPr="00746D3C">
        <w:rPr>
          <w:rFonts w:ascii="Times New Roman" w:hAnsi="Times New Roman" w:cs="Times New Roman"/>
          <w:color w:val="000000" w:themeColor="text1"/>
          <w:sz w:val="24"/>
          <w:szCs w:val="24"/>
        </w:rPr>
        <w:t>o elektronickej identifikácii a dôveryhodných službách pre elektronické transakcie na vnútornom trhu a o zrušení smernice 1999/93/ES (Ú. v. EÚ L 257, 28. 8. 2014) v platnom znení, gestori:</w:t>
      </w:r>
      <w:r w:rsidRPr="00746D3C">
        <w:rPr>
          <w:rFonts w:ascii="Times New Roman" w:hAnsi="Times New Roman" w:cs="Times New Roman"/>
          <w:sz w:val="24"/>
          <w:szCs w:val="24"/>
        </w:rPr>
        <w:t xml:space="preserve"> </w:t>
      </w:r>
      <w:r w:rsidRPr="00746D3C">
        <w:rPr>
          <w:rFonts w:ascii="Times New Roman" w:hAnsi="Times New Roman" w:cs="Times New Roman"/>
          <w:color w:val="000000" w:themeColor="text1"/>
          <w:sz w:val="24"/>
          <w:szCs w:val="24"/>
        </w:rPr>
        <w:t>NBÚ, MF SR, MV SR,</w:t>
      </w:r>
    </w:p>
    <w:p w14:paraId="7D2FA806" w14:textId="77777777" w:rsidR="00746D3C" w:rsidRPr="00746D3C" w:rsidRDefault="00746D3C" w:rsidP="00746D3C">
      <w:pPr>
        <w:pStyle w:val="Odsekzoznamu"/>
        <w:shd w:val="clear" w:color="auto" w:fill="FFFFFF"/>
        <w:ind w:left="900" w:right="-115"/>
        <w:jc w:val="both"/>
        <w:rPr>
          <w:rFonts w:ascii="Times New Roman" w:hAnsi="Times New Roman" w:cs="Times New Roman"/>
          <w:sz w:val="24"/>
          <w:szCs w:val="24"/>
        </w:rPr>
      </w:pPr>
    </w:p>
    <w:p w14:paraId="284DFC78" w14:textId="77777777" w:rsidR="00746D3C" w:rsidRPr="00746D3C" w:rsidRDefault="00746D3C" w:rsidP="00746D3C"/>
    <w:p w14:paraId="52DB5F09" w14:textId="77777777" w:rsidR="00746D3C" w:rsidRPr="00746D3C" w:rsidRDefault="00746D3C" w:rsidP="00746D3C">
      <w:pPr>
        <w:pStyle w:val="Zkladntext"/>
        <w:numPr>
          <w:ilvl w:val="1"/>
          <w:numId w:val="42"/>
        </w:numPr>
        <w:tabs>
          <w:tab w:val="left" w:pos="851"/>
        </w:tabs>
        <w:spacing w:after="0"/>
        <w:jc w:val="both"/>
        <w:rPr>
          <w:bCs/>
        </w:rPr>
      </w:pPr>
      <w:r w:rsidRPr="00746D3C">
        <w:rPr>
          <w:bCs/>
        </w:rPr>
        <w:t xml:space="preserve">v judikatúre  Súdneho dvora Európskej únie:     </w:t>
      </w:r>
    </w:p>
    <w:p w14:paraId="44D9B522" w14:textId="77777777" w:rsidR="00746D3C" w:rsidRPr="00746D3C" w:rsidRDefault="00746D3C" w:rsidP="00746D3C">
      <w:pPr>
        <w:pStyle w:val="Zkladntext"/>
        <w:tabs>
          <w:tab w:val="left" w:pos="851"/>
        </w:tabs>
        <w:spacing w:after="0"/>
        <w:jc w:val="both"/>
        <w:rPr>
          <w:b/>
        </w:rPr>
      </w:pPr>
    </w:p>
    <w:p w14:paraId="6F06C386" w14:textId="77777777" w:rsidR="00746D3C" w:rsidRPr="00746D3C" w:rsidRDefault="00746D3C" w:rsidP="00746D3C">
      <w:pPr>
        <w:pStyle w:val="Normlnywebov"/>
        <w:numPr>
          <w:ilvl w:val="0"/>
          <w:numId w:val="45"/>
        </w:numPr>
        <w:ind w:left="851" w:right="-113" w:hanging="284"/>
        <w:jc w:val="both"/>
        <w:rPr>
          <w:lang w:eastAsia="cs-CZ"/>
        </w:rPr>
      </w:pPr>
      <w:r w:rsidRPr="00746D3C">
        <w:rPr>
          <w:lang w:eastAsia="cs-CZ"/>
        </w:rPr>
        <w:t xml:space="preserve">rozsudok Súdneho dvora vo veci C-171/23, </w:t>
      </w:r>
      <w:r w:rsidRPr="00746D3C">
        <w:rPr>
          <w:bCs/>
        </w:rPr>
        <w:t xml:space="preserve">UP CAFFE d.o.o. </w:t>
      </w:r>
      <w:r w:rsidRPr="00746D3C">
        <w:rPr>
          <w:lang w:eastAsia="cs-CZ"/>
        </w:rPr>
        <w:t>proti Ministarstvo financija Republike Hrvatske , [2024].</w:t>
      </w:r>
    </w:p>
    <w:p w14:paraId="7187D447" w14:textId="77777777" w:rsidR="00746D3C" w:rsidRPr="00746D3C" w:rsidRDefault="00746D3C" w:rsidP="00746D3C">
      <w:pPr>
        <w:pStyle w:val="Normlnywebov"/>
        <w:ind w:left="851" w:right="-113"/>
        <w:jc w:val="both"/>
        <w:rPr>
          <w:lang w:eastAsia="cs-CZ"/>
        </w:rPr>
      </w:pPr>
    </w:p>
    <w:p w14:paraId="02E79784" w14:textId="77777777" w:rsidR="00746D3C" w:rsidRPr="00746D3C" w:rsidRDefault="00746D3C" w:rsidP="00746D3C">
      <w:pPr>
        <w:pStyle w:val="Normlnywebov"/>
        <w:ind w:left="896" w:right="-113"/>
        <w:jc w:val="both"/>
        <w:rPr>
          <w:lang w:eastAsia="cs-CZ"/>
        </w:rPr>
      </w:pPr>
      <w:r w:rsidRPr="00746D3C">
        <w:rPr>
          <w:lang w:eastAsia="cs-CZ"/>
        </w:rPr>
        <w:t>Výrok rozsudku:</w:t>
      </w:r>
    </w:p>
    <w:p w14:paraId="09AC4FD7" w14:textId="77777777" w:rsidR="00746D3C" w:rsidRPr="00746D3C" w:rsidRDefault="00746D3C" w:rsidP="00746D3C">
      <w:pPr>
        <w:spacing w:after="240"/>
        <w:ind w:left="851"/>
        <w:jc w:val="both"/>
        <w:rPr>
          <w:lang w:eastAsia="cs-CZ"/>
        </w:rPr>
      </w:pPr>
      <w:r w:rsidRPr="00746D3C">
        <w:rPr>
          <w:lang w:eastAsia="cs-CZ"/>
        </w:rPr>
        <w:t>„Smernica Rady 2006/112/ES z 28. novembra 2006 o spoločnom systéme dane z pridanej hodnoty, zmenená smernicou Rady (EÚ) 2016/856 z 25. mája 2016 v spojení so zásadou zákazu zneužívajúcich konaní sa má vykladať v tom zmysle, že ak sa preukáže, že založenie spoločnosti predstavuje zneužívajúce konanie s cieľom zachovať si výhody systému oslobodenia od dane z pridanej hodnoty stanoveného v článku 287 bode 19 tejto smernice 2006/112 v súvislosti s činnosťou, ktorú predtým vykonávala na základe tohto systému iná spoločnosť, uvedená smernica 2006/112 ukladá, že takto založená spoločnosť nemôže využívať uvedený systém, a to ani v prípade neexistencie osobitných ustanovení, ktoré by vo vnútroštátnom právnom poriadku zakotvovali zákaz takýchto zneužívajúcich konaní.“.</w:t>
      </w:r>
    </w:p>
    <w:p w14:paraId="327F9704" w14:textId="77777777" w:rsidR="00746D3C" w:rsidRPr="00746D3C" w:rsidRDefault="00746D3C" w:rsidP="00746D3C">
      <w:pPr>
        <w:pStyle w:val="Normlnywebov"/>
        <w:numPr>
          <w:ilvl w:val="0"/>
          <w:numId w:val="45"/>
        </w:numPr>
        <w:spacing w:before="125" w:after="125"/>
        <w:ind w:left="851" w:right="-113" w:hanging="284"/>
        <w:jc w:val="both"/>
        <w:rPr>
          <w:lang w:eastAsia="cs-CZ"/>
        </w:rPr>
      </w:pPr>
      <w:r w:rsidRPr="00746D3C">
        <w:rPr>
          <w:lang w:eastAsia="cs-CZ"/>
        </w:rPr>
        <w:t>rozsudok Súdneho dvora vo veci C</w:t>
      </w:r>
      <w:r w:rsidRPr="00746D3C">
        <w:rPr>
          <w:lang w:eastAsia="cs-CZ"/>
        </w:rPr>
        <w:noBreakHyphen/>
        <w:t>624/23, SEM Remont“ EOOD proti Direktor na Direkcija „Obžalvane i danăčno‑osiguritelna praktika“ Varna pri Centralno upravlenie na Nacionalnata agencija za prichodite, [2024].</w:t>
      </w:r>
    </w:p>
    <w:p w14:paraId="63D14FDB" w14:textId="77777777" w:rsidR="00746D3C" w:rsidRPr="00746D3C" w:rsidRDefault="00746D3C" w:rsidP="00746D3C">
      <w:pPr>
        <w:pStyle w:val="Normlnywebov"/>
        <w:ind w:left="851" w:right="-113"/>
        <w:jc w:val="both"/>
        <w:rPr>
          <w:lang w:eastAsia="cs-CZ"/>
        </w:rPr>
      </w:pPr>
      <w:r w:rsidRPr="00746D3C">
        <w:rPr>
          <w:lang w:eastAsia="cs-CZ"/>
        </w:rPr>
        <w:t>Výrok rozsudku:</w:t>
      </w:r>
    </w:p>
    <w:p w14:paraId="6FF1663A" w14:textId="77777777" w:rsidR="00746D3C" w:rsidRPr="00746D3C" w:rsidRDefault="00746D3C" w:rsidP="00746D3C">
      <w:pPr>
        <w:pStyle w:val="Normlnywebov"/>
        <w:ind w:left="1134" w:right="-113" w:hanging="283"/>
        <w:jc w:val="both"/>
        <w:rPr>
          <w:lang w:eastAsia="cs-CZ"/>
        </w:rPr>
      </w:pPr>
      <w:r w:rsidRPr="00746D3C">
        <w:rPr>
          <w:lang w:eastAsia="cs-CZ"/>
        </w:rPr>
        <w:t>„1. Smernica Rady 2006/112/ES z 28. novembra 2006 o spoločnom systéme dane z pridanej hodnoty, zmenená smernicou Rady 2010/45/EÚ z 13. júla 2010, sa má vykladať v tom zmysle, že: nebráni právnej úprave členského štátu, podľa ktorej príjemca dodania podliehajúceho dani z pridanej hodnoty (DPH) nemá právo na odpočítanie tejto dane, ktoré je stanovené touto smernicou, v prípade, že si dodávateľ po prvé nesplnil svoju povinnosť, ktorú stanovuje táto právna úprava, podať žiadosť o registráciu na účely DPH a príjemcovi vystavil faktúry, v ktorých nebola uvedená DPH, a po druhé v priebehu daňovej kontroly vyhotovil zápisnicu, v ktorej je táto DPH uvedená a v ktorej je tento dodávateľ označený aj ako príjemca tohto dodania.</w:t>
      </w:r>
    </w:p>
    <w:p w14:paraId="1AEBA32D" w14:textId="77777777" w:rsidR="00746D3C" w:rsidRPr="00746D3C" w:rsidRDefault="00746D3C" w:rsidP="00746D3C">
      <w:pPr>
        <w:pStyle w:val="Normlnywebov"/>
        <w:ind w:left="1134" w:right="-113" w:hanging="283"/>
        <w:jc w:val="both"/>
        <w:rPr>
          <w:lang w:eastAsia="cs-CZ"/>
        </w:rPr>
      </w:pPr>
      <w:r w:rsidRPr="00746D3C">
        <w:rPr>
          <w:lang w:eastAsia="cs-CZ"/>
        </w:rPr>
        <w:t xml:space="preserve">2.  Smernica 2006/112, zmenená smernicou 2010/45/EÚ, a zásada neutrality dane z pridanej hodnoty sa majú vykladať v tom zmysle, že: nebránia právnej úprave členského štátu, ktorá vylučuje možnosť opraviť faktúru v prípade, že po prvé na </w:t>
      </w:r>
      <w:r w:rsidRPr="00746D3C">
        <w:rPr>
          <w:lang w:eastAsia="cs-CZ"/>
        </w:rPr>
        <w:lastRenderedPageBreak/>
        <w:t>faktúre, ktorú dodávateľ odovzdal príjemcovi dodania podliehajúceho DPH, táto daň nebola uvedená, a po druhé pri daňovej kontrole u tohto dodávateľa tento dodávateľ vyhotovil zápisnicu, v ktorej DPH je uvedená a v ktorej je daný dodávateľ označený aj ako príjemca tohto dodania.“.</w:t>
      </w:r>
    </w:p>
    <w:p w14:paraId="5CDFC299" w14:textId="77777777" w:rsidR="00746D3C" w:rsidRPr="00746D3C" w:rsidRDefault="00746D3C" w:rsidP="00746D3C">
      <w:pPr>
        <w:pStyle w:val="Normlnywebov"/>
        <w:ind w:right="-113"/>
        <w:jc w:val="both"/>
        <w:rPr>
          <w:lang w:eastAsia="cs-CZ"/>
        </w:rPr>
      </w:pPr>
    </w:p>
    <w:p w14:paraId="0F394BD7" w14:textId="77777777" w:rsidR="00746D3C" w:rsidRPr="00746D3C" w:rsidRDefault="00746D3C" w:rsidP="00746D3C">
      <w:pPr>
        <w:pStyle w:val="Normlnywebov"/>
        <w:numPr>
          <w:ilvl w:val="0"/>
          <w:numId w:val="47"/>
        </w:numPr>
        <w:spacing w:before="125" w:after="125"/>
        <w:ind w:left="851" w:right="-113" w:hanging="284"/>
        <w:jc w:val="both"/>
        <w:rPr>
          <w:lang w:eastAsia="cs-CZ"/>
        </w:rPr>
      </w:pPr>
      <w:r w:rsidRPr="00746D3C">
        <w:rPr>
          <w:lang w:eastAsia="cs-CZ"/>
        </w:rPr>
        <w:t>rozsudok Súdneho dvora vo veci C</w:t>
      </w:r>
      <w:r w:rsidRPr="00746D3C">
        <w:rPr>
          <w:lang w:eastAsia="cs-CZ"/>
        </w:rPr>
        <w:noBreakHyphen/>
        <w:t>429/23, NARE‑BG“ ЕООD proti Direktor na Direkcija „Obžalvane i danăčno‑osiguritelna praktika“ – Varna pri Centralno upravlenie na Nacionalnata agencija za prichodite, [2024].</w:t>
      </w:r>
    </w:p>
    <w:p w14:paraId="241F2BEF" w14:textId="77777777" w:rsidR="00746D3C" w:rsidRPr="00746D3C" w:rsidRDefault="00746D3C" w:rsidP="00746D3C">
      <w:pPr>
        <w:pStyle w:val="Normlnywebov"/>
        <w:ind w:left="851" w:right="-113"/>
        <w:jc w:val="both"/>
        <w:rPr>
          <w:lang w:eastAsia="cs-CZ"/>
        </w:rPr>
      </w:pPr>
      <w:r w:rsidRPr="00746D3C">
        <w:rPr>
          <w:lang w:eastAsia="cs-CZ"/>
        </w:rPr>
        <w:t>Výrok rozsudku:</w:t>
      </w:r>
    </w:p>
    <w:p w14:paraId="5AE52579" w14:textId="77777777" w:rsidR="00746D3C" w:rsidRPr="00746D3C" w:rsidRDefault="00746D3C" w:rsidP="00746D3C">
      <w:pPr>
        <w:pStyle w:val="Odsekzoznamu"/>
        <w:spacing w:after="240"/>
        <w:ind w:left="851"/>
        <w:jc w:val="both"/>
        <w:rPr>
          <w:rFonts w:ascii="Times New Roman" w:hAnsi="Times New Roman" w:cs="Times New Roman"/>
          <w:sz w:val="24"/>
          <w:szCs w:val="24"/>
          <w:lang w:eastAsia="cs-CZ"/>
        </w:rPr>
      </w:pPr>
      <w:r w:rsidRPr="00746D3C">
        <w:rPr>
          <w:rFonts w:ascii="Times New Roman" w:hAnsi="Times New Roman" w:cs="Times New Roman"/>
          <w:sz w:val="24"/>
          <w:szCs w:val="24"/>
          <w:lang w:eastAsia="cs-CZ"/>
        </w:rPr>
        <w:t>„Článok 184 smernice Rady 2006/112/ES  z 28. novembra 2006 o spoločnom systéme dane z pridanej hodnoty, zmenenej smernicou Rady 2010/45/EÚ z 13. júla 2010, v spojení s článkom 186 smernice 2006/112, zmenenej smernicou 2010/45, ako aj zásady ekvivalencie, efektivity a neutrality dane z pridanej hodnoty (DPH), sa majú vykladať v tom zmysle, že: nebránia vnútroštátnej právnej úprave a správnej praxi, podľa ktorých sa zdaniteľnej osobe odoprie právo na odpočítanie DPH zaplatenej na vstupe pred jej registráciou na účely DPH, z dôvodu, že požiadala o toto odpočítanie po uplynutí prekluzívnej lehoty stanovenej uplatniteľnou vnútroštátnou právnou úpravou prostredníctvom daňového priznania, ktorého cieľom bolo opraviť daňové priznanie k DPH podané pred uplynutím tejto lehoty, bez ohľadu na okolnosť, že vnútroštátne opatrenia súvisiace s pandémiou COVID‑19 boli prijaté s cieľom predĺžiť lehoty na podanie daňového priznania a zaplatenie niektorých daní, pričom DPH medzi tieto dane nepatrí.“.</w:t>
      </w:r>
    </w:p>
    <w:p w14:paraId="23DB6EE5" w14:textId="77777777" w:rsidR="00746D3C" w:rsidRPr="00746D3C" w:rsidRDefault="00746D3C" w:rsidP="00746D3C">
      <w:pPr>
        <w:ind w:left="851"/>
        <w:jc w:val="both"/>
        <w:rPr>
          <w:lang w:eastAsia="cs-CZ"/>
        </w:rPr>
      </w:pPr>
    </w:p>
    <w:p w14:paraId="343A1C29" w14:textId="77777777" w:rsidR="00746D3C" w:rsidRPr="00746D3C" w:rsidRDefault="00746D3C" w:rsidP="00746D3C">
      <w:pPr>
        <w:numPr>
          <w:ilvl w:val="0"/>
          <w:numId w:val="42"/>
        </w:numPr>
        <w:tabs>
          <w:tab w:val="left" w:pos="360"/>
        </w:tabs>
        <w:jc w:val="both"/>
        <w:rPr>
          <w:b/>
          <w:bCs/>
        </w:rPr>
      </w:pPr>
      <w:r w:rsidRPr="00746D3C">
        <w:rPr>
          <w:b/>
          <w:bCs/>
        </w:rPr>
        <w:t>Záväzky Slovenskej republiky vo vzťahu k Európskej únii:</w:t>
      </w:r>
    </w:p>
    <w:p w14:paraId="345729FC" w14:textId="77777777" w:rsidR="00746D3C" w:rsidRPr="00746D3C" w:rsidRDefault="00746D3C" w:rsidP="00746D3C">
      <w:pPr>
        <w:tabs>
          <w:tab w:val="left" w:pos="360"/>
        </w:tabs>
        <w:ind w:left="425"/>
        <w:jc w:val="both"/>
        <w:rPr>
          <w:b/>
          <w:bCs/>
        </w:rPr>
      </w:pPr>
    </w:p>
    <w:p w14:paraId="0EF28144" w14:textId="77777777" w:rsidR="00746D3C" w:rsidRPr="00746D3C" w:rsidRDefault="00746D3C" w:rsidP="00746D3C">
      <w:pPr>
        <w:pStyle w:val="Zkladntext"/>
        <w:numPr>
          <w:ilvl w:val="0"/>
          <w:numId w:val="44"/>
        </w:numPr>
        <w:tabs>
          <w:tab w:val="left" w:pos="360"/>
          <w:tab w:val="left" w:pos="540"/>
        </w:tabs>
        <w:spacing w:after="0"/>
        <w:jc w:val="both"/>
      </w:pPr>
      <w:r w:rsidRPr="00746D3C">
        <w:t xml:space="preserve">Lehota na prebratie smernice 2006/112/ES </w:t>
      </w:r>
      <w:r w:rsidRPr="00746D3C">
        <w:rPr>
          <w:rStyle w:val="Zvraznenie"/>
        </w:rPr>
        <w:t>v platnom znení</w:t>
      </w:r>
      <w:r w:rsidRPr="00746D3C">
        <w:t xml:space="preserve"> bola stanovená do 1.1.2008.</w:t>
      </w:r>
    </w:p>
    <w:p w14:paraId="0855C395" w14:textId="77777777" w:rsidR="00746D3C" w:rsidRPr="00746D3C" w:rsidRDefault="00746D3C" w:rsidP="00746D3C">
      <w:pPr>
        <w:pStyle w:val="Zkladntext"/>
        <w:tabs>
          <w:tab w:val="left" w:pos="360"/>
          <w:tab w:val="left" w:pos="540"/>
        </w:tabs>
        <w:spacing w:after="0"/>
        <w:ind w:left="785"/>
        <w:jc w:val="both"/>
      </w:pPr>
    </w:p>
    <w:p w14:paraId="5D3CCF3E" w14:textId="77777777" w:rsidR="00746D3C" w:rsidRPr="00746D3C" w:rsidRDefault="00746D3C" w:rsidP="00746D3C">
      <w:pPr>
        <w:pStyle w:val="Zkladntext"/>
        <w:tabs>
          <w:tab w:val="left" w:pos="360"/>
          <w:tab w:val="left" w:pos="540"/>
        </w:tabs>
        <w:spacing w:after="0"/>
        <w:ind w:left="785"/>
        <w:jc w:val="both"/>
      </w:pPr>
      <w:r w:rsidRPr="00746D3C">
        <w:t>Lehota na prebratie smernice 2010/45/EÚ bola stanovená do 31. decembra 2012.</w:t>
      </w:r>
      <w:r w:rsidRPr="00746D3C">
        <w:rPr>
          <w:color w:val="333333"/>
          <w:shd w:val="clear" w:color="auto" w:fill="FFFFFF"/>
          <w:lang w:eastAsia="sk-SK"/>
        </w:rPr>
        <w:t xml:space="preserve"> </w:t>
      </w:r>
      <w:r w:rsidRPr="00746D3C">
        <w:t>Tieto ustanovenia uplatňujú od 1. januára 2013.</w:t>
      </w:r>
      <w:r w:rsidRPr="00746D3C">
        <w:rPr>
          <w:color w:val="333333"/>
          <w:shd w:val="clear" w:color="auto" w:fill="FFFFFF"/>
          <w:lang w:eastAsia="sk-SK"/>
        </w:rPr>
        <w:t xml:space="preserve"> </w:t>
      </w:r>
    </w:p>
    <w:p w14:paraId="00E76C7F" w14:textId="77777777" w:rsidR="00746D3C" w:rsidRPr="00746D3C" w:rsidRDefault="00746D3C" w:rsidP="00746D3C">
      <w:pPr>
        <w:pStyle w:val="Zkladntext"/>
        <w:tabs>
          <w:tab w:val="left" w:pos="360"/>
          <w:tab w:val="left" w:pos="540"/>
        </w:tabs>
        <w:spacing w:after="0"/>
        <w:ind w:left="785"/>
        <w:jc w:val="both"/>
      </w:pPr>
    </w:p>
    <w:p w14:paraId="4939F7FD" w14:textId="77777777" w:rsidR="00746D3C" w:rsidRPr="00746D3C" w:rsidRDefault="00746D3C" w:rsidP="00746D3C">
      <w:pPr>
        <w:pStyle w:val="Zkladntext"/>
        <w:tabs>
          <w:tab w:val="left" w:pos="360"/>
          <w:tab w:val="left" w:pos="540"/>
        </w:tabs>
        <w:spacing w:after="0"/>
        <w:ind w:left="785"/>
        <w:jc w:val="both"/>
      </w:pPr>
      <w:r w:rsidRPr="00746D3C">
        <w:t xml:space="preserve">Lehota na prebratie smernice (EÚ) 2025/516 bola fakultatívne stanovená pri článku 1 ods. 2 a 3 od 14.4.2025, obligatórne stanovená pri článku 2 do 31.12.2026. Tieto opatrenia sa uplatňujú od 1. januára 2027. </w:t>
      </w:r>
    </w:p>
    <w:p w14:paraId="4FEB7310" w14:textId="77777777" w:rsidR="00746D3C" w:rsidRPr="00746D3C" w:rsidRDefault="00746D3C" w:rsidP="00746D3C">
      <w:pPr>
        <w:pStyle w:val="Zkladntext"/>
        <w:tabs>
          <w:tab w:val="left" w:pos="360"/>
          <w:tab w:val="left" w:pos="540"/>
        </w:tabs>
        <w:spacing w:after="0"/>
        <w:ind w:left="785"/>
        <w:jc w:val="both"/>
      </w:pPr>
      <w:r w:rsidRPr="00746D3C">
        <w:t>Pri článku 3 je lehota stanovená do 30. júna 2028.</w:t>
      </w:r>
      <w:r w:rsidRPr="00746D3C">
        <w:rPr>
          <w:color w:val="333333"/>
        </w:rPr>
        <w:t xml:space="preserve"> </w:t>
      </w:r>
      <w:r w:rsidRPr="00746D3C">
        <w:t>Tieto opatrenia  sa uplatňujú od 1. júla 2028. Odchylne od druhého pododseku tohto odseku členské štáty uplatňujú opatrenia potrebné na dosiahnutie súladu s článkom 3 bodom 1 najskôr od 1. júla 2028 a najneskôr od 1. januára 2030.</w:t>
      </w:r>
    </w:p>
    <w:p w14:paraId="16A9FD10" w14:textId="77777777" w:rsidR="00746D3C" w:rsidRPr="00746D3C" w:rsidRDefault="00746D3C" w:rsidP="00746D3C">
      <w:pPr>
        <w:pStyle w:val="Zkladntext"/>
        <w:tabs>
          <w:tab w:val="left" w:pos="360"/>
          <w:tab w:val="left" w:pos="540"/>
        </w:tabs>
        <w:spacing w:after="0"/>
        <w:ind w:left="785"/>
        <w:jc w:val="both"/>
      </w:pPr>
      <w:r w:rsidRPr="00746D3C">
        <w:t>Pri článku 4 do 30. júna 2029. Tieto opatrenia sa uplatňujú od 1. júla 2029.</w:t>
      </w:r>
    </w:p>
    <w:p w14:paraId="125E16E6" w14:textId="77777777" w:rsidR="00746D3C" w:rsidRPr="00746D3C" w:rsidRDefault="00746D3C" w:rsidP="00746D3C">
      <w:pPr>
        <w:pStyle w:val="Zkladntext"/>
        <w:tabs>
          <w:tab w:val="left" w:pos="360"/>
          <w:tab w:val="left" w:pos="540"/>
        </w:tabs>
        <w:spacing w:after="0"/>
        <w:ind w:left="785"/>
        <w:jc w:val="both"/>
      </w:pPr>
      <w:r w:rsidRPr="00746D3C">
        <w:t>Pri článku 5 do 30. júna 2030. Tieto opatrenia sa uplatňujú od 1. júla 2030.</w:t>
      </w:r>
    </w:p>
    <w:p w14:paraId="3EA11EFE" w14:textId="77777777" w:rsidR="00746D3C" w:rsidRPr="00746D3C" w:rsidRDefault="00746D3C" w:rsidP="00746D3C">
      <w:pPr>
        <w:pStyle w:val="Zkladntext"/>
        <w:tabs>
          <w:tab w:val="left" w:pos="360"/>
          <w:tab w:val="left" w:pos="540"/>
        </w:tabs>
        <w:spacing w:after="0"/>
        <w:ind w:left="785"/>
        <w:jc w:val="both"/>
      </w:pPr>
    </w:p>
    <w:p w14:paraId="462EBAE8" w14:textId="77777777" w:rsidR="00746D3C" w:rsidRPr="00746D3C" w:rsidRDefault="00746D3C" w:rsidP="00746D3C">
      <w:pPr>
        <w:pStyle w:val="Zkladntext"/>
        <w:tabs>
          <w:tab w:val="left" w:pos="360"/>
          <w:tab w:val="left" w:pos="540"/>
        </w:tabs>
        <w:spacing w:after="0"/>
        <w:ind w:left="785"/>
        <w:jc w:val="both"/>
      </w:pPr>
      <w:r w:rsidRPr="00746D3C">
        <w:t xml:space="preserve">Lehota na prebratie smernice 2014/55/EÚ bola stanovená do 27.11.2018. Členské štáty najneskôr do 18 mesiacov od uverejnenia odkazu na európsku normu pre elektronickú fakturáciu v Úradnom vestníku Európskej únie prijmú, uverejnia a uplatnia ustanovenia potrebné na dosiahnutie súladu s povinnosťou uvedenou v článku 7 spočívajúcou v prijímaní a spracovaní elektronických faktúr. Členské štáty môžu predĺžiť lehotu na začatie tohto uplatňovania uvedenú v prvom pododseku, pokiaľ ide o ich verejných obstarávateľov a obstarávateľov na nižšej ako ústrednej úrovni, najviac </w:t>
      </w:r>
      <w:r w:rsidRPr="00746D3C">
        <w:lastRenderedPageBreak/>
        <w:t>na 30 mesiacov od uverejnenia odkazu na európsku normu pre elektronickú fakturáciu v </w:t>
      </w:r>
      <w:r w:rsidRPr="00746D3C">
        <w:rPr>
          <w:i/>
          <w:iCs/>
        </w:rPr>
        <w:t>Úradnom vestníku Európskej únie</w:t>
      </w:r>
      <w:r w:rsidRPr="00746D3C">
        <w:t>.</w:t>
      </w:r>
    </w:p>
    <w:p w14:paraId="09C53ECF" w14:textId="77777777" w:rsidR="00746D3C" w:rsidRPr="00746D3C" w:rsidRDefault="00746D3C" w:rsidP="00746D3C">
      <w:pPr>
        <w:pStyle w:val="Zkladntext"/>
        <w:tabs>
          <w:tab w:val="left" w:pos="360"/>
          <w:tab w:val="left" w:pos="540"/>
        </w:tabs>
        <w:spacing w:after="0"/>
        <w:ind w:left="785"/>
        <w:jc w:val="both"/>
      </w:pPr>
    </w:p>
    <w:p w14:paraId="6F074D95" w14:textId="77777777" w:rsidR="00746D3C" w:rsidRPr="00746D3C" w:rsidRDefault="00746D3C" w:rsidP="00746D3C">
      <w:pPr>
        <w:pStyle w:val="Zkladntext"/>
        <w:tabs>
          <w:tab w:val="left" w:pos="360"/>
          <w:tab w:val="left" w:pos="540"/>
        </w:tabs>
        <w:spacing w:after="0"/>
        <w:ind w:left="785"/>
        <w:jc w:val="both"/>
      </w:pPr>
      <w:r w:rsidRPr="00746D3C">
        <w:t>Lehota na prebratie smernice (EÚ) 2025/1442 nie je stanovená.</w:t>
      </w:r>
    </w:p>
    <w:p w14:paraId="06384ACA" w14:textId="77777777" w:rsidR="00746D3C" w:rsidRPr="00746D3C" w:rsidRDefault="00746D3C" w:rsidP="00746D3C">
      <w:pPr>
        <w:pStyle w:val="Zkladntext"/>
        <w:tabs>
          <w:tab w:val="left" w:pos="360"/>
          <w:tab w:val="left" w:pos="540"/>
        </w:tabs>
        <w:spacing w:after="0"/>
        <w:ind w:left="785"/>
        <w:jc w:val="both"/>
      </w:pPr>
    </w:p>
    <w:p w14:paraId="3899CC06" w14:textId="77777777" w:rsidR="00746D3C" w:rsidRPr="00746D3C" w:rsidRDefault="00746D3C" w:rsidP="00746D3C">
      <w:pPr>
        <w:pStyle w:val="Zkladntext"/>
        <w:numPr>
          <w:ilvl w:val="0"/>
          <w:numId w:val="44"/>
        </w:numPr>
        <w:tabs>
          <w:tab w:val="left" w:pos="360"/>
        </w:tabs>
        <w:spacing w:after="0"/>
        <w:jc w:val="both"/>
      </w:pPr>
      <w:r w:rsidRPr="00746D3C">
        <w:t>Proti Slovenskej republike nebolo začaté konanie v rámci „EÚ Pilot“, ani nebol začatý postup EK ako aj nebolo začaté konanie Súdneho dvora EÚ proti SR podľa čl. 258 až 260 Zmluvy o fungovaní Európskej únie.</w:t>
      </w:r>
    </w:p>
    <w:p w14:paraId="7F34D532" w14:textId="77777777" w:rsidR="00746D3C" w:rsidRPr="00746D3C" w:rsidRDefault="00746D3C" w:rsidP="00746D3C">
      <w:pPr>
        <w:pStyle w:val="Zkladntext"/>
        <w:tabs>
          <w:tab w:val="left" w:pos="360"/>
        </w:tabs>
        <w:spacing w:after="0"/>
        <w:ind w:left="785"/>
        <w:jc w:val="both"/>
      </w:pPr>
    </w:p>
    <w:p w14:paraId="28E3E942" w14:textId="77777777" w:rsidR="00746D3C" w:rsidRPr="00746D3C" w:rsidRDefault="00746D3C" w:rsidP="00746D3C">
      <w:pPr>
        <w:pStyle w:val="Zkladntext"/>
        <w:numPr>
          <w:ilvl w:val="0"/>
          <w:numId w:val="44"/>
        </w:numPr>
        <w:tabs>
          <w:tab w:val="left" w:pos="360"/>
        </w:tabs>
        <w:spacing w:after="0"/>
        <w:jc w:val="both"/>
      </w:pPr>
      <w:r w:rsidRPr="00746D3C">
        <w:t xml:space="preserve">Smernica 2006/112/ES </w:t>
      </w:r>
      <w:r w:rsidRPr="00746D3C">
        <w:rPr>
          <w:rStyle w:val="Zvraznenie"/>
        </w:rPr>
        <w:t>v platnom znení</w:t>
      </w:r>
      <w:r w:rsidRPr="00746D3C">
        <w:t xml:space="preserve"> je prebratá do zákona </w:t>
      </w:r>
      <w:bookmarkStart w:id="18" w:name="_Hlk204159295"/>
      <w:r w:rsidRPr="00746D3C">
        <w:t>č. 222/2004 Z. z. o dani z pridanej hodnoty v znení neskorších predpisov</w:t>
      </w:r>
      <w:bookmarkEnd w:id="18"/>
      <w:r w:rsidRPr="00746D3C">
        <w:t xml:space="preserve"> a do zákona č. 563/2009 Z. z. o správe daní (daňový poriadok) a o zmene a doplnení niektorých zákonov v znení neskorších predpisov.</w:t>
      </w:r>
    </w:p>
    <w:p w14:paraId="4A7859D3" w14:textId="77777777" w:rsidR="00746D3C" w:rsidRPr="00746D3C" w:rsidRDefault="00746D3C" w:rsidP="00746D3C">
      <w:pPr>
        <w:pStyle w:val="Zkladntext"/>
        <w:tabs>
          <w:tab w:val="left" w:pos="360"/>
        </w:tabs>
        <w:spacing w:after="0"/>
        <w:ind w:left="785"/>
        <w:jc w:val="both"/>
      </w:pPr>
      <w:r w:rsidRPr="00746D3C">
        <w:t>Smernica Rady 2010/45/EÚ je prebratá do zákona č. 222/2004 Z. z. o dani z pridanej hodnoty v znení neskorších predpisov.</w:t>
      </w:r>
    </w:p>
    <w:p w14:paraId="061ACD1F" w14:textId="77777777" w:rsidR="00746D3C" w:rsidRPr="00746D3C" w:rsidRDefault="00746D3C" w:rsidP="00746D3C">
      <w:pPr>
        <w:pStyle w:val="Zkladntext"/>
        <w:tabs>
          <w:tab w:val="left" w:pos="360"/>
        </w:tabs>
        <w:spacing w:after="0"/>
        <w:ind w:left="785"/>
        <w:jc w:val="both"/>
      </w:pPr>
      <w:r w:rsidRPr="00746D3C">
        <w:t>Smernica (EÚ) 2025/516 bude prebratá do zákona č. 222/2004 Z. z. o dani z pridanej hodnoty v znení neskorších predpisov.</w:t>
      </w:r>
    </w:p>
    <w:p w14:paraId="4D3BCD17" w14:textId="77777777" w:rsidR="00746D3C" w:rsidRPr="00746D3C" w:rsidRDefault="00746D3C" w:rsidP="00746D3C">
      <w:pPr>
        <w:pStyle w:val="Zkladntext"/>
        <w:tabs>
          <w:tab w:val="left" w:pos="360"/>
        </w:tabs>
        <w:spacing w:after="0"/>
        <w:ind w:left="785"/>
        <w:jc w:val="both"/>
      </w:pPr>
      <w:r w:rsidRPr="00746D3C">
        <w:t xml:space="preserve">Smernica 2014/55/EÚ je prebratá do zákona č. 215/2019 Z. z. o zaručenej elektronickej fakturácii a centrálnom ekonomickom systéme a o doplnení niektorých zákonov a do zákona č. 343/2015 o verejnom obstarávaní a o zmene a doplnení niektorých zákonov v znení neskorších predpisov. </w:t>
      </w:r>
    </w:p>
    <w:p w14:paraId="0A37D95B" w14:textId="77777777" w:rsidR="00746D3C" w:rsidRPr="00746D3C" w:rsidRDefault="00746D3C" w:rsidP="00746D3C">
      <w:pPr>
        <w:pStyle w:val="Zkladntext"/>
        <w:tabs>
          <w:tab w:val="left" w:pos="360"/>
          <w:tab w:val="left" w:pos="540"/>
        </w:tabs>
        <w:ind w:left="785"/>
        <w:jc w:val="both"/>
      </w:pPr>
      <w:r w:rsidRPr="00746D3C">
        <w:t>Smernica (EÚ) 2025/1442 bude prebratá do zákona č. 431/2002 Z. z. o účtovníctve v znení neskorších predpisov.</w:t>
      </w:r>
    </w:p>
    <w:p w14:paraId="1B9A1E0D" w14:textId="77777777" w:rsidR="00746D3C" w:rsidRPr="00746D3C" w:rsidRDefault="00746D3C" w:rsidP="00746D3C">
      <w:pPr>
        <w:pStyle w:val="Zkladntext"/>
        <w:tabs>
          <w:tab w:val="left" w:pos="360"/>
        </w:tabs>
        <w:spacing w:after="0"/>
        <w:ind w:left="785"/>
        <w:jc w:val="both"/>
      </w:pPr>
    </w:p>
    <w:p w14:paraId="027F8FB9" w14:textId="77777777" w:rsidR="00746D3C" w:rsidRPr="00746D3C" w:rsidRDefault="00746D3C" w:rsidP="00746D3C">
      <w:pPr>
        <w:pStyle w:val="Odsekzoznamu"/>
        <w:widowControl w:val="0"/>
        <w:numPr>
          <w:ilvl w:val="0"/>
          <w:numId w:val="42"/>
        </w:numPr>
        <w:tabs>
          <w:tab w:val="left" w:pos="360"/>
        </w:tabs>
        <w:adjustRightInd w:val="0"/>
        <w:spacing w:after="0" w:line="240" w:lineRule="auto"/>
        <w:jc w:val="both"/>
        <w:rPr>
          <w:rFonts w:ascii="Times New Roman" w:hAnsi="Times New Roman" w:cs="Times New Roman"/>
          <w:b/>
          <w:bCs/>
          <w:sz w:val="24"/>
          <w:szCs w:val="24"/>
        </w:rPr>
      </w:pPr>
      <w:r w:rsidRPr="00746D3C">
        <w:rPr>
          <w:rFonts w:ascii="Times New Roman" w:hAnsi="Times New Roman" w:cs="Times New Roman"/>
          <w:b/>
          <w:bCs/>
          <w:sz w:val="24"/>
          <w:szCs w:val="24"/>
        </w:rPr>
        <w:t>Návrh zákona je zlučiteľný s právom Európskej únie:</w:t>
      </w:r>
    </w:p>
    <w:p w14:paraId="72B96C1E" w14:textId="77777777" w:rsidR="00746D3C" w:rsidRPr="00746D3C" w:rsidRDefault="00746D3C" w:rsidP="00746D3C">
      <w:pPr>
        <w:pStyle w:val="Odsekzoznamu"/>
        <w:tabs>
          <w:tab w:val="left" w:pos="360"/>
        </w:tabs>
        <w:ind w:left="425"/>
        <w:jc w:val="both"/>
        <w:rPr>
          <w:rFonts w:ascii="Times New Roman" w:hAnsi="Times New Roman" w:cs="Times New Roman"/>
          <w:b/>
          <w:bCs/>
          <w:sz w:val="24"/>
          <w:szCs w:val="24"/>
        </w:rPr>
      </w:pPr>
    </w:p>
    <w:p w14:paraId="4E75B8C8" w14:textId="77777777" w:rsidR="00746D3C" w:rsidRPr="00746D3C" w:rsidRDefault="00746D3C" w:rsidP="00746D3C">
      <w:pPr>
        <w:pStyle w:val="Odsekzoznamu"/>
        <w:tabs>
          <w:tab w:val="left" w:pos="360"/>
        </w:tabs>
        <w:ind w:left="425"/>
        <w:jc w:val="both"/>
        <w:rPr>
          <w:rFonts w:ascii="Times New Roman" w:hAnsi="Times New Roman" w:cs="Times New Roman"/>
          <w:bCs/>
          <w:sz w:val="24"/>
          <w:szCs w:val="24"/>
        </w:rPr>
      </w:pPr>
      <w:r w:rsidRPr="00746D3C">
        <w:rPr>
          <w:rFonts w:ascii="Times New Roman" w:hAnsi="Times New Roman" w:cs="Times New Roman"/>
          <w:bCs/>
          <w:sz w:val="24"/>
          <w:szCs w:val="24"/>
        </w:rPr>
        <w:t>a) úplne.</w:t>
      </w:r>
    </w:p>
    <w:p w14:paraId="46C843C5" w14:textId="77777777" w:rsidR="00746D3C" w:rsidRDefault="00746D3C" w:rsidP="00746D3C">
      <w:pPr>
        <w:spacing w:line="257" w:lineRule="auto"/>
        <w:jc w:val="both"/>
        <w:rPr>
          <w:rStyle w:val="awspanawtext3"/>
          <w:rFonts w:eastAsia="Calibri"/>
        </w:rPr>
      </w:pPr>
    </w:p>
    <w:p w14:paraId="571C4656" w14:textId="77777777" w:rsidR="00746D3C" w:rsidRDefault="00746D3C" w:rsidP="00746D3C">
      <w:pPr>
        <w:spacing w:line="257" w:lineRule="auto"/>
        <w:jc w:val="both"/>
        <w:rPr>
          <w:rStyle w:val="awspanawtext3"/>
          <w:rFonts w:eastAsia="Calibri"/>
        </w:rPr>
      </w:pPr>
    </w:p>
    <w:p w14:paraId="443337FB" w14:textId="77777777" w:rsidR="00746D3C" w:rsidRDefault="00746D3C" w:rsidP="00746D3C">
      <w:pPr>
        <w:spacing w:line="257" w:lineRule="auto"/>
        <w:jc w:val="both"/>
        <w:rPr>
          <w:rStyle w:val="awspanawtext3"/>
          <w:rFonts w:eastAsia="Calibri"/>
        </w:rPr>
      </w:pPr>
    </w:p>
    <w:p w14:paraId="6117483E" w14:textId="77777777" w:rsidR="00746D3C" w:rsidRDefault="00746D3C" w:rsidP="00746D3C">
      <w:pPr>
        <w:spacing w:line="257" w:lineRule="auto"/>
        <w:jc w:val="both"/>
        <w:rPr>
          <w:rStyle w:val="awspanawtext3"/>
          <w:rFonts w:eastAsia="Calibri"/>
        </w:rPr>
      </w:pPr>
    </w:p>
    <w:p w14:paraId="630F2DDD" w14:textId="77777777" w:rsidR="00746D3C" w:rsidRDefault="00746D3C" w:rsidP="00746D3C">
      <w:pPr>
        <w:spacing w:line="257" w:lineRule="auto"/>
        <w:jc w:val="both"/>
        <w:rPr>
          <w:rStyle w:val="awspanawtext3"/>
          <w:rFonts w:eastAsia="Calibri"/>
        </w:rPr>
      </w:pPr>
    </w:p>
    <w:p w14:paraId="5E58AC08" w14:textId="77777777" w:rsidR="00746D3C" w:rsidRDefault="00746D3C" w:rsidP="00746D3C">
      <w:pPr>
        <w:spacing w:line="257" w:lineRule="auto"/>
        <w:jc w:val="both"/>
        <w:rPr>
          <w:rStyle w:val="awspanawtext3"/>
          <w:rFonts w:eastAsia="Calibri"/>
        </w:rPr>
      </w:pPr>
    </w:p>
    <w:p w14:paraId="688C20AC" w14:textId="77777777" w:rsidR="00746D3C" w:rsidRDefault="00746D3C" w:rsidP="00746D3C">
      <w:pPr>
        <w:spacing w:line="257" w:lineRule="auto"/>
        <w:jc w:val="both"/>
        <w:rPr>
          <w:rStyle w:val="awspanawtext3"/>
          <w:rFonts w:eastAsia="Calibri"/>
        </w:rPr>
      </w:pPr>
    </w:p>
    <w:p w14:paraId="1E66B7BD" w14:textId="77777777" w:rsidR="00746D3C" w:rsidRDefault="00746D3C" w:rsidP="00746D3C">
      <w:pPr>
        <w:spacing w:line="257" w:lineRule="auto"/>
        <w:jc w:val="both"/>
        <w:rPr>
          <w:rStyle w:val="awspanawtext3"/>
          <w:rFonts w:eastAsia="Calibri"/>
        </w:rPr>
      </w:pPr>
    </w:p>
    <w:p w14:paraId="501EC509" w14:textId="77777777" w:rsidR="00746D3C" w:rsidRDefault="00746D3C" w:rsidP="00746D3C">
      <w:pPr>
        <w:spacing w:line="257" w:lineRule="auto"/>
        <w:jc w:val="both"/>
        <w:rPr>
          <w:rStyle w:val="awspanawtext3"/>
          <w:rFonts w:eastAsia="Calibri"/>
        </w:rPr>
      </w:pPr>
    </w:p>
    <w:p w14:paraId="281CD88C" w14:textId="77777777" w:rsidR="00746D3C" w:rsidRDefault="00746D3C" w:rsidP="00746D3C">
      <w:pPr>
        <w:spacing w:line="257" w:lineRule="auto"/>
        <w:jc w:val="both"/>
        <w:rPr>
          <w:rStyle w:val="awspanawtext3"/>
          <w:rFonts w:eastAsia="Calibri"/>
        </w:rPr>
      </w:pPr>
    </w:p>
    <w:p w14:paraId="6DFBC137" w14:textId="77777777" w:rsidR="00746D3C" w:rsidRDefault="00746D3C" w:rsidP="00746D3C">
      <w:pPr>
        <w:spacing w:line="257" w:lineRule="auto"/>
        <w:jc w:val="both"/>
        <w:rPr>
          <w:rStyle w:val="awspanawtext3"/>
          <w:rFonts w:eastAsia="Calibri"/>
        </w:rPr>
      </w:pPr>
    </w:p>
    <w:p w14:paraId="4CD4121A" w14:textId="77777777" w:rsidR="00746D3C" w:rsidRDefault="00746D3C" w:rsidP="00746D3C">
      <w:pPr>
        <w:spacing w:line="257" w:lineRule="auto"/>
        <w:jc w:val="both"/>
        <w:rPr>
          <w:rStyle w:val="awspanawtext3"/>
          <w:rFonts w:eastAsia="Calibri"/>
        </w:rPr>
      </w:pPr>
    </w:p>
    <w:p w14:paraId="3E254943" w14:textId="77777777" w:rsidR="00746D3C" w:rsidRDefault="00746D3C" w:rsidP="00746D3C">
      <w:pPr>
        <w:spacing w:line="257" w:lineRule="auto"/>
        <w:jc w:val="both"/>
        <w:rPr>
          <w:rStyle w:val="awspanawtext3"/>
          <w:rFonts w:eastAsia="Calibri"/>
        </w:rPr>
      </w:pPr>
    </w:p>
    <w:p w14:paraId="1FBE6E86" w14:textId="77777777" w:rsidR="00746D3C" w:rsidRDefault="00746D3C" w:rsidP="00746D3C">
      <w:pPr>
        <w:spacing w:line="257" w:lineRule="auto"/>
        <w:jc w:val="both"/>
        <w:rPr>
          <w:rStyle w:val="awspanawtext3"/>
          <w:rFonts w:eastAsia="Calibri"/>
        </w:rPr>
      </w:pPr>
    </w:p>
    <w:p w14:paraId="6E7EDB7D" w14:textId="77777777" w:rsidR="00746D3C" w:rsidRDefault="00746D3C" w:rsidP="00746D3C">
      <w:pPr>
        <w:spacing w:line="257" w:lineRule="auto"/>
        <w:jc w:val="both"/>
        <w:rPr>
          <w:rStyle w:val="awspanawtext3"/>
          <w:rFonts w:eastAsia="Calibri"/>
        </w:rPr>
      </w:pPr>
    </w:p>
    <w:p w14:paraId="75386E82" w14:textId="77777777" w:rsidR="00746D3C" w:rsidRDefault="00746D3C" w:rsidP="00746D3C">
      <w:pPr>
        <w:spacing w:line="257" w:lineRule="auto"/>
        <w:jc w:val="both"/>
        <w:rPr>
          <w:rStyle w:val="awspanawtext3"/>
          <w:rFonts w:eastAsia="Calibri"/>
        </w:rPr>
      </w:pPr>
    </w:p>
    <w:p w14:paraId="0D7C719B" w14:textId="77777777" w:rsidR="00746D3C" w:rsidRDefault="00746D3C" w:rsidP="00746D3C">
      <w:pPr>
        <w:spacing w:line="257" w:lineRule="auto"/>
        <w:jc w:val="both"/>
        <w:rPr>
          <w:rStyle w:val="awspanawtext3"/>
          <w:rFonts w:eastAsia="Calibri"/>
        </w:rPr>
      </w:pPr>
    </w:p>
    <w:p w14:paraId="0FF274EE" w14:textId="77777777" w:rsidR="00746D3C" w:rsidRDefault="00746D3C" w:rsidP="00746D3C">
      <w:pPr>
        <w:spacing w:line="257" w:lineRule="auto"/>
        <w:jc w:val="both"/>
        <w:rPr>
          <w:rStyle w:val="awspanawtext3"/>
          <w:rFonts w:eastAsia="Calibri"/>
        </w:rPr>
      </w:pPr>
    </w:p>
    <w:p w14:paraId="3B5ADCCF" w14:textId="77777777" w:rsidR="00746D3C" w:rsidRDefault="00746D3C" w:rsidP="00746D3C">
      <w:pPr>
        <w:spacing w:line="257" w:lineRule="auto"/>
        <w:jc w:val="both"/>
        <w:rPr>
          <w:rStyle w:val="awspanawtext3"/>
          <w:rFonts w:eastAsia="Calibri"/>
        </w:rPr>
      </w:pPr>
    </w:p>
    <w:p w14:paraId="4CCD337B" w14:textId="77777777" w:rsidR="00746D3C" w:rsidRDefault="00746D3C" w:rsidP="00746D3C">
      <w:pPr>
        <w:spacing w:line="257" w:lineRule="auto"/>
        <w:jc w:val="both"/>
        <w:rPr>
          <w:rStyle w:val="awspanawtext3"/>
          <w:rFonts w:eastAsia="Calibri"/>
        </w:rPr>
      </w:pPr>
    </w:p>
    <w:p w14:paraId="7422CBA4" w14:textId="77777777" w:rsidR="00746D3C" w:rsidRDefault="00746D3C" w:rsidP="00746D3C">
      <w:pPr>
        <w:spacing w:line="257" w:lineRule="auto"/>
        <w:jc w:val="both"/>
        <w:rPr>
          <w:rStyle w:val="awspanawtext3"/>
          <w:rFonts w:eastAsia="Calibri"/>
        </w:rPr>
      </w:pPr>
    </w:p>
    <w:p w14:paraId="5D892EC9" w14:textId="77777777" w:rsidR="00746D3C" w:rsidRDefault="00746D3C" w:rsidP="00746D3C">
      <w:pPr>
        <w:spacing w:line="257" w:lineRule="auto"/>
        <w:jc w:val="both"/>
        <w:rPr>
          <w:rStyle w:val="awspanawtext3"/>
          <w:rFonts w:eastAsia="Calibri"/>
        </w:rPr>
      </w:pPr>
    </w:p>
    <w:p w14:paraId="34BCB957" w14:textId="77777777" w:rsidR="00746D3C" w:rsidRPr="00D21841" w:rsidRDefault="00746D3C" w:rsidP="00746D3C">
      <w:pPr>
        <w:rPr>
          <w:b/>
          <w:bCs/>
        </w:rPr>
      </w:pPr>
      <w:r w:rsidRPr="2FFFD7D5">
        <w:rPr>
          <w:b/>
          <w:bCs/>
        </w:rPr>
        <w:lastRenderedPageBreak/>
        <w:t>Osobitná časť</w:t>
      </w:r>
    </w:p>
    <w:p w14:paraId="471EFE72" w14:textId="77777777" w:rsidR="00746D3C" w:rsidRDefault="00746D3C" w:rsidP="00746D3C">
      <w:pPr>
        <w:spacing w:line="276" w:lineRule="auto"/>
        <w:contextualSpacing/>
        <w:jc w:val="both"/>
        <w:rPr>
          <w:b/>
          <w:bCs/>
        </w:rPr>
      </w:pPr>
    </w:p>
    <w:p w14:paraId="0B142BF7" w14:textId="77777777" w:rsidR="00746D3C" w:rsidRPr="00F548E2" w:rsidRDefault="00746D3C" w:rsidP="00746D3C">
      <w:pPr>
        <w:spacing w:line="276" w:lineRule="auto"/>
        <w:contextualSpacing/>
        <w:jc w:val="both"/>
        <w:rPr>
          <w:b/>
          <w:bCs/>
        </w:rPr>
      </w:pPr>
      <w:r w:rsidRPr="2FFFD7D5">
        <w:rPr>
          <w:b/>
          <w:bCs/>
        </w:rPr>
        <w:t>K </w:t>
      </w:r>
      <w:r w:rsidRPr="2FFFD7D5">
        <w:rPr>
          <w:b/>
          <w:bCs/>
          <w:color w:val="000000" w:themeColor="text1"/>
        </w:rPr>
        <w:t xml:space="preserve">Čl. I </w:t>
      </w:r>
      <w:r w:rsidRPr="2FFFD7D5">
        <w:rPr>
          <w:b/>
          <w:bCs/>
        </w:rPr>
        <w:t xml:space="preserve">bodom 1, </w:t>
      </w:r>
      <w:r>
        <w:rPr>
          <w:b/>
          <w:bCs/>
        </w:rPr>
        <w:t>2, 4</w:t>
      </w:r>
      <w:r w:rsidRPr="2FFFD7D5">
        <w:rPr>
          <w:b/>
          <w:bCs/>
        </w:rPr>
        <w:t xml:space="preserve">, </w:t>
      </w:r>
      <w:r>
        <w:rPr>
          <w:b/>
          <w:bCs/>
        </w:rPr>
        <w:t>6</w:t>
      </w:r>
      <w:r w:rsidRPr="2FFFD7D5">
        <w:rPr>
          <w:b/>
          <w:bCs/>
        </w:rPr>
        <w:t xml:space="preserve">, </w:t>
      </w:r>
      <w:r>
        <w:rPr>
          <w:b/>
          <w:bCs/>
        </w:rPr>
        <w:t>16</w:t>
      </w:r>
      <w:r w:rsidRPr="2FFFD7D5">
        <w:rPr>
          <w:b/>
          <w:bCs/>
        </w:rPr>
        <w:t xml:space="preserve">, </w:t>
      </w:r>
      <w:r>
        <w:rPr>
          <w:b/>
          <w:bCs/>
        </w:rPr>
        <w:t>55</w:t>
      </w:r>
      <w:r w:rsidRPr="2FFFD7D5">
        <w:rPr>
          <w:b/>
          <w:bCs/>
        </w:rPr>
        <w:t xml:space="preserve">, </w:t>
      </w:r>
      <w:r>
        <w:rPr>
          <w:b/>
          <w:bCs/>
        </w:rPr>
        <w:t>56, 57 a 58</w:t>
      </w:r>
      <w:r w:rsidRPr="2FFFD7D5">
        <w:rPr>
          <w:b/>
          <w:bCs/>
        </w:rPr>
        <w:t xml:space="preserve"> /§ 4b ods. 6, </w:t>
      </w:r>
      <w:r>
        <w:rPr>
          <w:b/>
          <w:bCs/>
        </w:rPr>
        <w:t xml:space="preserve">§ 4b ods. 7, </w:t>
      </w:r>
      <w:r w:rsidRPr="2FFFD7D5">
        <w:rPr>
          <w:b/>
          <w:bCs/>
        </w:rPr>
        <w:t>§ 5 ods. 2 písm. c), § 5a, § 6 ods. 1, § 11 ods. 2 písm. b), § 66 ods. 2 písm. a), § 68b ods. 5, § 68c ods. 2 písm. d), § 69 ods. 9 až 12, § 69 ods. 15 a 16, § 77 ods</w:t>
      </w:r>
      <w:r w:rsidRPr="00F548E2">
        <w:rPr>
          <w:b/>
          <w:bCs/>
        </w:rPr>
        <w:t>. 2, § 79 ods. 2 písm. b), § 81a ods. 1 až 4/</w:t>
      </w:r>
    </w:p>
    <w:p w14:paraId="1FE76053" w14:textId="77777777" w:rsidR="00746D3C" w:rsidRPr="00F548E2" w:rsidRDefault="00746D3C" w:rsidP="00746D3C">
      <w:pPr>
        <w:spacing w:line="276" w:lineRule="auto"/>
        <w:contextualSpacing/>
        <w:jc w:val="both"/>
        <w:rPr>
          <w:color w:val="000000" w:themeColor="text1"/>
        </w:rPr>
      </w:pPr>
      <w:r w:rsidRPr="00F548E2">
        <w:rPr>
          <w:color w:val="000000" w:themeColor="text1"/>
        </w:rPr>
        <w:t>Ide o legislatívno-technické úpravy v nadväznosti na nové ustanovenie § 4c.</w:t>
      </w:r>
    </w:p>
    <w:p w14:paraId="0A670F78" w14:textId="77777777" w:rsidR="00746D3C" w:rsidRPr="00F548E2" w:rsidRDefault="00746D3C" w:rsidP="00746D3C"/>
    <w:p w14:paraId="2EC934BA" w14:textId="77777777" w:rsidR="00746D3C" w:rsidRPr="00F548E2" w:rsidRDefault="00746D3C" w:rsidP="00746D3C">
      <w:pPr>
        <w:spacing w:line="276" w:lineRule="auto"/>
        <w:jc w:val="both"/>
        <w:rPr>
          <w:b/>
          <w:bCs/>
          <w:color w:val="000000"/>
          <w:shd w:val="clear" w:color="auto" w:fill="FFFFFF"/>
        </w:rPr>
      </w:pPr>
      <w:r w:rsidRPr="00F548E2">
        <w:rPr>
          <w:b/>
          <w:bCs/>
          <w:color w:val="000000"/>
          <w:shd w:val="clear" w:color="auto" w:fill="FFFFFF"/>
        </w:rPr>
        <w:t xml:space="preserve">K Čl. I bodu 3 (§ 4c) </w:t>
      </w:r>
    </w:p>
    <w:p w14:paraId="77F89E01" w14:textId="77777777" w:rsidR="00746D3C" w:rsidRPr="00F548E2" w:rsidRDefault="00746D3C" w:rsidP="00746D3C">
      <w:pPr>
        <w:jc w:val="both"/>
        <w:rPr>
          <w:color w:val="000000"/>
        </w:rPr>
      </w:pPr>
      <w:r w:rsidRPr="00F548E2">
        <w:rPr>
          <w:color w:val="000000"/>
          <w:shd w:val="clear" w:color="auto" w:fill="FFFFFF"/>
        </w:rPr>
        <w:t xml:space="preserve">V súčasnosti uplatňovaný režim skupinovej registrácie </w:t>
      </w:r>
      <w:r w:rsidRPr="00F548E2">
        <w:t>je</w:t>
      </w:r>
      <w:r w:rsidRPr="00F548E2">
        <w:rPr>
          <w:color w:val="000000"/>
          <w:shd w:val="clear" w:color="auto" w:fill="FFFFFF"/>
        </w:rPr>
        <w:t xml:space="preserve"> založený na dobrovoľnej registrácii viacerých, právne nezávislých, zdaniteľných osôb so sídlom, miestom podnikania alebo prevádzkarňou na území Slovenskej republiky, vzájomne spojených finančnými, ekonomickými a organizačnými väzbami, ktoré možno na účely </w:t>
      </w:r>
      <w:r w:rsidRPr="00F548E2">
        <w:t>zákona č. 222/2004 Z. z. o dani z pridanej hodnoty v znení neskorších predpisov (ďalej len „zákon o DPH“)</w:t>
      </w:r>
      <w:r w:rsidRPr="00F548E2">
        <w:rPr>
          <w:color w:val="000000"/>
          <w:shd w:val="clear" w:color="auto" w:fill="FFFFFF"/>
        </w:rPr>
        <w:t xml:space="preserve"> považovať za jednu zdaniteľnú osobu bez ohľadu na skutočnosť, že aj naďalej ostávajú samostatnými právnymi subjektmi. Skupina sa po zaregistrovaní stáva platiteľom a práva a povinnosti jednotlivých členov skupiny vyplývajúce zo zákona o DPH a Daňového poriadku prechádzajú na skupinu. Skupina má rovnaké práva a povinnosti ako ktorýkoľvek iný platiteľ dane. </w:t>
      </w:r>
    </w:p>
    <w:p w14:paraId="17D295C9" w14:textId="77777777" w:rsidR="00746D3C" w:rsidRPr="00F548E2" w:rsidRDefault="00746D3C" w:rsidP="00746D3C">
      <w:pPr>
        <w:jc w:val="both"/>
        <w:rPr>
          <w:color w:val="000000"/>
          <w:shd w:val="clear" w:color="auto" w:fill="FFFFFF"/>
        </w:rPr>
      </w:pPr>
    </w:p>
    <w:p w14:paraId="04C8F898" w14:textId="77777777" w:rsidR="00746D3C" w:rsidRPr="00F548E2" w:rsidRDefault="00746D3C" w:rsidP="00746D3C">
      <w:pPr>
        <w:jc w:val="both"/>
        <w:rPr>
          <w:color w:val="000000"/>
          <w:shd w:val="clear" w:color="auto" w:fill="FFFFFF"/>
        </w:rPr>
      </w:pPr>
      <w:r w:rsidRPr="00F548E2">
        <w:rPr>
          <w:color w:val="000000"/>
          <w:shd w:val="clear" w:color="auto" w:fill="FFFFFF"/>
        </w:rPr>
        <w:t xml:space="preserve">So zámerom rozšíriť režim skupiny ako jednej zdaniteľnej osoby na účely dane a v súlade s článkom 11 ods. 2 smernice Rady 2006/112/ES </w:t>
      </w:r>
      <w:r w:rsidRPr="00F548E2">
        <w:t>z 28. novembra 2006</w:t>
      </w:r>
      <w:r w:rsidRPr="00F548E2">
        <w:rPr>
          <w:color w:val="000000"/>
          <w:shd w:val="clear" w:color="auto" w:fill="FFFFFF"/>
        </w:rPr>
        <w:t xml:space="preserve"> o spoločnom systéme dane z pridanej hodnoty </w:t>
      </w:r>
      <w:r w:rsidRPr="00F548E2">
        <w:t>(Ú. v. EÚ L 347 11.12.2006)</w:t>
      </w:r>
      <w:r w:rsidRPr="00F548E2">
        <w:rPr>
          <w:color w:val="000000"/>
          <w:shd w:val="clear" w:color="auto" w:fill="FFFFFF"/>
        </w:rPr>
        <w:t xml:space="preserve"> v platnom znení </w:t>
      </w:r>
      <w:r w:rsidRPr="00F548E2">
        <w:t>(ďalej len „smernica 2006/112/ES v platnom znení“)</w:t>
      </w:r>
      <w:r w:rsidRPr="00F548E2">
        <w:rPr>
          <w:color w:val="000000"/>
          <w:shd w:val="clear" w:color="auto" w:fill="FFFFFF"/>
        </w:rPr>
        <w:t xml:space="preserve"> sa navrhuje zaviesť nový inštitút registrácie skupiny pre daň z úradnej moci s cieľom zamedziť obchádzanie platenia dane. Podstatou je ustanoviť právomoc správcu dane rozhodnúť o registrácii dvoch alebo viacerých, formálne nezávislých, zdaniteľných osôb, u ktorých sú dôvody (obchádzanie platenia dane a zachovanie si výhody oslobodenia od dane v rámci podnikania vykonávaného týmito zdaniteľnými osobami) na registráciu skupiny z úradnej moci, ako jedného platiteľa na účely dane. Existencia týchto dôvodov je teda nevyhnutným predpokladom na registráciu skupiny z úradnej moci.</w:t>
      </w:r>
    </w:p>
    <w:p w14:paraId="2CF59804" w14:textId="77777777" w:rsidR="00746D3C" w:rsidRPr="00F548E2" w:rsidRDefault="00746D3C" w:rsidP="00746D3C">
      <w:pPr>
        <w:jc w:val="both"/>
        <w:rPr>
          <w:color w:val="000000"/>
        </w:rPr>
      </w:pPr>
    </w:p>
    <w:p w14:paraId="64D59F27" w14:textId="77777777" w:rsidR="00746D3C" w:rsidRPr="00F548E2" w:rsidRDefault="00746D3C" w:rsidP="00746D3C">
      <w:pPr>
        <w:jc w:val="both"/>
        <w:rPr>
          <w:color w:val="000000"/>
          <w:shd w:val="clear" w:color="auto" w:fill="FFFFFF"/>
        </w:rPr>
      </w:pPr>
      <w:r w:rsidRPr="00F548E2">
        <w:rPr>
          <w:color w:val="000000"/>
          <w:shd w:val="clear" w:color="auto" w:fill="FFFFFF"/>
        </w:rPr>
        <w:t xml:space="preserve">Ak </w:t>
      </w:r>
      <w:r>
        <w:rPr>
          <w:color w:val="000000"/>
          <w:shd w:val="clear" w:color="auto" w:fill="FFFFFF"/>
        </w:rPr>
        <w:t>nastane dôvod</w:t>
      </w:r>
      <w:r w:rsidRPr="00F548E2">
        <w:rPr>
          <w:color w:val="000000"/>
          <w:shd w:val="clear" w:color="auto" w:fill="FFFFFF"/>
        </w:rPr>
        <w:t xml:space="preserve"> na registráciu skupiny z úradnej moci (odsek 1), daňový úrad príslušný na registračné konanie, ktorým bude Daňový úrad Banská Bystrica, zašle zástupcovi skupiny, ktorého si predpokladaní členovia zvolia na účely registračného konania, výzvu, aby sa k týmto dôvodom v určenej lehote vyjadril (odseky 2 a 3).  Daňový úrad Banská Bystrica je povinný na základe údajov z kontrolnej a operatívnej činnosti preukázať, že finančne, ekonomicky a organizačne prepojené zdaniteľné osoby organizovali výkon svojej ekonomickej činnosti tak, aby sa úmyselne vyhýbali registrácii za platiteľov dane a napríklad z tohto dôvodu cena ich tovarov alebo služieb nepodliehala dani na výstupe, v dôsledku čoho takéto zdaniteľné osoby využívali neoprávnenú konkurenčnú výhodu. </w:t>
      </w:r>
      <w:r w:rsidRPr="00576115">
        <w:rPr>
          <w:color w:val="000000"/>
          <w:shd w:val="clear" w:color="auto" w:fill="FFFFFF"/>
        </w:rPr>
        <w:t>Dôkazné bremeno vo vzťahu k preukázaniu dôvodov na registráciu skupiny z úradnej moci, t. j. že hlavným cieľom týchto osôb je vyhýbanie sa plateniu daní, znáša Daňový úrad Banská Bystrica.</w:t>
      </w:r>
      <w:r w:rsidRPr="00F548E2">
        <w:rPr>
          <w:color w:val="000000"/>
          <w:shd w:val="clear" w:color="auto" w:fill="FFFFFF"/>
        </w:rPr>
        <w:t xml:space="preserve"> Ak sa v konaní preukáže existencia vyššie opísaných dôvodov, Daňový úrad Banská Bystrica z úradnej moci skupinu zaregistruje pre daň, pridelí jej identifikačné číslo pre daň a určí jej zástupcu (odsek 4).</w:t>
      </w:r>
    </w:p>
    <w:p w14:paraId="724782DE" w14:textId="77777777" w:rsidR="00746D3C" w:rsidRPr="00F548E2" w:rsidRDefault="00746D3C" w:rsidP="00746D3C">
      <w:pPr>
        <w:jc w:val="both"/>
        <w:rPr>
          <w:color w:val="000000"/>
        </w:rPr>
      </w:pPr>
      <w:r w:rsidRPr="00F548E2">
        <w:rPr>
          <w:color w:val="000000"/>
          <w:shd w:val="clear" w:color="auto" w:fill="FFFFFF"/>
        </w:rPr>
        <w:t xml:space="preserve"> </w:t>
      </w:r>
    </w:p>
    <w:p w14:paraId="3C746779" w14:textId="77777777" w:rsidR="00746D3C" w:rsidRPr="00F548E2" w:rsidRDefault="00746D3C" w:rsidP="00746D3C">
      <w:pPr>
        <w:jc w:val="both"/>
        <w:rPr>
          <w:color w:val="000000"/>
          <w:shd w:val="clear" w:color="auto" w:fill="FFFFFF"/>
        </w:rPr>
      </w:pPr>
      <w:r w:rsidRPr="00F548E2">
        <w:rPr>
          <w:color w:val="000000"/>
          <w:shd w:val="clear" w:color="auto" w:fill="FFFFFF"/>
        </w:rPr>
        <w:t>Odsek 5 upravuje deň, ktorým sa skupina z úradnej moci stáva platiteľom, ktorý je zároveň dňom, kedy nadobúda platnosť identifikačné číslo pre daň pridelené skupine z úradnej moci a zaniká platnosť identifikačných čísiel pre daň jednotlivých členov skupiny z úradnej moci, ak im boli pridelené.</w:t>
      </w:r>
    </w:p>
    <w:p w14:paraId="58B26B4A" w14:textId="77777777" w:rsidR="00746D3C" w:rsidRPr="00F548E2" w:rsidRDefault="00746D3C" w:rsidP="00746D3C">
      <w:pPr>
        <w:jc w:val="both"/>
        <w:rPr>
          <w:color w:val="000000"/>
        </w:rPr>
      </w:pPr>
    </w:p>
    <w:p w14:paraId="4FCAEA05" w14:textId="77777777" w:rsidR="00746D3C" w:rsidRPr="00F548E2" w:rsidRDefault="00746D3C" w:rsidP="00746D3C">
      <w:pPr>
        <w:jc w:val="both"/>
        <w:rPr>
          <w:color w:val="000000"/>
        </w:rPr>
      </w:pPr>
      <w:r w:rsidRPr="00F548E2">
        <w:rPr>
          <w:color w:val="000000"/>
          <w:shd w:val="clear" w:color="auto" w:fill="FFFFFF"/>
        </w:rPr>
        <w:t xml:space="preserve">Navrhuje sa, aby daňovým úradom príslušným pre skupinu z úradnej moci bol daňový úrad príslušný pre zástupcu skupiny. Na konanie zástupcu skupiny z úradnej moci, práva a </w:t>
      </w:r>
      <w:r w:rsidRPr="00F548E2">
        <w:rPr>
          <w:color w:val="000000"/>
          <w:shd w:val="clear" w:color="auto" w:fill="FFFFFF"/>
        </w:rPr>
        <w:lastRenderedPageBreak/>
        <w:t>povinnosti a zodpovednosť jednotlivých jej členov sa bude primerane vzťahovať ustanovenie platné pre dobrovoľnú registráciu skupiny, ktorým je § 4b ods. 4 (odseky 6 a 7). </w:t>
      </w:r>
    </w:p>
    <w:p w14:paraId="3680B07D" w14:textId="77777777" w:rsidR="00746D3C" w:rsidRPr="00F548E2" w:rsidRDefault="00746D3C" w:rsidP="00746D3C">
      <w:pPr>
        <w:jc w:val="both"/>
        <w:rPr>
          <w:color w:val="000000"/>
          <w:shd w:val="clear" w:color="auto" w:fill="FFFFFF"/>
        </w:rPr>
      </w:pPr>
    </w:p>
    <w:p w14:paraId="01FF69C1" w14:textId="77777777" w:rsidR="00746D3C" w:rsidRPr="00F548E2" w:rsidRDefault="00746D3C" w:rsidP="00746D3C">
      <w:pPr>
        <w:jc w:val="both"/>
        <w:rPr>
          <w:color w:val="000000"/>
        </w:rPr>
      </w:pPr>
      <w:r w:rsidRPr="00F548E2">
        <w:rPr>
          <w:color w:val="000000"/>
          <w:shd w:val="clear" w:color="auto" w:fill="FFFFFF"/>
        </w:rPr>
        <w:t>V odsekoch 8 a 9 je upravený postup týkajúci sa zmeny registrácie skupiny z úradnej moci v prípadoch, ak ďalší jej člen spĺňa podmienky ustanovené zákonom o DPH na registráciu skupiny z úradnej moci alebo prestal spĺňať podmienky podľa § 4a. Zástupca skupiny je povinný podať žiadosť o zmenu registrácie skupiny z úradnej moci, ak ďalší člen skupiny spĺňa podmienky na registráciu skupiny z úradnej moci alebo ak člen skupiny prestane spĺňať podmienky podľa § 4a. Ak tieto skutočnosti zistí daňový úrad príslušný pre skupinu, bezodkladne rozhodne z úradnej moci o zmene registrácie skupiny. Za nesplnenie povinností ustanovených v odseku 8 alebo odseku 9 sa navrhuje skupine z úradnej moci uložiť pokutu do výšky 10 000 eur (odsek 12).</w:t>
      </w:r>
    </w:p>
    <w:p w14:paraId="3E88C963" w14:textId="77777777" w:rsidR="00746D3C" w:rsidRPr="00F548E2" w:rsidRDefault="00746D3C" w:rsidP="00746D3C">
      <w:pPr>
        <w:jc w:val="both"/>
        <w:rPr>
          <w:color w:val="000000"/>
          <w:shd w:val="clear" w:color="auto" w:fill="FFFFFF"/>
        </w:rPr>
      </w:pPr>
    </w:p>
    <w:p w14:paraId="20A29E41" w14:textId="77777777" w:rsidR="00746D3C" w:rsidRPr="00F548E2" w:rsidRDefault="00746D3C" w:rsidP="00746D3C">
      <w:pPr>
        <w:jc w:val="both"/>
        <w:rPr>
          <w:color w:val="000000"/>
        </w:rPr>
      </w:pPr>
      <w:r w:rsidRPr="00F548E2">
        <w:rPr>
          <w:color w:val="000000"/>
          <w:shd w:val="clear" w:color="auto" w:fill="FFFFFF"/>
        </w:rPr>
        <w:t>V samostatných ustanoveniach sú riešené prípady zmeny registrácie skupiny z úradnej moci, a to ak niektorý z jej členov zanikne bez likvidácie, a na právneho nástupcu prechádza majetok zanikajúceho člena skupiny z úradnej moci alebo niektorý z jej členov zanikne bez právneho nástupcu (odseky 10 a 11).</w:t>
      </w:r>
    </w:p>
    <w:p w14:paraId="199DF271" w14:textId="77777777" w:rsidR="00746D3C" w:rsidRPr="00F548E2" w:rsidRDefault="00746D3C" w:rsidP="00746D3C">
      <w:pPr>
        <w:jc w:val="both"/>
        <w:rPr>
          <w:color w:val="000000" w:themeColor="text1"/>
        </w:rPr>
      </w:pPr>
      <w:r w:rsidRPr="00F548E2">
        <w:rPr>
          <w:color w:val="000000"/>
          <w:shd w:val="clear" w:color="auto" w:fill="FFFFFF"/>
        </w:rPr>
        <w:t> </w:t>
      </w:r>
    </w:p>
    <w:p w14:paraId="5B6A8FD2" w14:textId="77777777" w:rsidR="00746D3C" w:rsidRPr="00F548E2" w:rsidRDefault="00746D3C" w:rsidP="00746D3C">
      <w:pPr>
        <w:jc w:val="both"/>
        <w:rPr>
          <w:b/>
          <w:bCs/>
        </w:rPr>
      </w:pPr>
      <w:r w:rsidRPr="00F548E2">
        <w:rPr>
          <w:b/>
          <w:bCs/>
        </w:rPr>
        <w:t>K Čl. I bodom 5, 14 a 32 /§ 5 ods. 2 písm. d), § 55a ods. 2 písm. c) štvrtý bod a § 56 ods. 2 písm. c) štvrtý bod a § 72 ods. 4 a § 74 ods. 1 písm. o)/</w:t>
      </w:r>
    </w:p>
    <w:p w14:paraId="221C6307" w14:textId="77777777" w:rsidR="00746D3C" w:rsidRPr="00F548E2" w:rsidRDefault="00746D3C" w:rsidP="00746D3C">
      <w:pPr>
        <w:jc w:val="both"/>
      </w:pPr>
      <w:r w:rsidRPr="00F548E2">
        <w:t>Ide o legislatívno-technické úpravy z dôvodu vypustenia ustanovenia § 69aa.</w:t>
      </w:r>
    </w:p>
    <w:p w14:paraId="360FC10F" w14:textId="77777777" w:rsidR="00746D3C" w:rsidRPr="00F548E2" w:rsidRDefault="00746D3C" w:rsidP="00746D3C">
      <w:pPr>
        <w:jc w:val="both"/>
        <w:rPr>
          <w:color w:val="000000" w:themeColor="text1"/>
        </w:rPr>
      </w:pPr>
    </w:p>
    <w:p w14:paraId="156E3B29" w14:textId="77777777" w:rsidR="00746D3C" w:rsidRPr="00F548E2" w:rsidRDefault="00746D3C" w:rsidP="00746D3C">
      <w:pPr>
        <w:jc w:val="both"/>
        <w:rPr>
          <w:b/>
          <w:bCs/>
          <w:color w:val="000000" w:themeColor="text1"/>
        </w:rPr>
      </w:pPr>
      <w:r w:rsidRPr="00F548E2">
        <w:rPr>
          <w:b/>
          <w:bCs/>
          <w:color w:val="000000" w:themeColor="text1"/>
        </w:rPr>
        <w:t>K Čl. I bodu 7 (§ 7a ods. 1)</w:t>
      </w:r>
    </w:p>
    <w:p w14:paraId="40E05E26" w14:textId="77777777" w:rsidR="00746D3C" w:rsidRPr="00F548E2" w:rsidRDefault="00746D3C" w:rsidP="00746D3C">
      <w:pPr>
        <w:jc w:val="both"/>
      </w:pPr>
      <w:r w:rsidRPr="00F548E2">
        <w:t xml:space="preserve">Cieľom navrhovanej úpravy je zvýšiť právnu istotu a zrozumiteľnosť zákona tým, že sa výslovne upravuje možnosť dobrovoľnej registrácie pre zdaniteľné osoby, ktoré síce nespĺňajú zákonom stanovené podmienky na účely povinnej registrácie (§ 4, 7 a 7a), no z iných dôvodov sa rozhodnú pre vstup do systému dane z pridanej hodnoty. Ide o dôležité upresnenie súvisiace najmä so zavedením povinnej elektronickej fakturácie pre prípady, že zdaniteľná osoba začne podnikať alebo plánuje vstúpiť do obchodných vzťahov s platiteľmi DPH a je povinná zabezpečiť, aby vedela prijať elektronickú faktúru a pod. </w:t>
      </w:r>
    </w:p>
    <w:p w14:paraId="7A88B1DE" w14:textId="77777777" w:rsidR="00746D3C" w:rsidRPr="00F548E2" w:rsidRDefault="00746D3C" w:rsidP="00746D3C">
      <w:pPr>
        <w:jc w:val="both"/>
      </w:pPr>
    </w:p>
    <w:p w14:paraId="691C7839" w14:textId="77777777" w:rsidR="00746D3C" w:rsidRPr="00F548E2" w:rsidRDefault="00746D3C" w:rsidP="00746D3C">
      <w:pPr>
        <w:jc w:val="both"/>
        <w:rPr>
          <w:b/>
          <w:bCs/>
        </w:rPr>
      </w:pPr>
      <w:r w:rsidRPr="00F548E2">
        <w:rPr>
          <w:b/>
          <w:bCs/>
        </w:rPr>
        <w:t>K Čl. I bodu 8 /§ 17 ods. 4 písm. b)/</w:t>
      </w:r>
    </w:p>
    <w:p w14:paraId="043D162D" w14:textId="77777777" w:rsidR="00746D3C" w:rsidRPr="00F548E2" w:rsidRDefault="00746D3C" w:rsidP="00746D3C">
      <w:pPr>
        <w:jc w:val="both"/>
        <w:rPr>
          <w:color w:val="000000" w:themeColor="text1"/>
        </w:rPr>
      </w:pPr>
      <w:r w:rsidRPr="00F548E2">
        <w:rPr>
          <w:color w:val="000000" w:themeColor="text1"/>
        </w:rPr>
        <w:t>V nadväznosti na zavedenie povinnej elektronickej fakturácie a oznamovania údajov pri cezhraničnom dodaní tovarov a služieb v rámci členských štátov, a s tým súvisiace zrušenie povinnosti pre platiteľov dane podávať súhrnný výkaz, sa navrhuje s</w:t>
      </w:r>
      <w:r w:rsidRPr="00F548E2">
        <w:t xml:space="preserve"> účinnosťou od 1.7.2030 transponovať čl. 5 prvý bod smernice </w:t>
      </w:r>
      <w:r w:rsidRPr="00F548E2">
        <w:rPr>
          <w:color w:val="000000" w:themeColor="text1"/>
        </w:rPr>
        <w:t xml:space="preserve">Rady (EÚ) 2025/516 z 11. marca 2025, ktorou sa mení smernica 2006/112/ES, pokiaľ ide o pravidlá DPH pre digitálny vek </w:t>
      </w:r>
      <w:r w:rsidRPr="00F548E2">
        <w:t>(Ú. v. EÚ L, 2025/516, 25.3.2025)</w:t>
      </w:r>
      <w:r w:rsidRPr="00F548E2">
        <w:rPr>
          <w:color w:val="000000" w:themeColor="text1"/>
        </w:rPr>
        <w:t xml:space="preserve"> (ďalej len „smernica (EÚ) 2025/516“)</w:t>
      </w:r>
      <w:r w:rsidRPr="00F548E2">
        <w:t>, na základe ktorého sa</w:t>
      </w:r>
      <w:r w:rsidRPr="00F548E2">
        <w:rPr>
          <w:color w:val="000000" w:themeColor="text1"/>
        </w:rPr>
        <w:t xml:space="preserve"> jedna z podmienok, ktoré špecifikujú, že miestom nadobudnutia tovaru z iného členského štátu pri trojstrannom obchode je miesto, kde sa tovar nachádza v čase skončenia jeho odoslania alebo prepravy k nadobúdateľovi, bude viazať na digitálne oznámenie údajov o cezhraničnom dodaní tovaru. </w:t>
      </w:r>
    </w:p>
    <w:p w14:paraId="36886C4D" w14:textId="77777777" w:rsidR="00746D3C" w:rsidRPr="00F548E2" w:rsidRDefault="00746D3C" w:rsidP="00746D3C">
      <w:pPr>
        <w:jc w:val="both"/>
        <w:rPr>
          <w:color w:val="000000" w:themeColor="text1"/>
        </w:rPr>
      </w:pPr>
      <w:r w:rsidRPr="00F548E2">
        <w:rPr>
          <w:color w:val="000000" w:themeColor="text1"/>
        </w:rPr>
        <w:t xml:space="preserve"> </w:t>
      </w:r>
    </w:p>
    <w:p w14:paraId="2AAFA967" w14:textId="77777777" w:rsidR="00746D3C" w:rsidRPr="00F548E2" w:rsidRDefault="00746D3C" w:rsidP="00746D3C">
      <w:pPr>
        <w:jc w:val="both"/>
        <w:rPr>
          <w:b/>
          <w:bCs/>
          <w:color w:val="000000" w:themeColor="text1"/>
        </w:rPr>
      </w:pPr>
      <w:r w:rsidRPr="00F548E2">
        <w:rPr>
          <w:b/>
          <w:bCs/>
          <w:color w:val="000000" w:themeColor="text1"/>
        </w:rPr>
        <w:t>K Čl. I bodu 9 /§ 19 ods. 8 písm. a) a § 20 ods. 1 písm. a)/</w:t>
      </w:r>
    </w:p>
    <w:p w14:paraId="3002AFAF" w14:textId="77777777" w:rsidR="00746D3C" w:rsidRPr="00F548E2" w:rsidRDefault="00746D3C" w:rsidP="00746D3C">
      <w:pPr>
        <w:jc w:val="both"/>
        <w:rPr>
          <w:color w:val="000000" w:themeColor="text1"/>
        </w:rPr>
      </w:pPr>
      <w:r w:rsidRPr="00F548E2">
        <w:rPr>
          <w:color w:val="000000" w:themeColor="text1"/>
        </w:rPr>
        <w:t xml:space="preserve">Navrhuje sa v nadväznosti na skrátenie lehoty na vyhotovenie elektronickej faktúry upraviť okamih vzniku daňovej povinnosti pri cezhraničnom dodaní tovaru do iného členského štátu a cezhraničnom nadobudnutí tovaru z iného členského štátu na desiaty deň odo dňa dodania tovaru, resp. na desiaty deň odo dňa nadobudnutia tovaru. </w:t>
      </w:r>
    </w:p>
    <w:p w14:paraId="721A8930" w14:textId="77777777" w:rsidR="00746D3C" w:rsidRPr="00F548E2" w:rsidRDefault="00746D3C" w:rsidP="00746D3C">
      <w:pPr>
        <w:jc w:val="both"/>
        <w:rPr>
          <w:color w:val="000000" w:themeColor="text1"/>
        </w:rPr>
      </w:pPr>
      <w:r w:rsidRPr="00F548E2">
        <w:rPr>
          <w:color w:val="000000" w:themeColor="text1"/>
        </w:rPr>
        <w:t xml:space="preserve"> </w:t>
      </w:r>
    </w:p>
    <w:p w14:paraId="7F0DF49D" w14:textId="77777777" w:rsidR="00746D3C" w:rsidRPr="00F548E2" w:rsidRDefault="00746D3C" w:rsidP="00746D3C">
      <w:pPr>
        <w:jc w:val="both"/>
        <w:rPr>
          <w:b/>
          <w:bCs/>
          <w:color w:val="000000" w:themeColor="text1"/>
        </w:rPr>
      </w:pPr>
      <w:r w:rsidRPr="00F548E2">
        <w:rPr>
          <w:b/>
          <w:bCs/>
          <w:color w:val="000000" w:themeColor="text1"/>
        </w:rPr>
        <w:t>K Čl. I bodu 10 /§ 19 ods. 8 písm. b) a § 20 ods. 1 písm. b)/</w:t>
      </w:r>
    </w:p>
    <w:p w14:paraId="556E26BE" w14:textId="77777777" w:rsidR="00746D3C" w:rsidRPr="00F548E2" w:rsidRDefault="00746D3C" w:rsidP="00746D3C">
      <w:pPr>
        <w:jc w:val="both"/>
        <w:rPr>
          <w:color w:val="000000" w:themeColor="text1"/>
        </w:rPr>
      </w:pPr>
      <w:r w:rsidRPr="00F548E2">
        <w:rPr>
          <w:color w:val="000000" w:themeColor="text1"/>
        </w:rPr>
        <w:t>Navrhuje sa legislatívno-technická úprava v nadväznosti na znenie § 19 ods. 8 písm. a) a § 20 ods. 1 písm. a).</w:t>
      </w:r>
    </w:p>
    <w:p w14:paraId="7DD11CAA" w14:textId="77777777" w:rsidR="00746D3C" w:rsidRPr="00F548E2" w:rsidRDefault="00746D3C" w:rsidP="00746D3C">
      <w:pPr>
        <w:jc w:val="both"/>
        <w:rPr>
          <w:color w:val="000000" w:themeColor="text1"/>
        </w:rPr>
      </w:pPr>
      <w:r w:rsidRPr="00F548E2">
        <w:rPr>
          <w:color w:val="000000" w:themeColor="text1"/>
        </w:rPr>
        <w:t xml:space="preserve"> </w:t>
      </w:r>
    </w:p>
    <w:p w14:paraId="5A459733" w14:textId="77777777" w:rsidR="00746D3C" w:rsidRPr="00F548E2" w:rsidRDefault="00746D3C" w:rsidP="00746D3C">
      <w:pPr>
        <w:jc w:val="both"/>
        <w:rPr>
          <w:b/>
          <w:bCs/>
          <w:color w:val="000000" w:themeColor="text1"/>
        </w:rPr>
      </w:pPr>
      <w:r w:rsidRPr="00F548E2">
        <w:rPr>
          <w:b/>
          <w:bCs/>
          <w:color w:val="000000" w:themeColor="text1"/>
        </w:rPr>
        <w:lastRenderedPageBreak/>
        <w:t>K Čl. I bodu 11 (§ 43 ods. 9)</w:t>
      </w:r>
    </w:p>
    <w:p w14:paraId="3AC659AB" w14:textId="77777777" w:rsidR="00746D3C" w:rsidRPr="00F548E2" w:rsidRDefault="00746D3C" w:rsidP="00746D3C">
      <w:pPr>
        <w:jc w:val="both"/>
        <w:rPr>
          <w:color w:val="000000" w:themeColor="text1"/>
        </w:rPr>
      </w:pPr>
      <w:r w:rsidRPr="00F548E2">
        <w:rPr>
          <w:color w:val="000000" w:themeColor="text1"/>
        </w:rPr>
        <w:t>V nadväznosti na zavedenie povinnej elektronickej fakturácie a oznamovania údajov o cezhraničnom dodaní tovarov a služieb v rámci členských štátov a s tým súvisiace zrušenie povinnosti pre platiteľov dane podávať súhrnný výkaz sa navrhuje s</w:t>
      </w:r>
      <w:r w:rsidRPr="00F548E2">
        <w:t> účinnosťou od 1.7.2030 transponovať čl. 5 druhý bod smernice (EÚ) 2025/516, podľa ktorého sa navrhuje</w:t>
      </w:r>
      <w:r w:rsidRPr="00F548E2">
        <w:rPr>
          <w:color w:val="000000" w:themeColor="text1"/>
        </w:rPr>
        <w:t xml:space="preserve"> ustanoviť novú podmienku na uplatnenie oslobodenia od dane pri dodaní tovaru z tuzemska do iného členského štátu.</w:t>
      </w:r>
    </w:p>
    <w:p w14:paraId="666ABC4D" w14:textId="77777777" w:rsidR="00746D3C" w:rsidRPr="00F548E2" w:rsidRDefault="00746D3C" w:rsidP="00746D3C">
      <w:pPr>
        <w:jc w:val="both"/>
        <w:rPr>
          <w:color w:val="000000" w:themeColor="text1"/>
        </w:rPr>
      </w:pPr>
    </w:p>
    <w:p w14:paraId="27C6C53E" w14:textId="77777777" w:rsidR="00746D3C" w:rsidRPr="00F548E2" w:rsidRDefault="00746D3C" w:rsidP="00746D3C">
      <w:pPr>
        <w:jc w:val="both"/>
        <w:rPr>
          <w:b/>
          <w:bCs/>
          <w:color w:val="000000" w:themeColor="text1"/>
        </w:rPr>
      </w:pPr>
      <w:r w:rsidRPr="00F548E2">
        <w:rPr>
          <w:b/>
          <w:bCs/>
          <w:color w:val="000000" w:themeColor="text1"/>
        </w:rPr>
        <w:t>K Čl. I bodu 12 (§ 45 ods. 3)</w:t>
      </w:r>
    </w:p>
    <w:p w14:paraId="0F89AB40" w14:textId="77777777" w:rsidR="00746D3C" w:rsidRPr="00F548E2" w:rsidRDefault="00746D3C" w:rsidP="00746D3C">
      <w:pPr>
        <w:jc w:val="both"/>
        <w:rPr>
          <w:rFonts w:eastAsiaTheme="minorEastAsia"/>
        </w:rPr>
      </w:pPr>
      <w:r w:rsidRPr="00F548E2">
        <w:rPr>
          <w:rFonts w:eastAsiaTheme="minorEastAsia"/>
        </w:rPr>
        <w:t>Spresňujú sa ustanovenia týkajúce sa trojstranného obchodu v nadväznosti na zavedenie povinnej elektronickej fakturácie. Upravuje sa, že ak prvým odberateľom (osoba, ktorej sa tovar dodáva pred jeho prepravou alebo odoslaním) je zahraničná osoba z tretieho štátu, na vyhotovenie a uchovávanie faktúry pre druhého odberateľa (následný nadobúdateľ), ktorý je osobou registrovanou pre DPH v tuzemsku, sa vzťahujú ustanovenia § 71 až 76 zákona o DPH, ktoré upravujú povinnosti pri vyhotovovaní a uchovávaní faktúr, vrátane pravidiel pre elektronickú fakturáciu. Z uvedeného ustanovenia je aj v súlade s fakturačnými pravidlami v zákone o DPH (§ 71 až 76) potom zrejmé, že ak je prvým odberateľom zdaniteľná osoba z iného členského štátu, použije pri vyhotovení faktúry pre druhého odberateľa fakturačné pravidlá členského štátu, v ktorom je prvý odberateľ usadený.</w:t>
      </w:r>
    </w:p>
    <w:p w14:paraId="2F7B73EB" w14:textId="77777777" w:rsidR="00746D3C" w:rsidRPr="00F548E2" w:rsidRDefault="00746D3C" w:rsidP="00746D3C">
      <w:pPr>
        <w:jc w:val="both"/>
        <w:rPr>
          <w:color w:val="3B3434"/>
        </w:rPr>
      </w:pPr>
    </w:p>
    <w:p w14:paraId="2E1AC4A8" w14:textId="77777777" w:rsidR="00746D3C" w:rsidRPr="00F548E2" w:rsidRDefault="00746D3C" w:rsidP="00746D3C">
      <w:pPr>
        <w:rPr>
          <w:b/>
          <w:bCs/>
        </w:rPr>
      </w:pPr>
      <w:r w:rsidRPr="00F548E2">
        <w:rPr>
          <w:b/>
          <w:bCs/>
        </w:rPr>
        <w:t>K Čl. I bodu 13 (§ 49 ods. 11)</w:t>
      </w:r>
    </w:p>
    <w:p w14:paraId="53F7230B" w14:textId="77777777" w:rsidR="00746D3C" w:rsidRPr="00F548E2" w:rsidRDefault="00746D3C" w:rsidP="00746D3C">
      <w:pPr>
        <w:jc w:val="both"/>
      </w:pPr>
      <w:r w:rsidRPr="00F548E2">
        <w:t>S účinnosťou od 1.7.2030 sa navrhuje transponovať čl. 5 tretí bod smernice (EÚ) 2025/516, na základe ktorého sa navrhuje ustanoviť novú hmotnoprávnu podmienku práva na odpočítanie dane, ktorá sa bude vzťahovať na dodanie tovaru alebo služby podliehajúce oznamovacej povinnosti podľa § 80a, pričom touto podmienkou bude dispozícia elektronickou faktúrou. Ak platiteľ dane v týchto prípadoch nebude mať elektronickú faktúru, právo na odpočítanie dane si nebude môcť uplatniť.</w:t>
      </w:r>
    </w:p>
    <w:p w14:paraId="4B0837CF" w14:textId="77777777" w:rsidR="00746D3C" w:rsidRPr="00F548E2" w:rsidRDefault="00746D3C" w:rsidP="00746D3C">
      <w:pPr>
        <w:jc w:val="both"/>
      </w:pPr>
    </w:p>
    <w:p w14:paraId="1551DFBC" w14:textId="77777777" w:rsidR="00746D3C" w:rsidRPr="00F548E2" w:rsidRDefault="00746D3C" w:rsidP="00746D3C">
      <w:pPr>
        <w:jc w:val="both"/>
      </w:pPr>
    </w:p>
    <w:p w14:paraId="0100F97B" w14:textId="77777777" w:rsidR="00746D3C" w:rsidRPr="00F548E2" w:rsidRDefault="00746D3C" w:rsidP="00746D3C">
      <w:pPr>
        <w:jc w:val="both"/>
        <w:rPr>
          <w:b/>
          <w:bCs/>
        </w:rPr>
      </w:pPr>
      <w:r w:rsidRPr="00F548E2">
        <w:rPr>
          <w:b/>
          <w:bCs/>
        </w:rPr>
        <w:t>K Čl. I bodu 15 (§ 64a)</w:t>
      </w:r>
    </w:p>
    <w:p w14:paraId="1D6F906B" w14:textId="77777777" w:rsidR="00746D3C" w:rsidRPr="00F548E2" w:rsidRDefault="00746D3C" w:rsidP="00746D3C">
      <w:pPr>
        <w:spacing w:after="160"/>
        <w:jc w:val="both"/>
      </w:pPr>
      <w:r w:rsidRPr="00F548E2">
        <w:t>Z dôvodu právnej istoty a v záujme jednoznačnosti sa navrhuje doplniť medzi ustanovenia, ktoré sa použijú na osobitné úpravy uplatňovania dane (§ 65 až § 68d), ak tieto osobitné úpravy neustanovujú inak, aj § 51, ktorý upravuje podmienky a postup pri uplatnení práva na odpočítanie dane v štandardnom režime uplatňovania dane.</w:t>
      </w:r>
    </w:p>
    <w:p w14:paraId="5C041D35" w14:textId="77777777" w:rsidR="00746D3C" w:rsidRPr="00F548E2" w:rsidRDefault="00746D3C" w:rsidP="00746D3C">
      <w:pPr>
        <w:widowControl w:val="0"/>
        <w:jc w:val="both"/>
        <w:rPr>
          <w:color w:val="000000" w:themeColor="text1"/>
        </w:rPr>
      </w:pPr>
    </w:p>
    <w:p w14:paraId="24E15269" w14:textId="77777777" w:rsidR="00746D3C" w:rsidRPr="00F548E2" w:rsidRDefault="00746D3C" w:rsidP="00746D3C">
      <w:pPr>
        <w:jc w:val="both"/>
        <w:rPr>
          <w:b/>
          <w:bCs/>
        </w:rPr>
      </w:pPr>
      <w:r w:rsidRPr="00F548E2">
        <w:rPr>
          <w:b/>
          <w:bCs/>
        </w:rPr>
        <w:t>K Čl. I bodu 17 /§ 68g ods. 15 písm. a) bod 5/</w:t>
      </w:r>
    </w:p>
    <w:p w14:paraId="73234156" w14:textId="77777777" w:rsidR="00746D3C" w:rsidRPr="00F548E2" w:rsidRDefault="00746D3C" w:rsidP="00746D3C">
      <w:pPr>
        <w:jc w:val="both"/>
        <w:rPr>
          <w:color w:val="000000" w:themeColor="text1"/>
        </w:rPr>
      </w:pPr>
      <w:r w:rsidRPr="00F548E2">
        <w:rPr>
          <w:color w:val="000000" w:themeColor="text1"/>
        </w:rPr>
        <w:t xml:space="preserve">Vzhľadom k tomu, že skupina registrovaná podľa § 4b alebo § 4c sa považuje za jednu zdaniteľnú osobu, konajúcu na účely dane pod vlastným identifikačným číslom pre daň, navrhuje sa rozšíriť dôvody pre rozhodnutie daňového úradu o odňatí individuálneho identifikačného čísla s príponou EX aj o prípad, ak sa malý podnik tuzemskej osoby, skôr registrovaný pre osobitnú úpravu uplatňovania oslobodenia od dane v inom členom štáte, stane členom takejto skupiny. </w:t>
      </w:r>
    </w:p>
    <w:p w14:paraId="2A8E6D1D" w14:textId="77777777" w:rsidR="00746D3C" w:rsidRPr="00F548E2" w:rsidRDefault="00746D3C" w:rsidP="00746D3C">
      <w:pPr>
        <w:jc w:val="both"/>
      </w:pPr>
    </w:p>
    <w:p w14:paraId="34FCC887" w14:textId="77777777" w:rsidR="00746D3C" w:rsidRPr="00F548E2" w:rsidRDefault="00746D3C" w:rsidP="00746D3C">
      <w:pPr>
        <w:jc w:val="both"/>
        <w:rPr>
          <w:b/>
          <w:bCs/>
        </w:rPr>
      </w:pPr>
      <w:r w:rsidRPr="00F548E2">
        <w:rPr>
          <w:b/>
          <w:bCs/>
        </w:rPr>
        <w:t xml:space="preserve">K Čl. I bodu 18 </w:t>
      </w:r>
      <w:r w:rsidRPr="00F548E2">
        <w:rPr>
          <w:b/>
          <w:bCs/>
          <w:sz w:val="22"/>
          <w:szCs w:val="22"/>
        </w:rPr>
        <w:t>/</w:t>
      </w:r>
      <w:r w:rsidRPr="00F548E2">
        <w:rPr>
          <w:b/>
          <w:bCs/>
        </w:rPr>
        <w:t>§ 69a ods. 2 písm. c)/</w:t>
      </w:r>
    </w:p>
    <w:p w14:paraId="60A5B876" w14:textId="77777777" w:rsidR="00746D3C" w:rsidRPr="00F548E2" w:rsidRDefault="00746D3C" w:rsidP="00746D3C">
      <w:pPr>
        <w:pStyle w:val="Normlnywebov"/>
        <w:jc w:val="both"/>
      </w:pPr>
      <w:r w:rsidRPr="00F548E2">
        <w:rPr>
          <w:color w:val="000000" w:themeColor="text1"/>
        </w:rPr>
        <w:t xml:space="preserve">Ide o legislatívno-technické úpravy v nadväznosti na nové ustanovenie § 80, ktorým sa ruší povinnosť predkladať súhrnný výkaz a zavádza sa povinnosť oznamovať údaje pri cezhraničnom dodaní tovarov a služieb v rámci členských štátov na základe elektronickej fakturácie. </w:t>
      </w:r>
      <w:r w:rsidRPr="00F548E2">
        <w:t>Navrhované doplnenie ustanovuje obsahové náležitosti písomného plnomocenstva medzi dovozcom a daňovým zástupcom. Ide o rozšírenie zákonných požiadaviek tak, aby plnomocenstvo pre daňového zástupcu výslovne obsahovalo aj splnomocnenie na vyhotovenie elektronickej faktúry a na oznámenie údajov.</w:t>
      </w:r>
    </w:p>
    <w:p w14:paraId="50A26367" w14:textId="77777777" w:rsidR="00746D3C" w:rsidRPr="00F548E2" w:rsidRDefault="00746D3C" w:rsidP="00746D3C">
      <w:pPr>
        <w:pStyle w:val="Normlnywebov"/>
        <w:jc w:val="both"/>
      </w:pPr>
    </w:p>
    <w:p w14:paraId="00CC4CC6" w14:textId="77777777" w:rsidR="00746D3C" w:rsidRPr="00F548E2" w:rsidRDefault="00746D3C" w:rsidP="00746D3C">
      <w:pPr>
        <w:jc w:val="both"/>
        <w:rPr>
          <w:color w:val="000000" w:themeColor="text1"/>
        </w:rPr>
      </w:pPr>
      <w:r w:rsidRPr="00F548E2">
        <w:rPr>
          <w:b/>
          <w:bCs/>
        </w:rPr>
        <w:lastRenderedPageBreak/>
        <w:t>K Čl. I bodu 19 (§ 69a ods. 6)</w:t>
      </w:r>
    </w:p>
    <w:p w14:paraId="38AA000D" w14:textId="77777777" w:rsidR="00746D3C" w:rsidRPr="00F548E2" w:rsidRDefault="00746D3C" w:rsidP="00746D3C">
      <w:pPr>
        <w:jc w:val="both"/>
      </w:pPr>
      <w:r w:rsidRPr="00F548E2">
        <w:t xml:space="preserve">Ustanovenie § 69a ods. 6 sa navrhuje upraviť </w:t>
      </w:r>
      <w:r w:rsidRPr="00F548E2">
        <w:rPr>
          <w:color w:val="000000" w:themeColor="text1"/>
        </w:rPr>
        <w:t xml:space="preserve">v nadväznosti na nové ustanovenie § 80 a s tým súvisiace </w:t>
      </w:r>
      <w:r w:rsidRPr="00F548E2">
        <w:t>zrušenie povinnosti predkladať súhrnný výkaz. Cieľom zmeny je zosúladiť terminológiu a obsah povinností s novým znením § 80, ktoré upravuje oznamovanie údajov v kontexte elektronického oznamovania údajov pre cezhraničné transakcie podľa smernice (EÚ) 2025/516. Povinnosť daňového zástupcu oznámiť príslušné údaje zabezpečuje riadne vykazovanie plnení prostredníctvom daňového zástupcu a plní kontrolnú funkciu v rámci elektronického oznamovania údajov. Uvedená úprava zároveň odstraňuje pochybnosti o tom, kto je zodpovedný za splnenie oznamovacích povinností v prípade, že si dovozca zvolil daňového zástupcu.</w:t>
      </w:r>
    </w:p>
    <w:p w14:paraId="6CD0CE6F" w14:textId="77777777" w:rsidR="00746D3C" w:rsidRPr="00F548E2" w:rsidRDefault="00746D3C" w:rsidP="00746D3C">
      <w:pPr>
        <w:jc w:val="both"/>
      </w:pPr>
    </w:p>
    <w:p w14:paraId="218C6A38" w14:textId="77777777" w:rsidR="00746D3C" w:rsidRPr="00F548E2" w:rsidRDefault="00746D3C" w:rsidP="00746D3C">
      <w:pPr>
        <w:jc w:val="both"/>
        <w:rPr>
          <w:b/>
          <w:bCs/>
        </w:rPr>
      </w:pPr>
      <w:r w:rsidRPr="00F548E2">
        <w:rPr>
          <w:b/>
          <w:bCs/>
        </w:rPr>
        <w:t>K Čl. I bodu 20 (§ 69aa)</w:t>
      </w:r>
    </w:p>
    <w:p w14:paraId="22D39D6B" w14:textId="77777777" w:rsidR="00746D3C" w:rsidRPr="00F548E2" w:rsidRDefault="00746D3C" w:rsidP="00746D3C">
      <w:pPr>
        <w:jc w:val="both"/>
      </w:pPr>
      <w:r w:rsidRPr="00F548E2">
        <w:t xml:space="preserve">Ustanovenie § 69aa sa navrhuje vypustiť z dôvodu jeho obsolétnosti. </w:t>
      </w:r>
    </w:p>
    <w:p w14:paraId="2B4AD8C1" w14:textId="77777777" w:rsidR="00746D3C" w:rsidRPr="00F548E2" w:rsidRDefault="00746D3C" w:rsidP="00746D3C">
      <w:pPr>
        <w:jc w:val="both"/>
      </w:pPr>
    </w:p>
    <w:p w14:paraId="716A3781" w14:textId="77777777" w:rsidR="00746D3C" w:rsidRPr="00F548E2" w:rsidRDefault="00746D3C" w:rsidP="00746D3C">
      <w:pPr>
        <w:jc w:val="both"/>
        <w:rPr>
          <w:b/>
          <w:bCs/>
        </w:rPr>
      </w:pPr>
      <w:r w:rsidRPr="00F548E2">
        <w:rPr>
          <w:b/>
          <w:bCs/>
        </w:rPr>
        <w:t>K Čl. I bodu 21 (§ 69b ods. 1)</w:t>
      </w:r>
    </w:p>
    <w:p w14:paraId="12E05670" w14:textId="77777777" w:rsidR="00746D3C" w:rsidRPr="00F548E2" w:rsidRDefault="00746D3C" w:rsidP="00746D3C">
      <w:pPr>
        <w:jc w:val="both"/>
      </w:pPr>
      <w:r w:rsidRPr="00F548E2">
        <w:t>Ide o legislatívno-technickú úpravu v nadväznosti na doplnenie nového odseku 2 v ustanovení § 69c a prečíslovanie pôvodného odseku 2 na odsek 3.</w:t>
      </w:r>
    </w:p>
    <w:p w14:paraId="4360C2DB" w14:textId="77777777" w:rsidR="00746D3C" w:rsidRPr="00F548E2" w:rsidRDefault="00746D3C" w:rsidP="00746D3C">
      <w:pPr>
        <w:jc w:val="both"/>
      </w:pPr>
      <w:r w:rsidRPr="00F548E2">
        <w:t xml:space="preserve"> </w:t>
      </w:r>
    </w:p>
    <w:p w14:paraId="72201FED" w14:textId="77777777" w:rsidR="00746D3C" w:rsidRPr="00F548E2" w:rsidRDefault="00746D3C" w:rsidP="00746D3C">
      <w:pPr>
        <w:jc w:val="both"/>
        <w:rPr>
          <w:b/>
          <w:bCs/>
        </w:rPr>
      </w:pPr>
      <w:r w:rsidRPr="00F548E2">
        <w:rPr>
          <w:b/>
          <w:bCs/>
        </w:rPr>
        <w:t>K Čl. I bodom 22, 23, 24 a 25 (§ 69c odsek 1, § 69c ods. 2, § 69c ods. 6, 7 a 8)</w:t>
      </w:r>
    </w:p>
    <w:p w14:paraId="5575B52B" w14:textId="77777777" w:rsidR="00746D3C" w:rsidRPr="00F548E2" w:rsidRDefault="00746D3C" w:rsidP="00746D3C">
      <w:pPr>
        <w:jc w:val="both"/>
      </w:pPr>
      <w:r w:rsidRPr="00F548E2">
        <w:t xml:space="preserve">S účinnosťou od 1.1.2022 bol v § 69c zákona o DPH zavedený osobitný spôsob úhrady dane. Osobitný spôsob úhrady dane umožňuje platiteľovi dane (odberateľovi) vyhnúť sa ručeniu za daň podľa § 69b zákona o DPH, ktorú v lehote splatnosti nezaplatil (vcelku alebo len sčasti) jeho dodávateľ, tým, že sumu dane odberateľ neuhradí dodávateľovi, ale ju zašle na osobný účet daňového subjektu (OÚD) vedený správcom dane pre dodávateľa. </w:t>
      </w:r>
    </w:p>
    <w:p w14:paraId="1FB40605" w14:textId="77777777" w:rsidR="00746D3C" w:rsidRPr="00F548E2" w:rsidRDefault="00746D3C" w:rsidP="00746D3C">
      <w:pPr>
        <w:jc w:val="both"/>
      </w:pPr>
      <w:r w:rsidRPr="00F548E2">
        <w:t>Z pohľadu finančnej správy v Slovenskej republike má osobitný spôsob úhrady dane značný potenciál riešiť veľkú skupinu podvodov so zmiznutým obchodníkom. Jeho širšiemu využitiu ako inštitútu zabezpečujúcom platbu dane však bránila jeho úzka vecná a personálna pôsobnosť. Klesajúci bol aj trend jeho využívania platiteľmi dane.</w:t>
      </w:r>
    </w:p>
    <w:p w14:paraId="5857A7A9" w14:textId="77777777" w:rsidR="00746D3C" w:rsidRPr="00F548E2" w:rsidRDefault="00746D3C" w:rsidP="00746D3C">
      <w:pPr>
        <w:jc w:val="both"/>
      </w:pPr>
      <w:r w:rsidRPr="00576115">
        <w:t>Z hore uvedených dôvodov došlo k návrhu na rozšírenie uplatňovania osobitného spôsobu úhrady dane podľa § 69c zákona o DPH takým spôsobom, že pri určitých transakciách vybraných platiteľov dane, pri ktorých je odôvodnené podozrenie, že daň u dodávateľa nebude uhradená, bude mať daňový úrad možnosť uložiť povinnosť odberateľovi uhradiť daň z faktúry priamo na OÚD správcu dane vedený pre dodávateľa. Pôjde teda o cielené, nie plošné opatrenie, na základe informácií daňového úradu získaných z kontrolnej a operatívnej činnosti</w:t>
      </w:r>
      <w:r w:rsidRPr="00F548E2">
        <w:t>. Odôvodnenie rozhodnutia o uložení povinnosti uhradiť daň za dodávateľa sa musí opierať o dostatočne relevantné dôkazy, ktoré smerujú k tomu, že daň u dodávateľa nebude uhradená (napr. zapojenie dodávateľa v rizikových reťazcoch, jeho zlá daňová minulosť, obchodovanie s rizikovými komoditami, rizikové osoby vo vedení obchodnej spoločnosti, a podobne)</w:t>
      </w:r>
    </w:p>
    <w:p w14:paraId="35C7E0ED" w14:textId="77777777" w:rsidR="00746D3C" w:rsidRPr="00F548E2" w:rsidRDefault="00746D3C" w:rsidP="00746D3C">
      <w:pPr>
        <w:jc w:val="both"/>
      </w:pPr>
      <w:r w:rsidRPr="00F548E2">
        <w:t xml:space="preserve">Ak odberateľ daň uvedenú v rozhodnutí neuhradí vcelku v určenej lehote, alebo uhradí len jej časť, daňový úrad mu uloží pokutu, pričom jej maximálna výška je určená výškou dane uvedenej na faktúre. </w:t>
      </w:r>
    </w:p>
    <w:p w14:paraId="500CB877" w14:textId="77777777" w:rsidR="00746D3C" w:rsidRPr="00F548E2" w:rsidRDefault="00746D3C" w:rsidP="00746D3C">
      <w:pPr>
        <w:jc w:val="both"/>
      </w:pPr>
    </w:p>
    <w:p w14:paraId="130D9B4E" w14:textId="77777777" w:rsidR="00746D3C" w:rsidRPr="00F548E2" w:rsidRDefault="00746D3C" w:rsidP="00746D3C">
      <w:pPr>
        <w:jc w:val="both"/>
        <w:rPr>
          <w:b/>
          <w:bCs/>
        </w:rPr>
      </w:pPr>
      <w:r w:rsidRPr="00F548E2">
        <w:rPr>
          <w:b/>
          <w:bCs/>
        </w:rPr>
        <w:t>K Čl. I bodu 26 /§ 71 ods. 1 písm. a) a b)/</w:t>
      </w:r>
    </w:p>
    <w:p w14:paraId="0C0BAC4C" w14:textId="77777777" w:rsidR="00746D3C" w:rsidRPr="00F548E2" w:rsidRDefault="00746D3C" w:rsidP="00746D3C">
      <w:pPr>
        <w:jc w:val="both"/>
        <w:rPr>
          <w:color w:val="000000" w:themeColor="text1"/>
        </w:rPr>
      </w:pPr>
      <w:r w:rsidRPr="00F548E2">
        <w:t xml:space="preserve">Slovenská republika je povinná s účinnosťou od 1. júla 2030 transponovať do vnútroštátneho práva článok 5 </w:t>
      </w:r>
      <w:r w:rsidRPr="00F548E2">
        <w:rPr>
          <w:color w:val="000000" w:themeColor="text1"/>
        </w:rPr>
        <w:t xml:space="preserve">smernice </w:t>
      </w:r>
      <w:r w:rsidRPr="00F548E2">
        <w:t>(EÚ)</w:t>
      </w:r>
      <w:r w:rsidRPr="00F548E2">
        <w:rPr>
          <w:color w:val="000000" w:themeColor="text1"/>
        </w:rPr>
        <w:t xml:space="preserve"> 2025/516. Smernica </w:t>
      </w:r>
      <w:r w:rsidRPr="00F548E2">
        <w:t xml:space="preserve">(EÚ) </w:t>
      </w:r>
      <w:r w:rsidRPr="00F548E2">
        <w:rPr>
          <w:color w:val="000000" w:themeColor="text1"/>
        </w:rPr>
        <w:t xml:space="preserve">2025/516 mení </w:t>
      </w:r>
      <w:r w:rsidRPr="00F548E2">
        <w:t>smernicu 2006/112/ES v platnom znení tak, aby zohľadňovala vzostup digitálneho hospodárstva a plnohodnotné využívanie údajov, ktoré digitalizácia generuje.</w:t>
      </w:r>
      <w:r w:rsidRPr="00F548E2">
        <w:rPr>
          <w:color w:val="000000" w:themeColor="text1"/>
        </w:rPr>
        <w:t xml:space="preserve"> Cieľom harmonizačných pravidiel je zvýšiť výber dane z pridanej hodnoty najmä pri cezhraničných transakciách a ukončiť súčasnú fragmentáciu vyplývajúcu z toho, že členské štáty majú zavedené rozdielne systémy oznamovania faktúr, resp. údajov z vyhotovených a prijatých faktúr. Nové pravidlá a súvisiace procesy majú byť založené na elektronickej fakturácii a digitálnom oznamovaní údajov z elektronických faktúr o jednotlivých zdaniteľných obchodoch, v reálnom čase, a to nielen </w:t>
      </w:r>
      <w:r w:rsidRPr="00F548E2">
        <w:rPr>
          <w:color w:val="000000" w:themeColor="text1"/>
        </w:rPr>
        <w:lastRenderedPageBreak/>
        <w:t xml:space="preserve">pokiaľ ide o cezhraničné transakcie, ale aj o tuzemské transakcie. V záujme maximalizácie interoperability by elektronické faktúry mali v zásade dodržiavať európsku normu pre elektronickú fakturáciu ustanovenú vo vykonávacom rozhodnutí Komisie (EÚ) 2017/1870 zo 16. októbra 2017 o uverejnení odkazu na európsku normu pre elektronickú fakturáciu a zoznamu syntaxí podľa smernice Európskeho parlamentu a Rady 2014/55/EÚ </w:t>
      </w:r>
      <w:r w:rsidRPr="00F548E2">
        <w:t>(Ú. v. EÚ L 266, 17.10.2017)</w:t>
      </w:r>
      <w:r w:rsidRPr="00F548E2">
        <w:rPr>
          <w:color w:val="000000" w:themeColor="text1"/>
        </w:rPr>
        <w:t xml:space="preserve"> (ďalej len „vykonávacie rozhodnutie 2017/1870“), ktorá spĺňa požiadavku Európskej komisie podľa článku 3 ods. 1 smernice Európskeho parlamentu a Rady 2014/55/EÚ zo 16. apríla 2014 o elektronickej fakturácii vo verejnom obstarávaní </w:t>
      </w:r>
      <w:r w:rsidRPr="00F548E2">
        <w:t>(Ú. v. EÚ L, 133, 6.5.2014)</w:t>
      </w:r>
      <w:r w:rsidRPr="00F548E2">
        <w:rPr>
          <w:color w:val="000000" w:themeColor="text1"/>
        </w:rPr>
        <w:t xml:space="preserve"> (ďalej len „smernica 2014/55/EÚ“) na vytvorenie európskej normy pre sémantický dátový model základných prvkov elektronickej faktúry. V podmienkach Slovenskej republiky boli európske dokumenty o elektronickej fakturácii prijaté do sústavy slovenských technických noriem ako STN EN 16931-1+A1: 2020 Elektronická fakturácia. Časť 1: Sémantický model základných elementov elektronickej faktúry (36 9640) a k tomu prijatá oprava a technická normalizačná informácia STN P CEN/TS 16931-2: 2017 Elektronická fakturácia. Časť 2: Zoznam syntaxí vyhovujúcich EN 16931-1 (36 9640), pričom ich bezodplatné sprístupnenie sponzoruje Európska komisia a sú </w:t>
      </w:r>
      <w:r w:rsidRPr="002B7177">
        <w:t xml:space="preserve">zverejnené na webovom sídle Úradu pre normalizáciu, metrológiu a skúšobníctvo Slovenskej republiky na </w:t>
      </w:r>
      <w:hyperlink r:id="rId19" w:tgtFrame="_blank" w:history="1">
        <w:r w:rsidRPr="002B7177">
          <w:rPr>
            <w:rStyle w:val="Hypertextovprepojenie"/>
            <w:color w:val="auto"/>
          </w:rPr>
          <w:t>https://www.normoff.gov.sk/stranka/159/bezodplatne-poskytovanie-noriem/</w:t>
        </w:r>
      </w:hyperlink>
      <w:r w:rsidRPr="002B7177">
        <w:t xml:space="preserve">. Prvá časť </w:t>
      </w:r>
      <w:r w:rsidRPr="00F548E2">
        <w:rPr>
          <w:color w:val="000000" w:themeColor="text1"/>
        </w:rPr>
        <w:t>tejto normy obsahuje sémantický dátový model základných prvkov elektronickej faktúry. Druhá časť obsahuje zoznam vyhovujúcich syntaxí, a to Universal business language version 2.1 (UBL v 2.1) a Cross Industry Invoice in XML Schemas 16B (SCRDM - CII). Na účely zákona o DPH sa navrhuje vyhotovovať faktúru zásadne ako elektronickú faktúru v zákonom ustanovenom formáte elektronického dokumentu, ktorý umožňuje automatizované a elektronické spracovanie a v dátovej štruktúre v súlade s technickou normou pre elektronickú fakturáciu a zoznamom jej syntaxí podľa osobitného predpisu – vykonávacie rozhodnutie 2017/1870. Okrem toho zákon v ustanovených prípadoch pripúšťa aj vyhotovenie zjednodušenej faktúry alebo dokladu alebo oznámenia iného ako elektronická faktúra alebo zjednodušená faktúra – faktúra v inej podobe (môže ísť napríklad o listinnú podobu, PDF a pod.).</w:t>
      </w:r>
    </w:p>
    <w:p w14:paraId="36DD927D" w14:textId="77777777" w:rsidR="00746D3C" w:rsidRPr="00F548E2" w:rsidRDefault="00746D3C" w:rsidP="00746D3C">
      <w:pPr>
        <w:jc w:val="both"/>
      </w:pPr>
    </w:p>
    <w:p w14:paraId="6D4985B2" w14:textId="77777777" w:rsidR="00746D3C" w:rsidRPr="00F548E2" w:rsidRDefault="00746D3C" w:rsidP="00746D3C">
      <w:pPr>
        <w:jc w:val="both"/>
        <w:rPr>
          <w:b/>
          <w:bCs/>
        </w:rPr>
      </w:pPr>
      <w:r w:rsidRPr="00F548E2">
        <w:rPr>
          <w:b/>
          <w:bCs/>
        </w:rPr>
        <w:t>K Čl. I bodu 27 (§ 71 ods. 2)</w:t>
      </w:r>
    </w:p>
    <w:p w14:paraId="389AF806" w14:textId="77777777" w:rsidR="00746D3C" w:rsidRPr="00F548E2" w:rsidRDefault="00746D3C" w:rsidP="00746D3C">
      <w:pPr>
        <w:spacing w:after="160"/>
        <w:jc w:val="both"/>
      </w:pPr>
      <w:r w:rsidRPr="00F548E2">
        <w:t xml:space="preserve">V nadväznosti na zavedenie povinnej elektronickej fakturácie sa navrhuje, aby sa aj každý opravný doklad alebo oznámenie (okrem opravného dokladu podľa § 25a) k prvotne vyhotovenej elektronickej faktúre vyhotovovalo elektronicky za rovnakých podmienok ako elektronická faktúra. Vyhotovovanie opravných faktúr sa teda legislatívnymi úpravami od 1.1.2027 a od 1.7.2030 mení iba v tom zmysle, že ak pôvodná faktúra bola vyhotovená ako elektronická, aj opravná faktúra k nej musí byť vyhotovená ako elektronická faktúra. Dôvody, kvôli ktorým sa vyhotovujú opravné faktúry, sa zavedením povinnej elektronickej fakturácie nemenia, a týkajú sa buď zrejmých omylov alebo opráv základu dane (§ 25 zákona o DPH). To znamená, že aj v prípade zrejmých omylov sa bude vyhotovovať opravná faktúra, ktorá by mala odkázať na pôvodnú faktúru a účtovný systém dodávateľa aj odberateľa by mal takéto elektronické faktúry (riadnu aj opravnú) vedieť spárovať.  </w:t>
      </w:r>
    </w:p>
    <w:p w14:paraId="2C29C97C" w14:textId="77777777" w:rsidR="00746D3C" w:rsidRPr="00F548E2" w:rsidRDefault="00746D3C" w:rsidP="00746D3C">
      <w:pPr>
        <w:spacing w:after="160" w:line="278" w:lineRule="auto"/>
        <w:rPr>
          <w:b/>
          <w:bCs/>
        </w:rPr>
      </w:pPr>
      <w:r w:rsidRPr="00F548E2">
        <w:t> </w:t>
      </w:r>
      <w:r w:rsidRPr="00F548E2">
        <w:rPr>
          <w:b/>
          <w:bCs/>
        </w:rPr>
        <w:t xml:space="preserve"> </w:t>
      </w:r>
    </w:p>
    <w:p w14:paraId="5A236294" w14:textId="77777777" w:rsidR="00746D3C" w:rsidRPr="00F548E2" w:rsidRDefault="00746D3C" w:rsidP="00746D3C">
      <w:pPr>
        <w:spacing w:after="160" w:line="278" w:lineRule="auto"/>
        <w:rPr>
          <w:b/>
          <w:bCs/>
        </w:rPr>
      </w:pPr>
      <w:r w:rsidRPr="00F548E2">
        <w:rPr>
          <w:b/>
          <w:bCs/>
        </w:rPr>
        <w:t>K Čl. I bodu 28 /§ 71 ods. 3 písm. b)/</w:t>
      </w:r>
    </w:p>
    <w:p w14:paraId="1A899B03" w14:textId="77777777" w:rsidR="00746D3C" w:rsidRPr="00F548E2" w:rsidRDefault="00746D3C" w:rsidP="00746D3C">
      <w:pPr>
        <w:jc w:val="both"/>
      </w:pPr>
      <w:r w:rsidRPr="00F548E2">
        <w:t>Ide o legislatívno-technickú úpravu z dôvodu spresnenia terminológie. Kvalifikovaný elektronický podpis nahradil zaručený elektronický podpis, ktorý sa používal v minulosti.</w:t>
      </w:r>
    </w:p>
    <w:p w14:paraId="2C0C945D" w14:textId="77777777" w:rsidR="00746D3C" w:rsidRPr="00F548E2" w:rsidRDefault="00746D3C" w:rsidP="00746D3C">
      <w:pPr>
        <w:jc w:val="both"/>
        <w:rPr>
          <w:b/>
          <w:bCs/>
        </w:rPr>
      </w:pPr>
      <w:r w:rsidRPr="00F548E2">
        <w:rPr>
          <w:b/>
          <w:bCs/>
        </w:rPr>
        <w:t xml:space="preserve"> </w:t>
      </w:r>
    </w:p>
    <w:p w14:paraId="79A47831" w14:textId="77777777" w:rsidR="00746D3C" w:rsidRPr="00F548E2" w:rsidRDefault="00746D3C" w:rsidP="00746D3C">
      <w:pPr>
        <w:jc w:val="both"/>
        <w:rPr>
          <w:b/>
          <w:bCs/>
        </w:rPr>
      </w:pPr>
      <w:r w:rsidRPr="00F548E2">
        <w:rPr>
          <w:b/>
          <w:bCs/>
        </w:rPr>
        <w:t>K Čl. I bodu 29 (§ 71 ods. 4 až 6)</w:t>
      </w:r>
    </w:p>
    <w:p w14:paraId="35A3E9C9" w14:textId="77777777" w:rsidR="00746D3C" w:rsidRPr="00F548E2" w:rsidRDefault="00746D3C" w:rsidP="00746D3C">
      <w:pPr>
        <w:jc w:val="both"/>
      </w:pPr>
      <w:r w:rsidRPr="00F548E2">
        <w:t xml:space="preserve">V § 71 ods. 4 sa z dôvodu právnej istoty navrhuje ustanoviť, že faktúrou na účely zákona o DPH je elektronická faktúra, ak zákon o DPH výslovne neustanovuje, že faktúru je možné vyhotoviť ako zjednodušenú faktúru alebo faktúru v inej podobe (alebo ak zákon výslovne neustanovuje </w:t>
      </w:r>
      <w:r w:rsidRPr="00F548E2">
        <w:lastRenderedPageBreak/>
        <w:t xml:space="preserve">povinnosť vyhotoviť faktúru v inej podobe). </w:t>
      </w:r>
      <w:r w:rsidRPr="00F548E2">
        <w:rPr>
          <w:color w:val="000000" w:themeColor="text1"/>
        </w:rPr>
        <w:t>S</w:t>
      </w:r>
      <w:r w:rsidRPr="00F548E2">
        <w:t> účinnosťou od 1.7.2030 sa navrhuje, aby vyhotovenie elektronickej faktúry nepodliehalo súhlasu príjemcu plnenia. Zároveň sa navrhuje, aby zaslanie elektronickej faktúry, ktorá je v súlade s európskou technickou normou pre elektronickú fakturáciu a so zoznamom jej syntaxí, teda ktorá je vyhotovená v harmonizovanom štruktúrovanom elektronickom formáte, ktorý umožňuje jej automatizované a elektronické spracovanie, nepodliehalo súhlasu odberateľa faktúry, ak ide o platiteľa dane, zdaniteľnú osobu alebo o nezdaniteľnú právnickú osobu a elektronická faktúra je zaslaná prostredníctvom doručovacej služby (cez Peppol). Zaslanie elektronickej faktúry iným spôsobom ako doručovacou službou, vyžaduje súhlas odberateľa s prijatím elektronickej faktúry týmto iným spôsobom doručenia. Nejde o udelenie súhlasu s vyhotovením elektronickej faktúry, ale o udelenie súhlasu s jej zaslaním v inom formáte súladným s európskou technickou normou pre elektronickú fakturáciu a so zoznamom jej syntaxí, ako je formát podporovaný doručovacou službou.</w:t>
      </w:r>
    </w:p>
    <w:p w14:paraId="6C4C92C4" w14:textId="77777777" w:rsidR="00746D3C" w:rsidRPr="00F548E2" w:rsidRDefault="00746D3C" w:rsidP="00746D3C">
      <w:pPr>
        <w:jc w:val="both"/>
      </w:pPr>
      <w:bookmarkStart w:id="19" w:name="_Hlk206761799"/>
      <w:r w:rsidRPr="00F548E2">
        <w:t xml:space="preserve">V § 71 ods. 5 sa s účinnosťou od 1.1.2027 upravuje, že každá zdaniteľná osoba, ktorá je povinná vyhotoviť elektronickú faktúru, je povinná zabezpečiť, aby ju vedela zaslať alebo prijať doručovacou službou. To znamená, že platiteľ dane, ktorý je ako dodávateľ povinný vyhotovovať elektronické faktúry podľa § 85n ods. 2 zákona o DPH od 1.1.2027 do 30.06.2030, a podľa § 71 ods. 4 zákona o DPH od 1.7.2030, je od 1.1.2027 povinný zabezpečiť, aby vedel vo všeobecnosti zasielať a prijímať elektronické faktúry doručovacou službou podľa § 76a zákona o DPH (cez Peppol). Zákonná povinnosť vedieť prijať a zasielať elektronické faktúry doručovacou službou však neznamená, že prostredníctvom doručovacej služby (cez Peppol) musí platiteľ dane zároveň elektronické faktúry zasielať a prijímať, platiteľ dane sa môže rozhodnúť, že zašle alebo prijme faktúru aj iným spôsobom (podmienkou však je súhlas príjemcu s takýmto zaslaním a súlad vyhotovenej elektronickej faktúry s európskou technickou normou). Rovnaká povinnosť vedieť prijímať elektronické faktúry zaslané doručovacou službou (cez Peppol) vyplýva aj pre každého odberateľa tovaru alebo príjemcu služby, ktorým môže byť platiteľ, zdaniteľná osoba - neplatiteľ a nezdaniteľná právnická osoba, ktorej je v tuzemsku dodaný tovar alebo služba od platiteľa (dodávateľa), ktorý je pre tieto osoby povinný vyhotoviť elektronickú faktúru. Ak odberateľ nebude schopný prijať elektronickú faktúru doručovacou službou a dodávateľ zašle elektronickú faktúru doručovacou službou, u dodávateľa sa zákonná povinnosť vyhotoviť a zaslať elektronickú faktúru doručovacou službou považuje za splnenú. </w:t>
      </w:r>
    </w:p>
    <w:bookmarkEnd w:id="19"/>
    <w:p w14:paraId="50A765BC" w14:textId="77777777" w:rsidR="00746D3C" w:rsidRPr="00F548E2" w:rsidRDefault="00746D3C" w:rsidP="00746D3C">
      <w:pPr>
        <w:jc w:val="both"/>
      </w:pPr>
      <w:r w:rsidRPr="00F548E2">
        <w:t>V § 71 ods. 6 ide o legislatívno-technickú úpravu v nadväznosti na vypustenie § 74 ods. 3.</w:t>
      </w:r>
    </w:p>
    <w:p w14:paraId="40F6B2F1" w14:textId="77777777" w:rsidR="00746D3C" w:rsidRPr="00F548E2" w:rsidRDefault="00746D3C" w:rsidP="00746D3C">
      <w:pPr>
        <w:jc w:val="both"/>
        <w:rPr>
          <w:b/>
          <w:bCs/>
        </w:rPr>
      </w:pPr>
      <w:r w:rsidRPr="00F548E2">
        <w:rPr>
          <w:b/>
          <w:bCs/>
        </w:rPr>
        <w:t xml:space="preserve"> </w:t>
      </w:r>
    </w:p>
    <w:p w14:paraId="533B92A1" w14:textId="77777777" w:rsidR="00746D3C" w:rsidRPr="00F548E2" w:rsidRDefault="00746D3C" w:rsidP="00746D3C">
      <w:pPr>
        <w:jc w:val="both"/>
        <w:rPr>
          <w:b/>
          <w:bCs/>
        </w:rPr>
      </w:pPr>
      <w:r w:rsidRPr="00F548E2">
        <w:rPr>
          <w:b/>
          <w:bCs/>
        </w:rPr>
        <w:t>K Čl. I bodu 30 (§ 72 ods. 2)</w:t>
      </w:r>
    </w:p>
    <w:p w14:paraId="2F75047A" w14:textId="77777777" w:rsidR="00746D3C" w:rsidRPr="00F548E2" w:rsidRDefault="00746D3C" w:rsidP="00746D3C">
      <w:pPr>
        <w:jc w:val="both"/>
      </w:pPr>
      <w:r w:rsidRPr="00F548E2">
        <w:t>V § 72 ods. 2 sa navrhuje explicitne ustanoviť prípady, kedy je zdaniteľná osoba, ktorá nie je platiteľom, povinná vyhotoviť elektronickú faktúru.</w:t>
      </w:r>
    </w:p>
    <w:p w14:paraId="37399BEE" w14:textId="77777777" w:rsidR="00746D3C" w:rsidRPr="00F548E2" w:rsidRDefault="00746D3C" w:rsidP="00746D3C">
      <w:pPr>
        <w:jc w:val="both"/>
        <w:rPr>
          <w:b/>
          <w:bCs/>
        </w:rPr>
      </w:pPr>
    </w:p>
    <w:p w14:paraId="381FCA9C" w14:textId="77777777" w:rsidR="00746D3C" w:rsidRPr="00F548E2" w:rsidRDefault="00746D3C" w:rsidP="00746D3C">
      <w:pPr>
        <w:jc w:val="both"/>
        <w:rPr>
          <w:b/>
          <w:bCs/>
        </w:rPr>
      </w:pPr>
      <w:r w:rsidRPr="00F548E2">
        <w:rPr>
          <w:b/>
          <w:bCs/>
        </w:rPr>
        <w:t>K Čl. I bodu 31 (§ 72 ods. 3)</w:t>
      </w:r>
    </w:p>
    <w:p w14:paraId="36AC91A6" w14:textId="77777777" w:rsidR="00746D3C" w:rsidRPr="00F548E2" w:rsidRDefault="00746D3C" w:rsidP="00746D3C">
      <w:pPr>
        <w:jc w:val="both"/>
      </w:pPr>
      <w:r w:rsidRPr="00F548E2">
        <w:t xml:space="preserve">V § 72 ods. 3 sa </w:t>
      </w:r>
      <w:r w:rsidRPr="00F548E2">
        <w:rPr>
          <w:color w:val="000000" w:themeColor="text1"/>
        </w:rPr>
        <w:t>navrhuje,</w:t>
      </w:r>
      <w:r w:rsidRPr="00F548E2">
        <w:t xml:space="preserve"> že zahraničná osoba z tretieho štátu, ktorá nie je platiteľom, a ktorej vzniká povinnosť vyhotoviť faktúru pri dodaní tovaru alebo dodaní služby s miestom dodania v tuzemsku,</w:t>
      </w:r>
      <w:r w:rsidRPr="00F548E2" w:rsidDel="008D1FAF">
        <w:t xml:space="preserve"> </w:t>
      </w:r>
      <w:r w:rsidRPr="00F548E2">
        <w:t>nemusí vyhotoviť faktúru len ako elektronickú faktúru, ale môže faktúru vyhotoviť aj v inej podobe (listinná podoba, PDF a pod.) podľa zákona o DPH.</w:t>
      </w:r>
    </w:p>
    <w:p w14:paraId="155C5204" w14:textId="77777777" w:rsidR="00746D3C" w:rsidRPr="00F548E2" w:rsidRDefault="00746D3C" w:rsidP="00746D3C">
      <w:pPr>
        <w:jc w:val="both"/>
        <w:rPr>
          <w:b/>
          <w:bCs/>
        </w:rPr>
      </w:pPr>
      <w:r w:rsidRPr="00F548E2">
        <w:rPr>
          <w:b/>
          <w:bCs/>
        </w:rPr>
        <w:t xml:space="preserve"> </w:t>
      </w:r>
    </w:p>
    <w:p w14:paraId="11C32C96" w14:textId="77777777" w:rsidR="00746D3C" w:rsidRPr="00F548E2" w:rsidRDefault="00746D3C" w:rsidP="00746D3C">
      <w:pPr>
        <w:jc w:val="both"/>
        <w:rPr>
          <w:b/>
          <w:bCs/>
        </w:rPr>
      </w:pPr>
      <w:r w:rsidRPr="00F548E2">
        <w:rPr>
          <w:b/>
          <w:bCs/>
        </w:rPr>
        <w:t>K Čl. I bodu 33 (§ 72 ods. 9 až 12)</w:t>
      </w:r>
    </w:p>
    <w:p w14:paraId="079234C3" w14:textId="77777777" w:rsidR="00746D3C" w:rsidRPr="00F548E2" w:rsidRDefault="00746D3C" w:rsidP="00746D3C">
      <w:pPr>
        <w:jc w:val="both"/>
      </w:pPr>
      <w:r w:rsidRPr="00F548E2">
        <w:t xml:space="preserve">V § 72 ods. 9 ide o legislatívno-technickú úpravu v nadväznosti na vypustenie § 74 ods. 4. </w:t>
      </w:r>
    </w:p>
    <w:p w14:paraId="0EFECE25" w14:textId="77777777" w:rsidR="00746D3C" w:rsidRPr="00F548E2" w:rsidRDefault="00746D3C" w:rsidP="00746D3C">
      <w:pPr>
        <w:jc w:val="both"/>
      </w:pPr>
      <w:r w:rsidRPr="00F548E2">
        <w:t xml:space="preserve">V § 72 ods. 10 sa v nadväznosti na úpravu v § 71 ods. 1 písm. a) bod 3 navrhuje ustanoviť, kedy je možné vyhotoviť faktúru v inej podobe. </w:t>
      </w:r>
    </w:p>
    <w:p w14:paraId="603728D9" w14:textId="77777777" w:rsidR="00746D3C" w:rsidRPr="00F548E2" w:rsidRDefault="00746D3C" w:rsidP="00746D3C">
      <w:pPr>
        <w:jc w:val="both"/>
      </w:pPr>
      <w:r w:rsidRPr="00F548E2">
        <w:t xml:space="preserve">V § 72 ods. 11 sa navrhuje zákonná povinnosť pre dodávateľa vyhotoviť faktúru v inej podobe pri dodaniach tovarov alebo služieb, prípadne pri prijatí platby pred dodaním, ak je odberateľom tovarov alebo služieb Slovenská informačná služba alebo Vojenské spravodajstvo. Podobne, ak je dodanie tovarov alebo služieb utajovanou skutočnosťou, je spojené s utajovanou </w:t>
      </w:r>
      <w:r w:rsidRPr="00F548E2">
        <w:lastRenderedPageBreak/>
        <w:t xml:space="preserve">skutočnosťou alebo si vyžaduje utajovanú skutočnosť, bez ohľadu na to, kde je dodávateľ alebo odberateľ tohto dodania usadený, vyhotovuje sa pri tomto dodaní povinne faktúra v inej podobe. </w:t>
      </w:r>
    </w:p>
    <w:p w14:paraId="3F26EAA5" w14:textId="77777777" w:rsidR="00746D3C" w:rsidRPr="00F548E2" w:rsidRDefault="00746D3C" w:rsidP="00746D3C">
      <w:pPr>
        <w:jc w:val="both"/>
      </w:pPr>
      <w:r w:rsidRPr="00F548E2">
        <w:t>V § 72 ods. 12 sa navrhuje ustanoviť, kedy platiteľ, ktorý je zahraničnou osobou z iného členského štátu, vyhotovuje faktúru podľa tohto zákona.</w:t>
      </w:r>
    </w:p>
    <w:p w14:paraId="53047F4D" w14:textId="77777777" w:rsidR="00746D3C" w:rsidRPr="00F548E2" w:rsidRDefault="00746D3C" w:rsidP="00746D3C">
      <w:pPr>
        <w:jc w:val="both"/>
        <w:rPr>
          <w:b/>
          <w:bCs/>
        </w:rPr>
      </w:pPr>
    </w:p>
    <w:p w14:paraId="6E949220" w14:textId="77777777" w:rsidR="00746D3C" w:rsidRPr="00F548E2" w:rsidRDefault="00746D3C" w:rsidP="00746D3C">
      <w:pPr>
        <w:jc w:val="both"/>
        <w:rPr>
          <w:b/>
          <w:bCs/>
        </w:rPr>
      </w:pPr>
      <w:r w:rsidRPr="00F548E2">
        <w:rPr>
          <w:b/>
          <w:bCs/>
        </w:rPr>
        <w:t>K Čl. I bodom 34 až 38 /§ 73 ods. 1, § 73 ods. 1 písm. b), § 73 ods. 1 písm. c), § 73 ods. 1 písm. d) a e), § 73 ods. 3 a 4/</w:t>
      </w:r>
    </w:p>
    <w:p w14:paraId="54B6B7B5" w14:textId="77777777" w:rsidR="00746D3C" w:rsidRPr="00F548E2" w:rsidRDefault="00746D3C" w:rsidP="00746D3C">
      <w:pPr>
        <w:jc w:val="both"/>
      </w:pPr>
      <w:r w:rsidRPr="00F548E2">
        <w:t xml:space="preserve">Z dôvodu transpozičnej povinnosti vyplývajúcej zo smernice (EÚ) 2025/516, ktorou sa zavádza povinná elektronická fakturácia, sa </w:t>
      </w:r>
      <w:r w:rsidRPr="00F548E2">
        <w:rPr>
          <w:color w:val="000000" w:themeColor="text1"/>
        </w:rPr>
        <w:t>navrhuje s</w:t>
      </w:r>
      <w:r w:rsidRPr="00F548E2">
        <w:t> účinnosťou od 1.7.2030 transponovať čl. 5 šiesty bod a upraviť aj lehotu na vyhotovenie faktúry z 15 dní na 10 dní (ide o kalendárne dni) za účelom dosiahnutia jednoznačnosti a jednotného postupu v aplikačnej praxi, a to pokiaľ ide o dodania tovarov a služieb do iných členských štátov, tuzemské dodania tovarov a služieb, ale aj dodania tovarov a služieb do tretích štátov alebo prijatia platby pred týmto dodaniami. Rovnaká lehota sa navrhuje ustanoviť aj pre vyhotovenie opravnej faktúry.</w:t>
      </w:r>
    </w:p>
    <w:p w14:paraId="00B26BC1" w14:textId="77777777" w:rsidR="00746D3C" w:rsidRPr="00F548E2" w:rsidRDefault="00746D3C" w:rsidP="00746D3C">
      <w:pPr>
        <w:pStyle w:val="Normlnywebov"/>
        <w:jc w:val="both"/>
      </w:pPr>
      <w:r w:rsidRPr="00F548E2">
        <w:t xml:space="preserve">Ustanovenie § 73 sa dopĺňa novými odsekmi 3 a 4. Z dôvodu právnej istoty sa v odseku 3 navrhuje spresniť postup pri počítaní lehôt pri vyhotovení faktúry, kedy nebude dochádzať k posunu posledného dňa lehoty na najbližší nasledujúci pracovný deň, ak posledný deň lehoty pripadne na sobotu, nedeľu alebo deň pracovného pokoja. </w:t>
      </w:r>
    </w:p>
    <w:p w14:paraId="57DC8C26" w14:textId="77777777" w:rsidR="00746D3C" w:rsidRPr="00F548E2" w:rsidRDefault="00746D3C" w:rsidP="00746D3C">
      <w:pPr>
        <w:pStyle w:val="Normlnywebov"/>
        <w:jc w:val="both"/>
      </w:pPr>
      <w:r w:rsidRPr="00F548E2">
        <w:t>Úprava v odseku 4 je reakciou na praktickú potrebu zohľadniť situácie, keď dodávateľ nemal v čase dodania tovaru alebo služby dostatočné informácie na to, aby vedel, že je povinný vyhotoviť faktúru v zmysle § 73 ods. 1. Takáto situácia môže nastať napríklad v prípadoch, keď odberateľ až dodatočne oznámi, že je zdaniteľnou osobou, a teda má nárok na vyhotovenie faktúry v zákonom stanovenej lehote. Cieľom tohto ustanovenia je zabezpečiť právnu istotu pre dodávateľov a umožniť im dodržať zákonnú lehotu na vyhotovenie faktúry aj v prípadoch, keď objektívne nemohli vedieť o povinnosti faktúru vyhotoviť. Ak dôjde k dodatočnému oznámeniu odberateľa, že ide o zdaniteľnú osobu, lehota na vyhotovenie faktúry sa bude považovať za dodržanú, ak dodávateľ vyhotoví faktúru do desiatich dní od tohto oznámenia.</w:t>
      </w:r>
    </w:p>
    <w:p w14:paraId="42F9811F" w14:textId="77777777" w:rsidR="00746D3C" w:rsidRPr="00F548E2" w:rsidRDefault="00746D3C" w:rsidP="00746D3C">
      <w:pPr>
        <w:jc w:val="both"/>
        <w:rPr>
          <w:b/>
          <w:bCs/>
        </w:rPr>
      </w:pPr>
    </w:p>
    <w:p w14:paraId="78DB561A" w14:textId="77777777" w:rsidR="00746D3C" w:rsidRPr="00F548E2" w:rsidRDefault="00746D3C" w:rsidP="00746D3C">
      <w:pPr>
        <w:jc w:val="both"/>
        <w:rPr>
          <w:b/>
          <w:bCs/>
        </w:rPr>
      </w:pPr>
      <w:r w:rsidRPr="00F548E2">
        <w:rPr>
          <w:b/>
          <w:bCs/>
        </w:rPr>
        <w:t>K Čl. I bodu 39 /§ 74 ods. 1 písm. c)/</w:t>
      </w:r>
    </w:p>
    <w:p w14:paraId="11832D77" w14:textId="77777777" w:rsidR="00746D3C" w:rsidRPr="00F548E2" w:rsidRDefault="00746D3C" w:rsidP="00746D3C">
      <w:pPr>
        <w:jc w:val="both"/>
      </w:pPr>
      <w:r w:rsidRPr="00F548E2">
        <w:t>V súlade s čl. 226 ods. 2 smernice 2006/112/ES v platnom znení sa navrhuje precizovať doterajšie znenie upravovaného ustanovenia.</w:t>
      </w:r>
    </w:p>
    <w:p w14:paraId="7073F82F" w14:textId="77777777" w:rsidR="00746D3C" w:rsidRPr="00F548E2" w:rsidRDefault="00746D3C" w:rsidP="00746D3C">
      <w:pPr>
        <w:jc w:val="both"/>
        <w:rPr>
          <w:b/>
          <w:bCs/>
        </w:rPr>
      </w:pPr>
      <w:r w:rsidRPr="00F548E2">
        <w:rPr>
          <w:b/>
          <w:bCs/>
        </w:rPr>
        <w:t xml:space="preserve"> </w:t>
      </w:r>
    </w:p>
    <w:p w14:paraId="2C0507A1" w14:textId="77777777" w:rsidR="00746D3C" w:rsidRPr="00F548E2" w:rsidRDefault="00746D3C" w:rsidP="00746D3C">
      <w:pPr>
        <w:jc w:val="both"/>
        <w:rPr>
          <w:b/>
          <w:bCs/>
        </w:rPr>
      </w:pPr>
      <w:r w:rsidRPr="00F548E2">
        <w:rPr>
          <w:b/>
          <w:bCs/>
        </w:rPr>
        <w:t>K Čl. I bodom 40 a 41 /§ 74 ods. 1 písm. k) a § 74 sa ods. 1 písm. p) a q)/</w:t>
      </w:r>
    </w:p>
    <w:p w14:paraId="58027C56" w14:textId="77777777" w:rsidR="00746D3C" w:rsidRPr="00D74739" w:rsidRDefault="00746D3C" w:rsidP="00746D3C">
      <w:pPr>
        <w:jc w:val="both"/>
      </w:pPr>
      <w:r w:rsidRPr="00F548E2">
        <w:t xml:space="preserve">V § 71 ods. 4 sa </w:t>
      </w:r>
      <w:r w:rsidRPr="00F548E2">
        <w:rPr>
          <w:color w:val="000000" w:themeColor="text1"/>
        </w:rPr>
        <w:t>navrhuje s</w:t>
      </w:r>
      <w:r w:rsidRPr="00F548E2">
        <w:t xml:space="preserve"> účinnosťou od 1.7.2030 transponovať čl. 5 ôsmy bod smernice (EÚ) 2025/516, pričom sa v nadväznosti na zmeny vyplývajúce zo smernice (EÚ) 2025/516 navrhuje doplniť obsahové náležitosti faktúry o predmetné údaje. </w:t>
      </w:r>
      <w:r w:rsidRPr="00576115">
        <w:t>Súčasne je potrebné uviesť, že povinnou náležitosťou faktúry, vrátane elektronickej faktúry, je údaj o množstve a druhu tovaru alebo o rozsahu a druhu služby. Podrobná špecifikácia tohto tovaru alebo služby však môže byť obsiahnutá v prílohe elektronickej faktúry, ak samotná elektronická faktúra je vyhotovená v súlade s ustanovenou technickou normou pre elektronickú fakturáciu.</w:t>
      </w:r>
    </w:p>
    <w:p w14:paraId="7268C8B4" w14:textId="77777777" w:rsidR="00746D3C" w:rsidRPr="00D74739" w:rsidRDefault="00746D3C" w:rsidP="00746D3C">
      <w:pPr>
        <w:jc w:val="both"/>
        <w:rPr>
          <w:b/>
          <w:bCs/>
        </w:rPr>
      </w:pPr>
      <w:r w:rsidRPr="00D74739">
        <w:rPr>
          <w:b/>
          <w:bCs/>
        </w:rPr>
        <w:t xml:space="preserve"> </w:t>
      </w:r>
    </w:p>
    <w:p w14:paraId="38E89CF3" w14:textId="77777777" w:rsidR="00746D3C" w:rsidRPr="00D74739" w:rsidRDefault="00746D3C" w:rsidP="00746D3C">
      <w:pPr>
        <w:jc w:val="both"/>
        <w:rPr>
          <w:b/>
          <w:bCs/>
        </w:rPr>
      </w:pPr>
      <w:r w:rsidRPr="00D74739">
        <w:rPr>
          <w:b/>
          <w:bCs/>
        </w:rPr>
        <w:t>K Čl. I bodu 42 (§ 74 ods. 3 a 4)</w:t>
      </w:r>
    </w:p>
    <w:p w14:paraId="4ED9DDFC" w14:textId="77777777" w:rsidR="00746D3C" w:rsidRPr="00D74739" w:rsidRDefault="00746D3C" w:rsidP="00746D3C">
      <w:pPr>
        <w:jc w:val="both"/>
      </w:pPr>
      <w:r w:rsidRPr="00D74739">
        <w:t xml:space="preserve">Navrhuje sa vypustenie predmetných ustanovení. Ide o legislatívno-technické úpravy v nadväznosti na úpravy v § 71 ods. </w:t>
      </w:r>
      <w:r>
        <w:t>6</w:t>
      </w:r>
      <w:r w:rsidRPr="00D74739">
        <w:t xml:space="preserve"> a nové znenie v § 72 ods. 9.</w:t>
      </w:r>
    </w:p>
    <w:p w14:paraId="1725DFDF" w14:textId="77777777" w:rsidR="00746D3C" w:rsidRPr="00D74739" w:rsidRDefault="00746D3C" w:rsidP="00746D3C">
      <w:pPr>
        <w:jc w:val="both"/>
        <w:rPr>
          <w:b/>
          <w:bCs/>
        </w:rPr>
      </w:pPr>
      <w:r w:rsidRPr="00D74739">
        <w:rPr>
          <w:b/>
          <w:bCs/>
        </w:rPr>
        <w:t xml:space="preserve"> </w:t>
      </w:r>
    </w:p>
    <w:p w14:paraId="230A20E4" w14:textId="77777777" w:rsidR="00746D3C" w:rsidRPr="00D74739" w:rsidRDefault="00746D3C" w:rsidP="00746D3C">
      <w:pPr>
        <w:jc w:val="both"/>
        <w:rPr>
          <w:b/>
          <w:bCs/>
        </w:rPr>
      </w:pPr>
      <w:r w:rsidRPr="00D74739">
        <w:rPr>
          <w:b/>
          <w:bCs/>
        </w:rPr>
        <w:t>K Čl. I bodu 43 (§ 74 ods. 3)</w:t>
      </w:r>
    </w:p>
    <w:p w14:paraId="569C8B1E" w14:textId="77777777" w:rsidR="00746D3C" w:rsidRDefault="00746D3C" w:rsidP="00746D3C">
      <w:pPr>
        <w:jc w:val="both"/>
      </w:pPr>
      <w:r w:rsidRPr="00D74739">
        <w:t xml:space="preserve">Ide o legislatívno-technické úpravy v nadväznosti na úpravy v § 71 ods. </w:t>
      </w:r>
      <w:r>
        <w:t>6</w:t>
      </w:r>
      <w:r w:rsidRPr="00D74739">
        <w:t>.</w:t>
      </w:r>
    </w:p>
    <w:p w14:paraId="4E91D1E4" w14:textId="77777777" w:rsidR="00746D3C" w:rsidRDefault="00746D3C" w:rsidP="00746D3C">
      <w:pPr>
        <w:jc w:val="both"/>
      </w:pPr>
    </w:p>
    <w:p w14:paraId="4B2E096B" w14:textId="77777777" w:rsidR="00746D3C" w:rsidRPr="00434DDD" w:rsidRDefault="00746D3C" w:rsidP="00746D3C">
      <w:pPr>
        <w:jc w:val="both"/>
        <w:rPr>
          <w:b/>
          <w:bCs/>
        </w:rPr>
      </w:pPr>
      <w:r w:rsidRPr="00434DDD">
        <w:rPr>
          <w:b/>
          <w:bCs/>
        </w:rPr>
        <w:t>K Čl. I. bodu 44 (§ 74 ods. 5)</w:t>
      </w:r>
    </w:p>
    <w:p w14:paraId="402C35CC" w14:textId="77777777" w:rsidR="00746D3C" w:rsidRPr="00D74739" w:rsidRDefault="00746D3C" w:rsidP="00746D3C">
      <w:pPr>
        <w:jc w:val="both"/>
      </w:pPr>
      <w:r>
        <w:t xml:space="preserve">Navrhuje sa zosúladiť znenie dotknutého ustanovenia s čl. 236 </w:t>
      </w:r>
      <w:r w:rsidRPr="001B606D">
        <w:t>smernice 2006/112/ES</w:t>
      </w:r>
      <w:r>
        <w:t xml:space="preserve">, ktorý bol zmenený smernicou (EÚ) 2025/516. </w:t>
      </w:r>
    </w:p>
    <w:p w14:paraId="7B18AA79" w14:textId="77777777" w:rsidR="00746D3C" w:rsidRPr="00D74739" w:rsidRDefault="00746D3C" w:rsidP="00746D3C">
      <w:pPr>
        <w:jc w:val="both"/>
        <w:rPr>
          <w:b/>
          <w:bCs/>
        </w:rPr>
      </w:pPr>
      <w:r w:rsidRPr="00D74739">
        <w:rPr>
          <w:b/>
          <w:bCs/>
        </w:rPr>
        <w:lastRenderedPageBreak/>
        <w:t xml:space="preserve"> </w:t>
      </w:r>
    </w:p>
    <w:p w14:paraId="7C50DC37" w14:textId="77777777" w:rsidR="00746D3C" w:rsidRPr="00D74739" w:rsidRDefault="00746D3C" w:rsidP="00746D3C">
      <w:pPr>
        <w:jc w:val="both"/>
      </w:pPr>
      <w:r w:rsidRPr="00D74739">
        <w:rPr>
          <w:b/>
          <w:bCs/>
        </w:rPr>
        <w:t xml:space="preserve">K Čl. I bodu </w:t>
      </w:r>
      <w:r>
        <w:rPr>
          <w:b/>
          <w:bCs/>
        </w:rPr>
        <w:t>45</w:t>
      </w:r>
      <w:r w:rsidRPr="00D74739">
        <w:rPr>
          <w:b/>
          <w:bCs/>
        </w:rPr>
        <w:t xml:space="preserve"> (§ 75)</w:t>
      </w:r>
    </w:p>
    <w:p w14:paraId="451D185A" w14:textId="77777777" w:rsidR="00746D3C" w:rsidRDefault="00746D3C" w:rsidP="00746D3C">
      <w:pPr>
        <w:jc w:val="both"/>
      </w:pPr>
      <w:r w:rsidRPr="00D74739">
        <w:t xml:space="preserve">Z dôvodu transpozičnej povinnosti vyplývajúcej zo smernice </w:t>
      </w:r>
      <w:r>
        <w:t xml:space="preserve">(EÚ) </w:t>
      </w:r>
      <w:r w:rsidRPr="00D74739">
        <w:t xml:space="preserve">2025/516, ktorou sa zavádza povinná elektronická fakturácia sa </w:t>
      </w:r>
      <w:r w:rsidRPr="00D74739">
        <w:rPr>
          <w:color w:val="000000" w:themeColor="text1"/>
        </w:rPr>
        <w:t>navrhuje s</w:t>
      </w:r>
      <w:r w:rsidRPr="00D74739">
        <w:t xml:space="preserve"> účinnosťou od 1.7.2030 transponovať čl. 5 siedmy bod a upraviť aj lehotu na vyhotovenie súhrnnej faktúry. Zároveň sa navrhuje vypustenie odseku 2 z dôvodu, že smernica </w:t>
      </w:r>
      <w:r>
        <w:t xml:space="preserve">(EÚ) </w:t>
      </w:r>
      <w:r w:rsidRPr="00D74739">
        <w:t>2025/516 uvedenú možnosť vyhotovenia súhrnnej faktúry neupravuje (napr. dohoda o platbách za dodanie elektriny, plynu, vody alebo tepla, ktorá pokrýva obdobie najviac 12 kalendárnych mesiacov alebo dohoda o platbách nájomného). Európska norma pre elektronickú fakturáciu, v súlade s ktorou sa vyhotovujú elektronické faktúry, takúto dohodu neumožňuje.</w:t>
      </w:r>
      <w:r>
        <w:t xml:space="preserve"> Ak sa faktúra vyhotovila ako súhrnná faktúra, a následne po dodaní tovaru alebo služby dôjde ku skutočnostiam, kvôli ktorým sa k nej vyhotovuje opravná faktúra, ktorá bude zaslaná príjemcovi v jednom súbore, je možné údaje, ktoré sa opakujú v opravnej faktúre (sú spoločné pre jednotlivé faktúry) uviesť len jedenkrát.</w:t>
      </w:r>
    </w:p>
    <w:p w14:paraId="083BFD9B" w14:textId="77777777" w:rsidR="00746D3C" w:rsidRDefault="00746D3C" w:rsidP="00746D3C">
      <w:pPr>
        <w:jc w:val="both"/>
        <w:rPr>
          <w:b/>
          <w:bCs/>
        </w:rPr>
      </w:pPr>
    </w:p>
    <w:p w14:paraId="007CCCAC" w14:textId="77777777" w:rsidR="00746D3C" w:rsidRDefault="00746D3C" w:rsidP="00746D3C">
      <w:pPr>
        <w:jc w:val="both"/>
        <w:rPr>
          <w:b/>
          <w:bCs/>
        </w:rPr>
      </w:pPr>
      <w:r>
        <w:rPr>
          <w:b/>
          <w:bCs/>
        </w:rPr>
        <w:t>K Čl. I bodu 46 (§ 76a)</w:t>
      </w:r>
    </w:p>
    <w:p w14:paraId="4EC4A026" w14:textId="77777777" w:rsidR="00746D3C" w:rsidRDefault="00746D3C" w:rsidP="00746D3C">
      <w:pPr>
        <w:jc w:val="both"/>
      </w:pPr>
      <w:r w:rsidRPr="00095C19">
        <w:t>S cieľom dosiahnuť čo najefektívnejší systém elektronickej fakturácie sa navrhuje ustanoviť doručovaciu službu. Predmetná služba je založená na dosiahnutí čo najvyššej miery jednotnosti uplatňovania systému elektronickej fakturácie v Európskej únii a je využívaná aj v iných členských štátoch [nateraz predovšetkým v súvislosti s elektronickou fakturáciou vo verejnom obstarávaní, ktorá je ustanovená smernicou 2014/55/EÚ, ale aj v súvislosti s povinnou elektronickou fakturáciou na účely DPH (napr. Belgicko od r. 2026)].</w:t>
      </w:r>
    </w:p>
    <w:p w14:paraId="6840BE73" w14:textId="77777777" w:rsidR="00746D3C" w:rsidRDefault="00746D3C" w:rsidP="00746D3C">
      <w:pPr>
        <w:jc w:val="both"/>
      </w:pPr>
      <w:r w:rsidRPr="00095C19">
        <w:t>Ako vyplýva z navrhovaného § 71 ods. 5, každá zdaniteľná osoba je povinná zabezpečiť, aby mohla zaslať a prijať elektronickú faktúru doručovacou službou. Takisto, každá osoba, ktorej je v tuzemsku dodaný tovar alebo služba, pri ktorej je zdaniteľná osoba povinná vyhotoviť elektronickú faktúru</w:t>
      </w:r>
      <w:r>
        <w:t>,</w:t>
      </w:r>
      <w:r w:rsidRPr="00095C19">
        <w:t xml:space="preserve"> je povinná zabezpečiť, aby mohla prijať elektronickú faktúru zaslanú doručovacou službou.</w:t>
      </w:r>
    </w:p>
    <w:p w14:paraId="16D7359F" w14:textId="77777777" w:rsidR="00746D3C" w:rsidRDefault="00746D3C" w:rsidP="00746D3C">
      <w:pPr>
        <w:jc w:val="both"/>
      </w:pPr>
      <w:r w:rsidRPr="00095C19">
        <w:t xml:space="preserve">Ak platiteľ dane nezasiela elektronickú faktúru prostredníctvom doručovacej služby, </w:t>
      </w:r>
      <w:r>
        <w:t xml:space="preserve">ktorá predstavuje základný modus doručovania elektronických faktúr, </w:t>
      </w:r>
      <w:r w:rsidRPr="00095C19">
        <w:t>podlieha jej zaslanie súhlasu príjemcu faktúry (navrhovaný §</w:t>
      </w:r>
      <w:r>
        <w:t xml:space="preserve"> </w:t>
      </w:r>
      <w:r w:rsidRPr="00095C19">
        <w:t xml:space="preserve">71 ods. 4 a § 85n ods. 2), pričom </w:t>
      </w:r>
      <w:r>
        <w:t xml:space="preserve">v tomto prípade </w:t>
      </w:r>
      <w:r w:rsidRPr="00095C19">
        <w:t>nejde o súhlas s vyhotovením elektronickej faktúry, ale o súhlas s jej vyhotovením v inom formáte, ako je ten, ktorý je podporovaný doručovacou službou. Taktiež budú platitelia dane, ktorí vyhotovujú a prijímajú elektronickú faktúru v tomto inom formáte, ktorý ale musí byť vždy v súlade s technickou normou pre elektronickú fakturáciu a so zoznamom jej syntaxí, oznamovať údaje z vyhotovenej a/alebo prijatej faktúry prostredníctvom dátovej správy, ktorá bude v súlade s pripravovaným vykonávacím nariadením Komisie.</w:t>
      </w:r>
    </w:p>
    <w:p w14:paraId="5930C131" w14:textId="77777777" w:rsidR="00746D3C" w:rsidRDefault="00746D3C" w:rsidP="00746D3C">
      <w:pPr>
        <w:jc w:val="both"/>
      </w:pPr>
      <w:r w:rsidRPr="00095C19">
        <w:t xml:space="preserve">Doručovaciu službu budú poskytovať certifikovaní poskytovatelia doručovacej služby, ktorí spĺňajú podmienky ustanovené v odseku </w:t>
      </w:r>
      <w:r>
        <w:t>8</w:t>
      </w:r>
      <w:r w:rsidRPr="00095C19">
        <w:t>, a sú spôsobilí v mene platiteľov dane a ostatných osôb, ktoré sú podľa zákona o DPH povinné vyhotoviť a/alebo prijať elektronickú faktúru, zabezpečiť jej všetky funkcionality súvisiace s procesom fakturácie [odsek 2 písmeno a) až d)], ako aj s procesom oznamovania ustanovených údajov z elektronickej faktúry podľa § 80, 80a a § 85n [odsek 2 písm. e)]</w:t>
      </w:r>
      <w:r>
        <w:t xml:space="preserve"> od 1.1.2027 (§ 85n zákona o DPH) a od 1.7.2030 (§ 80 a § 80a zákona o DPH), čo vyplýva z navrhovaného § 85n ods. 18 a 19</w:t>
      </w:r>
      <w:r w:rsidRPr="00095C19">
        <w:t xml:space="preserve">. Nevyhnutnou podmienkou pre poskytovanie doručovacej služby je aj zápis jej poskytovateľa do evidencie vedenej finančným riaditeľstvom podľa odseku </w:t>
      </w:r>
      <w:r>
        <w:t>5</w:t>
      </w:r>
      <w:r w:rsidRPr="00095C19">
        <w:t>.</w:t>
      </w:r>
    </w:p>
    <w:p w14:paraId="3E7069FD" w14:textId="77777777" w:rsidR="00746D3C" w:rsidRPr="00095C19" w:rsidRDefault="00746D3C" w:rsidP="00746D3C">
      <w:pPr>
        <w:jc w:val="both"/>
      </w:pPr>
      <w:r w:rsidRPr="00095C19">
        <w:t xml:space="preserve">Doručovacia služba sa navrhuje poskytovať v súlade s európskym doručovacím štandardom, ktorý je spravovaný neziskovou organizáciou Európskej Komisie Open Peppol, pričom v odseku 4 je tento návrh limitovaný podmienkou, že európsky doručovací štandard musí byť poskytovaný aspoň v polovici členských štátov EÚ. </w:t>
      </w:r>
      <w:r>
        <w:t xml:space="preserve">Finančné riaditeľstvo zapíše do evidencie podľa odseku 5 právnickú alebo fyzickú osobu so sídlom alebo miestom podnikania v tuzemsku alebo v inom členskom štáte, ak preukáže splnenie podmienok podľa odseku 8; na konanie pri zápise takejto osoby sa vzťahujú ustanovenia správneho poriadku (odsek 13). V prípade nesplnenia podmienok podľa odseku 8, vydá Finančné riaditeľstvo podľa odseku 10 </w:t>
      </w:r>
      <w:r>
        <w:lastRenderedPageBreak/>
        <w:t>rozhodnutie o nezapísaní takejto osoby do evidencie podľa odseku 5, proti ktorému nemožno podať opravný prostriedok. Opravný prostriedok nemožno podať ani proti rozhodnutiu o výmaze osoby z evidencie podľa odseku 5, ak táto osoba požiadala o výmaz z evidencie, alebo prestala spĺňať podmienky podľa odseku 2 alebo 8; na konanie o výmaze sú príslušné ustanovenia správneho poriadku. Na doručovanie písomností pri zápise a výmaze osoby z evidencie podľa odseku 5 sa vzťahujú ustanovenia zákona č. 305/2013 Z. z o</w:t>
      </w:r>
      <w:r w:rsidRPr="00205C21">
        <w:t xml:space="preserve"> elektronickej podobe výkonu pôsobnosti orgánov verejnej moci a o zmene a doplnení </w:t>
      </w:r>
      <w:r>
        <w:t>niektorých zákonov.</w:t>
      </w:r>
    </w:p>
    <w:p w14:paraId="799EEC0B" w14:textId="77777777" w:rsidR="00746D3C" w:rsidRDefault="00746D3C" w:rsidP="00746D3C">
      <w:pPr>
        <w:jc w:val="both"/>
        <w:rPr>
          <w:b/>
          <w:bCs/>
        </w:rPr>
      </w:pPr>
    </w:p>
    <w:p w14:paraId="60D259BB" w14:textId="77777777" w:rsidR="00746D3C" w:rsidRDefault="00746D3C" w:rsidP="00746D3C">
      <w:pPr>
        <w:jc w:val="both"/>
        <w:rPr>
          <w:b/>
          <w:bCs/>
        </w:rPr>
      </w:pPr>
      <w:r w:rsidRPr="2FFFD7D5">
        <w:rPr>
          <w:b/>
          <w:bCs/>
        </w:rPr>
        <w:t xml:space="preserve">K Čl. I bodu </w:t>
      </w:r>
      <w:r>
        <w:rPr>
          <w:b/>
          <w:bCs/>
        </w:rPr>
        <w:t>47</w:t>
      </w:r>
      <w:r w:rsidRPr="2FFFD7D5">
        <w:rPr>
          <w:b/>
          <w:bCs/>
        </w:rPr>
        <w:t xml:space="preserve"> (§ 78)</w:t>
      </w:r>
    </w:p>
    <w:p w14:paraId="00C93EF8" w14:textId="77777777" w:rsidR="00746D3C" w:rsidRDefault="00746D3C" w:rsidP="00746D3C">
      <w:pPr>
        <w:jc w:val="both"/>
        <w:rPr>
          <w:color w:val="000000" w:themeColor="text1"/>
        </w:rPr>
      </w:pPr>
      <w:r w:rsidRPr="2FFFD7D5">
        <w:t xml:space="preserve">Z dôvodu vypustenia kontrolného výkazu od 1.7.2030 sa navrhuje ako súčasť daňového priznania uvádzať údaje o dodaniach, ktoré sa nebudú elektronicky oznamovať podľa § 80 a </w:t>
      </w:r>
      <w:r>
        <w:t xml:space="preserve">   </w:t>
      </w:r>
      <w:r w:rsidRPr="2FFFD7D5">
        <w:t>§</w:t>
      </w:r>
      <w:r>
        <w:t xml:space="preserve"> </w:t>
      </w:r>
      <w:r w:rsidRPr="2FFFD7D5">
        <w:t>80a zákona o DPH. P</w:t>
      </w:r>
      <w:r w:rsidRPr="2FFFD7D5">
        <w:rPr>
          <w:color w:val="000000" w:themeColor="text1"/>
        </w:rPr>
        <w:t>odľa § 78 ods. 8 až 13 zákona, s účinnosťou od</w:t>
      </w:r>
      <w:r w:rsidRPr="2FFFD7D5">
        <w:t xml:space="preserve"> </w:t>
      </w:r>
      <w:r w:rsidRPr="2FFFD7D5">
        <w:rPr>
          <w:color w:val="000000" w:themeColor="text1"/>
        </w:rPr>
        <w:t>1.7.2030, budú v daňovom priznaní predmetom oznamovacej povinnosti aj údaje o dodaniach, ku ktorým sú vyhotovené zjednodušené faktúry, údaje z opravných dokladov podľa § 25a a § 53b zákona o DPH. Zachovanie oznamovania údajov pri niektorých druhoch dodaní tovarov a služieb je pre finančnú správu a boj proti daňovým podvodom kľúčové.</w:t>
      </w:r>
    </w:p>
    <w:p w14:paraId="43815003" w14:textId="77777777" w:rsidR="00746D3C" w:rsidRDefault="00746D3C" w:rsidP="00746D3C">
      <w:pPr>
        <w:jc w:val="both"/>
        <w:rPr>
          <w:b/>
          <w:bCs/>
        </w:rPr>
      </w:pPr>
    </w:p>
    <w:p w14:paraId="52E76B77" w14:textId="77777777" w:rsidR="00746D3C" w:rsidRDefault="00746D3C" w:rsidP="00746D3C">
      <w:pPr>
        <w:jc w:val="both"/>
        <w:rPr>
          <w:color w:val="000000" w:themeColor="text1"/>
        </w:rPr>
      </w:pPr>
      <w:r w:rsidRPr="2FFFD7D5">
        <w:rPr>
          <w:b/>
          <w:bCs/>
        </w:rPr>
        <w:t xml:space="preserve">K Čl. I bodu </w:t>
      </w:r>
      <w:r>
        <w:rPr>
          <w:b/>
          <w:bCs/>
        </w:rPr>
        <w:t>48</w:t>
      </w:r>
      <w:r w:rsidRPr="2FFFD7D5">
        <w:rPr>
          <w:b/>
          <w:bCs/>
        </w:rPr>
        <w:t xml:space="preserve"> (§ 78a)</w:t>
      </w:r>
    </w:p>
    <w:p w14:paraId="13129A83" w14:textId="77777777" w:rsidR="00746D3C" w:rsidRDefault="00746D3C" w:rsidP="00746D3C">
      <w:pPr>
        <w:jc w:val="both"/>
        <w:rPr>
          <w:color w:val="000000" w:themeColor="text1"/>
        </w:rPr>
      </w:pPr>
      <w:r>
        <w:t>S účinnosťou od 1.7.2030,</w:t>
      </w:r>
      <w:r w:rsidRPr="2FFFD7D5">
        <w:rPr>
          <w:color w:val="000000" w:themeColor="text1"/>
        </w:rPr>
        <w:t xml:space="preserve"> v nadväznosti na zavedenie povinnej elektronickej fakturácie (§ 71 zákona o DPH) a na oznamovanie údajov </w:t>
      </w:r>
      <w:r>
        <w:rPr>
          <w:color w:val="000000" w:themeColor="text1"/>
        </w:rPr>
        <w:t>zo</w:t>
      </w:r>
      <w:r w:rsidRPr="2FFFD7D5">
        <w:rPr>
          <w:color w:val="000000" w:themeColor="text1"/>
        </w:rPr>
        <w:t xml:space="preserve"> zdaniteľných obchodo</w:t>
      </w:r>
      <w:r>
        <w:rPr>
          <w:color w:val="000000" w:themeColor="text1"/>
        </w:rPr>
        <w:t>v</w:t>
      </w:r>
      <w:r w:rsidRPr="2FFFD7D5">
        <w:rPr>
          <w:color w:val="000000" w:themeColor="text1"/>
        </w:rPr>
        <w:t xml:space="preserve"> v čase vyhotovenia, resp. prijatia faktúry (§ 80a zákona o DPH), sa ruší povinnosť podávať kontrolný výkaz pre platiteľov dane. Údaje, ktoré sa v súčasnosti oznamujú v kontrolnom výkaze, budú od 1.7.2030 predmetom oznamovacej povinnosti v daňovom priznaní podľa § 78 ods. 8 až 13 zákona o DPH (údaje o dodaniach, ku ktorým sú vyhotovené zjednodušené faktúry, údaje z opravných dokladov podľa § 25a a § 53b zákona o DPH)</w:t>
      </w:r>
      <w:r>
        <w:rPr>
          <w:color w:val="000000" w:themeColor="text1"/>
        </w:rPr>
        <w:t xml:space="preserve"> a</w:t>
      </w:r>
      <w:r w:rsidRPr="2FFFD7D5">
        <w:rPr>
          <w:color w:val="000000" w:themeColor="text1"/>
        </w:rPr>
        <w:t xml:space="preserve"> oznamovacej povinnosti podľa § 80 a § 80a zákona o DPH. </w:t>
      </w:r>
    </w:p>
    <w:p w14:paraId="4BBE44BE" w14:textId="77777777" w:rsidR="00746D3C" w:rsidRDefault="00746D3C" w:rsidP="00746D3C">
      <w:pPr>
        <w:jc w:val="both"/>
        <w:rPr>
          <w:color w:val="000000" w:themeColor="text1"/>
        </w:rPr>
      </w:pPr>
    </w:p>
    <w:p w14:paraId="5D600CDB" w14:textId="77777777" w:rsidR="00746D3C" w:rsidRDefault="00746D3C" w:rsidP="00746D3C">
      <w:pPr>
        <w:jc w:val="both"/>
        <w:rPr>
          <w:b/>
          <w:bCs/>
          <w:color w:val="000000" w:themeColor="text1"/>
        </w:rPr>
      </w:pPr>
      <w:r>
        <w:rPr>
          <w:b/>
          <w:bCs/>
          <w:color w:val="000000" w:themeColor="text1"/>
        </w:rPr>
        <w:t>K Čl. I bodom 49, 50 a 54 /§ 79 ods. 4, § 79 ods. 5, § 81 ods. 3 písm. b)/</w:t>
      </w:r>
    </w:p>
    <w:p w14:paraId="48DA139C" w14:textId="77777777" w:rsidR="00746D3C" w:rsidRPr="00BA202B" w:rsidRDefault="00746D3C" w:rsidP="00746D3C">
      <w:pPr>
        <w:jc w:val="both"/>
        <w:rPr>
          <w:color w:val="000000" w:themeColor="text1"/>
        </w:rPr>
      </w:pPr>
      <w:r>
        <w:rPr>
          <w:color w:val="000000" w:themeColor="text1"/>
        </w:rPr>
        <w:t>Ide o legislatívno-technickú úpravu v nadväznosti na vypustenie § 78a.</w:t>
      </w:r>
    </w:p>
    <w:p w14:paraId="712F30A5" w14:textId="77777777" w:rsidR="00746D3C" w:rsidRDefault="00746D3C" w:rsidP="00746D3C">
      <w:pPr>
        <w:jc w:val="both"/>
        <w:rPr>
          <w:b/>
          <w:bCs/>
          <w:color w:val="000000" w:themeColor="text1"/>
        </w:rPr>
      </w:pPr>
    </w:p>
    <w:p w14:paraId="3A6A1623" w14:textId="77777777" w:rsidR="00746D3C" w:rsidRDefault="00746D3C" w:rsidP="00746D3C">
      <w:pPr>
        <w:jc w:val="both"/>
        <w:rPr>
          <w:b/>
          <w:bCs/>
          <w:color w:val="000000" w:themeColor="text1"/>
        </w:rPr>
      </w:pPr>
      <w:r>
        <w:rPr>
          <w:b/>
          <w:bCs/>
          <w:color w:val="000000" w:themeColor="text1"/>
        </w:rPr>
        <w:t>K Čl. I bodu 51 (§ 79 ods. 12)</w:t>
      </w:r>
    </w:p>
    <w:p w14:paraId="12E021A5" w14:textId="77777777" w:rsidR="00746D3C" w:rsidRDefault="00746D3C" w:rsidP="00746D3C">
      <w:pPr>
        <w:jc w:val="both"/>
      </w:pPr>
      <w:r>
        <w:t>V súvislosti s doplnením § 50 zákona č. 563/2009 Z. z. o správe daní (Daňový poriadok) o nové písmeno c), podľa ktorého sa navrhuje pre platiteľov dane strpieť vydaním predbežného opatrenia nevrátenie nadmerného odpočtu v prípade, ak sú dôvodné obavy, že nesplatná, nevyrubená daň nebude v deň jej splatnosti uhradená alebo bude nevymožiteľná, sa navrhuje prerušiť plynutie lehoty na vrátenie nadmerného odpočtu podľa § 79 zákona o DPH. Vydanie predbežného opatrenia podľa § 50 ods. 2 Daňového poriadku počas lehoty na vrátenie nadmerného odpočtu podľa § 79</w:t>
      </w:r>
      <w:r w:rsidRPr="00AA18DA">
        <w:t xml:space="preserve"> ods</w:t>
      </w:r>
      <w:r>
        <w:t>.</w:t>
      </w:r>
      <w:r w:rsidRPr="00AA18DA">
        <w:t xml:space="preserve"> 1, 2</w:t>
      </w:r>
      <w:r>
        <w:t xml:space="preserve"> a </w:t>
      </w:r>
      <w:r w:rsidRPr="00AA18DA">
        <w:t>5</w:t>
      </w:r>
      <w:r>
        <w:t xml:space="preserve"> zákona o DPH zakladá začiatok prerušenia plynutia lehoty na vrátenie nadmerného odpočtu, pričom koniec prerušenia lehoty sa viaže na zrušenie rozhodnutia o predbežnom opatrení (§ 50 ods. 7 Daňového poriadku), ak pominú dôvody na jeho vydanie alebo sa viaže na stratu účinnosti predbežného opatrenia; uvedené však neplatí, ak správca dane pri nadmernom odpočte za totožné obdobie koná v súlade s § 79 ods. 6 zákona o DPH. Vydanie predbežného opatrenia a s tým súvisiace prerušenie plynutia lehoty na vrátenie nadmerného odpočtu by malo byť dostatočne odôvodnené a malo by rešpektovať princíp proporcionality. </w:t>
      </w:r>
    </w:p>
    <w:p w14:paraId="3B77841E" w14:textId="77777777" w:rsidR="00746D3C" w:rsidRPr="00BA202B" w:rsidRDefault="00746D3C" w:rsidP="00746D3C">
      <w:pPr>
        <w:jc w:val="both"/>
        <w:rPr>
          <w:b/>
          <w:bCs/>
          <w:color w:val="000000" w:themeColor="text1"/>
        </w:rPr>
      </w:pPr>
    </w:p>
    <w:p w14:paraId="7314502E" w14:textId="77777777" w:rsidR="00746D3C" w:rsidRDefault="00746D3C" w:rsidP="00746D3C">
      <w:pPr>
        <w:jc w:val="both"/>
        <w:rPr>
          <w:b/>
          <w:bCs/>
          <w:color w:val="000000" w:themeColor="text1"/>
        </w:rPr>
      </w:pPr>
      <w:r w:rsidRPr="2FFFD7D5">
        <w:rPr>
          <w:b/>
          <w:bCs/>
          <w:color w:val="000000" w:themeColor="text1"/>
        </w:rPr>
        <w:t xml:space="preserve">K Čl. I bodu </w:t>
      </w:r>
      <w:r>
        <w:rPr>
          <w:b/>
          <w:bCs/>
          <w:color w:val="000000" w:themeColor="text1"/>
        </w:rPr>
        <w:t>52</w:t>
      </w:r>
      <w:r w:rsidRPr="2FFFD7D5">
        <w:rPr>
          <w:b/>
          <w:bCs/>
          <w:color w:val="000000" w:themeColor="text1"/>
        </w:rPr>
        <w:t xml:space="preserve"> (§ 80)</w:t>
      </w:r>
    </w:p>
    <w:p w14:paraId="6D54FA61" w14:textId="77777777" w:rsidR="00746D3C" w:rsidRDefault="00746D3C" w:rsidP="00746D3C">
      <w:pPr>
        <w:jc w:val="both"/>
      </w:pPr>
      <w:r w:rsidRPr="2FFFD7D5">
        <w:t xml:space="preserve">Slovenská republika preberá do svojho vnútroštátneho práva s účinnosťou od 1.7.2030 čl. 5 smernice </w:t>
      </w:r>
      <w:r>
        <w:t xml:space="preserve">(EÚ) </w:t>
      </w:r>
      <w:r w:rsidRPr="2FFFD7D5">
        <w:t xml:space="preserve">2025/516 </w:t>
      </w:r>
      <w:r>
        <w:t>/</w:t>
      </w:r>
      <w:r w:rsidRPr="2FFFD7D5">
        <w:t xml:space="preserve">čl. </w:t>
      </w:r>
      <w:r w:rsidRPr="00914C70">
        <w:t>262 až 264 smernice</w:t>
      </w:r>
      <w:r w:rsidRPr="2FFFD7D5">
        <w:t xml:space="preserve"> </w:t>
      </w:r>
      <w:r>
        <w:t xml:space="preserve">(EÚ) </w:t>
      </w:r>
      <w:r w:rsidRPr="2FFFD7D5">
        <w:t>2025/516</w:t>
      </w:r>
      <w:r>
        <w:t>/</w:t>
      </w:r>
      <w:r w:rsidRPr="2FFFD7D5">
        <w:t xml:space="preserve">, ktorým sa zavádza povinné digitálne oznamovanie cezhraničných dodávok tovarov alebo služieb platiteľmi dane a inými povinnými osobami. </w:t>
      </w:r>
    </w:p>
    <w:p w14:paraId="70165D3C" w14:textId="77777777" w:rsidR="00746D3C" w:rsidRDefault="00746D3C" w:rsidP="00746D3C">
      <w:pPr>
        <w:jc w:val="both"/>
      </w:pPr>
      <w:r w:rsidRPr="2FFFD7D5">
        <w:lastRenderedPageBreak/>
        <w:t xml:space="preserve">V § 80 sa určuje vecná aj personálna pôsobnosť tohto ustanovenia, a teda, ktoré osoby sú (v postavení dodávateľa alebo odberateľa) povinné digitálne oznamovať údaje o cezhraničných dodávkach tovarov a služieb. Pre jednotlivé typy cezhraničných dodávok tovarov a služieb sa stanovuje rozsah povinne oznamovaných údajov. Zákon predmetným ustanovením ďalej stanovuje lehoty, v ktorých sú osoby tieto údaje povinné oznamovať a určuje spôsob oznamovania týchto údajov. V prípade nedodržania zákonom predpísaných oznamovacích povinností sa súčasne navrhuje uloženie sankcie za porušenia tejto oznamovacej povinnosti. </w:t>
      </w:r>
    </w:p>
    <w:p w14:paraId="2503CCB2" w14:textId="77777777" w:rsidR="00746D3C" w:rsidRPr="00D74739" w:rsidRDefault="00746D3C" w:rsidP="00746D3C">
      <w:pPr>
        <w:jc w:val="both"/>
      </w:pPr>
      <w:r w:rsidRPr="2FFFD7D5">
        <w:t xml:space="preserve">V odseku 1 písm. a) a b) sa určuje, že v postavení dodávateľa je osobou povinnou digitálne </w:t>
      </w:r>
      <w:r w:rsidRPr="00D74739">
        <w:t xml:space="preserve">oznamovať údaje platiteľ dane registrovaný podľa § 4, 4b, 4c a § 5 zákona o DPH, a to pri intrakomunitárnom dodaní tovaru do iného členského štátu podľa § 43 ods. 1 zákona o DPH a premiestnení tovaru podľa </w:t>
      </w:r>
      <w:r>
        <w:t xml:space="preserve">§ </w:t>
      </w:r>
      <w:r w:rsidRPr="00D74739">
        <w:t>43 ods. 4 zákona o DPH do iného členského štátu. V postavení dodávateľa podľa písm. c) je osobou povinnou oznamovať údaje z cezhraničných dodaní alebo z prijatia platby pred týmto dodaním platiteľ dane registrovaný podľa § 4, 4b, 4c a § 5 zákona o DPH, ale aj zdaniteľná osoba identifikovaná pre daň podľa §</w:t>
      </w:r>
      <w:r>
        <w:t xml:space="preserve"> </w:t>
      </w:r>
      <w:r w:rsidRPr="00D74739">
        <w:t>7 a 7a zákona o DPH (nepôjde teda o nezdaniteľné právnické osoby, ktoré nekonajú v postavení zdaniteľnej osoby). Ide o dodanie tovaru alebo služby s prenosom daňovej povinnosti na príjemcu v inom členskom štáte, ak príjemca je osobou povinnou platiť daň v tomto členskom štáte podľa ustanovenia zákona zodpovedajúceho § 69 ods. 2 a 3 zákona o DPH. Podobne pôjde o dodanie tovaru, ktorým je elektrina a plyn, do iného členského štátu, ak príjemca tovaru je osobou povinnou platiť daň v tomto členskom štáte podľa ustanovenia zákona zodpovedajúceho § 69 ods. 9 zákona o DPH. Taktiež platiteľ dane alebo zdaniteľná osoba registrovaná podľa § 7 a 7a zákona o DPH oznamujú údaje o dodaní tovaru do iného členského štátu v rámci trojstranného obchodu, na ktorom sa zúčastnili ako prví odberatelia.</w:t>
      </w:r>
    </w:p>
    <w:p w14:paraId="1DD092EC" w14:textId="77777777" w:rsidR="00746D3C" w:rsidRPr="00D74739" w:rsidRDefault="00746D3C" w:rsidP="00746D3C">
      <w:pPr>
        <w:jc w:val="both"/>
      </w:pPr>
      <w:r w:rsidRPr="00D74739">
        <w:t>V odseku 2 sa určuje, že v postavení odberateľa je osobou povinnou digitálne oznamovať údaje platiteľ dane registrovaný podľa § 4, 4b, 4c a § 5 zákona o</w:t>
      </w:r>
      <w:r>
        <w:t> </w:t>
      </w:r>
      <w:r w:rsidRPr="00D74739">
        <w:t>DPH</w:t>
      </w:r>
      <w:r>
        <w:t xml:space="preserve"> a v odseku 3 je oznamovacia povinnosť uložená aj zdaniteľnej </w:t>
      </w:r>
      <w:r w:rsidRPr="00D74739">
        <w:t>osob</w:t>
      </w:r>
      <w:r>
        <w:t>e</w:t>
      </w:r>
      <w:r w:rsidRPr="00D74739">
        <w:t xml:space="preserve"> registrovan</w:t>
      </w:r>
      <w:r>
        <w:t>ej</w:t>
      </w:r>
      <w:r w:rsidRPr="00D74739">
        <w:t xml:space="preserve"> pre daň podľa § 7 a 7a zákona o DPH, a to pri intrakomunitárnom nadobudnutí tovaru v tuzemsku podľa § 11 zákona o DPH alebo pri dodaní tovaru alebo zaplatení pred týmto dodaním, a to pri tovare s miestom dodania podľa § 13 v tuzemsku, tovare podľa 13 ods. 1 písm. e) a f) v tuzemsku, pri prijatej službe s miestom dodania podľa § 15 ods. 1 a § 16 ods. 1 až 4, 10 a 11 zákona o DPH, ak dodávku tovaru alebo služby uskutočnila zahraničná osoba z iného členského štátu a odberateľ je osobou povinnou platiť daň v tuzemsku podľa § 69 zákona o DPH. Taktiež platiteľ dane alebo </w:t>
      </w:r>
      <w:r>
        <w:t xml:space="preserve">zdaniteľná </w:t>
      </w:r>
      <w:r w:rsidRPr="00D74739">
        <w:t xml:space="preserve">osoba registrovaná podľa § 7 a 7a zákona o DPH oznamujú údaje o dodaní v rámci trojstranného obchodu, pri ktorom sú osobami povinnými platiť daň v tuzemsku podľa § 69 ods. 7 zákona o DPH. </w:t>
      </w:r>
      <w:r>
        <w:t>Ak je platiteľom dane skupina, povinnosť oznamovať údaje o dodaní, ku ktorému je vyhotovená elektronická faktúra, majú jednotliví členovia skupiny.</w:t>
      </w:r>
    </w:p>
    <w:p w14:paraId="65A11B6F" w14:textId="77777777" w:rsidR="00746D3C" w:rsidRPr="00D74739" w:rsidRDefault="00746D3C" w:rsidP="00746D3C">
      <w:pPr>
        <w:jc w:val="both"/>
      </w:pPr>
      <w:r w:rsidRPr="00D74739">
        <w:t xml:space="preserve">Podľa odseku 4 povinnosť oznamovať údaje sa vzťahuje aj na cezhraničné dodanie tovaru alebo služby, pri ktorom sa vyhotovuje opravná faktúra podľa § 71 ods. 2. V tomto prípade sa oznamuje poradové číslo pôvodnej faktúry /§ 74 ods. 1 písm. p)/ a údaje, ktoré sa menia. V odseku 4 sa ďalej uvádza, kedy nie je povinnosť oznamovať údaje o cezhraničnom dodaní tovaru alebo služby. Túto povinnosť nemá dodávateľ ani odberateľ, ak ide o dodanie, ktoré je oslobodené od dane podľa ustanovení § 28 až 42 alebo § 68f zákona o DPH, alebo ak ide o dodanie oslobodené od dane podľa platného zákona v členskom štáte, v ktorom je miesto dodania. </w:t>
      </w:r>
    </w:p>
    <w:p w14:paraId="70A657E6" w14:textId="77777777" w:rsidR="00746D3C" w:rsidRPr="00D74739" w:rsidRDefault="00746D3C" w:rsidP="00746D3C">
      <w:pPr>
        <w:jc w:val="both"/>
      </w:pPr>
      <w:r w:rsidRPr="00D74739">
        <w:t xml:space="preserve">V odseku 5 sa uvádzajú údaje, ktoré sú osoby pri jednotlivých dodaniach tovaru alebo služieb povinné oznamovať. Pri dodaní tovaru oslobodeného od dane podľa § 43 ods. 1 zákona o DPH je platiteľ podľa § 4, 4b, 4c a § 5 zákona o DPH povinný oznámiť svoje identifikačné číslo pre daň, identifikačné číslo pre daň odberateľa a údaje podľa § 74 ods. 1 písm. c) až g), h) v časti za bodkočiarkou a písm. p) a q). Pri premiestnení tovaru je platiteľ dane registrovaný podľa § 4, 4b, 4c a § 5 zákona o DPH povinný oznámiť svoje identifikačné číslo pre daň, identifikačné číslo pre daň odberateľa, ktoré mu bolo pridelené v inom členskom štáte, pod ktorým nadobudol </w:t>
      </w:r>
      <w:r w:rsidRPr="00D74739">
        <w:lastRenderedPageBreak/>
        <w:t xml:space="preserve">tovar premiestnený z tuzemska do iného členského štátu a údaje podľa § 74 ods. 1 písm. c) až g), h) v časti za bodkočiarkou a písm. p). </w:t>
      </w:r>
    </w:p>
    <w:p w14:paraId="388705F2" w14:textId="77777777" w:rsidR="00746D3C" w:rsidRDefault="00746D3C" w:rsidP="00746D3C">
      <w:pPr>
        <w:jc w:val="both"/>
      </w:pPr>
      <w:r w:rsidRPr="00D74739">
        <w:t>Pri dodaní tovaru alebo služby podľa odseku 1 písm. c) platiteľ registrovaný podľa § 4, 4b, 4c a § 5 zákona o DPH alebo zdaniteľná osoba registrovaná pre daň podľa § 7 a 7a zákona o DPH sú povinní v postavení dodávateľa oznámiť ich identifikačné číslo pre daň, identifikačné číslo pre daň odberateľa, a údaje podľa § 74 ods. 1 písm. c) až g), h) v časti za bodkočiarkou, písm. k) a písm. p) a q).</w:t>
      </w:r>
      <w:r w:rsidRPr="2FFFD7D5">
        <w:t xml:space="preserve"> </w:t>
      </w:r>
    </w:p>
    <w:p w14:paraId="2EFBE444" w14:textId="77777777" w:rsidR="00746D3C" w:rsidRDefault="00746D3C" w:rsidP="00746D3C">
      <w:pPr>
        <w:jc w:val="both"/>
      </w:pPr>
      <w:r w:rsidRPr="2FFFD7D5">
        <w:t>Hore uvedené údaje povinné osoby oznamujú v čase vyhotovenia elektronickej faktúry alebo v posledný deň lehoty na vyhotovenie elektronickej faktúry podľa § 73 ods. 1 písm. a) až d), ak elektronická faktúra nebola do tohto dňa vyhotovená.</w:t>
      </w:r>
    </w:p>
    <w:p w14:paraId="1070C5E5" w14:textId="77777777" w:rsidR="00746D3C" w:rsidRDefault="00746D3C" w:rsidP="00746D3C">
      <w:pPr>
        <w:jc w:val="both"/>
      </w:pPr>
      <w:r w:rsidRPr="2FFFD7D5">
        <w:t xml:space="preserve">Ak elektronickú faktúru vyhotovuje odberateľ v mene dodávateľa podľa odseku </w:t>
      </w:r>
      <w:r>
        <w:t xml:space="preserve">1 alebo odseku </w:t>
      </w:r>
      <w:r w:rsidRPr="2FFFD7D5">
        <w:t>3 písm. a), povinné osoby oznamujú tieto údaje najneskôr do piatich dní odo dňa vyhotovenia elektronickej faktúry alebo odo dňa uplynutia lehoty na vyhotovenie elektronickej faktúry.</w:t>
      </w:r>
    </w:p>
    <w:p w14:paraId="516496B7" w14:textId="77777777" w:rsidR="00746D3C" w:rsidRDefault="00746D3C" w:rsidP="00746D3C">
      <w:pPr>
        <w:jc w:val="both"/>
      </w:pPr>
      <w:r w:rsidRPr="2FFFD7D5">
        <w:t>Pri nadobudnutí tovaru podľa §</w:t>
      </w:r>
      <w:r>
        <w:t xml:space="preserve"> </w:t>
      </w:r>
      <w:r w:rsidRPr="2FFFD7D5">
        <w:t>11 sú platiteľ registrovaný podľa § 4, 4b, 4c a § 5 zákona o DPH alebo zdaniteľná osoba registrovaná pre daň podľa § 7 a 7a zákona o DPH povinní v postavení odberateľa oznámiť identifikačné číslo pre daň dodávateľa, svoje identifikačné číslo pre daň odberateľa, pod ktorým nadobudli tovar v tuzemsku z iného členského štátu, údaje podľa § 74 ods. 1 písm. c) až i) a p) a q); pri nadobudnutí tovaru v tuzemsku z iného členského štátu podľa § 11 ods. 8 sa údaj podľa § 74 ods. 1 písm. q) neoznamuje.</w:t>
      </w:r>
    </w:p>
    <w:p w14:paraId="1AF6D0FC" w14:textId="77777777" w:rsidR="00746D3C" w:rsidRDefault="00746D3C" w:rsidP="00746D3C">
      <w:pPr>
        <w:jc w:val="both"/>
      </w:pPr>
      <w:r w:rsidRPr="2FFFD7D5">
        <w:t>Pri tovare alebo službe podľa odseku 2 písm. b) je platiteľ registrovaný podľa § 4, 4b, 4c a § 5 zákona o DPH alebo zdaniteľná osoba registrovaná pre daň podľa § 7 a 7a zákona o DPH povinní v postavení odberateľa oznámiť identifikačné číslo pre daň dodávateľa, svoje identifikačné číslo pre daň, údaje podľa § 74 ods. 1 písm. c) až g), h) v časti za bodkočiarkou, písm. k), o), ak je osobou povinnou platiť daň daňový zástupca, a písm. p) a q).</w:t>
      </w:r>
    </w:p>
    <w:p w14:paraId="09BC199C" w14:textId="77777777" w:rsidR="00746D3C" w:rsidRDefault="00746D3C" w:rsidP="00746D3C">
      <w:pPr>
        <w:jc w:val="both"/>
      </w:pPr>
      <w:r w:rsidRPr="2FFFD7D5">
        <w:t>Údaje pri prijatých dodávkach tovarov alebo služieb podľa odseku 5 písm. d)</w:t>
      </w:r>
      <w:r>
        <w:t xml:space="preserve"> a e)</w:t>
      </w:r>
      <w:r w:rsidRPr="2FFFD7D5">
        <w:t xml:space="preserve"> platiteľ registrovaný podľa § 4, 4b, 4c a § 5 zákona o DPH alebo zdaniteľná osoba registrovaná pre daň podľa § 7 a 7a zákona o DPH sú povinní oznámiť za každý zdaniteľný obchod finančnému riaditeľstvu najneskôr do piatich dní odo dňa prijatia elektronickej faktúry.</w:t>
      </w:r>
    </w:p>
    <w:p w14:paraId="102F22C8" w14:textId="77777777" w:rsidR="00746D3C" w:rsidRPr="00D74739" w:rsidRDefault="00746D3C" w:rsidP="00746D3C">
      <w:pPr>
        <w:jc w:val="both"/>
      </w:pPr>
      <w:r w:rsidRPr="2FFFD7D5">
        <w:t xml:space="preserve">Navrhované ustanovenie v odseku 8 upravuje technický a formálny rámec plnenia oznamovacích povinností, ktoré sa týkajú </w:t>
      </w:r>
      <w:r w:rsidRPr="005A153E">
        <w:t xml:space="preserve">oznamovania údajov platiteľom dane finančnému riaditeľstvu. Platiteľ </w:t>
      </w:r>
      <w:r w:rsidRPr="00D74739">
        <w:t xml:space="preserve">dane je povinný tieto údaje oznámiť prostredníctvom jednotnej dátovej správy podľa osobitného predpisu, ktorým je Vykonávacie </w:t>
      </w:r>
      <w:r>
        <w:t>nariadenie</w:t>
      </w:r>
      <w:r w:rsidRPr="00D74739">
        <w:t xml:space="preserve"> Komisie (EÚ) </w:t>
      </w:r>
      <w:r>
        <w:t>alebo prostredníctvom doručovacej služby</w:t>
      </w:r>
      <w:r w:rsidRPr="00D74739">
        <w:t xml:space="preserve">. </w:t>
      </w:r>
      <w:r>
        <w:t xml:space="preserve">V prípade oznámenia údajov cez doručovaciu službu, sa údaje považujú za oznámené odovzdaním elektronickej faktúry doručovacej službe. </w:t>
      </w:r>
      <w:r w:rsidRPr="00D74739">
        <w:t xml:space="preserve">Cieľom je v súlade s požiadavkami smernice </w:t>
      </w:r>
      <w:r>
        <w:t xml:space="preserve">(EÚ) </w:t>
      </w:r>
      <w:r w:rsidRPr="00D74739">
        <w:t xml:space="preserve">2025/516 zabezpečiť štandardizáciu elektronickej komunikácie a oznamovania údajov v súlade s európskou normou pre elektronickú fakturáciu, čím sa zabezpečuje interoperabilita fakturačných a oznamovacích systémov v rámci celej EÚ. </w:t>
      </w:r>
    </w:p>
    <w:p w14:paraId="7B561377" w14:textId="77777777" w:rsidR="00746D3C" w:rsidRPr="00D74739" w:rsidRDefault="00746D3C" w:rsidP="00746D3C">
      <w:pPr>
        <w:jc w:val="both"/>
      </w:pPr>
      <w:r w:rsidRPr="00D74739">
        <w:t>V súlade so zásadou právnej istoty a s ohľadom na zachovanie rovnakého postupu ako pri navrhovanom doplnení v § 73 ods. 3 sa navrhuje ustanoviť, že lehota na oznámenie údajov pri cezhraničnom dodaní a nadobudnutí tovaru alebo služby sa neposúva na nasledujúci pracovný deň, ak posledný deň lehoty pripadne na sobotu, nedeľu alebo deň pracovného pokoja.</w:t>
      </w:r>
    </w:p>
    <w:p w14:paraId="3035C101" w14:textId="77777777" w:rsidR="00746D3C" w:rsidRPr="00D74739" w:rsidRDefault="00746D3C" w:rsidP="00746D3C">
      <w:pPr>
        <w:jc w:val="both"/>
      </w:pPr>
      <w:r w:rsidRPr="00D74739">
        <w:t xml:space="preserve">Odseky 9 a 10 ustanovujú sankciu za nesplnenie oznamovacej povinnosti v prípade, ak povinná osoba neoznámi </w:t>
      </w:r>
      <w:r>
        <w:t xml:space="preserve">žiadne údaje, </w:t>
      </w:r>
      <w:r w:rsidRPr="00D74739">
        <w:t>oznámi údaje po lehote</w:t>
      </w:r>
      <w:r>
        <w:t xml:space="preserve">, neoznámi všetky </w:t>
      </w:r>
      <w:r w:rsidRPr="00D74739">
        <w:t>požadované údaje</w:t>
      </w:r>
      <w:r>
        <w:t>, ale len ich časť</w:t>
      </w:r>
      <w:r w:rsidRPr="00D74739">
        <w:t xml:space="preserve"> alebo oznámi nesprávne údaje. Za takéto porušenie môže daňový úrad uložiť pokutu do výšky 10 000 eur. Sankcia má motivačný charakter a má zabezpečiť dodržiavanie pravidiel digitálneho výkazníctva, ktoré je kľúčové pre fungovanie systému „real-time“ elektronickej fakturácie podľa smernice </w:t>
      </w:r>
      <w:r>
        <w:t xml:space="preserve">(EÚ) </w:t>
      </w:r>
      <w:r w:rsidRPr="00D74739">
        <w:t xml:space="preserve">2025/516. </w:t>
      </w:r>
    </w:p>
    <w:p w14:paraId="193A181C" w14:textId="77777777" w:rsidR="00746D3C" w:rsidRPr="00D74739" w:rsidRDefault="00746D3C" w:rsidP="00746D3C">
      <w:pPr>
        <w:jc w:val="both"/>
      </w:pPr>
      <w:r w:rsidRPr="00D74739">
        <w:t xml:space="preserve">Odsek 11 rieši prísnejší postih v prípadoch opakovaného porušenia povinností, kedy daňový úrad môže uložiť pokutu do výšky 100 000 eur. Cieľom je sankcionovať subjekty, ktoré dlhodobo alebo systematicky nerešpektujú zákonné povinnosti a tým znemožňujú účinné fungovanie systému elektronickej fakturácie. </w:t>
      </w:r>
    </w:p>
    <w:p w14:paraId="64BBAE5B" w14:textId="77777777" w:rsidR="00746D3C" w:rsidRPr="00D74739" w:rsidRDefault="00746D3C" w:rsidP="00746D3C">
      <w:pPr>
        <w:tabs>
          <w:tab w:val="left" w:pos="3686"/>
        </w:tabs>
        <w:jc w:val="both"/>
      </w:pPr>
      <w:r w:rsidRPr="00D74739">
        <w:lastRenderedPageBreak/>
        <w:t>Odsek 12 zavádza princíp primeranosti sankcie, podľa ktorého daňový úrad pri určovaní konkrétnej výšky pokuty prihliada na závažnosť protiprávneho konania a dĺžku jeho trvania (napr. ojedinelé oneskorenie, technická chyba pri odoslaní údajov včas, opakované neoznamovanie údajov, zámerné obchádzanie systému elektronickej fakturácie – faktúry mimo formát a pod.).</w:t>
      </w:r>
      <w:r>
        <w:t xml:space="preserve"> </w:t>
      </w:r>
      <w:r w:rsidRPr="00576115">
        <w:t>V prípade, ak sú údaje oznámené dodávateľom alebo odberateľom nesprávne, a ide o zrejmý omyl, pričom nesprávne údaje dodávateľ alebo odberateľ následne opraví, daňový úrad pokutu podľa odsekov 9 až 11 neuloží.  Takisto daňový úrad pokutu neuloží, ak platiteľ alebo zdaniteľná osoba neoznámili údaje v ustanovenej lehote z dôvodu preukázanej technickej poruchy, ako napríklad plošný výpadok internetovej siete, na strane certifikovaného poskytovateľa doručovacej služby, za podmienky, že bezodkladne po odstránení tejto poruchy budú údaje oznámené.</w:t>
      </w:r>
      <w:r>
        <w:t xml:space="preserve"> </w:t>
      </w:r>
    </w:p>
    <w:p w14:paraId="0F1CBE24" w14:textId="77777777" w:rsidR="00746D3C" w:rsidRDefault="00746D3C" w:rsidP="00746D3C">
      <w:pPr>
        <w:jc w:val="both"/>
      </w:pPr>
    </w:p>
    <w:p w14:paraId="5CB71FD4" w14:textId="77777777" w:rsidR="00746D3C" w:rsidRPr="00D74739" w:rsidRDefault="00746D3C" w:rsidP="00746D3C">
      <w:pPr>
        <w:rPr>
          <w:b/>
          <w:bCs/>
        </w:rPr>
      </w:pPr>
      <w:bookmarkStart w:id="20" w:name="_Hlk199930171"/>
      <w:r w:rsidRPr="00D74739">
        <w:rPr>
          <w:b/>
          <w:bCs/>
        </w:rPr>
        <w:t xml:space="preserve">K Čl. I bodu </w:t>
      </w:r>
      <w:r>
        <w:rPr>
          <w:b/>
          <w:bCs/>
        </w:rPr>
        <w:t>53</w:t>
      </w:r>
      <w:r w:rsidRPr="00D74739">
        <w:rPr>
          <w:b/>
          <w:bCs/>
        </w:rPr>
        <w:t xml:space="preserve"> (§ 80a)</w:t>
      </w:r>
    </w:p>
    <w:p w14:paraId="784CDD0E" w14:textId="77777777" w:rsidR="00746D3C" w:rsidRPr="00D74739" w:rsidRDefault="00746D3C" w:rsidP="00746D3C">
      <w:pPr>
        <w:jc w:val="both"/>
      </w:pPr>
      <w:r w:rsidRPr="00D74739">
        <w:t xml:space="preserve">Slovenská republika na základe článku 5 </w:t>
      </w:r>
      <w:r w:rsidRPr="00D74739">
        <w:rPr>
          <w:color w:val="000000"/>
          <w:shd w:val="clear" w:color="auto" w:fill="FFFFFF"/>
        </w:rPr>
        <w:t>smernice</w:t>
      </w:r>
      <w:r>
        <w:rPr>
          <w:color w:val="000000"/>
          <w:shd w:val="clear" w:color="auto" w:fill="FFFFFF"/>
        </w:rPr>
        <w:t xml:space="preserve"> </w:t>
      </w:r>
      <w:r>
        <w:t>(EÚ)</w:t>
      </w:r>
      <w:r w:rsidRPr="00D74739">
        <w:rPr>
          <w:color w:val="000000"/>
          <w:shd w:val="clear" w:color="auto" w:fill="FFFFFF"/>
        </w:rPr>
        <w:t xml:space="preserve"> 2025/516 </w:t>
      </w:r>
      <w:r w:rsidRPr="00D74739">
        <w:t xml:space="preserve">využila možnosť transponovať do vnútroštátneho práva články 271a a 271b, na základe ktorých sa s účinnosťou od 1.7.2030 zavádza povinnosť pre platiteľov dane oznamovať údaje pri tuzemskom dodaní tovarov a služieb (tzv. tuzemské B2B dodania tovarov a služieb). Údaje sa budú oznamovať spôsobom, ktorý je súladný s povinným oznamovaním údajov pri cezhraničnom dodaní tovarov a služieb, ktoré Slovenská republika na základe článku 5 (článok 262) </w:t>
      </w:r>
      <w:r w:rsidRPr="00D74739">
        <w:rPr>
          <w:color w:val="000000"/>
          <w:shd w:val="clear" w:color="auto" w:fill="FFFFFF"/>
        </w:rPr>
        <w:t xml:space="preserve">smernice </w:t>
      </w:r>
      <w:r>
        <w:t xml:space="preserve">(EÚ) </w:t>
      </w:r>
      <w:r w:rsidRPr="00D74739">
        <w:rPr>
          <w:color w:val="000000"/>
          <w:shd w:val="clear" w:color="auto" w:fill="FFFFFF"/>
        </w:rPr>
        <w:t xml:space="preserve">2025/516 </w:t>
      </w:r>
      <w:r w:rsidRPr="00D74739">
        <w:t xml:space="preserve">preberá do svojho vnútroštátneho práva s účinnosťou od 1.7.2030 (§ 80). </w:t>
      </w:r>
    </w:p>
    <w:p w14:paraId="37C96882" w14:textId="77777777" w:rsidR="00746D3C" w:rsidRPr="00D74739" w:rsidRDefault="00746D3C" w:rsidP="00746D3C">
      <w:pPr>
        <w:jc w:val="both"/>
      </w:pPr>
    </w:p>
    <w:p w14:paraId="44BB17F8" w14:textId="77777777" w:rsidR="00746D3C" w:rsidRPr="00D74739" w:rsidRDefault="00746D3C" w:rsidP="00746D3C">
      <w:pPr>
        <w:jc w:val="both"/>
      </w:pPr>
      <w:r w:rsidRPr="00D74739">
        <w:t>V § 80a sa navrhuje určiť platiteľov dane, ktorí sú povinní oznamovať údaje a identifikujú sa dodania tovarov a služieb, z ktorých sú platitelia dane povinní oznamovať údaje. Zároveň sa uvádza rozsah povinne oznamovaných údajov pre platiteľa dane (dodávateľa), ktorý je povinný vyhotoviť elektronickú faktúru a pre platiteľa dane (odberateľa), ktorý prijíma elektronickú faktúru. Zákon predmetným ustanovením ďalej stanovuje lehoty, v ktorých sú platitelia dane povinní tieto údaje oznamovať, ako aj orgán, ktorému sa údaje oznamujú a spôsob oznamovania týchto údajov. V prípade nedodržania zákonom predpísaných oznamovacích povinností pri tuzemskom dodaní tovarov a služieb sa súčasne navrhuje uloženie sankcie z porušenia tejto oznamovacej povinnosti.</w:t>
      </w:r>
    </w:p>
    <w:p w14:paraId="58936FA4" w14:textId="77777777" w:rsidR="00746D3C" w:rsidRPr="00D74739" w:rsidRDefault="00746D3C" w:rsidP="00746D3C">
      <w:pPr>
        <w:jc w:val="both"/>
      </w:pPr>
    </w:p>
    <w:p w14:paraId="2B2ECBA8" w14:textId="77777777" w:rsidR="00746D3C" w:rsidRPr="00D74739" w:rsidRDefault="00746D3C" w:rsidP="00746D3C">
      <w:pPr>
        <w:jc w:val="both"/>
      </w:pPr>
      <w:r w:rsidRPr="00D74739">
        <w:t>V odseku 1 sa určuje platiteľ dane (dodávateľ), ktorý</w:t>
      </w:r>
      <w:r w:rsidRPr="00D74739">
        <w:rPr>
          <w:color w:val="000000" w:themeColor="text1"/>
        </w:rPr>
        <w:t xml:space="preserve"> </w:t>
      </w:r>
      <w:r w:rsidRPr="00D74739">
        <w:t xml:space="preserve">je povinný oznamovať údaje. Týmto platiteľom dane je platiteľ, ktorý je identifikovaný pre daň v tuzemsku podľa § 4, § 4b, § 4c alebo § 5, a ktorý </w:t>
      </w:r>
      <w:r w:rsidRPr="00D74739">
        <w:rPr>
          <w:color w:val="000000" w:themeColor="text1"/>
        </w:rPr>
        <w:t>uskutočnil dodanie tovaru alebo služby iné ako je uvedené v § 80 ods. 1 písm. a) až c)</w:t>
      </w:r>
      <w:r w:rsidRPr="00D74739">
        <w:t>. Kým do 30.6.2030 sa povinnosť vyhotovovať elektronické faktúry môže vzťahovať len na platiteľov dane usadených v tuzemsku (platitelia dane podľa § 4, § 4b a § 4c), od 1.7.2030 sa táto povinnosť</w:t>
      </w:r>
      <w:r>
        <w:t>,</w:t>
      </w:r>
      <w:r w:rsidRPr="00D74739">
        <w:t xml:space="preserve"> a teda aj povinnosť oznamovať údaje</w:t>
      </w:r>
      <w:r>
        <w:t>,</w:t>
      </w:r>
      <w:r w:rsidRPr="00D74739">
        <w:t xml:space="preserve"> vzťahuje aj na platiteľa dane neusadeného v tuzemsku, ale identifikovaného v tuzemsku pre daň podľa § 5. Povinnosť oznamovať údaje sa týka výlučne zdaniteľných obchodov, pri ktorých je platiteľ dane povinný vyhotoviť elektronickú faktúru v zmysle § 72 ods. 1 písm. a), teda pri dodaní tovaru alebo služby s miestom dodania v tuzemsku inej zdaniteľnej osobe alebo právnickej osobe, ktorá nie je zdaniteľnou osobou. Uvedená povinnosť sa vzťahuje aj na prípady, kedy bola prijatá platba pred samotným dodaním tovaru alebo služby, ak v dôsledku tejto platby vzniká povinnosť vystaviť elektronickú faktúru podľa § 72 ods. 1 písm. a). Platiteľ dane nie je povinný oznámiť údaje z</w:t>
      </w:r>
      <w:r>
        <w:t xml:space="preserve"> vyhotovenej </w:t>
      </w:r>
      <w:r w:rsidRPr="00D74739">
        <w:t>faktúry, ak ide o dodanie, ktoré je oslobodené od dane podľa ustanovení § 28 až 43 alebo § 47</w:t>
      </w:r>
      <w:r>
        <w:t>, alebo ak ide o dodanie tovaru alebo služby, pri ktorom sa vyhotovuje faktúra podľa § 71 ods. 6 písm. a) alebo b) zákona o DPH, alebo ak ide o dodanie pri ktorom sa vyhotovuje faktúra v inej podobe (§ 72 ods. 10 a 11 zákona o DPH).</w:t>
      </w:r>
    </w:p>
    <w:p w14:paraId="3D47C725" w14:textId="77777777" w:rsidR="00746D3C" w:rsidRPr="00D74739" w:rsidRDefault="00746D3C" w:rsidP="00746D3C">
      <w:pPr>
        <w:pStyle w:val="Normlnywebov"/>
        <w:jc w:val="both"/>
      </w:pPr>
    </w:p>
    <w:p w14:paraId="05AFAB7D" w14:textId="77777777" w:rsidR="00746D3C" w:rsidRPr="00D74739" w:rsidRDefault="00746D3C" w:rsidP="00746D3C">
      <w:pPr>
        <w:pStyle w:val="Normlnywebov"/>
        <w:jc w:val="both"/>
      </w:pPr>
      <w:r w:rsidRPr="00D74739">
        <w:t xml:space="preserve">V odseku 2 sa určuje platiteľ dane (odberateľ), ktorý je povinný oznamovať údaje. Ide o platiteľa dane, ktorému bol dodaný tovar alebo služba podľa odseku 1 s miestom dodania v tuzemsku alebo ktorý uskutočnil platbu dodávateľovi pred týmto dodaním, a to na základe </w:t>
      </w:r>
      <w:r w:rsidRPr="00D74739">
        <w:lastRenderedPageBreak/>
        <w:t xml:space="preserve">elektronickej faktúry vystavenej iným platiteľom s použitím identifikačného čísla pre daň prideleného podľa § 4, § 4b, § 4c alebo § 5. Platiteľ </w:t>
      </w:r>
      <w:r>
        <w:t xml:space="preserve">dane </w:t>
      </w:r>
      <w:r w:rsidRPr="00D74739">
        <w:t>je v takomto prípade povinný oznámiť údaje v rozsahu a spôsobom ustanoveným v odseku 3 a odseku 8 tohto ustanovenia.</w:t>
      </w:r>
      <w:r>
        <w:t xml:space="preserve"> </w:t>
      </w:r>
      <w:r w:rsidRPr="00D74739">
        <w:t>Platiteľ dane nie je povinný oznámiť údaje z</w:t>
      </w:r>
      <w:r>
        <w:t xml:space="preserve"> prijatej </w:t>
      </w:r>
      <w:r w:rsidRPr="00D74739">
        <w:t>faktúry, ak ide o dodanie, ktoré je oslobodené od dane podľa ustanovení § 28 až 4</w:t>
      </w:r>
      <w:r>
        <w:t>2</w:t>
      </w:r>
      <w:r w:rsidRPr="008A5194">
        <w:t xml:space="preserve"> </w:t>
      </w:r>
      <w:r>
        <w:t>alebo ak ide o dodanie, pri ktorom sa vyhotovuje faktúra v inej podobe (§ 72 ods. 11 zákona o DPH).</w:t>
      </w:r>
    </w:p>
    <w:p w14:paraId="3F52941B" w14:textId="77777777" w:rsidR="00746D3C" w:rsidRPr="00D74739" w:rsidRDefault="00746D3C" w:rsidP="00746D3C">
      <w:pPr>
        <w:pStyle w:val="Normlnywebov"/>
        <w:jc w:val="both"/>
      </w:pPr>
    </w:p>
    <w:p w14:paraId="5E08A467" w14:textId="77777777" w:rsidR="00746D3C" w:rsidRPr="00D74739" w:rsidRDefault="00746D3C" w:rsidP="00746D3C">
      <w:pPr>
        <w:pStyle w:val="Normlnywebov"/>
        <w:jc w:val="both"/>
      </w:pPr>
      <w:r w:rsidRPr="00D74739">
        <w:t xml:space="preserve">V odseku 3 a odseku 4 sa stanovuje rozsah údajov, ktoré je povinný oznamovať platiteľ dane (dodávateľ a odberateľ) a to v štruktúre, ktorá zabezpečuje úplnosť a použiteľnosť údajov pre účely elektronického výkazníctva a kontroly v súlade so smernicou </w:t>
      </w:r>
      <w:r>
        <w:t xml:space="preserve">(EÚ) </w:t>
      </w:r>
      <w:r w:rsidRPr="00D74739">
        <w:t xml:space="preserve">2025/516. </w:t>
      </w:r>
    </w:p>
    <w:p w14:paraId="0C97E008" w14:textId="77777777" w:rsidR="00746D3C" w:rsidRPr="00D74739" w:rsidRDefault="00746D3C" w:rsidP="00746D3C">
      <w:pPr>
        <w:pStyle w:val="Normlnywebov"/>
        <w:jc w:val="both"/>
      </w:pPr>
      <w:r w:rsidRPr="00D74739">
        <w:t>Platiteľ dane, ktorý je dodávateľom, z dodania tovaru alebo služby elektronicky oznamuje podľa zákona o DPH svoje IČ DPH, IČ DPH odberateľa, jeho meno a priezvisko alebo názov, ak odberateľ nemá IČ DPH a údaje podľa § 74 ods. 1 písm. c) až k), m), n) a q), ktoré sa daného dodania tovaru alebo služby týkajú.</w:t>
      </w:r>
    </w:p>
    <w:p w14:paraId="397A59DD" w14:textId="77777777" w:rsidR="00746D3C" w:rsidRPr="00D74739" w:rsidRDefault="00746D3C" w:rsidP="00746D3C">
      <w:pPr>
        <w:jc w:val="both"/>
      </w:pPr>
      <w:r w:rsidRPr="00D74739">
        <w:t xml:space="preserve">Odberateľ je povinný elektronicky oznámiť údaje z prijatého dodania tovaru alebo služby, avšak len ak je platiteľom dane (napr. zdaniteľná osoba, nezdaniteľná právnická osoba, ktoré môžu byť registrované pre daň podľa § 7, alebo § 7a, povinnosť oznamovať elektronicky údaje o prijatom tovare alebo službe nemajú). Odberateľ oznamuje IČ DPH dodávateľa, svoje IČ DPH, ak ho nemá, oznamuje svoje meno a priezvisko alebo názov, a údaje </w:t>
      </w:r>
      <w:r>
        <w:t xml:space="preserve">podľa </w:t>
      </w:r>
      <w:r w:rsidRPr="00D74739">
        <w:t>§ 74 ods. 1 písm. c) až k), m), n) a q), ktoré sa daného dodania tovaru alebo služby týkajú.</w:t>
      </w:r>
    </w:p>
    <w:p w14:paraId="25D64DA7" w14:textId="77777777" w:rsidR="00746D3C" w:rsidRPr="00D74739" w:rsidRDefault="00746D3C" w:rsidP="00746D3C">
      <w:pPr>
        <w:pStyle w:val="Normlnywebov"/>
        <w:jc w:val="both"/>
      </w:pPr>
      <w:r w:rsidRPr="00D74739">
        <w:t xml:space="preserve">Údaje podľa § 74 ods. 1 písm. j), k), m) a n) sa uvádzajú v závislosti od toho, či platiteľovi dane (dodávateľovi alebo odberateľovi) podľa charakteru zdaniteľného obchodu alebo daňového režimu, v ktorom sa nachádza, vyplýva povinnosť tieto údaje uviesť v elektronickej faktúre. </w:t>
      </w:r>
    </w:p>
    <w:p w14:paraId="296DB565" w14:textId="77777777" w:rsidR="00746D3C" w:rsidRPr="00D74739" w:rsidRDefault="00746D3C" w:rsidP="00746D3C">
      <w:pPr>
        <w:pStyle w:val="Normlnywebov"/>
        <w:jc w:val="both"/>
      </w:pPr>
      <w:r w:rsidRPr="00D74739">
        <w:t xml:space="preserve">V prípade, že ide o platiteľa dane, ktorý uplatňuje osobitnú úpravu dane na základe prijatia platby podľa § 68d odsek 4, oznamuje sa aj údaj týkajúci sa slovnej informácie „daň sa uplatňuje na základe prijatia platby“. </w:t>
      </w:r>
    </w:p>
    <w:p w14:paraId="70D4A03B" w14:textId="77777777" w:rsidR="00746D3C" w:rsidRPr="00D74739" w:rsidRDefault="00746D3C" w:rsidP="00746D3C">
      <w:pPr>
        <w:pStyle w:val="Normlnywebov"/>
        <w:jc w:val="both"/>
        <w:rPr>
          <w:color w:val="000000" w:themeColor="text1"/>
        </w:rPr>
      </w:pPr>
      <w:r w:rsidRPr="00D74739">
        <w:t>Osobitne sa rieši situácia, keď osobou povinnou platiť daň je príjemca plnenia (odberateľ) podľa § 69 ods. 10 až 12 (napr. pri reverse-charge režime). V týchto prípadoch sa diferencuje rozsah oznamovaných údajov, aby sa reflektovali rozdielne daňové povinnosti pri týchto typoch zdaniteľných obchodov. Ak osobou povinnou platiť daň je príjemca plnenia (odberateľ) podľa § 69 ods. 10 až 12, p</w:t>
      </w:r>
      <w:r w:rsidRPr="00D74739">
        <w:rPr>
          <w:color w:val="000000" w:themeColor="text1"/>
        </w:rPr>
        <w:t>latiteľ dane (dodávateľ) v tomto prípade neoznamuje údaj týkajúci sa sadzby dane a sumy dane, ktorý je povinný oznámiť príjemca plnenia (odberateľ). Zároveň je platiteľ dane (dodávateľ) v tomto prípade povinný oznámiť údaj týkajúci sa slovnej informácie „prenesenie daňovej povinnosti“ podľa § 74 ods. 1 písm. k).</w:t>
      </w:r>
    </w:p>
    <w:p w14:paraId="2813EEA5" w14:textId="77777777" w:rsidR="00746D3C" w:rsidRPr="00D74739" w:rsidRDefault="00746D3C" w:rsidP="00746D3C">
      <w:pPr>
        <w:pStyle w:val="Normlnywebov"/>
        <w:jc w:val="both"/>
      </w:pPr>
    </w:p>
    <w:p w14:paraId="1FB7097C" w14:textId="77777777" w:rsidR="00746D3C" w:rsidRPr="00D74739" w:rsidRDefault="00746D3C" w:rsidP="00746D3C">
      <w:pPr>
        <w:pStyle w:val="Normlnywebov"/>
        <w:jc w:val="both"/>
      </w:pPr>
      <w:r w:rsidRPr="00D74739">
        <w:t xml:space="preserve">V odseku 5 je doplnený rozsah údajov, ktoré je platiteľ dane (dodávateľ aj odberateľ) povinný oznámiť v prípade, že po vyhotovení elektronickej faktúry dôjde k zmenám údajov, ktoré boli pôvodne oznámené, a platiteľ dane vyhotoví opravnú elektronickú faktúru podľa § 71 ods. 2. V tomto prípade je platiteľ dane povinný oznámiť aj údaj týkajúci sa poradového čísla pôvodnej elektronickej faktúry /§ 74 ods. 1 písm. p)/ a údaje podľa odsekov 3 a 4 v rozsahu, v akom sa menia. Platiteľ oznamuje údaje na základe vyhotovenej opravnej faktúry v rovnakej lehote, v akej je povinný oznámiť údaje z riadnej elektronickej faktúry. </w:t>
      </w:r>
    </w:p>
    <w:p w14:paraId="4BF38FD8" w14:textId="77777777" w:rsidR="00746D3C" w:rsidRPr="00D74739" w:rsidRDefault="00746D3C" w:rsidP="00746D3C">
      <w:pPr>
        <w:pStyle w:val="Normlnywebov"/>
        <w:jc w:val="both"/>
      </w:pPr>
    </w:p>
    <w:p w14:paraId="59E23B57" w14:textId="77777777" w:rsidR="00746D3C" w:rsidRPr="00D74739" w:rsidRDefault="00746D3C" w:rsidP="00746D3C">
      <w:pPr>
        <w:pStyle w:val="Normlnywebov"/>
        <w:jc w:val="both"/>
      </w:pPr>
      <w:r w:rsidRPr="00D74739">
        <w:t xml:space="preserve">V odsekoch 6 a 7 sa stanovuje presné načasovanie povinnosti na oznámenie údajov pre dodávateľa a odberateľa zo zdaniteľných obchodov, pri ktorých sa vyhotovuje elektronická faktúra. Účelom je zabezpečiť včasné „real-time“ poskytovanie dát pre účely digitálneho výkazníctva a daňovej kontroly v súlade s požiadavkami smernice </w:t>
      </w:r>
      <w:r>
        <w:t xml:space="preserve">(EÚ) </w:t>
      </w:r>
      <w:r w:rsidRPr="00D74739">
        <w:t>2025/516.</w:t>
      </w:r>
    </w:p>
    <w:p w14:paraId="570B6BB2" w14:textId="77777777" w:rsidR="00746D3C" w:rsidRPr="00D74739" w:rsidRDefault="00746D3C" w:rsidP="00746D3C">
      <w:pPr>
        <w:pStyle w:val="Normlnywebov"/>
        <w:jc w:val="both"/>
        <w:rPr>
          <w:rStyle w:val="normaltextrun"/>
          <w:color w:val="000000"/>
          <w:shd w:val="clear" w:color="auto" w:fill="FFFFFF"/>
        </w:rPr>
      </w:pPr>
      <w:r w:rsidRPr="00D74739">
        <w:rPr>
          <w:rStyle w:val="Vrazn"/>
        </w:rPr>
        <w:t>Odsek 6</w:t>
      </w:r>
      <w:r w:rsidRPr="00D74739">
        <w:t xml:space="preserve"> upravuje lehoty, v ktorých je povinný oznámiť údaje za každý zdaniteľný obchod finančnému riaditeľstvu dodávateľ, ktorému vyplynula povinnosť vyhotoviť elektronickú faktúru. Tento oznamuje údaje v lehote v závislosti od toho, či elektronickú faktúru vyhotovil on sám alebo ju v jeho mene a na jeho účet vyhotovil odberateľ</w:t>
      </w:r>
      <w:r w:rsidRPr="00D74739">
        <w:rPr>
          <w:rStyle w:val="normaltextrun"/>
          <w:color w:val="000000"/>
          <w:shd w:val="clear" w:color="auto" w:fill="FFFFFF"/>
        </w:rPr>
        <w:t>. Ak elektronickú faktúru vyhotovuje samotný dodávateľ alebo tretia strana konajúca na jeho účet</w:t>
      </w:r>
      <w:r w:rsidRPr="00D74739">
        <w:rPr>
          <w:rStyle w:val="normaltextrun"/>
          <w:color w:val="000000" w:themeColor="text1"/>
        </w:rPr>
        <w:t xml:space="preserve"> (napr. prostredníctvom </w:t>
      </w:r>
      <w:r w:rsidRPr="00D74739">
        <w:rPr>
          <w:rStyle w:val="normaltextrun"/>
          <w:color w:val="000000" w:themeColor="text1"/>
        </w:rPr>
        <w:lastRenderedPageBreak/>
        <w:t>poskytovateľa fakturačných služieb)</w:t>
      </w:r>
      <w:r w:rsidRPr="00D74739">
        <w:rPr>
          <w:rStyle w:val="normaltextrun"/>
          <w:color w:val="000000"/>
          <w:shd w:val="clear" w:color="auto" w:fill="FFFFFF"/>
        </w:rPr>
        <w:t xml:space="preserve">, je povinný oznámiť údaje v deň jej vyhotovenia alebo v posledný deň zákonnej lehoty na jej vyhotovenie, ak k vyhotoveniu faktúry do tejto lehoty nedošlo. </w:t>
      </w:r>
      <w:r w:rsidRPr="00D74739">
        <w:t xml:space="preserve">Tento model zohľadňuje prípady oneskoreného fakturovania a zaručuje, že údaje budú oznámené najneskôr do konca zákonnej lehoty. </w:t>
      </w:r>
      <w:r w:rsidRPr="00D74739">
        <w:rPr>
          <w:rStyle w:val="normaltextrun"/>
          <w:color w:val="000000"/>
          <w:shd w:val="clear" w:color="auto" w:fill="FFFFFF"/>
        </w:rPr>
        <w:t xml:space="preserve">Ak je elektronická faktúra vyhotovená v mene a na účet dodávateľa </w:t>
      </w:r>
      <w:r w:rsidRPr="00D74739">
        <w:t>odberateľom</w:t>
      </w:r>
      <w:r w:rsidRPr="00D74739">
        <w:rPr>
          <w:rStyle w:val="normaltextrun"/>
          <w:color w:val="000000"/>
          <w:shd w:val="clear" w:color="auto" w:fill="FFFFFF"/>
        </w:rPr>
        <w:t xml:space="preserve">, oznámenie údajov dodávateľ vykoná najneskôr do piatich dní od vyhotovenia elektronickej faktúry alebo uplynutia lehoty na jej vyhotovenie. </w:t>
      </w:r>
      <w:r w:rsidRPr="00D74739">
        <w:t>Týmto sa zohľadňuje časová a procesná náročnosť v prípadoch, kde platiteľ dane nevyhotovuje faktúru sám.</w:t>
      </w:r>
    </w:p>
    <w:p w14:paraId="6C2F6580" w14:textId="77777777" w:rsidR="00746D3C" w:rsidRPr="00D74739" w:rsidRDefault="00746D3C" w:rsidP="00746D3C">
      <w:pPr>
        <w:pStyle w:val="Normlnywebov"/>
        <w:jc w:val="both"/>
      </w:pPr>
      <w:r w:rsidRPr="00D74739">
        <w:rPr>
          <w:rStyle w:val="Vrazn"/>
        </w:rPr>
        <w:t xml:space="preserve">Odsek </w:t>
      </w:r>
      <w:r w:rsidRPr="00D74739">
        <w:rPr>
          <w:rStyle w:val="Vrazn"/>
          <w:rFonts w:eastAsiaTheme="majorEastAsia"/>
        </w:rPr>
        <w:t>7</w:t>
      </w:r>
      <w:r w:rsidRPr="00D74739">
        <w:t xml:space="preserve"> ustanovuje lehotu pre odberateľa, ktorý je povinný oznámiť údaje do piatich dní odo dňa prijatia elektronickej faktúry. Táto lehota zabezpečuje primeraný čas na spracovanie údajov a ich oznámenie, pričom zostáva v súlade s požiadavkami na aktuálnosť údajov podľa smernice</w:t>
      </w:r>
      <w:r>
        <w:t xml:space="preserve"> (EÚ)</w:t>
      </w:r>
      <w:r w:rsidRPr="00D74739">
        <w:t xml:space="preserve"> 2025/516. </w:t>
      </w:r>
    </w:p>
    <w:p w14:paraId="7155D788" w14:textId="77777777" w:rsidR="00746D3C" w:rsidRPr="00D74739" w:rsidRDefault="00746D3C" w:rsidP="00746D3C">
      <w:pPr>
        <w:pStyle w:val="Normlnywebov"/>
        <w:jc w:val="both"/>
      </w:pPr>
    </w:p>
    <w:p w14:paraId="053A7C50" w14:textId="77777777" w:rsidR="00746D3C" w:rsidRPr="00D74739" w:rsidRDefault="00746D3C" w:rsidP="00746D3C">
      <w:pPr>
        <w:pStyle w:val="Normlnywebov"/>
        <w:jc w:val="both"/>
        <w:rPr>
          <w:rStyle w:val="Vrazn"/>
          <w:rFonts w:eastAsiaTheme="majorEastAsia"/>
          <w:b w:val="0"/>
          <w:bCs w:val="0"/>
        </w:rPr>
      </w:pPr>
      <w:r w:rsidRPr="00D74739">
        <w:t xml:space="preserve">Navrhované ustanovenie v odseku 8 upravuje technický a formálny rámec plnenia oznamovacích povinností, ktoré sa týkajú oznamovania údajov platiteľom dane finančnému riaditeľstvu. Platiteľ dane je povinný tieto údaje oznámiť </w:t>
      </w:r>
      <w:r w:rsidRPr="00D74739">
        <w:rPr>
          <w:rStyle w:val="Vrazn"/>
        </w:rPr>
        <w:t xml:space="preserve">vo formáte jednotnej dátovej správy </w:t>
      </w:r>
      <w:r>
        <w:rPr>
          <w:rStyle w:val="Vrazn"/>
        </w:rPr>
        <w:t>alebo prostredníctvom doručovacej služby</w:t>
      </w:r>
      <w:r w:rsidRPr="00D74739">
        <w:t xml:space="preserve">. </w:t>
      </w:r>
      <w:r>
        <w:t xml:space="preserve">V prípade oznámenia údajov cez doručovaciu službu, sa údaje považujú za oznámené odovzdaním elektronickej faktúry doručovacej službe. </w:t>
      </w:r>
      <w:r w:rsidRPr="00D74739">
        <w:t xml:space="preserve">Cieľom je v súlade s požiadavkami smernice </w:t>
      </w:r>
      <w:r>
        <w:t xml:space="preserve">(EÚ) </w:t>
      </w:r>
      <w:r w:rsidRPr="00D74739">
        <w:t xml:space="preserve">2025/516 zabezpečiť </w:t>
      </w:r>
      <w:r w:rsidRPr="00D74739">
        <w:rPr>
          <w:rStyle w:val="Vrazn"/>
        </w:rPr>
        <w:t>štandardizáciu elektronickej komunikácie</w:t>
      </w:r>
      <w:r w:rsidRPr="00D74739">
        <w:rPr>
          <w:rStyle w:val="Vrazn"/>
          <w:rFonts w:eastAsiaTheme="majorEastAsia"/>
        </w:rPr>
        <w:t xml:space="preserve"> a oznamovania údajov </w:t>
      </w:r>
      <w:r w:rsidRPr="00D74739">
        <w:t>v súlade s európskou normou pre elektronickú fakturáciu, čím sa zabezpečuje interoperabilita fakturačných a oznamovacích systémov v rámci celej EÚ</w:t>
      </w:r>
      <w:r w:rsidRPr="00D74739">
        <w:rPr>
          <w:rStyle w:val="Vrazn"/>
          <w:rFonts w:eastAsiaTheme="majorEastAsia"/>
        </w:rPr>
        <w:t>.</w:t>
      </w:r>
    </w:p>
    <w:p w14:paraId="2FBFBEF0" w14:textId="77777777" w:rsidR="00746D3C" w:rsidRPr="00D74739" w:rsidRDefault="00746D3C" w:rsidP="00746D3C">
      <w:pPr>
        <w:jc w:val="both"/>
      </w:pPr>
      <w:r w:rsidRPr="00D74739">
        <w:t>V súlade so zásadou právnej istoty a s ohľadom na zachovanie rovnakého postupu ako pri navrhovaných doplneniach v </w:t>
      </w:r>
      <w:r>
        <w:t xml:space="preserve">§ </w:t>
      </w:r>
      <w:r w:rsidRPr="00D74739">
        <w:t>73 ods. 3 a § 80 ods. 8, sa navrhuje ustanoviť, že rovnako lehota na oznámenie údajov pri tuzemskom dodaní tovaru alebo služby sa neposúva na nasledujúci pracovný deň, ak posledný deň lehoty pripadne na sobotu, nedeľu alebo deň pracovného pokoja.</w:t>
      </w:r>
    </w:p>
    <w:p w14:paraId="6A0CC7AA" w14:textId="77777777" w:rsidR="00746D3C" w:rsidRPr="00D74739" w:rsidRDefault="00746D3C" w:rsidP="00746D3C">
      <w:pPr>
        <w:pStyle w:val="Normlnywebov"/>
        <w:jc w:val="both"/>
        <w:rPr>
          <w:rStyle w:val="Vrazn"/>
          <w:rFonts w:eastAsiaTheme="majorEastAsia"/>
          <w:b w:val="0"/>
          <w:bCs w:val="0"/>
        </w:rPr>
      </w:pPr>
    </w:p>
    <w:p w14:paraId="0754B3BB" w14:textId="77777777" w:rsidR="00746D3C" w:rsidRPr="00D74739" w:rsidRDefault="00746D3C" w:rsidP="00746D3C">
      <w:pPr>
        <w:pStyle w:val="Normlnywebov"/>
        <w:jc w:val="both"/>
        <w:rPr>
          <w:rStyle w:val="Vrazn"/>
          <w:rFonts w:eastAsiaTheme="majorEastAsia"/>
          <w:b w:val="0"/>
          <w:bCs w:val="0"/>
        </w:rPr>
      </w:pPr>
      <w:r w:rsidRPr="00D74739">
        <w:rPr>
          <w:rStyle w:val="Vrazn"/>
          <w:rFonts w:eastAsiaTheme="majorEastAsia"/>
        </w:rPr>
        <w:t>V odsekoch 9 a 10 sa navrhuje ustanoviť sankcie v prípade porušenia oznamovacích povinností.</w:t>
      </w:r>
    </w:p>
    <w:p w14:paraId="577FC0C8" w14:textId="77777777" w:rsidR="00746D3C" w:rsidRPr="00D74739" w:rsidRDefault="00746D3C" w:rsidP="00746D3C">
      <w:pPr>
        <w:pStyle w:val="Normlnywebov"/>
        <w:jc w:val="both"/>
      </w:pPr>
      <w:r w:rsidRPr="00D74739">
        <w:rPr>
          <w:rStyle w:val="Vrazn"/>
        </w:rPr>
        <w:t>Odsek 9</w:t>
      </w:r>
      <w:r w:rsidRPr="00D74739">
        <w:t xml:space="preserve"> ustanovuje sankciu za nesplnenie oznamovacej povinnosti v prípade, ak platiteľ dane – či už vyhotoviteľ elektronickej faktúry (platiteľ dane podľa odseku 1) alebo jej príjemca (platiteľ dane podľa odseku 2) </w:t>
      </w:r>
      <w:r w:rsidRPr="00D74739">
        <w:rPr>
          <w:rStyle w:val="Vrazn"/>
        </w:rPr>
        <w:t>neoznámil žiadne údaje, alebo ich oznámil po lehote, oznámil iba niektoré údaje, prípadne oznámil nesprávne údaje. Z</w:t>
      </w:r>
      <w:r w:rsidRPr="00D74739">
        <w:t xml:space="preserve">a takéto porušenie môže daňový úrad uložiť </w:t>
      </w:r>
      <w:r w:rsidRPr="00D74739">
        <w:rPr>
          <w:rStyle w:val="Vrazn"/>
        </w:rPr>
        <w:t>pokutu do výšky 10 000 eur</w:t>
      </w:r>
      <w:r w:rsidRPr="00D74739">
        <w:rPr>
          <w:b/>
          <w:bCs/>
        </w:rPr>
        <w:t>.</w:t>
      </w:r>
      <w:r w:rsidRPr="00D74739">
        <w:t xml:space="preserve"> Sankcia má motivačný charakter a má zabezpečiť dodržiavanie pravidiel digitálneho výkazníctva, ktoré je kľúčové pre fungovanie systému „real-time“ elektronickej fakturácie podľa smernice </w:t>
      </w:r>
      <w:r>
        <w:t xml:space="preserve">(EÚ) </w:t>
      </w:r>
      <w:r w:rsidRPr="00D74739">
        <w:t>2025/516.</w:t>
      </w:r>
    </w:p>
    <w:p w14:paraId="5B13AD2B" w14:textId="77777777" w:rsidR="00746D3C" w:rsidRPr="00D74739" w:rsidRDefault="00746D3C" w:rsidP="00746D3C">
      <w:pPr>
        <w:pStyle w:val="Normlnywebov"/>
        <w:jc w:val="both"/>
      </w:pPr>
      <w:r w:rsidRPr="00D74739">
        <w:rPr>
          <w:rStyle w:val="Vrazn"/>
        </w:rPr>
        <w:t>Odsek 10</w:t>
      </w:r>
      <w:r w:rsidRPr="00D74739">
        <w:t xml:space="preserve"> rieši prísnejší postih v prípadoch </w:t>
      </w:r>
      <w:r w:rsidRPr="00D74739">
        <w:rPr>
          <w:rStyle w:val="Vrazn"/>
        </w:rPr>
        <w:t>opakovaného porušenia povinností, kedy</w:t>
      </w:r>
      <w:r w:rsidRPr="00D74739">
        <w:t xml:space="preserve"> daňový úrad môže uložiť </w:t>
      </w:r>
      <w:r w:rsidRPr="00D74739">
        <w:rPr>
          <w:rStyle w:val="Vrazn"/>
        </w:rPr>
        <w:t>pokutu do výšky 100 000 eur</w:t>
      </w:r>
      <w:r w:rsidRPr="00576115">
        <w:t>.</w:t>
      </w:r>
      <w:r w:rsidRPr="00D74739">
        <w:t xml:space="preserve"> Cieľom je sankcionovať subjekty, ktoré dlhodobo alebo systematicky nerešpektujú zákonné povinnosti a tým znemožňujú účinné fungovanie systému elektronickej fakturácie.</w:t>
      </w:r>
    </w:p>
    <w:p w14:paraId="1CE735C5" w14:textId="77777777" w:rsidR="00746D3C" w:rsidRPr="00D74739" w:rsidRDefault="00746D3C" w:rsidP="00746D3C">
      <w:pPr>
        <w:pStyle w:val="Normlnywebov"/>
        <w:jc w:val="both"/>
      </w:pPr>
    </w:p>
    <w:bookmarkEnd w:id="20"/>
    <w:p w14:paraId="6D0696AA" w14:textId="77777777" w:rsidR="00746D3C" w:rsidRPr="00D74739" w:rsidRDefault="00746D3C" w:rsidP="00746D3C">
      <w:pPr>
        <w:pStyle w:val="Normlnywebov"/>
        <w:jc w:val="both"/>
      </w:pPr>
      <w:r w:rsidRPr="00D74739">
        <w:rPr>
          <w:rStyle w:val="Vrazn"/>
        </w:rPr>
        <w:t>Odsek 11</w:t>
      </w:r>
      <w:r w:rsidRPr="00D74739">
        <w:t xml:space="preserve"> zavádza princíp </w:t>
      </w:r>
      <w:r w:rsidRPr="00D74739">
        <w:rPr>
          <w:rStyle w:val="Vrazn"/>
        </w:rPr>
        <w:t>primeranosti sankcie</w:t>
      </w:r>
      <w:r w:rsidRPr="00D74739">
        <w:t xml:space="preserve">, podľa ktorého daňový úrad pri určovaní konkrétnej výšky pokuty prihliada na </w:t>
      </w:r>
      <w:r w:rsidRPr="00D74739">
        <w:rPr>
          <w:rStyle w:val="Vrazn"/>
        </w:rPr>
        <w:t>závažnosť protiprávneho konania</w:t>
      </w:r>
      <w:r w:rsidRPr="00D74739">
        <w:t xml:space="preserve"> a dĺžku jeho trvania. Tento prístup umožňuje individualizáciu sankcie podľa konkrétnych okolností prípadu a zabraňuje uloženiu neprimeraných pokút pri menej závažných alebo krátkodobých porušeniach na jednej strane a na druhej strane umožňuje uloženie vyšších pokút v prípade závažných a dlhodobých porušení (dôvody napr. ojedinelé oneskorenie, technická chyba pri odoslaní údajov včas, opakované neoznamovanie údajov, zámerné obchádzanie systému elektronickej fakturácie – faktúry mimo formát a pod.). </w:t>
      </w:r>
      <w:r w:rsidRPr="00576115">
        <w:t xml:space="preserve">V prípade, ak sú údaje oznámené dodávateľom alebo odberateľom nesprávne, a ide o zrejmý omyl, pričom nesprávne údaje dodávateľ alebo odberateľ následne opraví, daňový úrad pokutu podľa odsekov 9 a 10 neuloží.  Takisto daňový úrad pokutu neuloží, ak platiteľ neoznámil údaje v ustanovenej lehote z dôvodu </w:t>
      </w:r>
      <w:r w:rsidRPr="00576115">
        <w:lastRenderedPageBreak/>
        <w:t>preukázanej technickej poruchy, ako napríklad plošný výpadok internetovej siete, na strane certifikovaného poskytovateľa doručovacej služby, za podmienky, že bezodkladne po odstránení tejto poruchy budú údaje oznámené.</w:t>
      </w:r>
    </w:p>
    <w:p w14:paraId="30CED844" w14:textId="77777777" w:rsidR="00746D3C" w:rsidRDefault="00746D3C" w:rsidP="00746D3C">
      <w:pPr>
        <w:pStyle w:val="Normlnywebov"/>
        <w:jc w:val="both"/>
      </w:pPr>
    </w:p>
    <w:p w14:paraId="0A4B80BF" w14:textId="77777777" w:rsidR="00746D3C" w:rsidRPr="00D74739" w:rsidRDefault="00746D3C" w:rsidP="00746D3C">
      <w:pPr>
        <w:pStyle w:val="Normlnywebov"/>
        <w:jc w:val="both"/>
      </w:pPr>
      <w:r>
        <w:t>V odseku 12 sa navrhuje upraviť, že ak je platiteľom dane skupina, povinnosť oznamovať údaje o dodaní tovaru alebo služby majú jednotliví členovia skupiny, a to v rozsahu nimi uskutočnených a prijatých zdaniteľných plnení.</w:t>
      </w:r>
    </w:p>
    <w:p w14:paraId="0D96E346" w14:textId="77777777" w:rsidR="00746D3C" w:rsidRDefault="00746D3C" w:rsidP="00746D3C">
      <w:pPr>
        <w:pStyle w:val="Normlnywebov"/>
        <w:jc w:val="both"/>
      </w:pPr>
    </w:p>
    <w:p w14:paraId="7099BDA2" w14:textId="77777777" w:rsidR="00746D3C" w:rsidRPr="00D74739" w:rsidRDefault="00746D3C" w:rsidP="00746D3C">
      <w:pPr>
        <w:pStyle w:val="Normlnywebov"/>
        <w:jc w:val="both"/>
        <w:rPr>
          <w:b/>
          <w:bCs/>
        </w:rPr>
      </w:pPr>
      <w:r w:rsidRPr="00D74739">
        <w:rPr>
          <w:b/>
          <w:bCs/>
        </w:rPr>
        <w:t xml:space="preserve">K Čl. I bod </w:t>
      </w:r>
      <w:r>
        <w:rPr>
          <w:b/>
          <w:bCs/>
        </w:rPr>
        <w:t>59</w:t>
      </w:r>
      <w:r w:rsidRPr="00D74739">
        <w:rPr>
          <w:b/>
          <w:bCs/>
        </w:rPr>
        <w:t xml:space="preserve"> (§ 85n)</w:t>
      </w:r>
    </w:p>
    <w:p w14:paraId="550CDB73" w14:textId="77777777" w:rsidR="00746D3C" w:rsidRPr="00D74739" w:rsidRDefault="00746D3C" w:rsidP="00746D3C">
      <w:pPr>
        <w:jc w:val="both"/>
      </w:pPr>
      <w:r w:rsidRPr="00D74739">
        <w:t>Smernica</w:t>
      </w:r>
      <w:r>
        <w:t xml:space="preserve"> (EÚ)</w:t>
      </w:r>
      <w:r w:rsidRPr="00D74739">
        <w:t xml:space="preserve"> 2025/516 stanovila s cieľom zvýšiť výber daní z cezhraničných dodaní tovarov a služieb, a ukončiť fragmentáciu vyplývajúcu z rozdielnych národných spôsobov oznamovania údajov z faktúr, ako predvolený spôsob vyhotovovania faktúr elektronický spôsob. Za účelom automatizácie procesu oznamovania údajov o jednotlivých dodaniach by sa dodania tovarov a služieb mali dokumentovať elektronicky. Ustanovenia smernice o elektronickom vyhotovovaní faktúr k dodaniam tovarov a služieb a o digitálnom oznamovaní údajov o tuzemských a cezhraničných dodaniach budú účinné od 1.7.2030. </w:t>
      </w:r>
    </w:p>
    <w:p w14:paraId="694B9E52" w14:textId="77777777" w:rsidR="00746D3C" w:rsidRPr="00D74739" w:rsidRDefault="00746D3C" w:rsidP="00746D3C">
      <w:pPr>
        <w:jc w:val="both"/>
      </w:pPr>
    </w:p>
    <w:p w14:paraId="15059DF0" w14:textId="77777777" w:rsidR="00746D3C" w:rsidRPr="00D74739" w:rsidRDefault="00746D3C" w:rsidP="00746D3C">
      <w:pPr>
        <w:jc w:val="both"/>
      </w:pPr>
      <w:r w:rsidRPr="00D74739">
        <w:t>Slovenská republika sa rozhodla využiť článok 1 smernice</w:t>
      </w:r>
      <w:r>
        <w:t xml:space="preserve"> (EÚ)</w:t>
      </w:r>
      <w:r w:rsidRPr="00D74739">
        <w:t xml:space="preserve"> 2025/516, ktorým sa dopĺňajú články 218 a 232, a čl. 273 </w:t>
      </w:r>
      <w:bookmarkStart w:id="21" w:name="_Hlk207093569"/>
      <w:r w:rsidRPr="00D74739">
        <w:t>smernice 2006/112/ES</w:t>
      </w:r>
      <w:bookmarkEnd w:id="21"/>
      <w:r w:rsidRPr="00D74739">
        <w:t>, ktoré umožňujú členským štátom zaviesť povinné vyhotovovanie elektronických faktúr k dodaniam tovarov alebo služieb, ktoré sa neuvádzajú v súhrnnom výkaze (čiže ide len o tuzemské dodania tovarov alebo služieb), vrátane povinného elektronického oznamovania údajov z týchto dodaní. Uvedené povinnosti sa vzťahujú len na tuzemských platiteľov dane registrovaných podľa § 4, 4b a 4c zákona o DPH (platitelia dane registrovaní pre daň podľa § 5 a iné zdaniteľné osoby registrované podľa § 7 a 7a zákona o DPH takéto povinnosti do 30.6.2030 mať nebudú) pri dodaniach pre zdaniteľné osoby alebo nezdaniteľné právnické osoby usadené v tuzemsku. Povinnosti súvisiace s elektronickým vyhotovovaním faktúr z tuzemských dodaní tovarov alebo služieb a elektronickým oznamovaním údajov z týchto dodaní podľa prechodného ustanovenia od 1.1.2027 do 30.6.2030 sú s povinnosťami na vyhotovenie elektronických faktúr z tuzemských dodaní a elektronickým oznamovaním údajov z týchto dodaní účinnými od 1.7.2030 v zásade totožné.</w:t>
      </w:r>
    </w:p>
    <w:p w14:paraId="1388B41E" w14:textId="77777777" w:rsidR="00746D3C" w:rsidRPr="00D74739" w:rsidRDefault="00746D3C" w:rsidP="00746D3C">
      <w:pPr>
        <w:jc w:val="both"/>
      </w:pPr>
    </w:p>
    <w:p w14:paraId="7E7291A6" w14:textId="77777777" w:rsidR="00746D3C" w:rsidRPr="00D74739" w:rsidRDefault="00746D3C" w:rsidP="00746D3C">
      <w:pPr>
        <w:jc w:val="both"/>
      </w:pPr>
      <w:r w:rsidRPr="00D74739">
        <w:t>V odseku 1 je uvedené odkazovacie ustanovenie na fakturačné pravidlá v § 71 až 76 zákona o</w:t>
      </w:r>
      <w:r>
        <w:t> </w:t>
      </w:r>
      <w:r w:rsidRPr="00D74739">
        <w:t>DPH</w:t>
      </w:r>
      <w:r>
        <w:t>,</w:t>
      </w:r>
      <w:r w:rsidRPr="00D74739">
        <w:t xml:space="preserve"> podľa ktor</w:t>
      </w:r>
      <w:r>
        <w:t>ého</w:t>
      </w:r>
      <w:r w:rsidRPr="00D74739">
        <w:t xml:space="preserve"> platiteľ dane postupuje len vtedy, ak v prechodnom ustanovení nie je uvedené inak. </w:t>
      </w:r>
    </w:p>
    <w:p w14:paraId="0C4A9AB3" w14:textId="77777777" w:rsidR="00746D3C" w:rsidRPr="00D74739" w:rsidRDefault="00746D3C" w:rsidP="00746D3C">
      <w:pPr>
        <w:jc w:val="both"/>
      </w:pPr>
      <w:r w:rsidRPr="00D74739">
        <w:t>V odseku 2 sa stanovuje, že platiteľ dane je povinný vyhotoviť elektronickú faktúru pri dodaní tovaru alebo služ</w:t>
      </w:r>
      <w:r>
        <w:t>by</w:t>
      </w:r>
      <w:r w:rsidRPr="00D74739">
        <w:t xml:space="preserve"> s miestom dodania v tuzemsku inému platiteľovi dane, alebo zdaniteľnej osobe, prípadne nezdaniteľnej právnickej osobe, usadenej v tuzemsku, prípadne pri prijatí platby pred uvedeným dodaním za podmienky, že dodanie tovaru</w:t>
      </w:r>
      <w:r>
        <w:t xml:space="preserve"> alebo služby,</w:t>
      </w:r>
      <w:r w:rsidRPr="00D74739">
        <w:t xml:space="preserve"> alebo prijatie platby pre</w:t>
      </w:r>
      <w:r>
        <w:t>d</w:t>
      </w:r>
      <w:r w:rsidRPr="00D74739">
        <w:t xml:space="preserve"> </w:t>
      </w:r>
      <w:r>
        <w:t xml:space="preserve">týmto </w:t>
      </w:r>
      <w:r w:rsidRPr="00D74739">
        <w:t xml:space="preserve">dodaním </w:t>
      </w:r>
      <w:r>
        <w:t xml:space="preserve">tovaru alebo služby </w:t>
      </w:r>
      <w:r w:rsidRPr="00D74739">
        <w:t xml:space="preserve">nastalo po 1.1.2027. Povinnosť vyhotoviť elektronickú faktúru nemajú platitelia dane, ak ide o dodania tovaru alebo služby konečným spotrebiteľom (B2C), oslobodené dodania tovarov a služieb (z dôvodu priameho oslobodenia vyplývajúceho zo samotnej podstaty služby, napr. služby sociálnej pomoci, alebo cezhraničné dodania tovarov a služieb zdanené u kupujúceho v inom členskom štáte). Platitelia dane nebudú mať povinnosť vyhotoviť ako elektronickú faktúru ani doklady alebo oznámenia, ktoré sa považujú za zjednodušené faktúry podľa § 74 ods. 3 písm. a) alebo písm. b) zákona o DPH. </w:t>
      </w:r>
      <w:r>
        <w:t xml:space="preserve">Vyhotovenie elektronickej faktúry sa zakazuje, ak je odberateľom tovarov alebo služieb Slovenská informačná služba alebo Vojenské spravodajstvo, alebo ak je dodanie tovarov alebo služieb utajovanou skutočnosťou, je spojené s utajovanou skutočnosťou, alebo si vyžaduje utajovanú skutočnosť, bez ohľadu na to, kde je dodávateľ alebo odberateľ tohto dodania tovaru alebo služby usadený. </w:t>
      </w:r>
      <w:r w:rsidRPr="00D74739">
        <w:t xml:space="preserve">Súhlas odberateľa na vyhotovenie </w:t>
      </w:r>
      <w:r>
        <w:t xml:space="preserve">štruktúrovanej </w:t>
      </w:r>
      <w:r w:rsidRPr="00D74739">
        <w:t>elektronickej faktúry nebude v porovnaní so súčasným právnym stavom potrebný.</w:t>
      </w:r>
      <w:r>
        <w:t xml:space="preserve"> Zároveň sa navrhuje</w:t>
      </w:r>
      <w:r w:rsidRPr="2FFFD7D5">
        <w:t>,</w:t>
      </w:r>
      <w:r>
        <w:t xml:space="preserve"> aby zaslanie </w:t>
      </w:r>
      <w:r>
        <w:lastRenderedPageBreak/>
        <w:t>elektronickej faktúry iným spôsobom ako doručovacou službou podliehalo súhlasu príjemcu plnenia.</w:t>
      </w:r>
    </w:p>
    <w:p w14:paraId="251D6F37" w14:textId="77777777" w:rsidR="00746D3C" w:rsidRPr="00D74739" w:rsidRDefault="00746D3C" w:rsidP="00746D3C">
      <w:pPr>
        <w:jc w:val="both"/>
      </w:pPr>
    </w:p>
    <w:p w14:paraId="75404E92" w14:textId="77777777" w:rsidR="00746D3C" w:rsidRPr="00D74739" w:rsidRDefault="00746D3C" w:rsidP="00746D3C">
      <w:pPr>
        <w:jc w:val="both"/>
      </w:pPr>
      <w:r w:rsidRPr="00D74739">
        <w:t xml:space="preserve">V odseku </w:t>
      </w:r>
      <w:r>
        <w:t>4</w:t>
      </w:r>
      <w:r w:rsidRPr="00D74739">
        <w:t xml:space="preserve"> sa navrhuje definícia elektronickej faktúry, pričom za elektronickú faktúru sa považuje akýkoľvek doklad alebo oznámenie, </w:t>
      </w:r>
      <w:r>
        <w:t xml:space="preserve">obsahujúce náležitosti podľa § 74 ods. 1, </w:t>
      </w:r>
      <w:r w:rsidRPr="00D74739">
        <w:t>vyhotovené, zaslané a prijaté vo formáte</w:t>
      </w:r>
      <w:r>
        <w:t xml:space="preserve"> elektronického dokumentu</w:t>
      </w:r>
      <w:r w:rsidRPr="00D74739">
        <w:t>, ktorý umožňuje jeho automatizované a elektronické spracovanie</w:t>
      </w:r>
      <w:r>
        <w:t xml:space="preserve"> a v dátovej štruktúre</w:t>
      </w:r>
      <w:r w:rsidRPr="00D74739">
        <w:t xml:space="preserve"> v súlade s európskou normou pre elektronickú fakturáciu a</w:t>
      </w:r>
      <w:r>
        <w:t xml:space="preserve"> so </w:t>
      </w:r>
      <w:r w:rsidRPr="00D74739">
        <w:t xml:space="preserve">zoznamom jej syntaxí. </w:t>
      </w:r>
      <w:r>
        <w:t>Podľa odseku 5 r</w:t>
      </w:r>
      <w:r w:rsidRPr="00D74739">
        <w:t xml:space="preserve">ovnako za elektronické faktúry bude možné považovať aj opravné </w:t>
      </w:r>
      <w:r>
        <w:t xml:space="preserve">doklady a oznámenia </w:t>
      </w:r>
      <w:r w:rsidRPr="00D74739">
        <w:t>vyhotovené</w:t>
      </w:r>
      <w:r>
        <w:t xml:space="preserve">, zaslané a prijaté spôsobom podľa odseku 4 </w:t>
      </w:r>
      <w:r w:rsidRPr="00D74739">
        <w:t xml:space="preserve">k pôvodným elektronických faktúram. </w:t>
      </w:r>
    </w:p>
    <w:p w14:paraId="3F131CB8" w14:textId="77777777" w:rsidR="00746D3C" w:rsidRPr="00D74739" w:rsidRDefault="00746D3C" w:rsidP="00746D3C">
      <w:pPr>
        <w:jc w:val="both"/>
      </w:pPr>
    </w:p>
    <w:p w14:paraId="5B41850D" w14:textId="77777777" w:rsidR="00746D3C" w:rsidRPr="00D74739" w:rsidRDefault="00746D3C" w:rsidP="00746D3C">
      <w:pPr>
        <w:jc w:val="both"/>
      </w:pPr>
      <w:r w:rsidRPr="00D74739">
        <w:t xml:space="preserve">V odseku 6 sa uvádza </w:t>
      </w:r>
      <w:r>
        <w:t xml:space="preserve">pätnásťdňová </w:t>
      </w:r>
      <w:r w:rsidRPr="00D74739">
        <w:t xml:space="preserve">lehota na vyhotovenie elektronickej faktúry, elektronickej opravnej faktúry, </w:t>
      </w:r>
      <w:r>
        <w:t>pričom uvedená lehota začína plynúť</w:t>
      </w:r>
      <w:r w:rsidRPr="00D74739">
        <w:t xml:space="preserve"> od</w:t>
      </w:r>
      <w:r>
        <w:t>o dňa</w:t>
      </w:r>
      <w:r w:rsidRPr="00D74739">
        <w:t xml:space="preserve"> dodania tovaru alebo služby, </w:t>
      </w:r>
      <w:r>
        <w:t xml:space="preserve">odo dňa </w:t>
      </w:r>
      <w:r w:rsidRPr="00D74739">
        <w:t>prijatia platby pred ich dodaním, prípadne od</w:t>
      </w:r>
      <w:r>
        <w:t xml:space="preserve"> konca kalendárneho mesiaca, kedy nastala </w:t>
      </w:r>
      <w:r w:rsidRPr="00D74739">
        <w:t>skutočnos</w:t>
      </w:r>
      <w:r>
        <w:t>ť</w:t>
      </w:r>
      <w:r w:rsidRPr="00D74739">
        <w:t xml:space="preserve"> rozhodn</w:t>
      </w:r>
      <w:r>
        <w:t>á</w:t>
      </w:r>
      <w:r w:rsidRPr="00D74739">
        <w:t xml:space="preserve"> pre vykonanie opravy základu dane podľa § 25 ods. 1. </w:t>
      </w:r>
      <w:r w:rsidRPr="00576115">
        <w:t>Napriek skutočnosti, že od 1. júla 2030 bude podľa § 73 lehota na vyhotovenie faktúry 10 dní odo dňa, keď nastala relevantná skutočnosť, čo je spôsobené zmenou príslušných ustanovení smernice o DPH (čl. 222 v znení účinnom od 1. júla 2030) a  snahou o eliminovanie duality v lehotách na vyhotovenie faktúry (cezhraničná vs. tuzemská fakturácia), pokiaľ ide o fakturačné pravidlá v prechodnom období od 1. januára 2027 do 30. júna 2030, navrhuje sa zachovať pätnásťdňovú lehotu na vyhotovenie faktúry s cieľom zabezpečiť priestor pre možnú budúcu úpravu príslušnej legislatívy v dotknutých odvetviach podnikania (napríklad v oblasti energetických odvetví) tak, aby bolo počnúc 1. júlom 2030 objektívne možné splniť povinnosť vyhotovenia faktúry dodávateľom v navrhovanej lehote 10 dní odo dňa, keď nastala zdaniteľná udalosť.</w:t>
      </w:r>
      <w:r>
        <w:t xml:space="preserve"> </w:t>
      </w:r>
      <w:r w:rsidRPr="00D74739">
        <w:t xml:space="preserve">Podľa odseku 7 pre súhrnné elektronické faktúry, vyhotovené za obdobie najviac jedného kalendárneho mesiaca, sa lehota </w:t>
      </w:r>
      <w:r>
        <w:t>pätnástich</w:t>
      </w:r>
      <w:r w:rsidRPr="00D74739" w:rsidDel="00D222DD">
        <w:t xml:space="preserve"> </w:t>
      </w:r>
      <w:r w:rsidRPr="00D74739">
        <w:t>dní na vyhotovenie počíta odo dňa skončenia kalendárneho mesiaca, za ktor</w:t>
      </w:r>
      <w:r>
        <w:t>ý</w:t>
      </w:r>
      <w:r w:rsidRPr="00D74739">
        <w:t xml:space="preserve"> sa súhrnná elektronická faktúra vyhotovuje. Od 1.1.2027 sa vypúšťa možnosť vyhotovenia súhrnnej faktúry vo forme dohody o platbách za dodanie elektriny, plynu, vody alebo tepla (§ 75 ods. 2 v znení účinnom do 31.12.2026) z dôvodu, že európska norma pre elektronickú fakturáciu, v súlade s ktorou sa vyhotovujú elektronické faktúry na základe smernice</w:t>
      </w:r>
      <w:r>
        <w:t xml:space="preserve"> (EÚ)</w:t>
      </w:r>
      <w:r w:rsidRPr="00D74739">
        <w:t xml:space="preserve"> 2025/516, takúto dohodu neumožňuje. Táto možnosť nie je z uvedeného dôvodu upravená ani v § 75 v znení účinnom od 1.7.2030.</w:t>
      </w:r>
    </w:p>
    <w:p w14:paraId="7B9A2520" w14:textId="77777777" w:rsidR="00746D3C" w:rsidRPr="00D74739" w:rsidRDefault="00746D3C" w:rsidP="00746D3C">
      <w:pPr>
        <w:jc w:val="both"/>
      </w:pPr>
    </w:p>
    <w:p w14:paraId="638F41EC" w14:textId="77777777" w:rsidR="00746D3C" w:rsidRPr="00D74739" w:rsidRDefault="00746D3C" w:rsidP="00746D3C">
      <w:pPr>
        <w:pStyle w:val="Normlnywebov"/>
        <w:jc w:val="both"/>
      </w:pPr>
      <w:r w:rsidRPr="00D74739">
        <w:t xml:space="preserve">Navrhovaný odsek </w:t>
      </w:r>
      <w:r>
        <w:t>8</w:t>
      </w:r>
      <w:r w:rsidRPr="00D74739">
        <w:t xml:space="preserve"> je reakciou na rovnakú úpravu ako v § 73 odseku 4 v znení účinnom od 1.7.2030, a to potrebu zohľadniť aj v prechodnom období situáciu, </w:t>
      </w:r>
      <w:r w:rsidRPr="007D70F1">
        <w:t>keď dodávateľ nemal</w:t>
      </w:r>
      <w:r w:rsidRPr="00D74739">
        <w:t xml:space="preserve"> v čase dodania tovaru alebo služby dostatočné informácie na to, aby vedel, že je povinn</w:t>
      </w:r>
      <w:r>
        <w:t>ý</w:t>
      </w:r>
      <w:r w:rsidRPr="00D74739">
        <w:t xml:space="preserve"> vyhotoviť faktúru podľa § 85n odseku 6 alebo odseku 7. Cieľom tohto ustanovenia je zabezpečiť právnu istotu pre zdaniteľné osoby a umožniť im dodržať zákonnú lehotu v prípade, ak dôjde k dodatočnému oznámeniu odberateľa, že ide o osobu, </w:t>
      </w:r>
      <w:r>
        <w:t xml:space="preserve">pre ktorú bol dodávateľ povinný vyhotoviť faktúru, </w:t>
      </w:r>
      <w:r w:rsidRPr="00D74739">
        <w:t xml:space="preserve">na základe </w:t>
      </w:r>
      <w:r>
        <w:t>čoho</w:t>
      </w:r>
      <w:r w:rsidRPr="00D74739">
        <w:t xml:space="preserve"> sa lehota na vyhotovenie faktúry bude považovať za dodržanú, ak dodávateľ vyhotoví faktúru do </w:t>
      </w:r>
      <w:r>
        <w:t>pätnástich</w:t>
      </w:r>
      <w:r w:rsidRPr="00D74739">
        <w:t xml:space="preserve"> dní od tohto oznámenia.</w:t>
      </w:r>
    </w:p>
    <w:p w14:paraId="09E0D9F9" w14:textId="77777777" w:rsidR="00746D3C" w:rsidRPr="00D74739" w:rsidRDefault="00746D3C" w:rsidP="00746D3C">
      <w:pPr>
        <w:jc w:val="both"/>
      </w:pPr>
    </w:p>
    <w:p w14:paraId="1216D3C4" w14:textId="77777777" w:rsidR="00746D3C" w:rsidRPr="00D74739" w:rsidRDefault="00746D3C" w:rsidP="00746D3C">
      <w:pPr>
        <w:jc w:val="both"/>
      </w:pPr>
      <w:r w:rsidRPr="00D74739">
        <w:t>V</w:t>
      </w:r>
      <w:r>
        <w:t> </w:t>
      </w:r>
      <w:r w:rsidRPr="00D74739">
        <w:t>odse</w:t>
      </w:r>
      <w:r>
        <w:t xml:space="preserve">koch </w:t>
      </w:r>
      <w:r w:rsidRPr="00D74739">
        <w:t xml:space="preserve"> </w:t>
      </w:r>
      <w:r>
        <w:t>9</w:t>
      </w:r>
      <w:r w:rsidRPr="00D74739">
        <w:t xml:space="preserve"> a</w:t>
      </w:r>
      <w:r>
        <w:t>ž</w:t>
      </w:r>
      <w:r w:rsidRPr="00D74739">
        <w:t> </w:t>
      </w:r>
      <w:r>
        <w:t>11</w:t>
      </w:r>
      <w:r w:rsidRPr="00D74739">
        <w:t xml:space="preserve"> sa uvádza rozsah údajov, ktoré je povinný dodávateľ a odberateľ oznamovať finančnému riaditeľstvu pri vyhotovení alebo prijatí elektronickej faktúry</w:t>
      </w:r>
      <w:r>
        <w:t>, lehotu</w:t>
      </w:r>
      <w:r w:rsidRPr="00D74739">
        <w:t xml:space="preserve"> a spôsob oznamovania týchto údajov (odsek 1</w:t>
      </w:r>
      <w:r>
        <w:t>1</w:t>
      </w:r>
      <w:r w:rsidRPr="00D74739">
        <w:t xml:space="preserve">). </w:t>
      </w:r>
      <w:r>
        <w:t xml:space="preserve">Povinne oznamovanými údajmi sú údaje </w:t>
      </w:r>
      <w:r w:rsidRPr="00D74739">
        <w:t>podľa § 74 zákona o</w:t>
      </w:r>
      <w:r>
        <w:t> </w:t>
      </w:r>
      <w:r w:rsidRPr="00D74739">
        <w:t>DPH</w:t>
      </w:r>
      <w:r>
        <w:t>, a to</w:t>
      </w:r>
      <w:r w:rsidRPr="00D74739">
        <w:t xml:space="preserve"> podľa toho, k akému dodaniu tovaru alebo služby sa elektronická faktúra vyhotovuje</w:t>
      </w:r>
      <w:r>
        <w:t xml:space="preserve">, </w:t>
      </w:r>
      <w:r>
        <w:rPr>
          <w:color w:val="000000" w:themeColor="text1"/>
        </w:rPr>
        <w:t>s výnimkou údajov podľa § 74 ods. 1 písm. h) a i), ak je osobou povinnou platiť daň v tuzemsku príjemca plnenia podľa § 69 ods. 10 až 12.</w:t>
      </w:r>
    </w:p>
    <w:p w14:paraId="10C6C36C" w14:textId="77777777" w:rsidR="00746D3C" w:rsidRPr="00D74739" w:rsidRDefault="00746D3C" w:rsidP="00746D3C">
      <w:pPr>
        <w:jc w:val="both"/>
      </w:pPr>
      <w:r>
        <w:t>V odseku 9 sa ustanovuje, že p</w:t>
      </w:r>
      <w:r w:rsidRPr="00D74739">
        <w:t>latiteľ dane, ktorý je dodávateľom, z dodania tovaru alebo služby</w:t>
      </w:r>
      <w:r>
        <w:t>,</w:t>
      </w:r>
      <w:r w:rsidRPr="00D74739">
        <w:t xml:space="preserve"> elektronicky </w:t>
      </w:r>
      <w:r>
        <w:t xml:space="preserve">prostredníctvom doručovacej služby, </w:t>
      </w:r>
      <w:r w:rsidRPr="00D74739">
        <w:t>oznamuje podľa zákona o DPH</w:t>
      </w:r>
      <w:r>
        <w:t xml:space="preserve"> </w:t>
      </w:r>
      <w:r w:rsidRPr="00D74739">
        <w:t>svoje IČ DPH, IČ DPH odberateľa, jeho meno a priezvisko alebo názov, ak odberateľ IČ DPH nemá, a</w:t>
      </w:r>
      <w:r>
        <w:t> </w:t>
      </w:r>
      <w:r w:rsidRPr="00D74739">
        <w:t>údaje</w:t>
      </w:r>
      <w:r>
        <w:t xml:space="preserve">, týkajúce sa predmetného dodania, </w:t>
      </w:r>
      <w:r w:rsidRPr="00D74739">
        <w:t xml:space="preserve">podľa § 74 ods. 1 písm. c) až k), m), n) a § 68d ods. </w:t>
      </w:r>
      <w:r w:rsidRPr="00D74739">
        <w:lastRenderedPageBreak/>
        <w:t xml:space="preserve">4 zákona o </w:t>
      </w:r>
      <w:r w:rsidRPr="003E0CF9">
        <w:t xml:space="preserve">DPH, </w:t>
      </w:r>
      <w:r w:rsidRPr="00576115">
        <w:rPr>
          <w:color w:val="000000" w:themeColor="text1"/>
        </w:rPr>
        <w:t>s výnimkou údajov podľa § 74 ods. 1 písm. h) a i), ak je odberateľ osobou povinnou platiť daň podľa § 69 ods. 10 až</w:t>
      </w:r>
      <w:r w:rsidRPr="003E0CF9">
        <w:rPr>
          <w:color w:val="000000" w:themeColor="text1"/>
        </w:rPr>
        <w:t xml:space="preserve"> 12</w:t>
      </w:r>
      <w:r w:rsidRPr="003E0CF9">
        <w:t>.</w:t>
      </w:r>
      <w:r w:rsidRPr="00D74739">
        <w:t xml:space="preserve"> Pri opravných elektronických faktúrach sa uvádza </w:t>
      </w:r>
      <w:r>
        <w:t xml:space="preserve">poradové </w:t>
      </w:r>
      <w:r w:rsidRPr="00D74739">
        <w:t>číslo pôvodnej elektronickej faktúry a údaje, ktoré sa menia.</w:t>
      </w:r>
      <w:r>
        <w:t xml:space="preserve"> </w:t>
      </w:r>
      <w:r w:rsidRPr="00D74739">
        <w:t>Dodávateľ oznamuje údaje z dodania tovaru alebo služby elektronicky v čase vyhotovenia elektronickej faktúry</w:t>
      </w:r>
      <w:r>
        <w:t>, najneskôr do piatich dní odo dňa vyhotovenia elektronickej faktúry, alebo odo dňa uplynutia lehoty na vyhotovenie elektronickej faktúry, ak ju vyhotovuje odberateľ v mene a na účet dodávateľa.</w:t>
      </w:r>
    </w:p>
    <w:p w14:paraId="3443C912" w14:textId="77777777" w:rsidR="00746D3C" w:rsidRPr="00576115" w:rsidRDefault="00746D3C" w:rsidP="00746D3C">
      <w:pPr>
        <w:jc w:val="both"/>
        <w:rPr>
          <w:color w:val="000000" w:themeColor="text1"/>
        </w:rPr>
      </w:pPr>
      <w:r>
        <w:t>Odsek 10 ustanovuje, že o</w:t>
      </w:r>
      <w:r w:rsidRPr="00D74739">
        <w:t>dberateľ, ktorý je tuzemským platiteľom dane, je povinný</w:t>
      </w:r>
      <w:r>
        <w:t xml:space="preserve"> z elektronickej faktúry prijatej prostredníctvom doručovacej služby</w:t>
      </w:r>
      <w:r w:rsidRPr="00D74739">
        <w:t xml:space="preserve"> elektronicky oznámiť údaje z prijatého dodania tovaru alebo služby, avšak len ak je platiteľom dane (napr. zdaniteľná osoba, nezdaniteľná právnická osoba, ktoré môžu byť registrované pre daň podľa § 7, alebo § 7a povinnosť oznamovať elektronicky údaje o prijatom tovare alebo službe nemajú). Odberateľ oznamuje IČ DPH dodávateľa, svoje IČ DPH, a</w:t>
      </w:r>
      <w:r>
        <w:t> </w:t>
      </w:r>
      <w:r w:rsidRPr="00D74739">
        <w:t>údaje</w:t>
      </w:r>
      <w:r>
        <w:t>, týkajúce sa predmetného dodania, podľa</w:t>
      </w:r>
      <w:r w:rsidRPr="00D74739">
        <w:t xml:space="preserve"> § 74 ods. 1 písm. c) až k), m), n) a § 68d ods. 4 zákona o DPH, </w:t>
      </w:r>
      <w:r w:rsidRPr="00166658">
        <w:rPr>
          <w:color w:val="000000" w:themeColor="text1"/>
        </w:rPr>
        <w:t xml:space="preserve">s výnimkou údajov podľa § 74 ods. 1 písm. h) a i), ak je </w:t>
      </w:r>
      <w:r>
        <w:rPr>
          <w:color w:val="000000" w:themeColor="text1"/>
        </w:rPr>
        <w:t xml:space="preserve">tento odberateľ </w:t>
      </w:r>
      <w:r w:rsidRPr="00166658">
        <w:rPr>
          <w:color w:val="000000" w:themeColor="text1"/>
        </w:rPr>
        <w:t>osobou povinnou platiť daň podľa § 69 ods. 10 až</w:t>
      </w:r>
      <w:r w:rsidRPr="003E0CF9">
        <w:rPr>
          <w:color w:val="000000" w:themeColor="text1"/>
        </w:rPr>
        <w:t xml:space="preserve"> 12</w:t>
      </w:r>
      <w:r w:rsidRPr="003E0CF9">
        <w:t>.</w:t>
      </w:r>
      <w:r w:rsidRPr="00B5492C">
        <w:t xml:space="preserve"> </w:t>
      </w:r>
      <w:r>
        <w:t>O</w:t>
      </w:r>
      <w:r w:rsidRPr="00D74739">
        <w:t>dberateľ oznamuje údaje z dodania tovaru alebo služby do piatich dní od prijatia elektronickej faktúry.</w:t>
      </w:r>
    </w:p>
    <w:p w14:paraId="27859247" w14:textId="77777777" w:rsidR="00746D3C" w:rsidRDefault="00746D3C" w:rsidP="00746D3C">
      <w:pPr>
        <w:jc w:val="both"/>
      </w:pPr>
    </w:p>
    <w:p w14:paraId="4A49865C" w14:textId="77777777" w:rsidR="00746D3C" w:rsidRPr="00D74739" w:rsidRDefault="00746D3C" w:rsidP="00746D3C">
      <w:pPr>
        <w:jc w:val="both"/>
      </w:pPr>
      <w:r>
        <w:t>V odseku 11 sa navrhuje spôsob oznamovania údajov. Údaje podľa odseku 9 a 10 sa oznamujú prostredníctvom doručovacej služby. Ak sa na zaslanie elektronickej faktúry použije doručovacia služba, povinnosť oznámiť údaje sa považuje za splnenú odovzdaním elektronickej faktúry doručovacej službe.</w:t>
      </w:r>
    </w:p>
    <w:p w14:paraId="01B445BA" w14:textId="77777777" w:rsidR="00746D3C" w:rsidRPr="00D74739" w:rsidRDefault="00746D3C" w:rsidP="00746D3C">
      <w:pPr>
        <w:jc w:val="both"/>
      </w:pPr>
    </w:p>
    <w:p w14:paraId="7BE39CED" w14:textId="77777777" w:rsidR="00746D3C" w:rsidRPr="00D74739" w:rsidRDefault="00746D3C" w:rsidP="00746D3C">
      <w:pPr>
        <w:jc w:val="both"/>
      </w:pPr>
      <w:r w:rsidRPr="00D74739">
        <w:t xml:space="preserve">V odsekoch </w:t>
      </w:r>
      <w:r>
        <w:t>12</w:t>
      </w:r>
      <w:r w:rsidRPr="00D74739">
        <w:t xml:space="preserve"> a </w:t>
      </w:r>
      <w:r>
        <w:t>13</w:t>
      </w:r>
      <w:r w:rsidRPr="00D74739">
        <w:t xml:space="preserve"> sa navrhuje uložiť sankcie za porušenie oznamovacej povinnosti. Daňový úrad uloží pokutu do výšky 10 000 eur dodávateľovi alebo odberateľovi, ktorý neoznámil žiadne údaje z dodania tovaru alebo služby, alebo ich oznámil po lehote uvedenej v odsekoch </w:t>
      </w:r>
      <w:r>
        <w:t>9</w:t>
      </w:r>
      <w:r w:rsidRPr="00D74739">
        <w:t xml:space="preserve"> a </w:t>
      </w:r>
      <w:r>
        <w:t>10</w:t>
      </w:r>
      <w:r w:rsidRPr="00D74739">
        <w:t>, oznámil iba niektoré údaje, prípadne oznámil nesprávne údaje. Pri opakovanom porušení povinností podľa predchádzajúcej vety môže daňový úrad uložiť pokutu až do výšky 100 000 eur.</w:t>
      </w:r>
    </w:p>
    <w:p w14:paraId="66081E51" w14:textId="77777777" w:rsidR="00746D3C" w:rsidRDefault="00746D3C" w:rsidP="00746D3C">
      <w:pPr>
        <w:pStyle w:val="Normlnywebov"/>
        <w:jc w:val="both"/>
        <w:rPr>
          <w:highlight w:val="yellow"/>
        </w:rPr>
      </w:pPr>
    </w:p>
    <w:p w14:paraId="608001AF" w14:textId="77777777" w:rsidR="00746D3C" w:rsidRPr="00D74739" w:rsidRDefault="00746D3C" w:rsidP="00746D3C">
      <w:pPr>
        <w:pStyle w:val="Normlnywebov"/>
        <w:jc w:val="both"/>
      </w:pPr>
      <w:r w:rsidRPr="00576115">
        <w:t xml:space="preserve">V odseku 14 sa uvádza, že v prípade, ak sú údaje oznámené dodávateľom alebo odberateľom nesprávne, a ide o zrejmý omyl, pričom nesprávne údaje dodávateľ alebo odberateľ následne opraví, daňový úrad pokutu podľa odsekov 12 a 13 neuloží.  Takisto daňový úrad pokutu neuloží, ak </w:t>
      </w:r>
      <w:r>
        <w:t xml:space="preserve">dodávateľ alebo odberateľ </w:t>
      </w:r>
      <w:r w:rsidRPr="00576115">
        <w:t>neoznámil</w:t>
      </w:r>
      <w:r>
        <w:t>i</w:t>
      </w:r>
      <w:r w:rsidRPr="00576115">
        <w:t xml:space="preserve"> údaje v ustanovenej lehote z dôvodu preukázanej technickej poruchy, ako napríklad plošný výpadok internetovej siete, na strane certifikovaného poskytovateľa doručovacej služby, za podmienky, že bezodkladne po odstránení tejto poruchy budú údaje oznámené.</w:t>
      </w:r>
    </w:p>
    <w:p w14:paraId="29CD84DF" w14:textId="77777777" w:rsidR="00746D3C" w:rsidRDefault="00746D3C" w:rsidP="00746D3C">
      <w:pPr>
        <w:jc w:val="both"/>
      </w:pPr>
    </w:p>
    <w:p w14:paraId="4C6F20E0" w14:textId="77777777" w:rsidR="00746D3C" w:rsidRDefault="00746D3C" w:rsidP="00746D3C">
      <w:pPr>
        <w:jc w:val="both"/>
      </w:pPr>
      <w:r>
        <w:t>V odseku 15 sa uvádza, že f</w:t>
      </w:r>
      <w:r w:rsidRPr="00D74739">
        <w:t xml:space="preserve">aktúry uchovávajú </w:t>
      </w:r>
      <w:r>
        <w:t xml:space="preserve">platitelia dane (v postavení dodávateľa aj odberateľa) </w:t>
      </w:r>
      <w:r w:rsidRPr="00D74739">
        <w:t>po dobu 10 rokov od skončenia roka, ktorého sa dodanie týka.</w:t>
      </w:r>
    </w:p>
    <w:p w14:paraId="5E4CFE40" w14:textId="77777777" w:rsidR="00746D3C" w:rsidRDefault="00746D3C" w:rsidP="00746D3C">
      <w:pPr>
        <w:jc w:val="both"/>
      </w:pPr>
    </w:p>
    <w:p w14:paraId="4AC2C506" w14:textId="77777777" w:rsidR="00746D3C" w:rsidRDefault="00746D3C" w:rsidP="00746D3C">
      <w:pPr>
        <w:jc w:val="both"/>
      </w:pPr>
      <w:r>
        <w:t>V odseku 16 sa ustanovuje, že ak je platiteľom dane skupina, povinnosť oznamovať údaje z dodania tovaru alebo služby, ku ktorému je vyhotovená elektronická faktúra, majú jednotliví členovia skupiny v rozsahu nimi uskutočnených a prijatých zdaniteľných plnení.</w:t>
      </w:r>
    </w:p>
    <w:p w14:paraId="2D0D66F9" w14:textId="77777777" w:rsidR="00746D3C" w:rsidRDefault="00746D3C" w:rsidP="00746D3C">
      <w:pPr>
        <w:jc w:val="both"/>
      </w:pPr>
    </w:p>
    <w:p w14:paraId="76343898" w14:textId="77777777" w:rsidR="00746D3C" w:rsidRDefault="00746D3C" w:rsidP="00746D3C">
      <w:pPr>
        <w:jc w:val="both"/>
      </w:pPr>
      <w:r w:rsidRPr="00D74739">
        <w:t>V odsek</w:t>
      </w:r>
      <w:r>
        <w:t>u</w:t>
      </w:r>
      <w:r w:rsidRPr="00D74739">
        <w:t xml:space="preserve"> 17 sa navrhuje upraviť povinnos</w:t>
      </w:r>
      <w:r>
        <w:t>ť</w:t>
      </w:r>
      <w:r w:rsidRPr="00D74739">
        <w:t xml:space="preserve"> dodávateľa a odberateľa súvisiac</w:t>
      </w:r>
      <w:r>
        <w:t>u</w:t>
      </w:r>
      <w:r w:rsidRPr="00D74739">
        <w:t xml:space="preserve"> s podávaním kontrolného výkazu podľa § 78a </w:t>
      </w:r>
      <w:r>
        <w:t>za zdaňovacie obdobie, ktoré sa končí 30. júna 2030, na ktoré sa bude vzťahovať znenie § 78a, a povinnosť dodávateľa súvisiacu s podávaním súhrnného výkazu za obdobie, ktoré sa končí 30. júna 2030, na ktoré sa bude vzťahovať § 80 zákona o DPH v znení účinnom do 30. júna 2030.</w:t>
      </w:r>
      <w:r w:rsidRPr="00D74739">
        <w:t xml:space="preserve"> </w:t>
      </w:r>
    </w:p>
    <w:p w14:paraId="4C6C0CC3" w14:textId="77777777" w:rsidR="00746D3C" w:rsidRPr="00D74739" w:rsidRDefault="00746D3C" w:rsidP="00746D3C">
      <w:pPr>
        <w:jc w:val="both"/>
      </w:pPr>
    </w:p>
    <w:p w14:paraId="68328442" w14:textId="77777777" w:rsidR="00746D3C" w:rsidRDefault="00746D3C" w:rsidP="00746D3C">
      <w:pPr>
        <w:jc w:val="both"/>
      </w:pPr>
      <w:r>
        <w:lastRenderedPageBreak/>
        <w:t>V odsekoch 18 a 19 sa upravujú vybrané aspekty ohľadom certifikácie poskytovateľov doručovacej služby. V roku 2026</w:t>
      </w:r>
      <w:r w:rsidRPr="001135E3">
        <w:t xml:space="preserve"> </w:t>
      </w:r>
      <w:r>
        <w:t>sa nebude vyžadovať na zápis osoby ako certifikovaného poskytovateľa doručovacej služby do evidencie vedenej finančným riaditeľstvom splnenie podmienky podľa § 76a ods. 2 písm. e) v rozsahu podľa odsekov 9 až 11, pričom ak splnenie tejto podmienky v rozsahu odsekov 9 až 11 osoba nepreukáže do 15. decembra 2026, finančné riaditeľstvo ju 1. januára 2027 vymaže z evidencie podľa § 76a ods. 5. Do 30. júna 2030</w:t>
      </w:r>
      <w:r w:rsidRPr="001135E3">
        <w:t xml:space="preserve"> </w:t>
      </w:r>
      <w:r>
        <w:t xml:space="preserve">sa nebude vyžadovať na zápis do evidencie vedenej finančným riaditeľstvom splnenie podmienky podľa § 76a ods. 2 písm. e) v rozsahu podľa § 80 a § 80a zákona o DPH v znení účinnom od 1. júla 2030. Ak však splnenie podmienky podľa § 76a ods. 2 písm. e) v rozsahu § 80 a § 80a v znení účinnom od 1. júla 2030 nepreukáže táto osoba do 15. júna 2030, finančné riaditeľstvo túto osobu z evidencie podľa § 76a ods. 5 dňa 1. júla 2030 vymaže. </w:t>
      </w:r>
    </w:p>
    <w:p w14:paraId="7508B5A2" w14:textId="77777777" w:rsidR="00746D3C" w:rsidRDefault="00746D3C" w:rsidP="00746D3C">
      <w:pPr>
        <w:jc w:val="both"/>
      </w:pPr>
    </w:p>
    <w:p w14:paraId="6A2D0A00" w14:textId="77777777" w:rsidR="00746D3C" w:rsidRDefault="00746D3C" w:rsidP="00746D3C">
      <w:pPr>
        <w:jc w:val="both"/>
      </w:pPr>
      <w:r>
        <w:t>V navrhovanom odseku 20 sa z dôvodu právnej istoty spresňuje, že povinnosť certifikovaného poskytovateľa doručovacej služby preukázať automatizované plnenie informačných povinností podľa § 80 nesúvisí s povinnosťou platiteľa dane alebo dotknutej zdaniteľnej osoby podať súhrnný výkaz, keďže tento inštitút do 30. júna 2030 ostáva zachovaný.</w:t>
      </w:r>
    </w:p>
    <w:p w14:paraId="5CE58F78" w14:textId="77777777" w:rsidR="00746D3C" w:rsidRDefault="00746D3C" w:rsidP="00746D3C">
      <w:pPr>
        <w:jc w:val="both"/>
      </w:pPr>
    </w:p>
    <w:p w14:paraId="6DBDD6E4" w14:textId="77777777" w:rsidR="00746D3C" w:rsidRDefault="00746D3C" w:rsidP="00746D3C">
      <w:pPr>
        <w:jc w:val="both"/>
      </w:pPr>
    </w:p>
    <w:p w14:paraId="26E9E30A" w14:textId="77777777" w:rsidR="00746D3C" w:rsidRPr="00DA2D4F" w:rsidRDefault="00746D3C" w:rsidP="00746D3C">
      <w:pPr>
        <w:spacing w:line="276" w:lineRule="auto"/>
        <w:contextualSpacing/>
        <w:jc w:val="both"/>
        <w:rPr>
          <w:b/>
        </w:rPr>
      </w:pPr>
      <w:r w:rsidRPr="00DA2D4F">
        <w:rPr>
          <w:b/>
        </w:rPr>
        <w:t>K Čl. I</w:t>
      </w:r>
      <w:r>
        <w:rPr>
          <w:b/>
        </w:rPr>
        <w:t> </w:t>
      </w:r>
      <w:r w:rsidRPr="00DA2D4F">
        <w:rPr>
          <w:b/>
        </w:rPr>
        <w:t>bod</w:t>
      </w:r>
      <w:r>
        <w:rPr>
          <w:b/>
        </w:rPr>
        <w:t>u 60</w:t>
      </w:r>
      <w:r w:rsidRPr="00DA2D4F">
        <w:rPr>
          <w:b/>
        </w:rPr>
        <w:t xml:space="preserve"> (príloha č. 6)</w:t>
      </w:r>
    </w:p>
    <w:p w14:paraId="75B7B3FF" w14:textId="77777777" w:rsidR="00746D3C" w:rsidRDefault="00746D3C" w:rsidP="00746D3C">
      <w:pPr>
        <w:jc w:val="both"/>
      </w:pPr>
      <w:r w:rsidRPr="00DA2D4F">
        <w:rPr>
          <w:color w:val="000000"/>
        </w:rPr>
        <w:t>Do transpozičnej prílohy sa navrhuje doplniť smernic</w:t>
      </w:r>
      <w:r>
        <w:rPr>
          <w:color w:val="000000"/>
        </w:rPr>
        <w:t>u (EÚ) 2025/516</w:t>
      </w:r>
      <w:r w:rsidRPr="00DA2D4F">
        <w:rPr>
          <w:color w:val="000000"/>
        </w:rPr>
        <w:t xml:space="preserve">, </w:t>
      </w:r>
      <w:r>
        <w:rPr>
          <w:color w:val="000000"/>
        </w:rPr>
        <w:t>ktorej</w:t>
      </w:r>
      <w:r w:rsidRPr="00DA2D4F">
        <w:rPr>
          <w:color w:val="000000"/>
        </w:rPr>
        <w:t xml:space="preserve"> transpozícia je súčasťou návrhu zákona o DPH.</w:t>
      </w:r>
    </w:p>
    <w:p w14:paraId="238134C6" w14:textId="77777777" w:rsidR="00746D3C" w:rsidRDefault="00746D3C" w:rsidP="00746D3C">
      <w:pPr>
        <w:pStyle w:val="Normlnywebov"/>
        <w:jc w:val="both"/>
      </w:pPr>
    </w:p>
    <w:p w14:paraId="2ED26294" w14:textId="77777777" w:rsidR="00746D3C" w:rsidRPr="00755325" w:rsidRDefault="00746D3C" w:rsidP="00746D3C">
      <w:pPr>
        <w:pStyle w:val="Normlnywebov"/>
        <w:jc w:val="both"/>
        <w:rPr>
          <w:b/>
          <w:bCs/>
        </w:rPr>
      </w:pPr>
      <w:r w:rsidRPr="2FFFD7D5">
        <w:rPr>
          <w:b/>
          <w:bCs/>
        </w:rPr>
        <w:t>K Čl. II</w:t>
      </w:r>
      <w:r>
        <w:rPr>
          <w:b/>
          <w:bCs/>
        </w:rPr>
        <w:t xml:space="preserve"> bodom 1 (§ 36 ods. 1) </w:t>
      </w:r>
    </w:p>
    <w:p w14:paraId="581C88A7" w14:textId="77777777" w:rsidR="00746D3C" w:rsidRDefault="00746D3C" w:rsidP="00746D3C">
      <w:pPr>
        <w:pStyle w:val="Normlnywebov"/>
        <w:jc w:val="both"/>
      </w:pPr>
      <w:r>
        <w:t xml:space="preserve">Navrhuje sa úprava vyhľadávacej činnosti tak, aby sa zabezpečila </w:t>
      </w:r>
      <w:r w:rsidRPr="005D1C63">
        <w:t>väčš</w:t>
      </w:r>
      <w:r>
        <w:t>ia</w:t>
      </w:r>
      <w:r w:rsidRPr="005D1C63">
        <w:t xml:space="preserve"> </w:t>
      </w:r>
      <w:r>
        <w:t>efektivita správy daní.</w:t>
      </w:r>
    </w:p>
    <w:p w14:paraId="59B3540B" w14:textId="77777777" w:rsidR="00746D3C" w:rsidRDefault="00746D3C" w:rsidP="00746D3C">
      <w:pPr>
        <w:pStyle w:val="Normlnywebov"/>
        <w:jc w:val="both"/>
      </w:pPr>
    </w:p>
    <w:p w14:paraId="4FAC20FB" w14:textId="77777777" w:rsidR="00746D3C" w:rsidRDefault="00746D3C" w:rsidP="00746D3C">
      <w:pPr>
        <w:pStyle w:val="Normlnywebov"/>
        <w:jc w:val="both"/>
        <w:rPr>
          <w:b/>
          <w:bCs/>
        </w:rPr>
      </w:pPr>
      <w:r w:rsidRPr="2FFFD7D5">
        <w:rPr>
          <w:b/>
          <w:bCs/>
        </w:rPr>
        <w:t>K Čl. II</w:t>
      </w:r>
      <w:r w:rsidRPr="00C0535D">
        <w:rPr>
          <w:b/>
          <w:bCs/>
        </w:rPr>
        <w:t xml:space="preserve"> bod</w:t>
      </w:r>
      <w:r>
        <w:rPr>
          <w:b/>
          <w:bCs/>
        </w:rPr>
        <w:t>u 2</w:t>
      </w:r>
      <w:r w:rsidRPr="00C0535D">
        <w:rPr>
          <w:b/>
          <w:bCs/>
        </w:rPr>
        <w:t xml:space="preserve"> </w:t>
      </w:r>
      <w:r>
        <w:rPr>
          <w:b/>
          <w:bCs/>
        </w:rPr>
        <w:t>/§ 50 ods. 1 písm. c)/</w:t>
      </w:r>
    </w:p>
    <w:p w14:paraId="197A281C" w14:textId="77777777" w:rsidR="00746D3C" w:rsidRDefault="00746D3C" w:rsidP="00746D3C">
      <w:pPr>
        <w:pStyle w:val="Normlnywebov"/>
        <w:jc w:val="both"/>
        <w:rPr>
          <w:b/>
          <w:bCs/>
        </w:rPr>
      </w:pPr>
      <w:r w:rsidRPr="00427D9C">
        <w:t>Z dôvodu zabezpečenia úhrady dane sa navrhuje, aby bol správca dane oprávnený uložiť daňovému subjektu, u ktorého existuje odôvodnená obava, že nesplatná daň alebo nevyrubená daň nebude v čase jej splatnosti uhradená, resp. bude nevymožiteľná, aby strpel nevrátenie preplatku alebo nadmerného odpočtu.</w:t>
      </w:r>
      <w:r>
        <w:t xml:space="preserve"> </w:t>
      </w:r>
    </w:p>
    <w:p w14:paraId="7E61755D" w14:textId="77777777" w:rsidR="00746D3C" w:rsidRDefault="00746D3C" w:rsidP="00746D3C">
      <w:pPr>
        <w:pStyle w:val="Normlnywebov"/>
        <w:jc w:val="both"/>
        <w:rPr>
          <w:b/>
          <w:bCs/>
        </w:rPr>
      </w:pPr>
    </w:p>
    <w:p w14:paraId="7BE05DA7" w14:textId="77777777" w:rsidR="00746D3C" w:rsidRPr="00F71466" w:rsidRDefault="00746D3C" w:rsidP="00746D3C">
      <w:pPr>
        <w:pStyle w:val="Normlnywebov"/>
        <w:jc w:val="both"/>
        <w:rPr>
          <w:b/>
          <w:bCs/>
        </w:rPr>
      </w:pPr>
      <w:r w:rsidRPr="00F71466">
        <w:rPr>
          <w:b/>
          <w:bCs/>
        </w:rPr>
        <w:t xml:space="preserve">K Čl. II bodom </w:t>
      </w:r>
      <w:r>
        <w:rPr>
          <w:b/>
          <w:bCs/>
        </w:rPr>
        <w:t>3</w:t>
      </w:r>
      <w:r w:rsidRPr="00F71466">
        <w:rPr>
          <w:b/>
          <w:bCs/>
        </w:rPr>
        <w:t xml:space="preserve"> a </w:t>
      </w:r>
      <w:r>
        <w:rPr>
          <w:b/>
          <w:bCs/>
        </w:rPr>
        <w:t>4</w:t>
      </w:r>
      <w:r w:rsidRPr="00F71466">
        <w:rPr>
          <w:b/>
          <w:bCs/>
        </w:rPr>
        <w:t xml:space="preserve"> (</w:t>
      </w:r>
      <w:r>
        <w:rPr>
          <w:b/>
          <w:bCs/>
        </w:rPr>
        <w:t xml:space="preserve">§ 52 a </w:t>
      </w:r>
      <w:r w:rsidRPr="00F71466">
        <w:rPr>
          <w:b/>
          <w:bCs/>
        </w:rPr>
        <w:t>§ 91 ods. 7)</w:t>
      </w:r>
    </w:p>
    <w:p w14:paraId="6975CD05" w14:textId="77777777" w:rsidR="00746D3C" w:rsidRDefault="00746D3C" w:rsidP="00746D3C">
      <w:pPr>
        <w:pStyle w:val="Normlnywebov"/>
        <w:jc w:val="both"/>
      </w:pPr>
      <w:r>
        <w:t>Ide o legislatívno-technické úpravy.</w:t>
      </w:r>
    </w:p>
    <w:p w14:paraId="674734AC" w14:textId="77777777" w:rsidR="00746D3C" w:rsidRDefault="00746D3C" w:rsidP="00746D3C">
      <w:pPr>
        <w:pStyle w:val="Normlnywebov"/>
        <w:jc w:val="both"/>
        <w:rPr>
          <w:b/>
          <w:bCs/>
        </w:rPr>
      </w:pPr>
    </w:p>
    <w:p w14:paraId="31BC8DFE" w14:textId="77777777" w:rsidR="00746D3C" w:rsidRDefault="00746D3C" w:rsidP="00746D3C">
      <w:pPr>
        <w:pStyle w:val="Normlnywebov"/>
        <w:jc w:val="both"/>
        <w:rPr>
          <w:b/>
          <w:bCs/>
        </w:rPr>
      </w:pPr>
      <w:r>
        <w:rPr>
          <w:b/>
          <w:bCs/>
        </w:rPr>
        <w:t>K Čl. II bodu 5 (§ 79 ods. 2)</w:t>
      </w:r>
    </w:p>
    <w:p w14:paraId="29A00525" w14:textId="77777777" w:rsidR="00746D3C" w:rsidRDefault="00746D3C" w:rsidP="00746D3C">
      <w:pPr>
        <w:pStyle w:val="Normlnywebov"/>
        <w:jc w:val="both"/>
      </w:pPr>
      <w:r>
        <w:t>Ide o legislatívnu úpravu ustanovenia v nadväznosti na nové ustanovenie § 50 ods. 1 písm. c).</w:t>
      </w:r>
    </w:p>
    <w:p w14:paraId="7AF214EF" w14:textId="77777777" w:rsidR="00746D3C" w:rsidRPr="00285610" w:rsidRDefault="00746D3C" w:rsidP="00746D3C">
      <w:pPr>
        <w:pStyle w:val="Normlnywebov"/>
        <w:jc w:val="both"/>
      </w:pPr>
    </w:p>
    <w:p w14:paraId="341A1361" w14:textId="77777777" w:rsidR="00746D3C" w:rsidRDefault="00746D3C" w:rsidP="00746D3C">
      <w:pPr>
        <w:pStyle w:val="Normlnywebov"/>
        <w:jc w:val="both"/>
        <w:rPr>
          <w:b/>
          <w:bCs/>
        </w:rPr>
      </w:pPr>
      <w:r w:rsidRPr="2FFFD7D5">
        <w:rPr>
          <w:b/>
          <w:bCs/>
        </w:rPr>
        <w:t>K Čl. II</w:t>
      </w:r>
      <w:r w:rsidRPr="00C0535D">
        <w:rPr>
          <w:b/>
          <w:bCs/>
        </w:rPr>
        <w:t xml:space="preserve"> bod</w:t>
      </w:r>
      <w:r>
        <w:rPr>
          <w:b/>
          <w:bCs/>
        </w:rPr>
        <w:t>om</w:t>
      </w:r>
      <w:r w:rsidRPr="00C0535D">
        <w:rPr>
          <w:b/>
          <w:bCs/>
        </w:rPr>
        <w:t xml:space="preserve"> </w:t>
      </w:r>
      <w:r>
        <w:rPr>
          <w:b/>
          <w:bCs/>
        </w:rPr>
        <w:t>6 až 9</w:t>
      </w:r>
      <w:r w:rsidRPr="00C0535D">
        <w:rPr>
          <w:b/>
          <w:bCs/>
        </w:rPr>
        <w:t xml:space="preserve"> </w:t>
      </w:r>
      <w:r>
        <w:rPr>
          <w:b/>
          <w:bCs/>
        </w:rPr>
        <w:t>(§§ 81, 82, 88 ods. 3 a 91)</w:t>
      </w:r>
    </w:p>
    <w:p w14:paraId="67664222" w14:textId="77777777" w:rsidR="00746D3C" w:rsidRPr="005D1C63" w:rsidRDefault="00746D3C" w:rsidP="00746D3C">
      <w:pPr>
        <w:jc w:val="both"/>
      </w:pPr>
      <w:r>
        <w:t xml:space="preserve">Z dôvodu zabezpečenia </w:t>
      </w:r>
      <w:r w:rsidRPr="005D1C63">
        <w:t>flexibilit</w:t>
      </w:r>
      <w:r>
        <w:t>y</w:t>
      </w:r>
      <w:r w:rsidRPr="005D1C63">
        <w:t xml:space="preserve"> a operatívnos</w:t>
      </w:r>
      <w:r>
        <w:t>ti</w:t>
      </w:r>
      <w:r w:rsidRPr="005D1C63">
        <w:t xml:space="preserve"> výkonu daňovej exekúcie</w:t>
      </w:r>
      <w:r>
        <w:t xml:space="preserve">, a to najmä </w:t>
      </w:r>
      <w:r w:rsidRPr="005D1C63">
        <w:t>efektívn</w:t>
      </w:r>
      <w:r>
        <w:t xml:space="preserve">ym </w:t>
      </w:r>
      <w:r w:rsidRPr="005D1C63">
        <w:t>prerozdelen</w:t>
      </w:r>
      <w:r>
        <w:t>ím</w:t>
      </w:r>
      <w:r w:rsidRPr="005D1C63">
        <w:t xml:space="preserve"> </w:t>
      </w:r>
      <w:r>
        <w:t>na jednotlivých exekútorov sa navrhuje, aby daňovú exekúciu mohol vykonávať správca dane aj u daňového dlžníka, ktorému nie je príslušný. O</w:t>
      </w:r>
      <w:r w:rsidRPr="005D1C63">
        <w:t xml:space="preserve">čakávaným prínosom je zvýšenie celkovej efektivity vymáhania, a tým zvýšenie príjmov do štátneho rozpočtu. </w:t>
      </w:r>
    </w:p>
    <w:p w14:paraId="590400A5" w14:textId="77777777" w:rsidR="00746D3C" w:rsidRPr="008E0339" w:rsidRDefault="00746D3C" w:rsidP="00746D3C">
      <w:pPr>
        <w:pStyle w:val="Normlnywebov"/>
        <w:jc w:val="both"/>
      </w:pPr>
      <w:r w:rsidRPr="008E0339">
        <w:t xml:space="preserve">Rovnako sa navrhuje úprava ustanovenia o zriadení </w:t>
      </w:r>
      <w:r>
        <w:t xml:space="preserve">a zrušení </w:t>
      </w:r>
      <w:r w:rsidRPr="008E0339">
        <w:t xml:space="preserve">záložného práva, ktoré  vo väčšine prípadoch predchádza samotnému začatiu a vedeniu daňového exekučného konania, sledujúc zámer zabezpečiť podmienky pre efektívne vedenie daňového exekučného konania, vrátane čo najvýhodnejšieho postavenia správcu dane ako záložného veriteľa s dopadom na mieru uspokojenia z výťažku daňovej exekúcie.  </w:t>
      </w:r>
    </w:p>
    <w:p w14:paraId="0999A22C" w14:textId="77777777" w:rsidR="00746D3C" w:rsidRDefault="00746D3C" w:rsidP="00746D3C">
      <w:pPr>
        <w:pStyle w:val="Normlnywebov"/>
        <w:jc w:val="both"/>
        <w:rPr>
          <w:b/>
          <w:bCs/>
        </w:rPr>
      </w:pPr>
    </w:p>
    <w:p w14:paraId="65EF187F" w14:textId="77777777" w:rsidR="00746D3C" w:rsidRDefault="00746D3C" w:rsidP="00746D3C">
      <w:pPr>
        <w:pStyle w:val="Normlnywebov"/>
        <w:jc w:val="both"/>
        <w:rPr>
          <w:b/>
          <w:bCs/>
        </w:rPr>
      </w:pPr>
      <w:r>
        <w:rPr>
          <w:b/>
          <w:bCs/>
        </w:rPr>
        <w:t>K Čl. III bodu 1 (§ 20 ods. 14)</w:t>
      </w:r>
    </w:p>
    <w:p w14:paraId="208BA7EA" w14:textId="77777777" w:rsidR="00746D3C" w:rsidRPr="00D826C7" w:rsidRDefault="00746D3C" w:rsidP="00746D3C">
      <w:pPr>
        <w:pStyle w:val="Normlnywebov"/>
        <w:jc w:val="both"/>
      </w:pPr>
      <w:r w:rsidRPr="00D826C7">
        <w:t xml:space="preserve">Účtovná jednotka, ktorá je povinná zostaviť súčasne výročnú správu, ako aj výkaz podľa osobitného predpisu, nebude povinná vo výročnej správe uvádzať údaje, ktoré sa uvádzajú vo </w:t>
      </w:r>
      <w:r w:rsidRPr="00D826C7">
        <w:lastRenderedPageBreak/>
        <w:t>výkaze. Ide o prehľad výnosov (príjmov) v členení podľa zdrojov a prehľad nákladov (výdavkov) v členení podľa jednotlivých druhov činností, účelu alebo projektov, s osobitným vyčíslením nákladov (výdavkov) na správu.</w:t>
      </w:r>
    </w:p>
    <w:p w14:paraId="28B58570" w14:textId="77777777" w:rsidR="00746D3C" w:rsidRPr="00D826C7" w:rsidRDefault="00746D3C" w:rsidP="00746D3C">
      <w:pPr>
        <w:pStyle w:val="Normlnywebov"/>
        <w:jc w:val="both"/>
        <w:rPr>
          <w:b/>
          <w:bCs/>
        </w:rPr>
      </w:pPr>
    </w:p>
    <w:p w14:paraId="56CCF3D3" w14:textId="77777777" w:rsidR="00746D3C" w:rsidRPr="00D826C7" w:rsidRDefault="00746D3C" w:rsidP="00746D3C">
      <w:pPr>
        <w:jc w:val="both"/>
        <w:rPr>
          <w:b/>
          <w:bCs/>
        </w:rPr>
      </w:pPr>
      <w:r w:rsidRPr="00D826C7">
        <w:rPr>
          <w:b/>
          <w:bCs/>
        </w:rPr>
        <w:t>K Čl. III bodu 2 /§ 23 ods. 2 písm. p)/</w:t>
      </w:r>
    </w:p>
    <w:p w14:paraId="0FB2D333" w14:textId="77777777" w:rsidR="00746D3C" w:rsidRPr="00D826C7" w:rsidRDefault="00746D3C" w:rsidP="00746D3C">
      <w:pPr>
        <w:jc w:val="both"/>
      </w:pPr>
      <w:r w:rsidRPr="00D826C7">
        <w:t>Zosúlaďuje sa názov výkazu vzhľadom na nadväzujúce ustanovenia zákonov § 6b zákona č. 116/1985 Zb. o podmienkach činnosti organizácií s medzinárodným prvkom v Československej socialistickej republike v znení zákona č. 109/2025 Z. z., § 17b zákona č. 83/1990 Zb. o združovaní občanov v znení zákona č. 109/2025 Z. z., § 25a zákona č. 147/1997 Z. z. v znení zákona č. 109/2025 Z. z., § 34a zákona č. 213/1997 Z. z. v znení neskorších predpisov a § 35a zákona č. 34/2002 Z. z. v znení zákona č. 109/2025 Z. z.</w:t>
      </w:r>
    </w:p>
    <w:p w14:paraId="5A5D146E" w14:textId="77777777" w:rsidR="00746D3C" w:rsidRPr="00D826C7" w:rsidRDefault="00746D3C" w:rsidP="00746D3C">
      <w:pPr>
        <w:jc w:val="both"/>
      </w:pPr>
    </w:p>
    <w:p w14:paraId="3FE5B60C" w14:textId="77777777" w:rsidR="00746D3C" w:rsidRPr="00D826C7" w:rsidRDefault="00746D3C" w:rsidP="00746D3C">
      <w:pPr>
        <w:jc w:val="both"/>
        <w:rPr>
          <w:b/>
          <w:bCs/>
        </w:rPr>
      </w:pPr>
      <w:r w:rsidRPr="00D826C7">
        <w:rPr>
          <w:b/>
          <w:bCs/>
        </w:rPr>
        <w:t>K Čl. III bodu 3 (§ 23d ods. 7 a 8)</w:t>
      </w:r>
    </w:p>
    <w:p w14:paraId="6A85CE63" w14:textId="77777777" w:rsidR="00746D3C" w:rsidRPr="00D826C7" w:rsidRDefault="00746D3C" w:rsidP="00746D3C">
      <w:pPr>
        <w:jc w:val="both"/>
      </w:pPr>
      <w:r w:rsidRPr="00D826C7">
        <w:t>V súvislosti s transpozíciou smernice Komisie (EÚ) 2025/1442</w:t>
      </w:r>
      <w:r w:rsidRPr="00D826C7">
        <w:rPr>
          <w:b/>
          <w:bCs/>
        </w:rPr>
        <w:t xml:space="preserve"> </w:t>
      </w:r>
      <w:r w:rsidRPr="00D826C7">
        <w:t>z 18. júla 2025, ktorou sa mení smernica 2006/111/ES, pokiaľ ide o vykazovacie povinnosti (</w:t>
      </w:r>
      <w:r w:rsidRPr="00D826C7">
        <w:rPr>
          <w:color w:val="000000"/>
        </w:rPr>
        <w:t>Ú. v. EÚ L, 2025/1442, 21.7.2025)</w:t>
      </w:r>
      <w:r w:rsidRPr="00D826C7">
        <w:t xml:space="preserve"> (ďalej len „smernica 2025/1442“) sa vypúšťa povinnosť predkladania výročnej správy a záznamov z valných zhromaždení tých účtovných jednotiek, ktorých činnosť je zaradená do kategórie priemyselnej výroby a ktorých čistý obrat za bezprostredne predchádzajúce účtovné obdobie bol väčší ako 250 000 000 eur MF SR, ktoré by ich následne malo zaslať Európskej Komisii.</w:t>
      </w:r>
    </w:p>
    <w:p w14:paraId="2A4B989D" w14:textId="77777777" w:rsidR="00746D3C" w:rsidRPr="00D826C7" w:rsidRDefault="00746D3C" w:rsidP="00746D3C">
      <w:pPr>
        <w:jc w:val="both"/>
        <w:rPr>
          <w:b/>
          <w:bCs/>
        </w:rPr>
      </w:pPr>
    </w:p>
    <w:p w14:paraId="312A810C" w14:textId="77777777" w:rsidR="00746D3C" w:rsidRPr="00D826C7" w:rsidRDefault="00746D3C" w:rsidP="00746D3C">
      <w:pPr>
        <w:jc w:val="both"/>
        <w:rPr>
          <w:b/>
          <w:bCs/>
        </w:rPr>
      </w:pPr>
      <w:r w:rsidRPr="00D826C7">
        <w:rPr>
          <w:b/>
          <w:bCs/>
        </w:rPr>
        <w:t>K Čl. III bodu 4 /§ 31 ods. 2 písm. b)/</w:t>
      </w:r>
    </w:p>
    <w:p w14:paraId="46A5842C" w14:textId="77777777" w:rsidR="00746D3C" w:rsidRPr="00D826C7" w:rsidRDefault="00746D3C" w:rsidP="00746D3C">
      <w:pPr>
        <w:jc w:val="both"/>
      </w:pPr>
      <w:r w:rsidRPr="00D826C7">
        <w:t>V nadväznosti na súvisiacu úpravu § 71 ods. 1 písm. b) a § 85n ods. 2 zákona o DPH, pri ktorej sa upravuje zavedenie formátu a technických požiadaviek stanovených MF SR, resp. podľa európskej normy pre elektronickú fakturáciu v súlade s vykonávacím rozhodnutím 2017/1870 a STN 16931 a zoznamom jej syntaxí podľa smernice 201</w:t>
      </w:r>
      <w:r>
        <w:t>4</w:t>
      </w:r>
      <w:r w:rsidRPr="00D826C7">
        <w:t xml:space="preserve">/55/EÚ, elektronická faktúra bude vyhotovovaná v harmonizovanom štruktúrovanom elektronickom formáte, ktorý umožňuje jej automatizované a elektronické spracovanie. Súčasne je účtovná jednotka povinná dodržať aj elektronický formát ustanovený napríklad vykonávacím nariadením Komisie (EÚ) 2024/2952 z 29. novembra 2024, ktorým sa stanovuje spoločný vzor a elektronické formáty na podávanie správ na účely uplatňovania smernice Európskeho parlamentu a Rady 2013/34/EÚ, pokiaľ ide o informácie, ktoré sa majú predkladať v správach s informáciami o dani z príjmov (Ú. v. EÚ L, 2024/2952, 2.12.2024) (ďalej len „vykonávacie nariadenie (EÚ) 2024/2952“) alebo delegovaným nariadením Komisie (EÚ) 2019/815 </w:t>
      </w:r>
      <w:r w:rsidRPr="00D826C7">
        <w:rPr>
          <w:color w:val="000000"/>
        </w:rPr>
        <w:t xml:space="preserve">zo 17. decembra 2018, ktorým sa dopĺňa smernica Európskeho parlamentu a Rady (EÚ) 2004/109/ES, pokiaľ ide o regulačné technické predpisy o špecifikácii jednotného elektronického formátu vykazovania (Ú. v. EÚ L 143, 29.5.2019) </w:t>
      </w:r>
      <w:r w:rsidRPr="00D826C7">
        <w:t>v platnom znení (ďalej len „</w:t>
      </w:r>
      <w:r w:rsidRPr="00D826C7">
        <w:rPr>
          <w:color w:val="000000"/>
        </w:rPr>
        <w:t>delegované nariadenie (EÚ) 2019/815 v platnom znení“)</w:t>
      </w:r>
      <w:r w:rsidRPr="00D826C7">
        <w:t xml:space="preserve"> v prípade výročných správ účtovných jednotiek, ktoré majú povinnosť vykazovania informácií o udržateľnosti podľa § 20c alebo § 20g zákona o účtovníctve.</w:t>
      </w:r>
    </w:p>
    <w:p w14:paraId="56CC6B84" w14:textId="77777777" w:rsidR="00746D3C" w:rsidRPr="00D826C7" w:rsidRDefault="00746D3C" w:rsidP="00746D3C">
      <w:pPr>
        <w:jc w:val="both"/>
        <w:rPr>
          <w:b/>
          <w:bCs/>
        </w:rPr>
      </w:pPr>
    </w:p>
    <w:p w14:paraId="7B45977E" w14:textId="77777777" w:rsidR="00746D3C" w:rsidRPr="00D826C7" w:rsidRDefault="00746D3C" w:rsidP="00746D3C">
      <w:pPr>
        <w:jc w:val="both"/>
        <w:rPr>
          <w:b/>
          <w:bCs/>
        </w:rPr>
      </w:pPr>
      <w:r w:rsidRPr="00D826C7">
        <w:rPr>
          <w:b/>
          <w:bCs/>
        </w:rPr>
        <w:t>K Čl. III bodu 5 (§ 31 ods. 7)</w:t>
      </w:r>
    </w:p>
    <w:p w14:paraId="37D1B63C" w14:textId="77777777" w:rsidR="00746D3C" w:rsidRPr="00D826C7" w:rsidRDefault="00746D3C" w:rsidP="00746D3C">
      <w:pPr>
        <w:jc w:val="both"/>
      </w:pPr>
      <w:r w:rsidRPr="00D826C7">
        <w:t>Vzhľadom na súvisiacu úpravu § 71 ods. 4 a § 85n ods. 2 zákona o DPH, ktorá ustanovuje, že vyhotovenie elektronickej faktúry nepodlieha súhlasu prijímateľa, ani podľa zákona o účtovníctve pri vyhotovení tohto elektronického účtovného záznamu nebude súhlas vyžadovaný.</w:t>
      </w:r>
    </w:p>
    <w:p w14:paraId="0348E036" w14:textId="77777777" w:rsidR="00746D3C" w:rsidRPr="00D826C7" w:rsidRDefault="00746D3C" w:rsidP="00746D3C">
      <w:pPr>
        <w:jc w:val="both"/>
        <w:rPr>
          <w:b/>
          <w:bCs/>
        </w:rPr>
      </w:pPr>
    </w:p>
    <w:p w14:paraId="1DCE24E0" w14:textId="77777777" w:rsidR="00746D3C" w:rsidRPr="00D826C7" w:rsidRDefault="00746D3C" w:rsidP="00746D3C">
      <w:pPr>
        <w:jc w:val="both"/>
        <w:rPr>
          <w:b/>
          <w:bCs/>
        </w:rPr>
      </w:pPr>
      <w:r w:rsidRPr="00D826C7">
        <w:rPr>
          <w:b/>
          <w:bCs/>
        </w:rPr>
        <w:t>K Čl. III bodu 6 (§ 35 ods. 2)</w:t>
      </w:r>
    </w:p>
    <w:p w14:paraId="08697421" w14:textId="77777777" w:rsidR="00746D3C" w:rsidRPr="00D826C7" w:rsidRDefault="00746D3C" w:rsidP="00746D3C">
      <w:pPr>
        <w:jc w:val="both"/>
      </w:pPr>
      <w:r w:rsidRPr="00D826C7">
        <w:t xml:space="preserve">Ak zákon o účtovníctve alebo osobitný predpis ustanovuje účtovnej jednotke pri vyhotovovaní účtovného záznamu formát, v ktorom je povinná účtovný záznam vyhotoviť a uložiť, je povinná v rovnakom formáte ho aj uchovávať pre účely archivácie. Týka sa to predovšetkým elektronického formátu, ktorý je ustanovený opatrením MF SR pre ukladanie správy s informáciami o dani z príjmov, resp. vykonávacím nariadením Komisie (EÚ) 2024/2952 alebo </w:t>
      </w:r>
      <w:r w:rsidRPr="00D826C7">
        <w:lastRenderedPageBreak/>
        <w:t>pri elektronickom formáte výročnej správy podľa delegovaného nariadenia Komisie (EÚ) 2019/815 v platnom znení v prípade výročných správ účtovných jednotiek, ktoré majú povinnosť vykazovania informácií o udržateľnosti podľa § 20c alebo § 20g zákona o účtovníctve.</w:t>
      </w:r>
    </w:p>
    <w:p w14:paraId="5098DCCB" w14:textId="77777777" w:rsidR="00746D3C" w:rsidRPr="00D826C7" w:rsidRDefault="00746D3C" w:rsidP="00746D3C">
      <w:pPr>
        <w:jc w:val="both"/>
      </w:pPr>
    </w:p>
    <w:p w14:paraId="135B4A8A" w14:textId="77777777" w:rsidR="00746D3C" w:rsidRPr="00D826C7" w:rsidRDefault="00746D3C" w:rsidP="00746D3C">
      <w:pPr>
        <w:pStyle w:val="Normlnywebov"/>
        <w:jc w:val="both"/>
        <w:rPr>
          <w:b/>
          <w:bCs/>
        </w:rPr>
      </w:pPr>
      <w:r w:rsidRPr="00D826C7">
        <w:rPr>
          <w:b/>
          <w:bCs/>
        </w:rPr>
        <w:t>K Čl. III bodu 7 (prechodné ustanovenia)</w:t>
      </w:r>
    </w:p>
    <w:p w14:paraId="30474E1A" w14:textId="77777777" w:rsidR="00746D3C" w:rsidRPr="00D826C7" w:rsidRDefault="00746D3C" w:rsidP="00746D3C">
      <w:pPr>
        <w:pStyle w:val="Normlnywebov"/>
        <w:jc w:val="both"/>
      </w:pPr>
      <w:r w:rsidRPr="00D826C7">
        <w:t xml:space="preserve">Účtovná jednotka, ktorá bude vyhotovovať výročnú správu aj výkaz podľa osobitného predpisu, vyhotoví výročnú správu v súlade s § 20 ods. 14  prvýkrát za účtovné obdobie začínajúce 1. januára  2026.  </w:t>
      </w:r>
    </w:p>
    <w:p w14:paraId="3A8BF73D" w14:textId="77777777" w:rsidR="00746D3C" w:rsidRDefault="00746D3C" w:rsidP="00746D3C">
      <w:pPr>
        <w:pStyle w:val="Normlnywebov"/>
        <w:jc w:val="both"/>
      </w:pPr>
      <w:r w:rsidRPr="00D826C7">
        <w:t>V súvislosti s transpozíciou smernice 2025/1442 je potrebné upraviť, že účtovná jednotka už</w:t>
      </w:r>
      <w:r>
        <w:t xml:space="preserve"> nebude mať povinnosť predložiť výročnú správu a záznamy z valných zhromaždení za účtovné obdobie 2025 a ani v prípade ak jej účtovným obdobím je hospodársky rok, ak by splnenie tejto povinnosti malo byť po 1. januári 2026.</w:t>
      </w:r>
    </w:p>
    <w:p w14:paraId="2698B70E" w14:textId="77777777" w:rsidR="00746D3C" w:rsidRDefault="00746D3C" w:rsidP="00746D3C">
      <w:pPr>
        <w:pStyle w:val="Normlnywebov"/>
        <w:jc w:val="both"/>
      </w:pPr>
    </w:p>
    <w:p w14:paraId="4BB34A09" w14:textId="77777777" w:rsidR="00746D3C" w:rsidRDefault="00746D3C" w:rsidP="00746D3C">
      <w:pPr>
        <w:pStyle w:val="Normlnywebov"/>
        <w:jc w:val="both"/>
        <w:rPr>
          <w:b/>
          <w:bCs/>
        </w:rPr>
      </w:pPr>
      <w:r>
        <w:rPr>
          <w:b/>
          <w:bCs/>
        </w:rPr>
        <w:t>K Čl. III bodu 8 (príloha)</w:t>
      </w:r>
    </w:p>
    <w:p w14:paraId="382C0CB8" w14:textId="77777777" w:rsidR="00746D3C" w:rsidRDefault="00746D3C" w:rsidP="00746D3C">
      <w:pPr>
        <w:pStyle w:val="Normlnywebov"/>
        <w:jc w:val="both"/>
        <w:rPr>
          <w:color w:val="000000"/>
        </w:rPr>
      </w:pPr>
      <w:r w:rsidRPr="002E6EB5">
        <w:t>Do</w:t>
      </w:r>
      <w:r w:rsidRPr="002E6EB5">
        <w:rPr>
          <w:color w:val="000000"/>
        </w:rPr>
        <w:t xml:space="preserve"> transpozičnej prílohy sa navrhuje doplniť smernica 2025/1442,</w:t>
      </w:r>
      <w:r>
        <w:rPr>
          <w:color w:val="000000"/>
        </w:rPr>
        <w:t xml:space="preserve"> ktorej transpozícia je súčasťou navrhovaného znenia zákona o účtovníctve.</w:t>
      </w:r>
    </w:p>
    <w:p w14:paraId="0CF0B355" w14:textId="77777777" w:rsidR="00746D3C" w:rsidRDefault="00746D3C" w:rsidP="00746D3C">
      <w:pPr>
        <w:pStyle w:val="Normlnywebov"/>
        <w:jc w:val="both"/>
        <w:rPr>
          <w:b/>
          <w:bCs/>
        </w:rPr>
      </w:pPr>
    </w:p>
    <w:p w14:paraId="091C781C" w14:textId="77777777" w:rsidR="00746D3C" w:rsidRDefault="00746D3C" w:rsidP="00746D3C">
      <w:pPr>
        <w:pStyle w:val="Normlnywebov"/>
        <w:jc w:val="both"/>
        <w:rPr>
          <w:b/>
          <w:bCs/>
        </w:rPr>
      </w:pPr>
      <w:r>
        <w:rPr>
          <w:b/>
          <w:bCs/>
        </w:rPr>
        <w:t xml:space="preserve">K Čl. IV </w:t>
      </w:r>
      <w:r w:rsidRPr="00E968BF">
        <w:rPr>
          <w:b/>
          <w:bCs/>
        </w:rPr>
        <w:t xml:space="preserve">bodu </w:t>
      </w:r>
      <w:r>
        <w:rPr>
          <w:b/>
          <w:bCs/>
        </w:rPr>
        <w:t>1</w:t>
      </w:r>
      <w:r w:rsidRPr="00E968BF">
        <w:rPr>
          <w:b/>
          <w:bCs/>
        </w:rPr>
        <w:t xml:space="preserve"> (§</w:t>
      </w:r>
      <w:r>
        <w:rPr>
          <w:b/>
          <w:bCs/>
        </w:rPr>
        <w:t xml:space="preserve"> 154 ods. 5</w:t>
      </w:r>
      <w:r w:rsidRPr="00E968BF">
        <w:rPr>
          <w:b/>
          <w:bCs/>
        </w:rPr>
        <w:t>)</w:t>
      </w:r>
    </w:p>
    <w:p w14:paraId="24386E70" w14:textId="77777777" w:rsidR="00746D3C" w:rsidRDefault="00746D3C" w:rsidP="00746D3C">
      <w:pPr>
        <w:jc w:val="both"/>
        <w:rPr>
          <w:b/>
          <w:bCs/>
        </w:rPr>
      </w:pPr>
      <w:r w:rsidRPr="00E968BF">
        <w:t xml:space="preserve">Ustanovenie </w:t>
      </w:r>
      <w:r w:rsidRPr="00B639EC">
        <w:t>§ 154 ods. 5</w:t>
      </w:r>
      <w:r>
        <w:t xml:space="preserve"> </w:t>
      </w:r>
      <w:r w:rsidRPr="00E968BF">
        <w:t>sa navrhuj</w:t>
      </w:r>
      <w:r>
        <w:t>e</w:t>
      </w:r>
      <w:r w:rsidRPr="00E968BF">
        <w:t xml:space="preserve"> vypustiť z dôvodu </w:t>
      </w:r>
      <w:r>
        <w:t>jeho</w:t>
      </w:r>
      <w:r w:rsidRPr="00E968BF">
        <w:t xml:space="preserve"> obsolétnosti.</w:t>
      </w:r>
    </w:p>
    <w:p w14:paraId="23F1953B" w14:textId="77777777" w:rsidR="00746D3C" w:rsidRDefault="00746D3C" w:rsidP="00746D3C">
      <w:pPr>
        <w:pStyle w:val="Normlnywebov"/>
        <w:jc w:val="both"/>
        <w:rPr>
          <w:b/>
          <w:bCs/>
        </w:rPr>
      </w:pPr>
    </w:p>
    <w:p w14:paraId="05F6CA69" w14:textId="77777777" w:rsidR="00746D3C" w:rsidRDefault="00746D3C" w:rsidP="00746D3C">
      <w:pPr>
        <w:pStyle w:val="Normlnywebov"/>
        <w:jc w:val="both"/>
        <w:rPr>
          <w:b/>
          <w:bCs/>
        </w:rPr>
      </w:pPr>
      <w:r>
        <w:rPr>
          <w:b/>
          <w:bCs/>
        </w:rPr>
        <w:t xml:space="preserve">K Čl. V </w:t>
      </w:r>
      <w:r w:rsidRPr="00E968BF">
        <w:rPr>
          <w:b/>
          <w:bCs/>
        </w:rPr>
        <w:t xml:space="preserve">bodu </w:t>
      </w:r>
      <w:r>
        <w:rPr>
          <w:b/>
          <w:bCs/>
        </w:rPr>
        <w:t>1</w:t>
      </w:r>
      <w:r w:rsidRPr="00E968BF">
        <w:rPr>
          <w:b/>
          <w:bCs/>
        </w:rPr>
        <w:t xml:space="preserve"> (§</w:t>
      </w:r>
      <w:r>
        <w:rPr>
          <w:b/>
          <w:bCs/>
        </w:rPr>
        <w:t xml:space="preserve"> 1 a § 2</w:t>
      </w:r>
      <w:r w:rsidRPr="00E968BF">
        <w:rPr>
          <w:b/>
          <w:bCs/>
        </w:rPr>
        <w:t>)</w:t>
      </w:r>
    </w:p>
    <w:p w14:paraId="67BFC6AE" w14:textId="77777777" w:rsidR="00746D3C" w:rsidRPr="000C514A" w:rsidRDefault="00746D3C" w:rsidP="00746D3C">
      <w:pPr>
        <w:jc w:val="both"/>
      </w:pPr>
      <w:r w:rsidRPr="0030137A">
        <w:t xml:space="preserve">Navrhuje sa nové znenie základných </w:t>
      </w:r>
      <w:r w:rsidRPr="000C514A">
        <w:t>ustanovení zákona č. 215/2019 Z. z.</w:t>
      </w:r>
      <w:r>
        <w:t xml:space="preserve"> o</w:t>
      </w:r>
      <w:r w:rsidRPr="00BB6805">
        <w:t xml:space="preserve"> zaručenej elektronickej fakturácii a centrálnom ekonomickom systéme a o doplnení niektorých zákonov</w:t>
      </w:r>
      <w:r>
        <w:t xml:space="preserve"> (ďalej len „zákon č.</w:t>
      </w:r>
      <w:r w:rsidRPr="00BB6805">
        <w:t xml:space="preserve"> </w:t>
      </w:r>
      <w:r w:rsidRPr="000C514A">
        <w:t>215/2019 Z. z.</w:t>
      </w:r>
      <w:r>
        <w:t>“)</w:t>
      </w:r>
      <w:r w:rsidRPr="000C514A">
        <w:t>, ktorým sa jasne vymedzujú dva základné predmety právnej úpravy</w:t>
      </w:r>
      <w:r>
        <w:t xml:space="preserve">, a to </w:t>
      </w:r>
      <w:r w:rsidRPr="000C514A">
        <w:t>povinnosť prijímať elektronickú faktúru verejnými obstarávateľmi a obstarávateľmi, a</w:t>
      </w:r>
      <w:r>
        <w:t xml:space="preserve"> </w:t>
      </w:r>
      <w:r w:rsidRPr="000C514A">
        <w:t>centrálny ekonomický systém a jeho používanie.</w:t>
      </w:r>
    </w:p>
    <w:p w14:paraId="4335E551" w14:textId="77777777" w:rsidR="00746D3C" w:rsidRPr="000C514A" w:rsidRDefault="00746D3C" w:rsidP="00746D3C">
      <w:pPr>
        <w:jc w:val="both"/>
      </w:pPr>
      <w:r w:rsidRPr="000C514A">
        <w:t>Zároveň sa výslovne ustanovuje, že zákon č. 215/2019 Z. z. nezasahuje do právnej úpravy elektronickej faktúry podľa zákona o DPH a zákona o účtovníctve.</w:t>
      </w:r>
    </w:p>
    <w:p w14:paraId="05AB21AE" w14:textId="77777777" w:rsidR="00746D3C" w:rsidRDefault="00746D3C" w:rsidP="00746D3C">
      <w:pPr>
        <w:jc w:val="both"/>
      </w:pPr>
      <w:r w:rsidRPr="000C514A">
        <w:t xml:space="preserve">Ide o legislatívno-technické úpravy v nadväznosti na nové ustanovenia o elektronickej fakturácii podľa zákona o DPH. Novým ustanovením sa má zjednotiť a precizovať, že hlavná právna úprava elektronickej fakturácie je stanovená v zákone o DPH. </w:t>
      </w:r>
    </w:p>
    <w:p w14:paraId="1137CE1B" w14:textId="77777777" w:rsidR="00746D3C" w:rsidRPr="000C514A" w:rsidRDefault="00746D3C" w:rsidP="00746D3C">
      <w:pPr>
        <w:jc w:val="both"/>
      </w:pPr>
      <w:r w:rsidRPr="000C514A">
        <w:t>V § 2 sa konkretizuje rozsah povinnosti prijímať a spracovávať elektronické faktúry v prípade plnení z verejného obstarávania. Ustanovenie zabezpečuje, že verejní obstarávatelia budú technicky pripravení na prijímanie elektronických faktúr, ak sú zasielané oprávnenou osobou</w:t>
      </w:r>
      <w:r w:rsidRPr="00E3302D">
        <w:t xml:space="preserve"> </w:t>
      </w:r>
      <w:r>
        <w:t>prostredníctvom doručovacej služby</w:t>
      </w:r>
      <w:r w:rsidRPr="000C514A">
        <w:t xml:space="preserve">. </w:t>
      </w:r>
      <w:r>
        <w:t xml:space="preserve">Doručovaciu službu zavádza navrhované znenie </w:t>
      </w:r>
      <w:r w:rsidRPr="00C448E9">
        <w:t xml:space="preserve">§ 76a zákona </w:t>
      </w:r>
      <w:r>
        <w:t>o DPH (Čl. I bod 45 tejto osobitnej časti dôvodovej správy), čím sa</w:t>
      </w:r>
      <w:r w:rsidRPr="00C448E9">
        <w:t xml:space="preserve"> </w:t>
      </w:r>
      <w:r>
        <w:t>určujú definičné znaky a iné pre doručovaciu službu, ako službu, ktorou sa zasielajú a doručujú elektronické faktúry. Samotnú službu, t. j. doručovaciu službu poskytuje poskytovateľ, ktorý splnil podmienky podľa zákona o DPH byť certifikovaným poskytovateľom doručovacej služby</w:t>
      </w:r>
      <w:r w:rsidRPr="000C514A">
        <w:t xml:space="preserve">. </w:t>
      </w:r>
    </w:p>
    <w:p w14:paraId="24EA96A3" w14:textId="77777777" w:rsidR="00746D3C" w:rsidRPr="000C514A" w:rsidRDefault="00746D3C" w:rsidP="00746D3C">
      <w:pPr>
        <w:jc w:val="both"/>
      </w:pPr>
      <w:r w:rsidRPr="000C514A">
        <w:t>Zároveň sa zavádza povinnosť uvádzať v elektronickej faktúre identifikáciu príslušného verejného obstarávania, čím sa posilňuje prepojenie medzi fakturáciou a verejným obstarávaním a zvyšuje transparentnosť. Daná povinnosť bola už aj v predošlej právnej úprave a zostala ako jediná nad tento rámec zachovaná pre explicitné účely procesov verejného obstarávania.</w:t>
      </w:r>
    </w:p>
    <w:p w14:paraId="56A1A0DD" w14:textId="77777777" w:rsidR="00746D3C" w:rsidRDefault="00746D3C" w:rsidP="00746D3C">
      <w:pPr>
        <w:pStyle w:val="Normlnywebov"/>
        <w:jc w:val="both"/>
      </w:pPr>
      <w:r w:rsidRPr="000C514A">
        <w:t>Ide teda o legislatívno-technickú úpravu z dôvodu spresnenia terminológie kedy je povinnosť prijať elektronickú faktúru príjemcom plnenia, ktorými sú verejný obstarávateľ alebo obstarávateľ podľa osobitných predpisov (zákon o verejnom obstarávaní)</w:t>
      </w:r>
      <w:r>
        <w:t xml:space="preserve"> a to doručovacou službou podľa osobitného predpisu (zákona o DPH)</w:t>
      </w:r>
      <w:r w:rsidRPr="000C514A">
        <w:t>.</w:t>
      </w:r>
    </w:p>
    <w:p w14:paraId="11A51A3A" w14:textId="77777777" w:rsidR="00746D3C" w:rsidRDefault="00746D3C" w:rsidP="00746D3C">
      <w:pPr>
        <w:pStyle w:val="Normlnywebov"/>
        <w:jc w:val="both"/>
      </w:pPr>
    </w:p>
    <w:p w14:paraId="05EBD1AE" w14:textId="77777777" w:rsidR="00746D3C" w:rsidRPr="00E968BF" w:rsidRDefault="00746D3C" w:rsidP="00746D3C">
      <w:pPr>
        <w:jc w:val="both"/>
        <w:rPr>
          <w:b/>
          <w:bCs/>
        </w:rPr>
      </w:pPr>
      <w:r w:rsidRPr="00E968BF">
        <w:rPr>
          <w:b/>
          <w:bCs/>
        </w:rPr>
        <w:t xml:space="preserve">K Čl. </w:t>
      </w:r>
      <w:r>
        <w:rPr>
          <w:b/>
          <w:bCs/>
        </w:rPr>
        <w:t>V</w:t>
      </w:r>
      <w:r w:rsidRPr="00E968BF">
        <w:rPr>
          <w:b/>
          <w:bCs/>
        </w:rPr>
        <w:t xml:space="preserve"> bodu </w:t>
      </w:r>
      <w:r>
        <w:rPr>
          <w:b/>
          <w:bCs/>
        </w:rPr>
        <w:t>2 a 7</w:t>
      </w:r>
      <w:r w:rsidRPr="00E968BF">
        <w:rPr>
          <w:b/>
          <w:bCs/>
        </w:rPr>
        <w:t xml:space="preserve"> (§</w:t>
      </w:r>
      <w:r>
        <w:rPr>
          <w:b/>
          <w:bCs/>
        </w:rPr>
        <w:t xml:space="preserve"> 3 až § 6, § 8 a § 9</w:t>
      </w:r>
      <w:r w:rsidRPr="00E968BF">
        <w:rPr>
          <w:b/>
          <w:bCs/>
        </w:rPr>
        <w:t>)</w:t>
      </w:r>
    </w:p>
    <w:p w14:paraId="42D7B2F0" w14:textId="77777777" w:rsidR="00746D3C" w:rsidRDefault="00746D3C" w:rsidP="00746D3C">
      <w:pPr>
        <w:jc w:val="both"/>
      </w:pPr>
      <w:r w:rsidRPr="00E968BF">
        <w:lastRenderedPageBreak/>
        <w:t>Ustanoveni</w:t>
      </w:r>
      <w:r>
        <w:t>a</w:t>
      </w:r>
      <w:r w:rsidRPr="00E968BF">
        <w:t xml:space="preserve"> § </w:t>
      </w:r>
      <w:r>
        <w:t>3 až 6, § 8 a § 9</w:t>
      </w:r>
      <w:r w:rsidRPr="00E968BF">
        <w:t xml:space="preserve"> </w:t>
      </w:r>
      <w:r>
        <w:t xml:space="preserve">vrátane nadpisov </w:t>
      </w:r>
      <w:r w:rsidRPr="00E968BF">
        <w:t>sa navrhuj</w:t>
      </w:r>
      <w:r>
        <w:t>ú</w:t>
      </w:r>
      <w:r w:rsidRPr="00E968BF">
        <w:t xml:space="preserve"> vypustiť z dôvodu </w:t>
      </w:r>
      <w:r>
        <w:t>ich</w:t>
      </w:r>
      <w:r w:rsidRPr="00E968BF">
        <w:t xml:space="preserve"> obsolétnosti</w:t>
      </w:r>
      <w:r>
        <w:t xml:space="preserve"> a v nadväznosti na navrhované úpravy</w:t>
      </w:r>
      <w:r w:rsidRPr="00E968BF">
        <w:t>.</w:t>
      </w:r>
    </w:p>
    <w:p w14:paraId="67F879E7" w14:textId="77777777" w:rsidR="00746D3C" w:rsidRDefault="00746D3C" w:rsidP="00746D3C">
      <w:pPr>
        <w:jc w:val="both"/>
      </w:pPr>
    </w:p>
    <w:p w14:paraId="42696F28" w14:textId="77777777" w:rsidR="00746D3C" w:rsidRDefault="00746D3C" w:rsidP="00746D3C">
      <w:pPr>
        <w:jc w:val="both"/>
      </w:pPr>
      <w:r w:rsidRPr="00E968BF">
        <w:rPr>
          <w:b/>
          <w:bCs/>
        </w:rPr>
        <w:t>K Čl.</w:t>
      </w:r>
      <w:r>
        <w:rPr>
          <w:b/>
          <w:bCs/>
        </w:rPr>
        <w:t xml:space="preserve"> V</w:t>
      </w:r>
      <w:r w:rsidRPr="00E968BF">
        <w:rPr>
          <w:b/>
          <w:bCs/>
        </w:rPr>
        <w:t xml:space="preserve"> bodu </w:t>
      </w:r>
      <w:r>
        <w:rPr>
          <w:b/>
          <w:bCs/>
        </w:rPr>
        <w:t>3 až 5</w:t>
      </w:r>
      <w:r w:rsidRPr="00E968BF">
        <w:rPr>
          <w:b/>
          <w:bCs/>
        </w:rPr>
        <w:t xml:space="preserve"> </w:t>
      </w:r>
      <w:r>
        <w:rPr>
          <w:b/>
          <w:bCs/>
        </w:rPr>
        <w:t>/</w:t>
      </w:r>
      <w:r w:rsidRPr="00E968BF">
        <w:rPr>
          <w:b/>
          <w:bCs/>
        </w:rPr>
        <w:t>§</w:t>
      </w:r>
      <w:r>
        <w:rPr>
          <w:b/>
          <w:bCs/>
        </w:rPr>
        <w:t xml:space="preserve"> 7 ods. 9 písm. a), § 7 ods. 9 písm. e), § 7 ods. 11/</w:t>
      </w:r>
    </w:p>
    <w:p w14:paraId="61DA1C02" w14:textId="77777777" w:rsidR="00746D3C" w:rsidRDefault="00746D3C" w:rsidP="00746D3C">
      <w:pPr>
        <w:jc w:val="both"/>
      </w:pPr>
      <w:r w:rsidRPr="005E767F">
        <w:t>Ide o legislatívno-technickú úpravu z dôvodu spresnenia terminológie</w:t>
      </w:r>
      <w:r>
        <w:t xml:space="preserve"> a v nadväznosti na navrhované úpravy</w:t>
      </w:r>
      <w:r w:rsidRPr="005E767F">
        <w:t>.</w:t>
      </w:r>
    </w:p>
    <w:p w14:paraId="077167B3" w14:textId="77777777" w:rsidR="00746D3C" w:rsidRDefault="00746D3C" w:rsidP="00746D3C">
      <w:pPr>
        <w:jc w:val="both"/>
      </w:pPr>
    </w:p>
    <w:p w14:paraId="24A3F1E1" w14:textId="77777777" w:rsidR="00746D3C" w:rsidRDefault="00746D3C" w:rsidP="00746D3C">
      <w:pPr>
        <w:jc w:val="both"/>
      </w:pPr>
      <w:r w:rsidRPr="00E968BF">
        <w:rPr>
          <w:b/>
          <w:bCs/>
        </w:rPr>
        <w:t xml:space="preserve">K Čl. </w:t>
      </w:r>
      <w:r>
        <w:rPr>
          <w:b/>
          <w:bCs/>
        </w:rPr>
        <w:t>V</w:t>
      </w:r>
      <w:r w:rsidRPr="00E968BF">
        <w:rPr>
          <w:b/>
          <w:bCs/>
        </w:rPr>
        <w:t xml:space="preserve"> bodu </w:t>
      </w:r>
      <w:r>
        <w:rPr>
          <w:b/>
          <w:bCs/>
        </w:rPr>
        <w:t>6</w:t>
      </w:r>
      <w:r w:rsidRPr="00E968BF">
        <w:rPr>
          <w:b/>
          <w:bCs/>
        </w:rPr>
        <w:t xml:space="preserve"> (§</w:t>
      </w:r>
      <w:r>
        <w:rPr>
          <w:b/>
          <w:bCs/>
        </w:rPr>
        <w:t xml:space="preserve"> 7 ods. 14</w:t>
      </w:r>
      <w:r w:rsidRPr="00E968BF">
        <w:rPr>
          <w:b/>
          <w:bCs/>
        </w:rPr>
        <w:t>)</w:t>
      </w:r>
    </w:p>
    <w:p w14:paraId="408312E4" w14:textId="77777777" w:rsidR="00746D3C" w:rsidRDefault="00746D3C" w:rsidP="00746D3C">
      <w:pPr>
        <w:jc w:val="both"/>
      </w:pPr>
      <w:r w:rsidRPr="00E968BF">
        <w:t xml:space="preserve">Ustanovenie § </w:t>
      </w:r>
      <w:r>
        <w:t xml:space="preserve">7 ods. 14 </w:t>
      </w:r>
      <w:r w:rsidRPr="00E968BF">
        <w:t>sa navrhuj</w:t>
      </w:r>
      <w:r>
        <w:t>e</w:t>
      </w:r>
      <w:r w:rsidRPr="00E968BF">
        <w:t xml:space="preserve"> vypustiť z dôvodu </w:t>
      </w:r>
      <w:r>
        <w:t>ich</w:t>
      </w:r>
      <w:r w:rsidRPr="00E968BF">
        <w:t xml:space="preserve"> obsolétnosti.</w:t>
      </w:r>
      <w:r>
        <w:t xml:space="preserve"> Doterajšie odseky 15 a 16 sa označujú ako odseku 14 a 15.</w:t>
      </w:r>
    </w:p>
    <w:p w14:paraId="7F78799C" w14:textId="77777777" w:rsidR="00746D3C" w:rsidRDefault="00746D3C" w:rsidP="00746D3C">
      <w:pPr>
        <w:jc w:val="both"/>
      </w:pPr>
    </w:p>
    <w:p w14:paraId="4BDE4C22" w14:textId="77777777" w:rsidR="00746D3C" w:rsidRDefault="00746D3C" w:rsidP="00746D3C">
      <w:pPr>
        <w:jc w:val="both"/>
        <w:rPr>
          <w:b/>
          <w:bCs/>
        </w:rPr>
      </w:pPr>
      <w:r w:rsidRPr="00E968BF">
        <w:rPr>
          <w:b/>
          <w:bCs/>
        </w:rPr>
        <w:t xml:space="preserve">K Čl. </w:t>
      </w:r>
      <w:r>
        <w:rPr>
          <w:b/>
          <w:bCs/>
        </w:rPr>
        <w:t>V</w:t>
      </w:r>
      <w:r w:rsidRPr="00E968BF">
        <w:rPr>
          <w:b/>
          <w:bCs/>
        </w:rPr>
        <w:t xml:space="preserve"> bodu </w:t>
      </w:r>
      <w:r>
        <w:rPr>
          <w:b/>
          <w:bCs/>
        </w:rPr>
        <w:t>8</w:t>
      </w:r>
      <w:r w:rsidRPr="00E968BF">
        <w:rPr>
          <w:b/>
          <w:bCs/>
        </w:rPr>
        <w:t xml:space="preserve"> (§</w:t>
      </w:r>
      <w:r>
        <w:rPr>
          <w:b/>
          <w:bCs/>
        </w:rPr>
        <w:t xml:space="preserve"> 10</w:t>
      </w:r>
      <w:r w:rsidRPr="00E968BF">
        <w:rPr>
          <w:b/>
          <w:bCs/>
        </w:rPr>
        <w:t>)</w:t>
      </w:r>
    </w:p>
    <w:p w14:paraId="2A1B94F0" w14:textId="77777777" w:rsidR="00746D3C" w:rsidRDefault="00746D3C" w:rsidP="00746D3C">
      <w:pPr>
        <w:jc w:val="both"/>
      </w:pPr>
      <w:r w:rsidRPr="00E968BF">
        <w:t>Ustanovenie §</w:t>
      </w:r>
      <w:r>
        <w:t xml:space="preserve"> 10 písm. a) až c) sa navrhujú vypustiť </w:t>
      </w:r>
      <w:r w:rsidRPr="00E968BF">
        <w:t xml:space="preserve">z dôvodu </w:t>
      </w:r>
      <w:r>
        <w:t>ich</w:t>
      </w:r>
      <w:r w:rsidRPr="00E968BF">
        <w:t xml:space="preserve"> obsolétnosti</w:t>
      </w:r>
      <w:r>
        <w:t>. Súčasne sa navrhuje označenie písm. d) u</w:t>
      </w:r>
      <w:r w:rsidRPr="00E968BF">
        <w:t>stanoveni</w:t>
      </w:r>
      <w:r>
        <w:t>a</w:t>
      </w:r>
      <w:r w:rsidRPr="00E968BF">
        <w:t xml:space="preserve"> §</w:t>
      </w:r>
      <w:r>
        <w:t xml:space="preserve"> 10 zrušiť.</w:t>
      </w:r>
    </w:p>
    <w:p w14:paraId="7F2D73D4" w14:textId="77777777" w:rsidR="00746D3C" w:rsidRDefault="00746D3C" w:rsidP="00746D3C">
      <w:pPr>
        <w:pStyle w:val="Normlnywebov"/>
        <w:jc w:val="both"/>
        <w:rPr>
          <w:b/>
          <w:bCs/>
        </w:rPr>
      </w:pPr>
    </w:p>
    <w:p w14:paraId="0DC19882" w14:textId="77777777" w:rsidR="00746D3C" w:rsidRDefault="00746D3C" w:rsidP="00746D3C">
      <w:pPr>
        <w:pStyle w:val="Normlnywebov"/>
        <w:jc w:val="both"/>
        <w:rPr>
          <w:b/>
          <w:bCs/>
        </w:rPr>
      </w:pPr>
      <w:r>
        <w:rPr>
          <w:b/>
          <w:bCs/>
        </w:rPr>
        <w:t>K Čl. VI</w:t>
      </w:r>
    </w:p>
    <w:p w14:paraId="57047CE1" w14:textId="77777777" w:rsidR="00746D3C" w:rsidRDefault="00746D3C" w:rsidP="00746D3C">
      <w:pPr>
        <w:jc w:val="both"/>
      </w:pPr>
      <w:r>
        <w:t xml:space="preserve">Navrhuje sa, aby zákon nadobudol </w:t>
      </w:r>
      <w:r w:rsidRPr="00423C3A">
        <w:t>účinnosť 1. januára 2026 okrem čl. I bodov 7, 21 až 25, bodu 29 § 71 ods. 5, bodu 33 § 72 ods. 12, bodov 39, 51, bodu 59 § 85n ods. 1 až 17 a ods. 20 a bodu 60, čl. II druhého bodu a štvrtého bodu, čl. III tretieho bodu až piateho bodu, čl. IV a V, ktoré nadobúdajú účinnosť 1. januára 2027 a okrem čl. I bodov 8 až 13, 18, 19, 26 až 28, bodu 29 § 71 ods. 4 a 6, bodov 30, 31, bodu 33 § 72 ods. 9 až 11, bodov 34 až 38, bodov 40 až 45, bodov 47 až 50 a bodov 52 až 54, ktoré nadobúdajú účinnosť 1. júla 2030</w:t>
      </w:r>
      <w:r w:rsidRPr="00BF7E15">
        <w:t>.</w:t>
      </w:r>
    </w:p>
    <w:p w14:paraId="6237B2C8" w14:textId="77777777" w:rsidR="00746D3C" w:rsidRDefault="00746D3C" w:rsidP="00746D3C">
      <w:pPr>
        <w:jc w:val="both"/>
        <w:rPr>
          <w:b/>
          <w:bCs/>
        </w:rPr>
      </w:pPr>
    </w:p>
    <w:p w14:paraId="0DD283D7" w14:textId="77777777" w:rsidR="00746D3C" w:rsidRDefault="00746D3C" w:rsidP="00746D3C">
      <w:pPr>
        <w:pStyle w:val="Normlnywebov"/>
        <w:jc w:val="both"/>
        <w:rPr>
          <w:b/>
          <w:bCs/>
        </w:rPr>
      </w:pPr>
    </w:p>
    <w:p w14:paraId="2A6374E0" w14:textId="02FE4CC2" w:rsidR="00746D3C" w:rsidRPr="00DA2D4F" w:rsidRDefault="00746D3C" w:rsidP="00746D3C">
      <w:pPr>
        <w:spacing w:line="276" w:lineRule="auto"/>
        <w:rPr>
          <w:color w:val="000000"/>
          <w:shd w:val="clear" w:color="auto" w:fill="FFFFFF"/>
        </w:rPr>
      </w:pPr>
      <w:r w:rsidRPr="00DA2D4F">
        <w:rPr>
          <w:color w:val="000000"/>
          <w:shd w:val="clear" w:color="auto" w:fill="FFFFFF"/>
        </w:rPr>
        <w:t>V </w:t>
      </w:r>
      <w:r w:rsidR="00505D07">
        <w:rPr>
          <w:color w:val="000000"/>
          <w:shd w:val="clear" w:color="auto" w:fill="FFFFFF"/>
        </w:rPr>
        <w:t>Borš</w:t>
      </w:r>
      <w:r w:rsidR="002C7EDD">
        <w:rPr>
          <w:color w:val="000000"/>
          <w:shd w:val="clear" w:color="auto" w:fill="FFFFFF"/>
        </w:rPr>
        <w:t>i</w:t>
      </w:r>
      <w:r w:rsidRPr="00DA2D4F">
        <w:rPr>
          <w:color w:val="000000"/>
          <w:shd w:val="clear" w:color="auto" w:fill="FFFFFF"/>
        </w:rPr>
        <w:t xml:space="preserve"> dňa </w:t>
      </w:r>
      <w:r>
        <w:rPr>
          <w:color w:val="000000"/>
          <w:shd w:val="clear" w:color="auto" w:fill="FFFFFF"/>
        </w:rPr>
        <w:t>2</w:t>
      </w:r>
      <w:r w:rsidR="00695345">
        <w:rPr>
          <w:color w:val="000000"/>
          <w:shd w:val="clear" w:color="auto" w:fill="FFFFFF"/>
        </w:rPr>
        <w:t>4</w:t>
      </w:r>
      <w:r w:rsidRPr="00DA2D4F">
        <w:rPr>
          <w:color w:val="000000"/>
          <w:shd w:val="clear" w:color="auto" w:fill="FFFFFF"/>
        </w:rPr>
        <w:t xml:space="preserve">. </w:t>
      </w:r>
      <w:r>
        <w:rPr>
          <w:color w:val="000000"/>
          <w:shd w:val="clear" w:color="auto" w:fill="FFFFFF"/>
        </w:rPr>
        <w:t>septembra 2025</w:t>
      </w:r>
    </w:p>
    <w:p w14:paraId="44876CE6" w14:textId="77777777" w:rsidR="00746D3C" w:rsidRPr="00DA2D4F" w:rsidRDefault="00746D3C" w:rsidP="00746D3C">
      <w:pPr>
        <w:spacing w:line="276" w:lineRule="auto"/>
        <w:rPr>
          <w:color w:val="000000"/>
          <w:shd w:val="clear" w:color="auto" w:fill="FFFFFF"/>
        </w:rPr>
      </w:pPr>
    </w:p>
    <w:p w14:paraId="1A697DE3" w14:textId="77777777" w:rsidR="00746D3C" w:rsidRPr="00DA2D4F" w:rsidRDefault="00746D3C" w:rsidP="00746D3C">
      <w:pPr>
        <w:spacing w:line="276" w:lineRule="auto"/>
        <w:rPr>
          <w:color w:val="000000"/>
          <w:shd w:val="clear" w:color="auto" w:fill="FFFFFF"/>
        </w:rPr>
      </w:pPr>
    </w:p>
    <w:p w14:paraId="5C0F2822" w14:textId="77777777" w:rsidR="00746D3C" w:rsidRPr="00DA2D4F" w:rsidRDefault="00746D3C" w:rsidP="00746D3C">
      <w:pPr>
        <w:spacing w:line="276" w:lineRule="auto"/>
        <w:rPr>
          <w:color w:val="000000"/>
          <w:shd w:val="clear" w:color="auto" w:fill="FFFFFF"/>
        </w:rPr>
      </w:pPr>
    </w:p>
    <w:p w14:paraId="4C8382CF" w14:textId="77777777" w:rsidR="00746D3C" w:rsidRPr="00DA2D4F" w:rsidRDefault="00746D3C" w:rsidP="00746D3C">
      <w:pPr>
        <w:spacing w:line="276" w:lineRule="auto"/>
        <w:rPr>
          <w:color w:val="000000"/>
          <w:shd w:val="clear" w:color="auto" w:fill="FFFFFF"/>
        </w:rPr>
      </w:pPr>
    </w:p>
    <w:p w14:paraId="6C3E0C99" w14:textId="77777777" w:rsidR="00746D3C" w:rsidRPr="00DA2D4F" w:rsidRDefault="00746D3C" w:rsidP="00746D3C">
      <w:pPr>
        <w:spacing w:line="276" w:lineRule="auto"/>
        <w:rPr>
          <w:color w:val="000000"/>
          <w:shd w:val="clear" w:color="auto" w:fill="FFFFFF"/>
        </w:rPr>
      </w:pPr>
    </w:p>
    <w:p w14:paraId="23763BC6" w14:textId="2CEA7057" w:rsidR="00746D3C" w:rsidRPr="00DA2D4F" w:rsidRDefault="00746D3C" w:rsidP="00746D3C">
      <w:pPr>
        <w:spacing w:line="276" w:lineRule="auto"/>
        <w:jc w:val="center"/>
        <w:rPr>
          <w:b/>
          <w:color w:val="000000"/>
          <w:shd w:val="clear" w:color="auto" w:fill="FFFFFF"/>
        </w:rPr>
      </w:pPr>
      <w:r w:rsidRPr="00DA2D4F">
        <w:rPr>
          <w:b/>
          <w:color w:val="000000"/>
          <w:shd w:val="clear" w:color="auto" w:fill="FFFFFF"/>
        </w:rPr>
        <w:t>Robert Fico</w:t>
      </w:r>
      <w:r w:rsidR="00CE2CCB">
        <w:rPr>
          <w:b/>
          <w:color w:val="000000"/>
          <w:shd w:val="clear" w:color="auto" w:fill="FFFFFF"/>
        </w:rPr>
        <w:t xml:space="preserve"> v. r.</w:t>
      </w:r>
    </w:p>
    <w:p w14:paraId="09DFEDE1" w14:textId="77777777" w:rsidR="00746D3C" w:rsidRPr="00DA2D4F" w:rsidRDefault="00746D3C" w:rsidP="00746D3C">
      <w:pPr>
        <w:spacing w:line="276" w:lineRule="auto"/>
        <w:jc w:val="center"/>
        <w:rPr>
          <w:color w:val="000000"/>
          <w:shd w:val="clear" w:color="auto" w:fill="FFFFFF"/>
        </w:rPr>
      </w:pPr>
      <w:r w:rsidRPr="00DA2D4F">
        <w:rPr>
          <w:color w:val="000000"/>
          <w:shd w:val="clear" w:color="auto" w:fill="FFFFFF"/>
        </w:rPr>
        <w:t>predseda vlády Slovenskej republiky</w:t>
      </w:r>
    </w:p>
    <w:p w14:paraId="6EB58722" w14:textId="77777777" w:rsidR="00746D3C" w:rsidRPr="00DA2D4F" w:rsidRDefault="00746D3C" w:rsidP="00746D3C">
      <w:pPr>
        <w:spacing w:line="276" w:lineRule="auto"/>
        <w:jc w:val="center"/>
        <w:rPr>
          <w:color w:val="000000"/>
          <w:shd w:val="clear" w:color="auto" w:fill="FFFFFF"/>
        </w:rPr>
      </w:pPr>
    </w:p>
    <w:p w14:paraId="450E1E9C" w14:textId="77777777" w:rsidR="00746D3C" w:rsidRPr="00DA2D4F" w:rsidRDefault="00746D3C" w:rsidP="00746D3C">
      <w:pPr>
        <w:spacing w:line="276" w:lineRule="auto"/>
        <w:jc w:val="center"/>
        <w:rPr>
          <w:color w:val="000000"/>
          <w:shd w:val="clear" w:color="auto" w:fill="FFFFFF"/>
        </w:rPr>
      </w:pPr>
    </w:p>
    <w:p w14:paraId="49B918DE" w14:textId="77777777" w:rsidR="00746D3C" w:rsidRPr="00DA2D4F" w:rsidRDefault="00746D3C" w:rsidP="00746D3C">
      <w:pPr>
        <w:spacing w:line="276" w:lineRule="auto"/>
        <w:jc w:val="center"/>
        <w:rPr>
          <w:color w:val="000000"/>
          <w:shd w:val="clear" w:color="auto" w:fill="FFFFFF"/>
        </w:rPr>
      </w:pPr>
    </w:p>
    <w:p w14:paraId="5CFBE074" w14:textId="77777777" w:rsidR="00746D3C" w:rsidRPr="00DA2D4F" w:rsidRDefault="00746D3C" w:rsidP="00746D3C">
      <w:pPr>
        <w:spacing w:line="276" w:lineRule="auto"/>
        <w:jc w:val="center"/>
        <w:rPr>
          <w:color w:val="000000"/>
          <w:shd w:val="clear" w:color="auto" w:fill="FFFFFF"/>
        </w:rPr>
      </w:pPr>
    </w:p>
    <w:p w14:paraId="45DE99E2" w14:textId="77777777" w:rsidR="00746D3C" w:rsidRPr="00DA2D4F" w:rsidRDefault="00746D3C" w:rsidP="00746D3C">
      <w:pPr>
        <w:spacing w:line="276" w:lineRule="auto"/>
        <w:jc w:val="center"/>
        <w:rPr>
          <w:color w:val="000000"/>
          <w:shd w:val="clear" w:color="auto" w:fill="FFFFFF"/>
        </w:rPr>
      </w:pPr>
    </w:p>
    <w:p w14:paraId="07C2417B" w14:textId="38B78D12" w:rsidR="00746D3C" w:rsidRPr="00DA2D4F" w:rsidRDefault="00746D3C" w:rsidP="00746D3C">
      <w:pPr>
        <w:spacing w:line="276" w:lineRule="auto"/>
        <w:jc w:val="center"/>
        <w:rPr>
          <w:color w:val="000000"/>
          <w:shd w:val="clear" w:color="auto" w:fill="FFFFFF"/>
        </w:rPr>
      </w:pPr>
      <w:r w:rsidRPr="00DA2D4F">
        <w:rPr>
          <w:b/>
          <w:color w:val="000000"/>
          <w:shd w:val="clear" w:color="auto" w:fill="FFFFFF"/>
        </w:rPr>
        <w:t>Ladislav Kamenický</w:t>
      </w:r>
      <w:r w:rsidR="00CE2CCB">
        <w:rPr>
          <w:b/>
          <w:color w:val="000000"/>
          <w:shd w:val="clear" w:color="auto" w:fill="FFFFFF"/>
        </w:rPr>
        <w:t xml:space="preserve"> v. r.</w:t>
      </w:r>
    </w:p>
    <w:p w14:paraId="4256BF02" w14:textId="77777777" w:rsidR="00746D3C" w:rsidRPr="00DA2D4F" w:rsidRDefault="00746D3C" w:rsidP="00746D3C">
      <w:pPr>
        <w:spacing w:line="276" w:lineRule="auto"/>
        <w:jc w:val="center"/>
        <w:rPr>
          <w:color w:val="000000"/>
          <w:shd w:val="clear" w:color="auto" w:fill="FFFFFF"/>
        </w:rPr>
      </w:pPr>
      <w:r w:rsidRPr="00DA2D4F">
        <w:rPr>
          <w:color w:val="000000"/>
          <w:shd w:val="clear" w:color="auto" w:fill="FFFFFF"/>
        </w:rPr>
        <w:t>minister financií Slovenskej republiky</w:t>
      </w:r>
    </w:p>
    <w:p w14:paraId="64C379E7" w14:textId="77777777" w:rsidR="00746D3C" w:rsidRPr="00746D3C" w:rsidRDefault="00746D3C" w:rsidP="00746D3C">
      <w:pPr>
        <w:spacing w:line="257" w:lineRule="auto"/>
        <w:jc w:val="both"/>
        <w:rPr>
          <w:rStyle w:val="awspanawtext3"/>
          <w:rFonts w:eastAsia="Calibri"/>
        </w:rPr>
      </w:pPr>
    </w:p>
    <w:sectPr w:rsidR="00746D3C" w:rsidRPr="00746D3C" w:rsidSect="00CC2FE3">
      <w:footerReference w:type="default" r:id="rId20"/>
      <w:pgSz w:w="11906" w:h="16838"/>
      <w:pgMar w:top="1134" w:right="1418" w:bottom="680"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237C" w14:textId="77777777" w:rsidR="00D35EDA" w:rsidRDefault="00D35EDA" w:rsidP="005E4B14">
      <w:r>
        <w:separator/>
      </w:r>
    </w:p>
  </w:endnote>
  <w:endnote w:type="continuationSeparator" w:id="0">
    <w:p w14:paraId="2D2DF31C" w14:textId="77777777" w:rsidR="00D35EDA" w:rsidRDefault="00D35EDA" w:rsidP="005E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F UI Text">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Century Gothic"/>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E63C" w14:textId="77777777" w:rsidR="00746D3C" w:rsidRDefault="00746D3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30226F87" w14:textId="77777777" w:rsidR="00746D3C" w:rsidRDefault="00746D3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4A6B" w14:textId="77777777" w:rsidR="00746D3C" w:rsidRDefault="00746D3C">
    <w:pPr>
      <w:pStyle w:val="Pta"/>
      <w:jc w:val="right"/>
    </w:pPr>
    <w:r>
      <w:fldChar w:fldCharType="begin"/>
    </w:r>
    <w:r>
      <w:instrText>PAGE   \* MERGEFORMAT</w:instrText>
    </w:r>
    <w:r>
      <w:fldChar w:fldCharType="separate"/>
    </w:r>
    <w:r>
      <w:rPr>
        <w:noProof/>
      </w:rPr>
      <w:t>1</w:t>
    </w:r>
    <w:r>
      <w:fldChar w:fldCharType="end"/>
    </w:r>
  </w:p>
  <w:p w14:paraId="42F2EA8D" w14:textId="77777777" w:rsidR="00746D3C" w:rsidRDefault="00746D3C">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BA72" w14:textId="77777777" w:rsidR="00746D3C" w:rsidRDefault="00746D3C">
    <w:pPr>
      <w:pStyle w:val="Pta"/>
      <w:jc w:val="right"/>
    </w:pPr>
    <w:r>
      <w:fldChar w:fldCharType="begin"/>
    </w:r>
    <w:r>
      <w:instrText>PAGE   \* MERGEFORMAT</w:instrText>
    </w:r>
    <w:r>
      <w:fldChar w:fldCharType="separate"/>
    </w:r>
    <w:r>
      <w:rPr>
        <w:noProof/>
      </w:rPr>
      <w:t>0</w:t>
    </w:r>
    <w:r>
      <w:fldChar w:fldCharType="end"/>
    </w:r>
  </w:p>
  <w:p w14:paraId="388F68FA" w14:textId="77777777" w:rsidR="00746D3C" w:rsidRDefault="00746D3C">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035099"/>
      <w:docPartObj>
        <w:docPartGallery w:val="Page Numbers (Bottom of Page)"/>
        <w:docPartUnique/>
      </w:docPartObj>
    </w:sdtPr>
    <w:sdtEndPr/>
    <w:sdtContent>
      <w:p w14:paraId="3F1E3C13" w14:textId="77777777" w:rsidR="00746D3C" w:rsidRPr="006045CB" w:rsidRDefault="00746D3C" w:rsidP="00054C41">
        <w:pPr>
          <w:pStyle w:val="Pta"/>
          <w:jc w:val="right"/>
        </w:pPr>
        <w:r w:rsidRPr="006045CB">
          <w:fldChar w:fldCharType="begin"/>
        </w:r>
        <w:r w:rsidRPr="006045CB">
          <w:instrText>PAGE   \* MERGEFORMAT</w:instrText>
        </w:r>
        <w:r w:rsidRPr="006045CB">
          <w:fldChar w:fldCharType="separate"/>
        </w:r>
        <w:r>
          <w:rPr>
            <w:noProof/>
          </w:rPr>
          <w:t>17</w:t>
        </w:r>
        <w:r w:rsidRPr="006045CB">
          <w:fldChar w:fldCharType="end"/>
        </w:r>
      </w:p>
    </w:sdtContent>
  </w:sdt>
  <w:p w14:paraId="05F3833E" w14:textId="77777777" w:rsidR="00746D3C" w:rsidRPr="00FF7125" w:rsidRDefault="00746D3C" w:rsidP="00054C41">
    <w:pPr>
      <w:pStyle w:val="Pta"/>
    </w:pPr>
  </w:p>
  <w:p w14:paraId="69FE88EF" w14:textId="77777777" w:rsidR="00746D3C" w:rsidRDefault="00746D3C">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F15F" w14:textId="77777777" w:rsidR="005E4B14" w:rsidRPr="005E4B14" w:rsidRDefault="005E4B14">
    <w:pPr>
      <w:pStyle w:val="Pta"/>
      <w:jc w:val="right"/>
      <w:rPr>
        <w:sz w:val="20"/>
        <w:szCs w:val="20"/>
      </w:rPr>
    </w:pPr>
    <w:r w:rsidRPr="005E4B14">
      <w:rPr>
        <w:sz w:val="20"/>
        <w:szCs w:val="20"/>
      </w:rPr>
      <w:fldChar w:fldCharType="begin"/>
    </w:r>
    <w:r w:rsidRPr="005E4B14">
      <w:rPr>
        <w:sz w:val="20"/>
        <w:szCs w:val="20"/>
      </w:rPr>
      <w:instrText>PAGE   \* MERGEFORMAT</w:instrText>
    </w:r>
    <w:r w:rsidRPr="005E4B14">
      <w:rPr>
        <w:sz w:val="20"/>
        <w:szCs w:val="20"/>
      </w:rPr>
      <w:fldChar w:fldCharType="separate"/>
    </w:r>
    <w:r w:rsidRPr="005E4B14">
      <w:rPr>
        <w:sz w:val="20"/>
        <w:szCs w:val="20"/>
      </w:rPr>
      <w:t>2</w:t>
    </w:r>
    <w:r w:rsidRPr="005E4B14">
      <w:rPr>
        <w:sz w:val="20"/>
        <w:szCs w:val="20"/>
      </w:rPr>
      <w:fldChar w:fldCharType="end"/>
    </w:r>
  </w:p>
  <w:p w14:paraId="782BB747" w14:textId="77777777" w:rsidR="005E4B14" w:rsidRDefault="005E4B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D265" w14:textId="77777777" w:rsidR="00D35EDA" w:rsidRDefault="00D35EDA" w:rsidP="005E4B14">
      <w:r>
        <w:separator/>
      </w:r>
    </w:p>
  </w:footnote>
  <w:footnote w:type="continuationSeparator" w:id="0">
    <w:p w14:paraId="1C47C54B" w14:textId="77777777" w:rsidR="00D35EDA" w:rsidRDefault="00D35EDA" w:rsidP="005E4B14">
      <w:r>
        <w:continuationSeparator/>
      </w:r>
    </w:p>
  </w:footnote>
  <w:footnote w:id="1">
    <w:p w14:paraId="4FDB76D0" w14:textId="77777777" w:rsidR="00746D3C" w:rsidRPr="000A6B7F" w:rsidRDefault="00746D3C" w:rsidP="00746D3C">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3169EE0B" w14:textId="77777777" w:rsidR="00746D3C" w:rsidRPr="00804BC8" w:rsidRDefault="00746D3C" w:rsidP="00746D3C">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Informácie sa uvádzajú</w:t>
      </w:r>
      <w:r>
        <w:rPr>
          <w:rFonts w:ascii="Times New Roman" w:hAnsi="Times New Roman" w:cs="Times New Roman"/>
        </w:rPr>
        <w:t xml:space="preserve"> </w:t>
      </w:r>
      <w:r w:rsidRPr="00804BC8">
        <w:rPr>
          <w:rFonts w:ascii="Times New Roman" w:hAnsi="Times New Roman" w:cs="Times New Roman"/>
        </w:rPr>
        <w:t xml:space="preserve">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47DDE5BA" w14:textId="77777777" w:rsidR="00746D3C" w:rsidRDefault="00746D3C" w:rsidP="00746D3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EE58" w14:textId="77777777" w:rsidR="00746D3C" w:rsidRDefault="00746D3C" w:rsidP="002B63FD">
    <w:pPr>
      <w:pStyle w:val="Hlavika"/>
      <w:jc w:val="right"/>
    </w:pPr>
    <w:r>
      <w:t>Príloha č. 2</w:t>
    </w:r>
  </w:p>
  <w:p w14:paraId="297F6655" w14:textId="77777777" w:rsidR="00746D3C" w:rsidRPr="00EB59C8" w:rsidRDefault="00746D3C" w:rsidP="002B63F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408E" w14:textId="77777777" w:rsidR="00746D3C" w:rsidRPr="000A15AE" w:rsidRDefault="00746D3C" w:rsidP="002B63FD">
    <w:pPr>
      <w:pStyle w:val="Hlavika"/>
      <w:jc w:val="right"/>
    </w:pPr>
    <w:r>
      <w:t>Príloha č.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A168" w14:textId="77777777" w:rsidR="00746D3C" w:rsidRPr="006045CB" w:rsidRDefault="00746D3C"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46C"/>
    <w:multiLevelType w:val="hybridMultilevel"/>
    <w:tmpl w:val="44528930"/>
    <w:lvl w:ilvl="0" w:tplc="041B0017">
      <w:start w:val="1"/>
      <w:numFmt w:val="lowerLetter"/>
      <w:lvlText w:val="%1)"/>
      <w:lvlJc w:val="left"/>
      <w:pPr>
        <w:tabs>
          <w:tab w:val="num" w:pos="785"/>
        </w:tabs>
        <w:ind w:left="785" w:hanging="360"/>
      </w:pPr>
      <w:rPr>
        <w:rFonts w:hint="default"/>
      </w:rPr>
    </w:lvl>
    <w:lvl w:ilvl="1" w:tplc="041B0019" w:tentative="1">
      <w:start w:val="1"/>
      <w:numFmt w:val="lowerLetter"/>
      <w:lvlText w:val="%2."/>
      <w:lvlJc w:val="left"/>
      <w:pPr>
        <w:tabs>
          <w:tab w:val="num" w:pos="1505"/>
        </w:tabs>
        <w:ind w:left="1505" w:hanging="360"/>
      </w:pPr>
    </w:lvl>
    <w:lvl w:ilvl="2" w:tplc="041B001B" w:tentative="1">
      <w:start w:val="1"/>
      <w:numFmt w:val="lowerRoman"/>
      <w:lvlText w:val="%3."/>
      <w:lvlJc w:val="right"/>
      <w:pPr>
        <w:tabs>
          <w:tab w:val="num" w:pos="2225"/>
        </w:tabs>
        <w:ind w:left="2225" w:hanging="180"/>
      </w:pPr>
    </w:lvl>
    <w:lvl w:ilvl="3" w:tplc="041B000F" w:tentative="1">
      <w:start w:val="1"/>
      <w:numFmt w:val="decimal"/>
      <w:lvlText w:val="%4."/>
      <w:lvlJc w:val="left"/>
      <w:pPr>
        <w:tabs>
          <w:tab w:val="num" w:pos="2945"/>
        </w:tabs>
        <w:ind w:left="2945" w:hanging="360"/>
      </w:pPr>
    </w:lvl>
    <w:lvl w:ilvl="4" w:tplc="041B0019" w:tentative="1">
      <w:start w:val="1"/>
      <w:numFmt w:val="lowerLetter"/>
      <w:lvlText w:val="%5."/>
      <w:lvlJc w:val="left"/>
      <w:pPr>
        <w:tabs>
          <w:tab w:val="num" w:pos="3665"/>
        </w:tabs>
        <w:ind w:left="3665" w:hanging="360"/>
      </w:pPr>
    </w:lvl>
    <w:lvl w:ilvl="5" w:tplc="041B001B" w:tentative="1">
      <w:start w:val="1"/>
      <w:numFmt w:val="lowerRoman"/>
      <w:lvlText w:val="%6."/>
      <w:lvlJc w:val="right"/>
      <w:pPr>
        <w:tabs>
          <w:tab w:val="num" w:pos="4385"/>
        </w:tabs>
        <w:ind w:left="4385" w:hanging="180"/>
      </w:pPr>
    </w:lvl>
    <w:lvl w:ilvl="6" w:tplc="041B000F" w:tentative="1">
      <w:start w:val="1"/>
      <w:numFmt w:val="decimal"/>
      <w:lvlText w:val="%7."/>
      <w:lvlJc w:val="left"/>
      <w:pPr>
        <w:tabs>
          <w:tab w:val="num" w:pos="5105"/>
        </w:tabs>
        <w:ind w:left="5105" w:hanging="360"/>
      </w:pPr>
    </w:lvl>
    <w:lvl w:ilvl="7" w:tplc="041B0019" w:tentative="1">
      <w:start w:val="1"/>
      <w:numFmt w:val="lowerLetter"/>
      <w:lvlText w:val="%8."/>
      <w:lvlJc w:val="left"/>
      <w:pPr>
        <w:tabs>
          <w:tab w:val="num" w:pos="5825"/>
        </w:tabs>
        <w:ind w:left="5825" w:hanging="360"/>
      </w:pPr>
    </w:lvl>
    <w:lvl w:ilvl="8" w:tplc="041B001B" w:tentative="1">
      <w:start w:val="1"/>
      <w:numFmt w:val="lowerRoman"/>
      <w:lvlText w:val="%9."/>
      <w:lvlJc w:val="right"/>
      <w:pPr>
        <w:tabs>
          <w:tab w:val="num" w:pos="6545"/>
        </w:tabs>
        <w:ind w:left="6545" w:hanging="180"/>
      </w:pPr>
    </w:lvl>
  </w:abstractNum>
  <w:abstractNum w:abstractNumId="1" w15:restartNumberingAfterBreak="0">
    <w:nsid w:val="019F64D4"/>
    <w:multiLevelType w:val="hybridMultilevel"/>
    <w:tmpl w:val="EE141AA8"/>
    <w:lvl w:ilvl="0" w:tplc="8AB83FCC">
      <w:start w:val="1"/>
      <w:numFmt w:val="decimal"/>
      <w:lvlText w:val="%1."/>
      <w:lvlJc w:val="left"/>
      <w:pPr>
        <w:tabs>
          <w:tab w:val="num" w:pos="1758"/>
        </w:tabs>
        <w:ind w:left="1758" w:hanging="105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5BA6443"/>
    <w:multiLevelType w:val="hybridMultilevel"/>
    <w:tmpl w:val="228CA8DE"/>
    <w:lvl w:ilvl="0" w:tplc="1616A4EA">
      <w:start w:val="4"/>
      <w:numFmt w:val="lowerLetter"/>
      <w:lvlText w:val="%1)"/>
      <w:lvlJc w:val="left"/>
      <w:pPr>
        <w:tabs>
          <w:tab w:val="num" w:pos="720"/>
        </w:tabs>
        <w:ind w:left="720" w:hanging="360"/>
      </w:pPr>
      <w:rPr>
        <w:rFonts w:hint="default"/>
        <w:color w:val="1F497D"/>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6CD0EC5"/>
    <w:multiLevelType w:val="hybridMultilevel"/>
    <w:tmpl w:val="7B700CC6"/>
    <w:lvl w:ilvl="0" w:tplc="00F0407E">
      <w:numFmt w:val="bullet"/>
      <w:lvlText w:val="-"/>
      <w:lvlJc w:val="left"/>
      <w:pPr>
        <w:tabs>
          <w:tab w:val="num" w:pos="720"/>
        </w:tabs>
        <w:ind w:left="720" w:hanging="360"/>
      </w:pPr>
      <w:rPr>
        <w:rFonts w:ascii="Times New Roman" w:eastAsia="Times New Roman" w:hAnsi="Times New Roman" w:cs="Times New Roman" w:hint="default"/>
        <w:color w:val="1F497D"/>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BFC7FB7"/>
    <w:multiLevelType w:val="hybridMultilevel"/>
    <w:tmpl w:val="85F8E380"/>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338BD"/>
    <w:multiLevelType w:val="hybridMultilevel"/>
    <w:tmpl w:val="DA36D794"/>
    <w:lvl w:ilvl="0" w:tplc="8AB83FCC">
      <w:start w:val="1"/>
      <w:numFmt w:val="decimal"/>
      <w:lvlText w:val="%1."/>
      <w:lvlJc w:val="left"/>
      <w:pPr>
        <w:tabs>
          <w:tab w:val="num" w:pos="1758"/>
        </w:tabs>
        <w:ind w:left="1758" w:hanging="1050"/>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8" w15:restartNumberingAfterBreak="0">
    <w:nsid w:val="102811D0"/>
    <w:multiLevelType w:val="hybridMultilevel"/>
    <w:tmpl w:val="246E0FBA"/>
    <w:lvl w:ilvl="0" w:tplc="041B000F">
      <w:start w:val="1"/>
      <w:numFmt w:val="decimal"/>
      <w:lvlText w:val="%1."/>
      <w:lvlJc w:val="left"/>
      <w:pPr>
        <w:tabs>
          <w:tab w:val="num" w:pos="360"/>
        </w:tabs>
        <w:ind w:left="360" w:hanging="360"/>
      </w:pPr>
      <w:rPr>
        <w:rFonts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D3F2D1F"/>
    <w:multiLevelType w:val="hybridMultilevel"/>
    <w:tmpl w:val="2976140A"/>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6C3090"/>
    <w:multiLevelType w:val="hybridMultilevel"/>
    <w:tmpl w:val="7DA8FD1E"/>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8E60C1"/>
    <w:multiLevelType w:val="hybridMultilevel"/>
    <w:tmpl w:val="382200FA"/>
    <w:lvl w:ilvl="0" w:tplc="8AB83FCC">
      <w:start w:val="1"/>
      <w:numFmt w:val="decimal"/>
      <w:lvlText w:val="%1."/>
      <w:lvlJc w:val="left"/>
      <w:pPr>
        <w:tabs>
          <w:tab w:val="num" w:pos="1050"/>
        </w:tabs>
        <w:ind w:left="1050" w:hanging="1050"/>
      </w:pPr>
      <w:rPr>
        <w:rFonts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996FE7"/>
    <w:multiLevelType w:val="multilevel"/>
    <w:tmpl w:val="858C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9371C"/>
    <w:multiLevelType w:val="hybridMultilevel"/>
    <w:tmpl w:val="F59271D6"/>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5E5425"/>
    <w:multiLevelType w:val="multilevel"/>
    <w:tmpl w:val="246E0FB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607C23"/>
    <w:multiLevelType w:val="hybridMultilevel"/>
    <w:tmpl w:val="33A0CED0"/>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6D1D3E"/>
    <w:multiLevelType w:val="hybridMultilevel"/>
    <w:tmpl w:val="671C25CA"/>
    <w:lvl w:ilvl="0" w:tplc="2638BEA4">
      <w:start w:val="1"/>
      <w:numFmt w:val="bullet"/>
      <w:lvlText w:val=""/>
      <w:lvlJc w:val="left"/>
      <w:pPr>
        <w:ind w:left="720" w:hanging="360"/>
      </w:pPr>
      <w:rPr>
        <w:rFonts w:ascii="Symbol" w:hAnsi="Symbol" w:hint="default"/>
      </w:rPr>
    </w:lvl>
    <w:lvl w:ilvl="1" w:tplc="CCCEB200">
      <w:start w:val="6"/>
      <w:numFmt w:val="bullet"/>
      <w:lvlText w:val="-"/>
      <w:lvlJc w:val="left"/>
      <w:pPr>
        <w:ind w:left="900" w:hanging="360"/>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D326537"/>
    <w:multiLevelType w:val="hybridMultilevel"/>
    <w:tmpl w:val="6B062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C2E469"/>
    <w:multiLevelType w:val="hybridMultilevel"/>
    <w:tmpl w:val="3B0800AC"/>
    <w:lvl w:ilvl="0" w:tplc="12743A6E">
      <w:start w:val="1"/>
      <w:numFmt w:val="bullet"/>
      <w:lvlText w:val=""/>
      <w:lvlJc w:val="left"/>
      <w:pPr>
        <w:ind w:left="720" w:hanging="360"/>
      </w:pPr>
      <w:rPr>
        <w:rFonts w:ascii="Symbol" w:hAnsi="Symbol" w:hint="default"/>
      </w:rPr>
    </w:lvl>
    <w:lvl w:ilvl="1" w:tplc="F49A6C48">
      <w:start w:val="1"/>
      <w:numFmt w:val="bullet"/>
      <w:lvlText w:val="o"/>
      <w:lvlJc w:val="left"/>
      <w:pPr>
        <w:ind w:left="1440" w:hanging="360"/>
      </w:pPr>
      <w:rPr>
        <w:rFonts w:ascii="Courier New" w:hAnsi="Courier New" w:hint="default"/>
      </w:rPr>
    </w:lvl>
    <w:lvl w:ilvl="2" w:tplc="96C47D54">
      <w:start w:val="1"/>
      <w:numFmt w:val="bullet"/>
      <w:lvlText w:val=""/>
      <w:lvlJc w:val="left"/>
      <w:pPr>
        <w:ind w:left="2160" w:hanging="360"/>
      </w:pPr>
      <w:rPr>
        <w:rFonts w:ascii="Wingdings" w:hAnsi="Wingdings" w:hint="default"/>
      </w:rPr>
    </w:lvl>
    <w:lvl w:ilvl="3" w:tplc="9B0815E8">
      <w:start w:val="1"/>
      <w:numFmt w:val="bullet"/>
      <w:lvlText w:val=""/>
      <w:lvlJc w:val="left"/>
      <w:pPr>
        <w:ind w:left="2880" w:hanging="360"/>
      </w:pPr>
      <w:rPr>
        <w:rFonts w:ascii="Symbol" w:hAnsi="Symbol" w:hint="default"/>
      </w:rPr>
    </w:lvl>
    <w:lvl w:ilvl="4" w:tplc="DCFEA74C">
      <w:start w:val="1"/>
      <w:numFmt w:val="bullet"/>
      <w:lvlText w:val="o"/>
      <w:lvlJc w:val="left"/>
      <w:pPr>
        <w:ind w:left="3600" w:hanging="360"/>
      </w:pPr>
      <w:rPr>
        <w:rFonts w:ascii="Courier New" w:hAnsi="Courier New" w:hint="default"/>
      </w:rPr>
    </w:lvl>
    <w:lvl w:ilvl="5" w:tplc="AA46BEF6">
      <w:start w:val="1"/>
      <w:numFmt w:val="bullet"/>
      <w:lvlText w:val=""/>
      <w:lvlJc w:val="left"/>
      <w:pPr>
        <w:ind w:left="4320" w:hanging="360"/>
      </w:pPr>
      <w:rPr>
        <w:rFonts w:ascii="Wingdings" w:hAnsi="Wingdings" w:hint="default"/>
      </w:rPr>
    </w:lvl>
    <w:lvl w:ilvl="6" w:tplc="67DCD9CC">
      <w:start w:val="1"/>
      <w:numFmt w:val="bullet"/>
      <w:lvlText w:val=""/>
      <w:lvlJc w:val="left"/>
      <w:pPr>
        <w:ind w:left="5040" w:hanging="360"/>
      </w:pPr>
      <w:rPr>
        <w:rFonts w:ascii="Symbol" w:hAnsi="Symbol" w:hint="default"/>
      </w:rPr>
    </w:lvl>
    <w:lvl w:ilvl="7" w:tplc="FE88560E">
      <w:start w:val="1"/>
      <w:numFmt w:val="bullet"/>
      <w:lvlText w:val="o"/>
      <w:lvlJc w:val="left"/>
      <w:pPr>
        <w:ind w:left="5760" w:hanging="360"/>
      </w:pPr>
      <w:rPr>
        <w:rFonts w:ascii="Courier New" w:hAnsi="Courier New" w:hint="default"/>
      </w:rPr>
    </w:lvl>
    <w:lvl w:ilvl="8" w:tplc="C12C5192">
      <w:start w:val="1"/>
      <w:numFmt w:val="bullet"/>
      <w:lvlText w:val=""/>
      <w:lvlJc w:val="left"/>
      <w:pPr>
        <w:ind w:left="6480" w:hanging="360"/>
      </w:pPr>
      <w:rPr>
        <w:rFonts w:ascii="Wingdings" w:hAnsi="Wingdings" w:hint="default"/>
      </w:rPr>
    </w:lvl>
  </w:abstractNum>
  <w:abstractNum w:abstractNumId="24" w15:restartNumberingAfterBreak="0">
    <w:nsid w:val="3E88267C"/>
    <w:multiLevelType w:val="hybridMultilevel"/>
    <w:tmpl w:val="308E0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D61AB9"/>
    <w:multiLevelType w:val="multilevel"/>
    <w:tmpl w:val="A094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DA7A3A"/>
    <w:multiLevelType w:val="hybridMultilevel"/>
    <w:tmpl w:val="7BEEDF30"/>
    <w:lvl w:ilvl="0" w:tplc="CCCEB200">
      <w:start w:val="6"/>
      <w:numFmt w:val="bullet"/>
      <w:lvlText w:val="-"/>
      <w:lvlJc w:val="left"/>
      <w:pPr>
        <w:ind w:left="1622" w:hanging="360"/>
      </w:pPr>
      <w:rPr>
        <w:rFonts w:ascii="Times New Roman" w:eastAsia="Times New Roman" w:hAnsi="Times New Roman" w:hint="default"/>
      </w:rPr>
    </w:lvl>
    <w:lvl w:ilvl="1" w:tplc="041B0003" w:tentative="1">
      <w:start w:val="1"/>
      <w:numFmt w:val="bullet"/>
      <w:lvlText w:val="o"/>
      <w:lvlJc w:val="left"/>
      <w:pPr>
        <w:ind w:left="2342" w:hanging="360"/>
      </w:pPr>
      <w:rPr>
        <w:rFonts w:ascii="Courier New" w:hAnsi="Courier New" w:cs="Courier New" w:hint="default"/>
      </w:rPr>
    </w:lvl>
    <w:lvl w:ilvl="2" w:tplc="041B0005" w:tentative="1">
      <w:start w:val="1"/>
      <w:numFmt w:val="bullet"/>
      <w:lvlText w:val=""/>
      <w:lvlJc w:val="left"/>
      <w:pPr>
        <w:ind w:left="3062" w:hanging="360"/>
      </w:pPr>
      <w:rPr>
        <w:rFonts w:ascii="Wingdings" w:hAnsi="Wingdings" w:hint="default"/>
      </w:rPr>
    </w:lvl>
    <w:lvl w:ilvl="3" w:tplc="041B0001" w:tentative="1">
      <w:start w:val="1"/>
      <w:numFmt w:val="bullet"/>
      <w:lvlText w:val=""/>
      <w:lvlJc w:val="left"/>
      <w:pPr>
        <w:ind w:left="3782" w:hanging="360"/>
      </w:pPr>
      <w:rPr>
        <w:rFonts w:ascii="Symbol" w:hAnsi="Symbol" w:hint="default"/>
      </w:rPr>
    </w:lvl>
    <w:lvl w:ilvl="4" w:tplc="041B0003" w:tentative="1">
      <w:start w:val="1"/>
      <w:numFmt w:val="bullet"/>
      <w:lvlText w:val="o"/>
      <w:lvlJc w:val="left"/>
      <w:pPr>
        <w:ind w:left="4502" w:hanging="360"/>
      </w:pPr>
      <w:rPr>
        <w:rFonts w:ascii="Courier New" w:hAnsi="Courier New" w:cs="Courier New" w:hint="default"/>
      </w:rPr>
    </w:lvl>
    <w:lvl w:ilvl="5" w:tplc="041B0005" w:tentative="1">
      <w:start w:val="1"/>
      <w:numFmt w:val="bullet"/>
      <w:lvlText w:val=""/>
      <w:lvlJc w:val="left"/>
      <w:pPr>
        <w:ind w:left="5222" w:hanging="360"/>
      </w:pPr>
      <w:rPr>
        <w:rFonts w:ascii="Wingdings" w:hAnsi="Wingdings" w:hint="default"/>
      </w:rPr>
    </w:lvl>
    <w:lvl w:ilvl="6" w:tplc="041B0001" w:tentative="1">
      <w:start w:val="1"/>
      <w:numFmt w:val="bullet"/>
      <w:lvlText w:val=""/>
      <w:lvlJc w:val="left"/>
      <w:pPr>
        <w:ind w:left="5942" w:hanging="360"/>
      </w:pPr>
      <w:rPr>
        <w:rFonts w:ascii="Symbol" w:hAnsi="Symbol" w:hint="default"/>
      </w:rPr>
    </w:lvl>
    <w:lvl w:ilvl="7" w:tplc="041B0003" w:tentative="1">
      <w:start w:val="1"/>
      <w:numFmt w:val="bullet"/>
      <w:lvlText w:val="o"/>
      <w:lvlJc w:val="left"/>
      <w:pPr>
        <w:ind w:left="6662" w:hanging="360"/>
      </w:pPr>
      <w:rPr>
        <w:rFonts w:ascii="Courier New" w:hAnsi="Courier New" w:cs="Courier New" w:hint="default"/>
      </w:rPr>
    </w:lvl>
    <w:lvl w:ilvl="8" w:tplc="041B0005" w:tentative="1">
      <w:start w:val="1"/>
      <w:numFmt w:val="bullet"/>
      <w:lvlText w:val=""/>
      <w:lvlJc w:val="left"/>
      <w:pPr>
        <w:ind w:left="7382" w:hanging="360"/>
      </w:pPr>
      <w:rPr>
        <w:rFonts w:ascii="Wingdings" w:hAnsi="Wingdings" w:hint="default"/>
      </w:rPr>
    </w:lvl>
  </w:abstractNum>
  <w:abstractNum w:abstractNumId="28" w15:restartNumberingAfterBreak="0">
    <w:nsid w:val="5249791F"/>
    <w:multiLevelType w:val="hybridMultilevel"/>
    <w:tmpl w:val="161C7A92"/>
    <w:lvl w:ilvl="0" w:tplc="B14C63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54DB2B98"/>
    <w:multiLevelType w:val="hybridMultilevel"/>
    <w:tmpl w:val="53E4DE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8481032"/>
    <w:multiLevelType w:val="hybridMultilevel"/>
    <w:tmpl w:val="D6DEC3B6"/>
    <w:lvl w:ilvl="0" w:tplc="E0A49438">
      <w:start w:val="3"/>
      <w:numFmt w:val="bullet"/>
      <w:lvlText w:val="-"/>
      <w:lvlJc w:val="left"/>
      <w:pPr>
        <w:tabs>
          <w:tab w:val="num" w:pos="855"/>
        </w:tabs>
        <w:ind w:left="855" w:hanging="855"/>
      </w:pPr>
      <w:rPr>
        <w:rFonts w:ascii="Calibri" w:eastAsia="Times New Roman" w:hAnsi="Calibri" w:cs="Calibri"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7D62CA"/>
    <w:multiLevelType w:val="hybridMultilevel"/>
    <w:tmpl w:val="6FF8D8B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225E20"/>
    <w:multiLevelType w:val="hybridMultilevel"/>
    <w:tmpl w:val="6C1A7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B91697"/>
    <w:multiLevelType w:val="hybridMultilevel"/>
    <w:tmpl w:val="C3563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9B77D4"/>
    <w:multiLevelType w:val="multilevel"/>
    <w:tmpl w:val="D4E25A3E"/>
    <w:lvl w:ilvl="0">
      <w:start w:val="1"/>
      <w:numFmt w:val="decimal"/>
      <w:lvlText w:val="%1."/>
      <w:legacy w:legacy="1" w:legacySpace="0" w:legacyIndent="425"/>
      <w:lvlJc w:val="left"/>
      <w:pPr>
        <w:ind w:left="425" w:hanging="425"/>
      </w:pPr>
      <w:rPr>
        <w:b/>
        <w:bCs/>
      </w:rPr>
    </w:lvl>
    <w:lvl w:ilvl="1">
      <w:start w:val="1"/>
      <w:numFmt w:val="lowerLetter"/>
      <w:lvlText w:val="%2)"/>
      <w:legacy w:legacy="1" w:legacySpace="0" w:legacyIndent="425"/>
      <w:lvlJc w:val="left"/>
      <w:pPr>
        <w:ind w:left="850" w:hanging="425"/>
      </w:pPr>
      <w:rPr>
        <w:b/>
      </w:r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37" w15:restartNumberingAfterBreak="0">
    <w:nsid w:val="622C051F"/>
    <w:multiLevelType w:val="hybridMultilevel"/>
    <w:tmpl w:val="5434ADC8"/>
    <w:lvl w:ilvl="0" w:tplc="2638BEA4">
      <w:start w:val="1"/>
      <w:numFmt w:val="bullet"/>
      <w:lvlText w:val=""/>
      <w:lvlJc w:val="left"/>
      <w:pPr>
        <w:ind w:left="1283" w:hanging="360"/>
      </w:pPr>
      <w:rPr>
        <w:rFonts w:ascii="Symbol" w:hAnsi="Symbol" w:hint="default"/>
      </w:rPr>
    </w:lvl>
    <w:lvl w:ilvl="1" w:tplc="041B0003" w:tentative="1">
      <w:start w:val="1"/>
      <w:numFmt w:val="bullet"/>
      <w:lvlText w:val="o"/>
      <w:lvlJc w:val="left"/>
      <w:pPr>
        <w:ind w:left="2003" w:hanging="360"/>
      </w:pPr>
      <w:rPr>
        <w:rFonts w:ascii="Courier New" w:hAnsi="Courier New" w:cs="Courier New" w:hint="default"/>
      </w:rPr>
    </w:lvl>
    <w:lvl w:ilvl="2" w:tplc="041B0005" w:tentative="1">
      <w:start w:val="1"/>
      <w:numFmt w:val="bullet"/>
      <w:lvlText w:val=""/>
      <w:lvlJc w:val="left"/>
      <w:pPr>
        <w:ind w:left="2723" w:hanging="360"/>
      </w:pPr>
      <w:rPr>
        <w:rFonts w:ascii="Wingdings" w:hAnsi="Wingdings" w:hint="default"/>
      </w:rPr>
    </w:lvl>
    <w:lvl w:ilvl="3" w:tplc="041B0001" w:tentative="1">
      <w:start w:val="1"/>
      <w:numFmt w:val="bullet"/>
      <w:lvlText w:val=""/>
      <w:lvlJc w:val="left"/>
      <w:pPr>
        <w:ind w:left="3443" w:hanging="360"/>
      </w:pPr>
      <w:rPr>
        <w:rFonts w:ascii="Symbol" w:hAnsi="Symbol" w:hint="default"/>
      </w:rPr>
    </w:lvl>
    <w:lvl w:ilvl="4" w:tplc="041B0003" w:tentative="1">
      <w:start w:val="1"/>
      <w:numFmt w:val="bullet"/>
      <w:lvlText w:val="o"/>
      <w:lvlJc w:val="left"/>
      <w:pPr>
        <w:ind w:left="4163" w:hanging="360"/>
      </w:pPr>
      <w:rPr>
        <w:rFonts w:ascii="Courier New" w:hAnsi="Courier New" w:cs="Courier New" w:hint="default"/>
      </w:rPr>
    </w:lvl>
    <w:lvl w:ilvl="5" w:tplc="041B0005" w:tentative="1">
      <w:start w:val="1"/>
      <w:numFmt w:val="bullet"/>
      <w:lvlText w:val=""/>
      <w:lvlJc w:val="left"/>
      <w:pPr>
        <w:ind w:left="4883" w:hanging="360"/>
      </w:pPr>
      <w:rPr>
        <w:rFonts w:ascii="Wingdings" w:hAnsi="Wingdings" w:hint="default"/>
      </w:rPr>
    </w:lvl>
    <w:lvl w:ilvl="6" w:tplc="041B0001" w:tentative="1">
      <w:start w:val="1"/>
      <w:numFmt w:val="bullet"/>
      <w:lvlText w:val=""/>
      <w:lvlJc w:val="left"/>
      <w:pPr>
        <w:ind w:left="5603" w:hanging="360"/>
      </w:pPr>
      <w:rPr>
        <w:rFonts w:ascii="Symbol" w:hAnsi="Symbol" w:hint="default"/>
      </w:rPr>
    </w:lvl>
    <w:lvl w:ilvl="7" w:tplc="041B0003" w:tentative="1">
      <w:start w:val="1"/>
      <w:numFmt w:val="bullet"/>
      <w:lvlText w:val="o"/>
      <w:lvlJc w:val="left"/>
      <w:pPr>
        <w:ind w:left="6323" w:hanging="360"/>
      </w:pPr>
      <w:rPr>
        <w:rFonts w:ascii="Courier New" w:hAnsi="Courier New" w:cs="Courier New" w:hint="default"/>
      </w:rPr>
    </w:lvl>
    <w:lvl w:ilvl="8" w:tplc="041B0005" w:tentative="1">
      <w:start w:val="1"/>
      <w:numFmt w:val="bullet"/>
      <w:lvlText w:val=""/>
      <w:lvlJc w:val="left"/>
      <w:pPr>
        <w:ind w:left="7043" w:hanging="360"/>
      </w:pPr>
      <w:rPr>
        <w:rFonts w:ascii="Wingdings" w:hAnsi="Wingdings" w:hint="default"/>
      </w:rPr>
    </w:lvl>
  </w:abstractNum>
  <w:abstractNum w:abstractNumId="38" w15:restartNumberingAfterBreak="0">
    <w:nsid w:val="632834AD"/>
    <w:multiLevelType w:val="hybridMultilevel"/>
    <w:tmpl w:val="6BB20D80"/>
    <w:lvl w:ilvl="0" w:tplc="CB76F2E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9" w15:restartNumberingAfterBreak="0">
    <w:nsid w:val="64316672"/>
    <w:multiLevelType w:val="hybridMultilevel"/>
    <w:tmpl w:val="F7DAF26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6A2E381C"/>
    <w:multiLevelType w:val="hybridMultilevel"/>
    <w:tmpl w:val="6B4E01D2"/>
    <w:lvl w:ilvl="0" w:tplc="1616A4EA">
      <w:start w:val="4"/>
      <w:numFmt w:val="lowerLetter"/>
      <w:lvlText w:val="%1)"/>
      <w:lvlJc w:val="left"/>
      <w:pPr>
        <w:tabs>
          <w:tab w:val="num" w:pos="720"/>
        </w:tabs>
        <w:ind w:left="720" w:hanging="360"/>
      </w:pPr>
      <w:rPr>
        <w:rFonts w:hint="default"/>
        <w:color w:val="1F497D"/>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3"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4"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5BD1757"/>
    <w:multiLevelType w:val="hybridMultilevel"/>
    <w:tmpl w:val="4ABA146E"/>
    <w:lvl w:ilvl="0" w:tplc="9F16B1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7" w15:restartNumberingAfterBreak="0">
    <w:nsid w:val="7990527D"/>
    <w:multiLevelType w:val="hybridMultilevel"/>
    <w:tmpl w:val="0C16ED8A"/>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1330328374">
    <w:abstractNumId w:val="39"/>
  </w:num>
  <w:num w:numId="2" w16cid:durableId="1525705572">
    <w:abstractNumId w:val="2"/>
  </w:num>
  <w:num w:numId="3" w16cid:durableId="996418163">
    <w:abstractNumId w:val="40"/>
  </w:num>
  <w:num w:numId="4" w16cid:durableId="1585603777">
    <w:abstractNumId w:val="3"/>
  </w:num>
  <w:num w:numId="5" w16cid:durableId="107622770">
    <w:abstractNumId w:val="7"/>
  </w:num>
  <w:num w:numId="6" w16cid:durableId="602807162">
    <w:abstractNumId w:val="30"/>
  </w:num>
  <w:num w:numId="7" w16cid:durableId="1468543822">
    <w:abstractNumId w:val="1"/>
  </w:num>
  <w:num w:numId="8" w16cid:durableId="98062672">
    <w:abstractNumId w:val="14"/>
  </w:num>
  <w:num w:numId="9" w16cid:durableId="662318458">
    <w:abstractNumId w:val="8"/>
  </w:num>
  <w:num w:numId="10" w16cid:durableId="1339498127">
    <w:abstractNumId w:val="18"/>
  </w:num>
  <w:num w:numId="11" w16cid:durableId="216284594">
    <w:abstractNumId w:val="31"/>
  </w:num>
  <w:num w:numId="12" w16cid:durableId="1610890448">
    <w:abstractNumId w:val="48"/>
  </w:num>
  <w:num w:numId="13" w16cid:durableId="449133392">
    <w:abstractNumId w:val="15"/>
  </w:num>
  <w:num w:numId="14" w16cid:durableId="2128699911">
    <w:abstractNumId w:val="20"/>
  </w:num>
  <w:num w:numId="15" w16cid:durableId="1165315473">
    <w:abstractNumId w:val="6"/>
  </w:num>
  <w:num w:numId="16" w16cid:durableId="1044595068">
    <w:abstractNumId w:val="9"/>
  </w:num>
  <w:num w:numId="17" w16cid:durableId="1191526130">
    <w:abstractNumId w:val="43"/>
  </w:num>
  <w:num w:numId="18" w16cid:durableId="417095466">
    <w:abstractNumId w:val="44"/>
  </w:num>
  <w:num w:numId="19" w16cid:durableId="665015739">
    <w:abstractNumId w:val="42"/>
  </w:num>
  <w:num w:numId="20" w16cid:durableId="91558472">
    <w:abstractNumId w:val="33"/>
  </w:num>
  <w:num w:numId="21" w16cid:durableId="19348950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29947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2366189">
    <w:abstractNumId w:val="41"/>
  </w:num>
  <w:num w:numId="24" w16cid:durableId="1307511451">
    <w:abstractNumId w:val="12"/>
  </w:num>
  <w:num w:numId="25" w16cid:durableId="1596207308">
    <w:abstractNumId w:val="26"/>
  </w:num>
  <w:num w:numId="26" w16cid:durableId="1289701675">
    <w:abstractNumId w:val="4"/>
  </w:num>
  <w:num w:numId="27" w16cid:durableId="69278713">
    <w:abstractNumId w:val="46"/>
  </w:num>
  <w:num w:numId="28" w16cid:durableId="75637886">
    <w:abstractNumId w:val="32"/>
  </w:num>
  <w:num w:numId="29" w16cid:durableId="1592159550">
    <w:abstractNumId w:val="29"/>
  </w:num>
  <w:num w:numId="30" w16cid:durableId="923075157">
    <w:abstractNumId w:val="19"/>
  </w:num>
  <w:num w:numId="31" w16cid:durableId="1181815798">
    <w:abstractNumId w:val="47"/>
  </w:num>
  <w:num w:numId="32" w16cid:durableId="269778173">
    <w:abstractNumId w:val="28"/>
  </w:num>
  <w:num w:numId="33" w16cid:durableId="10498542">
    <w:abstractNumId w:val="17"/>
  </w:num>
  <w:num w:numId="34" w16cid:durableId="1485319188">
    <w:abstractNumId w:val="5"/>
  </w:num>
  <w:num w:numId="35" w16cid:durableId="2011593164">
    <w:abstractNumId w:val="35"/>
  </w:num>
  <w:num w:numId="36" w16cid:durableId="1841505033">
    <w:abstractNumId w:val="22"/>
  </w:num>
  <w:num w:numId="37" w16cid:durableId="1757822671">
    <w:abstractNumId w:val="45"/>
  </w:num>
  <w:num w:numId="38" w16cid:durableId="869563078">
    <w:abstractNumId w:val="13"/>
  </w:num>
  <w:num w:numId="39" w16cid:durableId="269507911">
    <w:abstractNumId w:val="24"/>
  </w:num>
  <w:num w:numId="40" w16cid:durableId="1714034114">
    <w:abstractNumId w:val="34"/>
  </w:num>
  <w:num w:numId="41" w16cid:durableId="44454713">
    <w:abstractNumId w:val="38"/>
  </w:num>
  <w:num w:numId="42" w16cid:durableId="1255552181">
    <w:abstractNumId w:val="36"/>
  </w:num>
  <w:num w:numId="43" w16cid:durableId="1976329211">
    <w:abstractNumId w:val="11"/>
  </w:num>
  <w:num w:numId="44" w16cid:durableId="133304252">
    <w:abstractNumId w:val="0"/>
  </w:num>
  <w:num w:numId="45" w16cid:durableId="1295988766">
    <w:abstractNumId w:val="27"/>
  </w:num>
  <w:num w:numId="46" w16cid:durableId="936712101">
    <w:abstractNumId w:val="21"/>
  </w:num>
  <w:num w:numId="47" w16cid:durableId="771247341">
    <w:abstractNumId w:val="37"/>
  </w:num>
  <w:num w:numId="48" w16cid:durableId="1841237143">
    <w:abstractNumId w:val="23"/>
  </w:num>
  <w:num w:numId="49" w16cid:durableId="1975788921">
    <w:abstractNumId w:val="25"/>
  </w:num>
  <w:num w:numId="50" w16cid:durableId="30814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07"/>
    <w:rsid w:val="000057BA"/>
    <w:rsid w:val="00010816"/>
    <w:rsid w:val="0003364E"/>
    <w:rsid w:val="000343A8"/>
    <w:rsid w:val="00034F15"/>
    <w:rsid w:val="0006235E"/>
    <w:rsid w:val="0006479B"/>
    <w:rsid w:val="00065193"/>
    <w:rsid w:val="00070B12"/>
    <w:rsid w:val="0007205F"/>
    <w:rsid w:val="000758C2"/>
    <w:rsid w:val="00083CF8"/>
    <w:rsid w:val="000921F0"/>
    <w:rsid w:val="000A504C"/>
    <w:rsid w:val="000B16DB"/>
    <w:rsid w:val="000C1D0F"/>
    <w:rsid w:val="000C36FF"/>
    <w:rsid w:val="000D3CEF"/>
    <w:rsid w:val="000D5293"/>
    <w:rsid w:val="000D5690"/>
    <w:rsid w:val="000F2B32"/>
    <w:rsid w:val="000F5761"/>
    <w:rsid w:val="00100B32"/>
    <w:rsid w:val="0010163F"/>
    <w:rsid w:val="00102B3D"/>
    <w:rsid w:val="0010611B"/>
    <w:rsid w:val="00106597"/>
    <w:rsid w:val="0011785F"/>
    <w:rsid w:val="00122FE8"/>
    <w:rsid w:val="00143F8E"/>
    <w:rsid w:val="00147EA9"/>
    <w:rsid w:val="00150D00"/>
    <w:rsid w:val="00174625"/>
    <w:rsid w:val="00180C37"/>
    <w:rsid w:val="00187B66"/>
    <w:rsid w:val="00187D71"/>
    <w:rsid w:val="00194042"/>
    <w:rsid w:val="001946F6"/>
    <w:rsid w:val="001C66A7"/>
    <w:rsid w:val="001E23F3"/>
    <w:rsid w:val="001E35D2"/>
    <w:rsid w:val="001E5FBF"/>
    <w:rsid w:val="001F091A"/>
    <w:rsid w:val="001F2A7A"/>
    <w:rsid w:val="001F62C7"/>
    <w:rsid w:val="001F6980"/>
    <w:rsid w:val="001F7BB2"/>
    <w:rsid w:val="0020097D"/>
    <w:rsid w:val="0020761E"/>
    <w:rsid w:val="002100FD"/>
    <w:rsid w:val="0021151D"/>
    <w:rsid w:val="00213C99"/>
    <w:rsid w:val="00222801"/>
    <w:rsid w:val="00223293"/>
    <w:rsid w:val="00244D3C"/>
    <w:rsid w:val="002467CD"/>
    <w:rsid w:val="002512C3"/>
    <w:rsid w:val="00252536"/>
    <w:rsid w:val="00262D35"/>
    <w:rsid w:val="00274DC8"/>
    <w:rsid w:val="00276818"/>
    <w:rsid w:val="0028615D"/>
    <w:rsid w:val="00287DDC"/>
    <w:rsid w:val="0029705A"/>
    <w:rsid w:val="002B1121"/>
    <w:rsid w:val="002B7177"/>
    <w:rsid w:val="002C7EDD"/>
    <w:rsid w:val="002D4339"/>
    <w:rsid w:val="002D52D1"/>
    <w:rsid w:val="002F4CAC"/>
    <w:rsid w:val="003013E9"/>
    <w:rsid w:val="00301812"/>
    <w:rsid w:val="00301CB4"/>
    <w:rsid w:val="00303F31"/>
    <w:rsid w:val="0030679F"/>
    <w:rsid w:val="00307DBC"/>
    <w:rsid w:val="003154F3"/>
    <w:rsid w:val="00315CFA"/>
    <w:rsid w:val="003203AB"/>
    <w:rsid w:val="00333BDF"/>
    <w:rsid w:val="00350391"/>
    <w:rsid w:val="00350CCD"/>
    <w:rsid w:val="00353567"/>
    <w:rsid w:val="003643C9"/>
    <w:rsid w:val="00364E05"/>
    <w:rsid w:val="003858BE"/>
    <w:rsid w:val="00387CCA"/>
    <w:rsid w:val="003928B1"/>
    <w:rsid w:val="00394701"/>
    <w:rsid w:val="003C217B"/>
    <w:rsid w:val="003F0C19"/>
    <w:rsid w:val="003F241A"/>
    <w:rsid w:val="003F3536"/>
    <w:rsid w:val="004102BE"/>
    <w:rsid w:val="00412550"/>
    <w:rsid w:val="004130A5"/>
    <w:rsid w:val="00413185"/>
    <w:rsid w:val="00427572"/>
    <w:rsid w:val="00431F12"/>
    <w:rsid w:val="004333DA"/>
    <w:rsid w:val="00437281"/>
    <w:rsid w:val="0044068B"/>
    <w:rsid w:val="004508D5"/>
    <w:rsid w:val="004559FA"/>
    <w:rsid w:val="00470145"/>
    <w:rsid w:val="00486F2E"/>
    <w:rsid w:val="004916D3"/>
    <w:rsid w:val="004A721A"/>
    <w:rsid w:val="004B25E5"/>
    <w:rsid w:val="004B6464"/>
    <w:rsid w:val="004C5DA0"/>
    <w:rsid w:val="004C722C"/>
    <w:rsid w:val="004C77B8"/>
    <w:rsid w:val="004D6858"/>
    <w:rsid w:val="004E50F6"/>
    <w:rsid w:val="004E6C41"/>
    <w:rsid w:val="00505D07"/>
    <w:rsid w:val="005113C6"/>
    <w:rsid w:val="00511E4E"/>
    <w:rsid w:val="00512A30"/>
    <w:rsid w:val="00516BE9"/>
    <w:rsid w:val="00521E90"/>
    <w:rsid w:val="00531F26"/>
    <w:rsid w:val="00533DF0"/>
    <w:rsid w:val="00537EC1"/>
    <w:rsid w:val="0054181B"/>
    <w:rsid w:val="00541AB4"/>
    <w:rsid w:val="00544983"/>
    <w:rsid w:val="00545A4B"/>
    <w:rsid w:val="00554AA4"/>
    <w:rsid w:val="00555CA6"/>
    <w:rsid w:val="005616D0"/>
    <w:rsid w:val="005703E3"/>
    <w:rsid w:val="00577EE4"/>
    <w:rsid w:val="005832C0"/>
    <w:rsid w:val="00584A0F"/>
    <w:rsid w:val="00597B2C"/>
    <w:rsid w:val="005A4F94"/>
    <w:rsid w:val="005A6D0F"/>
    <w:rsid w:val="005A7FDD"/>
    <w:rsid w:val="005B2BB5"/>
    <w:rsid w:val="005B7BD7"/>
    <w:rsid w:val="005C4F9B"/>
    <w:rsid w:val="005C6E8B"/>
    <w:rsid w:val="005D04A5"/>
    <w:rsid w:val="005D26E3"/>
    <w:rsid w:val="005D4064"/>
    <w:rsid w:val="005D5118"/>
    <w:rsid w:val="005D5A22"/>
    <w:rsid w:val="005D6EDB"/>
    <w:rsid w:val="005E3C86"/>
    <w:rsid w:val="005E4B14"/>
    <w:rsid w:val="005E7A52"/>
    <w:rsid w:val="005F56F3"/>
    <w:rsid w:val="00600B1A"/>
    <w:rsid w:val="00603720"/>
    <w:rsid w:val="00610F7D"/>
    <w:rsid w:val="00635539"/>
    <w:rsid w:val="00643807"/>
    <w:rsid w:val="006459AE"/>
    <w:rsid w:val="00652E4E"/>
    <w:rsid w:val="0066362B"/>
    <w:rsid w:val="00674402"/>
    <w:rsid w:val="006949C2"/>
    <w:rsid w:val="00695345"/>
    <w:rsid w:val="006970E3"/>
    <w:rsid w:val="006A3788"/>
    <w:rsid w:val="006A48EA"/>
    <w:rsid w:val="006B70BE"/>
    <w:rsid w:val="006C1456"/>
    <w:rsid w:val="006C4B5A"/>
    <w:rsid w:val="006D0911"/>
    <w:rsid w:val="006D2754"/>
    <w:rsid w:val="006D4B32"/>
    <w:rsid w:val="006D7621"/>
    <w:rsid w:val="006F1797"/>
    <w:rsid w:val="006F7267"/>
    <w:rsid w:val="007070BE"/>
    <w:rsid w:val="00711B7C"/>
    <w:rsid w:val="00721B1D"/>
    <w:rsid w:val="007220E5"/>
    <w:rsid w:val="00727FFB"/>
    <w:rsid w:val="00731318"/>
    <w:rsid w:val="007359FE"/>
    <w:rsid w:val="0074192F"/>
    <w:rsid w:val="00744FCB"/>
    <w:rsid w:val="00746D3C"/>
    <w:rsid w:val="007544FE"/>
    <w:rsid w:val="00763C7F"/>
    <w:rsid w:val="00765DFE"/>
    <w:rsid w:val="00772C9B"/>
    <w:rsid w:val="007746A0"/>
    <w:rsid w:val="00782B73"/>
    <w:rsid w:val="00782CD4"/>
    <w:rsid w:val="0079142F"/>
    <w:rsid w:val="007A457D"/>
    <w:rsid w:val="007B0037"/>
    <w:rsid w:val="007C00DF"/>
    <w:rsid w:val="007C7912"/>
    <w:rsid w:val="007D0A09"/>
    <w:rsid w:val="007E57C2"/>
    <w:rsid w:val="008059BA"/>
    <w:rsid w:val="00807052"/>
    <w:rsid w:val="00811FF6"/>
    <w:rsid w:val="00813446"/>
    <w:rsid w:val="00813A1D"/>
    <w:rsid w:val="00814390"/>
    <w:rsid w:val="00815123"/>
    <w:rsid w:val="00825CD8"/>
    <w:rsid w:val="00843279"/>
    <w:rsid w:val="00843A69"/>
    <w:rsid w:val="008471AD"/>
    <w:rsid w:val="00863542"/>
    <w:rsid w:val="00866944"/>
    <w:rsid w:val="00875BF6"/>
    <w:rsid w:val="0088756B"/>
    <w:rsid w:val="008A0BF8"/>
    <w:rsid w:val="008A384E"/>
    <w:rsid w:val="008A57F1"/>
    <w:rsid w:val="008B228D"/>
    <w:rsid w:val="008B49B5"/>
    <w:rsid w:val="008C378A"/>
    <w:rsid w:val="008C4908"/>
    <w:rsid w:val="008C5DCC"/>
    <w:rsid w:val="008D161E"/>
    <w:rsid w:val="008E58CA"/>
    <w:rsid w:val="008F291A"/>
    <w:rsid w:val="008F502A"/>
    <w:rsid w:val="008F523E"/>
    <w:rsid w:val="00904D9A"/>
    <w:rsid w:val="0091408A"/>
    <w:rsid w:val="00922AFE"/>
    <w:rsid w:val="00922EE5"/>
    <w:rsid w:val="00924F11"/>
    <w:rsid w:val="0093258D"/>
    <w:rsid w:val="00935C33"/>
    <w:rsid w:val="009428D8"/>
    <w:rsid w:val="00951C38"/>
    <w:rsid w:val="00952AB6"/>
    <w:rsid w:val="0096238B"/>
    <w:rsid w:val="00962AB1"/>
    <w:rsid w:val="00962B95"/>
    <w:rsid w:val="00964050"/>
    <w:rsid w:val="00966898"/>
    <w:rsid w:val="00971C70"/>
    <w:rsid w:val="00984A1B"/>
    <w:rsid w:val="0098588F"/>
    <w:rsid w:val="0099097F"/>
    <w:rsid w:val="00997E5A"/>
    <w:rsid w:val="009D0DA3"/>
    <w:rsid w:val="009E4401"/>
    <w:rsid w:val="009F18EC"/>
    <w:rsid w:val="009F6024"/>
    <w:rsid w:val="009F64D9"/>
    <w:rsid w:val="00A149A4"/>
    <w:rsid w:val="00A30CEA"/>
    <w:rsid w:val="00A41627"/>
    <w:rsid w:val="00A4367C"/>
    <w:rsid w:val="00A626B1"/>
    <w:rsid w:val="00A83D48"/>
    <w:rsid w:val="00A86152"/>
    <w:rsid w:val="00A874FF"/>
    <w:rsid w:val="00A90E48"/>
    <w:rsid w:val="00AA2D70"/>
    <w:rsid w:val="00AB3FB8"/>
    <w:rsid w:val="00AC67FE"/>
    <w:rsid w:val="00AC776E"/>
    <w:rsid w:val="00AD03D1"/>
    <w:rsid w:val="00AE0FC0"/>
    <w:rsid w:val="00AE169B"/>
    <w:rsid w:val="00AF452D"/>
    <w:rsid w:val="00B234E4"/>
    <w:rsid w:val="00B25F87"/>
    <w:rsid w:val="00B30A3A"/>
    <w:rsid w:val="00B42732"/>
    <w:rsid w:val="00B43666"/>
    <w:rsid w:val="00B43DE8"/>
    <w:rsid w:val="00B50349"/>
    <w:rsid w:val="00B54E1E"/>
    <w:rsid w:val="00B657AC"/>
    <w:rsid w:val="00B904AC"/>
    <w:rsid w:val="00BA5E86"/>
    <w:rsid w:val="00BB6D8F"/>
    <w:rsid w:val="00BC2275"/>
    <w:rsid w:val="00BD0DEF"/>
    <w:rsid w:val="00BD0EE7"/>
    <w:rsid w:val="00BD28F0"/>
    <w:rsid w:val="00BD3BDA"/>
    <w:rsid w:val="00BE17EC"/>
    <w:rsid w:val="00BE6C9E"/>
    <w:rsid w:val="00BE7293"/>
    <w:rsid w:val="00C30FAB"/>
    <w:rsid w:val="00C344C7"/>
    <w:rsid w:val="00C60A8C"/>
    <w:rsid w:val="00C60B3E"/>
    <w:rsid w:val="00C64086"/>
    <w:rsid w:val="00C65FDC"/>
    <w:rsid w:val="00C86697"/>
    <w:rsid w:val="00C94A06"/>
    <w:rsid w:val="00CA07ED"/>
    <w:rsid w:val="00CA2647"/>
    <w:rsid w:val="00CA275D"/>
    <w:rsid w:val="00CB28EC"/>
    <w:rsid w:val="00CB7015"/>
    <w:rsid w:val="00CC19A4"/>
    <w:rsid w:val="00CC2FE3"/>
    <w:rsid w:val="00CC3EB4"/>
    <w:rsid w:val="00CD2D84"/>
    <w:rsid w:val="00CE03E2"/>
    <w:rsid w:val="00CE0A54"/>
    <w:rsid w:val="00CE2C2D"/>
    <w:rsid w:val="00CE2CCB"/>
    <w:rsid w:val="00CF3ECC"/>
    <w:rsid w:val="00CF5695"/>
    <w:rsid w:val="00D177F9"/>
    <w:rsid w:val="00D21376"/>
    <w:rsid w:val="00D2319C"/>
    <w:rsid w:val="00D24675"/>
    <w:rsid w:val="00D3090C"/>
    <w:rsid w:val="00D34E9C"/>
    <w:rsid w:val="00D35EDA"/>
    <w:rsid w:val="00D35F7E"/>
    <w:rsid w:val="00D4488B"/>
    <w:rsid w:val="00D500C5"/>
    <w:rsid w:val="00DA35CC"/>
    <w:rsid w:val="00DA7D0D"/>
    <w:rsid w:val="00DB0E86"/>
    <w:rsid w:val="00DB3061"/>
    <w:rsid w:val="00DB654B"/>
    <w:rsid w:val="00DD316B"/>
    <w:rsid w:val="00DD3866"/>
    <w:rsid w:val="00DD4196"/>
    <w:rsid w:val="00DD43AB"/>
    <w:rsid w:val="00DD6D1D"/>
    <w:rsid w:val="00DE1C9C"/>
    <w:rsid w:val="00E005E2"/>
    <w:rsid w:val="00E0272C"/>
    <w:rsid w:val="00E057F7"/>
    <w:rsid w:val="00E0649D"/>
    <w:rsid w:val="00E206D4"/>
    <w:rsid w:val="00E20B87"/>
    <w:rsid w:val="00E37088"/>
    <w:rsid w:val="00E37AB9"/>
    <w:rsid w:val="00E4221F"/>
    <w:rsid w:val="00E50956"/>
    <w:rsid w:val="00E529EF"/>
    <w:rsid w:val="00E575DF"/>
    <w:rsid w:val="00E60668"/>
    <w:rsid w:val="00E66008"/>
    <w:rsid w:val="00E67842"/>
    <w:rsid w:val="00E81690"/>
    <w:rsid w:val="00E83885"/>
    <w:rsid w:val="00E858B7"/>
    <w:rsid w:val="00E926A8"/>
    <w:rsid w:val="00EA0437"/>
    <w:rsid w:val="00EC695C"/>
    <w:rsid w:val="00ED2AA3"/>
    <w:rsid w:val="00ED5D8A"/>
    <w:rsid w:val="00EE6541"/>
    <w:rsid w:val="00EF028A"/>
    <w:rsid w:val="00EF1FDC"/>
    <w:rsid w:val="00EF292E"/>
    <w:rsid w:val="00F00A78"/>
    <w:rsid w:val="00F014D6"/>
    <w:rsid w:val="00F10E63"/>
    <w:rsid w:val="00F174AE"/>
    <w:rsid w:val="00F17EBD"/>
    <w:rsid w:val="00F238A0"/>
    <w:rsid w:val="00F32553"/>
    <w:rsid w:val="00F35804"/>
    <w:rsid w:val="00F45437"/>
    <w:rsid w:val="00F6737E"/>
    <w:rsid w:val="00F7351D"/>
    <w:rsid w:val="00F843C4"/>
    <w:rsid w:val="00FA2EFF"/>
    <w:rsid w:val="00FA34D0"/>
    <w:rsid w:val="00FB5154"/>
    <w:rsid w:val="00FB6400"/>
    <w:rsid w:val="00FC7B56"/>
    <w:rsid w:val="00FD1969"/>
    <w:rsid w:val="00FE06F5"/>
    <w:rsid w:val="00FE5D6B"/>
    <w:rsid w:val="00FE71F0"/>
    <w:rsid w:val="00FF0D3A"/>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0DA954"/>
  <w15:chartTrackingRefBased/>
  <w15:docId w15:val="{3FA910AF-A67A-42D5-8791-10B3C8A3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rPr>
  </w:style>
  <w:style w:type="paragraph" w:styleId="Nadpis3">
    <w:name w:val="heading 3"/>
    <w:basedOn w:val="Normlny"/>
    <w:next w:val="Normlny"/>
    <w:link w:val="Nadpis3Char"/>
    <w:uiPriority w:val="9"/>
    <w:semiHidden/>
    <w:unhideWhenUsed/>
    <w:qFormat/>
    <w:rsid w:val="00746D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xmsonormal">
    <w:name w:val="x_msonormal"/>
    <w:basedOn w:val="Normlny"/>
    <w:rsid w:val="00643807"/>
    <w:pPr>
      <w:spacing w:before="100" w:beforeAutospacing="1" w:after="100" w:afterAutospacing="1"/>
    </w:pPr>
  </w:style>
  <w:style w:type="paragraph" w:customStyle="1" w:styleId="xmsolistparagraph">
    <w:name w:val="x_msolistparagraph"/>
    <w:basedOn w:val="Normlny"/>
    <w:rsid w:val="00643807"/>
    <w:pPr>
      <w:spacing w:before="100" w:beforeAutospacing="1" w:after="100" w:afterAutospacing="1"/>
    </w:pPr>
  </w:style>
  <w:style w:type="paragraph" w:customStyle="1" w:styleId="xxmsonormal">
    <w:name w:val="x_xmsonormal"/>
    <w:basedOn w:val="Normlny"/>
    <w:rsid w:val="009F64D9"/>
    <w:pPr>
      <w:spacing w:before="100" w:beforeAutospacing="1" w:after="100" w:afterAutospacing="1"/>
    </w:pPr>
  </w:style>
  <w:style w:type="paragraph" w:customStyle="1" w:styleId="xxmsolistparagraph">
    <w:name w:val="x_xmsolistparagraph"/>
    <w:basedOn w:val="Normlny"/>
    <w:rsid w:val="009F64D9"/>
    <w:pPr>
      <w:spacing w:before="100" w:beforeAutospacing="1" w:after="100" w:afterAutospacing="1"/>
    </w:pPr>
  </w:style>
  <w:style w:type="character" w:customStyle="1" w:styleId="awspanawtext2">
    <w:name w:val="awspan awtext2"/>
    <w:basedOn w:val="Predvolenpsmoodseku"/>
    <w:rsid w:val="00952AB6"/>
  </w:style>
  <w:style w:type="character" w:customStyle="1" w:styleId="awspanawtext3">
    <w:name w:val="awspan awtext3"/>
    <w:basedOn w:val="Predvolenpsmoodseku"/>
    <w:rsid w:val="00952AB6"/>
  </w:style>
  <w:style w:type="character" w:customStyle="1" w:styleId="awspanawtext4">
    <w:name w:val="awspan awtext4"/>
    <w:basedOn w:val="Predvolenpsmoodseku"/>
    <w:rsid w:val="00952AB6"/>
  </w:style>
  <w:style w:type="character" w:customStyle="1" w:styleId="awspanawtext1">
    <w:name w:val="awspan awtext1"/>
    <w:basedOn w:val="Predvolenpsmoodseku"/>
    <w:rsid w:val="00952AB6"/>
  </w:style>
  <w:style w:type="paragraph" w:styleId="Bezriadkovania">
    <w:name w:val="No Spacing"/>
    <w:uiPriority w:val="1"/>
    <w:qFormat/>
    <w:rsid w:val="001F091A"/>
    <w:rPr>
      <w:rFonts w:ascii="Calibri" w:eastAsia="Calibri" w:hAnsi="Calibri"/>
      <w:sz w:val="22"/>
      <w:szCs w:val="22"/>
      <w:lang w:eastAsia="en-US"/>
    </w:rPr>
  </w:style>
  <w:style w:type="paragraph" w:styleId="Textkomentra">
    <w:name w:val="annotation text"/>
    <w:basedOn w:val="Normlny"/>
    <w:link w:val="TextkomentraChar"/>
    <w:uiPriority w:val="99"/>
    <w:rsid w:val="00CA07ED"/>
    <w:rPr>
      <w:sz w:val="20"/>
      <w:szCs w:val="20"/>
    </w:rPr>
  </w:style>
  <w:style w:type="character" w:customStyle="1" w:styleId="TextkomentraChar">
    <w:name w:val="Text komentára Char"/>
    <w:basedOn w:val="Predvolenpsmoodseku"/>
    <w:link w:val="Textkomentra"/>
    <w:uiPriority w:val="99"/>
    <w:rsid w:val="00CA07ED"/>
  </w:style>
  <w:style w:type="paragraph" w:styleId="Predmetkomentra">
    <w:name w:val="annotation subject"/>
    <w:basedOn w:val="Textkomentra"/>
    <w:next w:val="Textkomentra"/>
    <w:link w:val="PredmetkomentraChar"/>
    <w:uiPriority w:val="99"/>
    <w:unhideWhenUsed/>
    <w:rsid w:val="00CA07ED"/>
    <w:pPr>
      <w:spacing w:after="160"/>
    </w:pPr>
    <w:rPr>
      <w:rFonts w:ascii="Calibri" w:eastAsia="Calibri" w:hAnsi="Calibri"/>
      <w:b/>
      <w:bCs/>
      <w:lang w:eastAsia="en-US"/>
    </w:rPr>
  </w:style>
  <w:style w:type="character" w:customStyle="1" w:styleId="PredmetkomentraChar">
    <w:name w:val="Predmet komentára Char"/>
    <w:link w:val="Predmetkomentra"/>
    <w:uiPriority w:val="99"/>
    <w:rsid w:val="00CA07ED"/>
    <w:rPr>
      <w:rFonts w:ascii="Calibri" w:eastAsia="Calibri" w:hAnsi="Calibri"/>
      <w:b/>
      <w:bCs/>
      <w:lang w:eastAsia="en-US"/>
    </w:rPr>
  </w:style>
  <w:style w:type="character" w:customStyle="1" w:styleId="awspan">
    <w:name w:val="awspan"/>
    <w:basedOn w:val="Predvolenpsmoodseku"/>
    <w:rsid w:val="00FC7B56"/>
  </w:style>
  <w:style w:type="character" w:styleId="Hypertextovprepojenie">
    <w:name w:val="Hyperlink"/>
    <w:uiPriority w:val="99"/>
    <w:unhideWhenUsed/>
    <w:rsid w:val="00174625"/>
    <w:rPr>
      <w:color w:val="0000FF"/>
      <w:u w:val="single"/>
    </w:rPr>
  </w:style>
  <w:style w:type="character" w:customStyle="1" w:styleId="oj-super">
    <w:name w:val="oj-super"/>
    <w:basedOn w:val="Predvolenpsmoodseku"/>
    <w:rsid w:val="00174625"/>
  </w:style>
  <w:style w:type="paragraph" w:customStyle="1" w:styleId="oj-normal">
    <w:name w:val="oj-normal"/>
    <w:basedOn w:val="Normlny"/>
    <w:rsid w:val="0010611B"/>
    <w:pPr>
      <w:spacing w:before="100" w:beforeAutospacing="1" w:after="100" w:afterAutospacing="1"/>
    </w:pPr>
  </w:style>
  <w:style w:type="paragraph" w:styleId="Revzia">
    <w:name w:val="Revision"/>
    <w:hidden/>
    <w:uiPriority w:val="99"/>
    <w:semiHidden/>
    <w:rsid w:val="00315CFA"/>
    <w:rPr>
      <w:sz w:val="24"/>
      <w:szCs w:val="24"/>
    </w:rPr>
  </w:style>
  <w:style w:type="paragraph" w:styleId="Hlavika">
    <w:name w:val="header"/>
    <w:basedOn w:val="Normlny"/>
    <w:link w:val="HlavikaChar"/>
    <w:uiPriority w:val="99"/>
    <w:rsid w:val="005E4B14"/>
    <w:pPr>
      <w:tabs>
        <w:tab w:val="center" w:pos="4536"/>
        <w:tab w:val="right" w:pos="9072"/>
      </w:tabs>
    </w:pPr>
  </w:style>
  <w:style w:type="character" w:customStyle="1" w:styleId="HlavikaChar">
    <w:name w:val="Hlavička Char"/>
    <w:link w:val="Hlavika"/>
    <w:uiPriority w:val="99"/>
    <w:rsid w:val="005E4B14"/>
    <w:rPr>
      <w:sz w:val="24"/>
      <w:szCs w:val="24"/>
    </w:rPr>
  </w:style>
  <w:style w:type="paragraph" w:styleId="Pta">
    <w:name w:val="footer"/>
    <w:basedOn w:val="Normlny"/>
    <w:link w:val="PtaChar"/>
    <w:uiPriority w:val="99"/>
    <w:rsid w:val="005E4B14"/>
    <w:pPr>
      <w:tabs>
        <w:tab w:val="center" w:pos="4536"/>
        <w:tab w:val="right" w:pos="9072"/>
      </w:tabs>
    </w:pPr>
  </w:style>
  <w:style w:type="character" w:customStyle="1" w:styleId="PtaChar">
    <w:name w:val="Päta Char"/>
    <w:link w:val="Pta"/>
    <w:uiPriority w:val="99"/>
    <w:rsid w:val="005E4B14"/>
    <w:rPr>
      <w:sz w:val="24"/>
      <w:szCs w:val="24"/>
    </w:rPr>
  </w:style>
  <w:style w:type="table" w:customStyle="1" w:styleId="Mriekatabuky1">
    <w:name w:val="Mriežka tabuľky1"/>
    <w:basedOn w:val="Normlnatabuka"/>
    <w:next w:val="Mriekatabuky"/>
    <w:uiPriority w:val="59"/>
    <w:rsid w:val="00746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6D3C"/>
    <w:pPr>
      <w:autoSpaceDE w:val="0"/>
      <w:autoSpaceDN w:val="0"/>
      <w:adjustRightInd w:val="0"/>
    </w:pPr>
    <w:rPr>
      <w:rFonts w:eastAsiaTheme="minorHAnsi"/>
      <w:color w:val="000000"/>
      <w:sz w:val="24"/>
      <w:szCs w:val="24"/>
      <w:lang w:eastAsia="en-US"/>
    </w:rPr>
  </w:style>
  <w:style w:type="character" w:styleId="Zvraznenie">
    <w:name w:val="Emphasis"/>
    <w:basedOn w:val="Predvolenpsmoodseku"/>
    <w:uiPriority w:val="20"/>
    <w:qFormat/>
    <w:rsid w:val="00746D3C"/>
    <w:rPr>
      <w:i/>
      <w:iCs/>
    </w:rPr>
  </w:style>
  <w:style w:type="paragraph" w:customStyle="1" w:styleId="p1">
    <w:name w:val="p1"/>
    <w:basedOn w:val="Normlny"/>
    <w:rsid w:val="00746D3C"/>
    <w:rPr>
      <w:rFonts w:ascii=".SF UI Text" w:eastAsiaTheme="minorHAnsi" w:hAnsi=".SF UI Text"/>
      <w:color w:val="454545"/>
      <w:sz w:val="26"/>
      <w:szCs w:val="26"/>
    </w:rPr>
  </w:style>
  <w:style w:type="table" w:styleId="Mriekatabuky">
    <w:name w:val="Table Grid"/>
    <w:basedOn w:val="Normlnatabuka"/>
    <w:uiPriority w:val="59"/>
    <w:rsid w:val="00746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746D3C"/>
    <w:rPr>
      <w:rFonts w:cs="Times New Roman"/>
    </w:rPr>
  </w:style>
  <w:style w:type="paragraph" w:styleId="Textbubliny">
    <w:name w:val="Balloon Text"/>
    <w:basedOn w:val="Normlny"/>
    <w:link w:val="TextbublinyChar"/>
    <w:uiPriority w:val="99"/>
    <w:unhideWhenUsed/>
    <w:rsid w:val="00746D3C"/>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rsid w:val="00746D3C"/>
    <w:rPr>
      <w:rFonts w:ascii="Tahoma" w:eastAsiaTheme="minorHAnsi" w:hAnsi="Tahoma" w:cs="Tahoma"/>
      <w:sz w:val="16"/>
      <w:szCs w:val="16"/>
      <w:lang w:eastAsia="en-US"/>
    </w:rPr>
  </w:style>
  <w:style w:type="paragraph" w:styleId="Zarkazkladnhotextu">
    <w:name w:val="Body Text Indent"/>
    <w:basedOn w:val="Normlny"/>
    <w:link w:val="ZarkazkladnhotextuChar"/>
    <w:uiPriority w:val="99"/>
    <w:unhideWhenUsed/>
    <w:rsid w:val="00746D3C"/>
    <w:pPr>
      <w:spacing w:after="120" w:line="276" w:lineRule="auto"/>
      <w:ind w:left="283"/>
    </w:pPr>
    <w:rPr>
      <w:rFonts w:ascii="Georgia" w:eastAsia="Arial" w:hAnsi="Georgia"/>
      <w:color w:val="000000"/>
      <w:sz w:val="22"/>
      <w:szCs w:val="22"/>
      <w:lang w:eastAsia="en-US"/>
    </w:rPr>
  </w:style>
  <w:style w:type="character" w:customStyle="1" w:styleId="ZarkazkladnhotextuChar">
    <w:name w:val="Zarážka základného textu Char"/>
    <w:basedOn w:val="Predvolenpsmoodseku"/>
    <w:link w:val="Zarkazkladnhotextu"/>
    <w:uiPriority w:val="99"/>
    <w:rsid w:val="00746D3C"/>
    <w:rPr>
      <w:rFonts w:ascii="Georgia" w:eastAsia="Arial" w:hAnsi="Georgia"/>
      <w:color w:val="000000"/>
      <w:sz w:val="22"/>
      <w:szCs w:val="22"/>
      <w:lang w:eastAsia="en-US"/>
    </w:rPr>
  </w:style>
  <w:style w:type="paragraph" w:styleId="Odsekzoznamu">
    <w:name w:val="List Paragraph"/>
    <w:basedOn w:val="Normlny"/>
    <w:uiPriority w:val="34"/>
    <w:qFormat/>
    <w:rsid w:val="00746D3C"/>
    <w:pPr>
      <w:spacing w:after="200" w:line="276" w:lineRule="auto"/>
      <w:ind w:left="720"/>
      <w:contextualSpacing/>
    </w:pPr>
    <w:rPr>
      <w:rFonts w:asciiTheme="minorHAnsi" w:eastAsiaTheme="minorHAnsi" w:hAnsiTheme="minorHAnsi" w:cstheme="minorBidi"/>
      <w:sz w:val="22"/>
      <w:szCs w:val="22"/>
      <w:lang w:eastAsia="en-US"/>
    </w:rPr>
  </w:style>
  <w:style w:type="character" w:styleId="Odkaznakomentr">
    <w:name w:val="annotation reference"/>
    <w:basedOn w:val="Predvolenpsmoodseku"/>
    <w:uiPriority w:val="99"/>
    <w:unhideWhenUsed/>
    <w:rsid w:val="00746D3C"/>
    <w:rPr>
      <w:sz w:val="16"/>
      <w:szCs w:val="16"/>
    </w:rPr>
  </w:style>
  <w:style w:type="paragraph" w:styleId="Normlnywebov">
    <w:name w:val="Normal (Web)"/>
    <w:basedOn w:val="Normlny"/>
    <w:uiPriority w:val="99"/>
    <w:unhideWhenUsed/>
    <w:rsid w:val="00746D3C"/>
  </w:style>
  <w:style w:type="table" w:customStyle="1" w:styleId="Mriekatabuky2">
    <w:name w:val="Mriežka tabuľky2"/>
    <w:basedOn w:val="Normlnatabuka"/>
    <w:next w:val="Mriekatabuky"/>
    <w:uiPriority w:val="59"/>
    <w:rsid w:val="00746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1648484718305530482msolistparagraph">
    <w:name w:val="gmail-m_-1648484718305530482msolistparagraph"/>
    <w:basedOn w:val="Normlny"/>
    <w:rsid w:val="00746D3C"/>
    <w:pPr>
      <w:spacing w:before="100" w:beforeAutospacing="1" w:after="100" w:afterAutospacing="1"/>
    </w:pPr>
    <w:rPr>
      <w:rFonts w:ascii="Calibri" w:eastAsiaTheme="minorHAnsi" w:hAnsi="Calibri" w:cs="Calibri"/>
      <w:sz w:val="22"/>
      <w:szCs w:val="22"/>
    </w:rPr>
  </w:style>
  <w:style w:type="paragraph" w:styleId="Textpoznmkypodiarou">
    <w:name w:val="footnote text"/>
    <w:basedOn w:val="Normlny"/>
    <w:link w:val="TextpoznmkypodiarouChar"/>
    <w:uiPriority w:val="99"/>
    <w:unhideWhenUsed/>
    <w:rsid w:val="00746D3C"/>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746D3C"/>
    <w:rPr>
      <w:rFonts w:asciiTheme="minorHAnsi" w:eastAsiaTheme="minorHAnsi" w:hAnsiTheme="minorHAnsi" w:cstheme="minorBidi"/>
      <w:lang w:eastAsia="en-US"/>
    </w:rPr>
  </w:style>
  <w:style w:type="character" w:styleId="Odkaznapoznmkupodiarou">
    <w:name w:val="footnote reference"/>
    <w:basedOn w:val="Predvolenpsmoodseku"/>
    <w:uiPriority w:val="99"/>
    <w:unhideWhenUsed/>
    <w:rsid w:val="00746D3C"/>
    <w:rPr>
      <w:vertAlign w:val="superscript"/>
    </w:rPr>
  </w:style>
  <w:style w:type="paragraph" w:customStyle="1" w:styleId="Zkladntext1">
    <w:name w:val="Základní text1"/>
    <w:aliases w:val="Základný text Char Char,Body Text,Základní text"/>
    <w:rsid w:val="00746D3C"/>
    <w:pPr>
      <w:widowControl w:val="0"/>
      <w:snapToGrid w:val="0"/>
    </w:pPr>
    <w:rPr>
      <w:color w:val="000000"/>
      <w:sz w:val="24"/>
    </w:rPr>
  </w:style>
  <w:style w:type="character" w:styleId="Nevyrieenzmienka">
    <w:name w:val="Unresolved Mention"/>
    <w:basedOn w:val="Predvolenpsmoodseku"/>
    <w:uiPriority w:val="99"/>
    <w:semiHidden/>
    <w:unhideWhenUsed/>
    <w:rsid w:val="00746D3C"/>
    <w:rPr>
      <w:color w:val="605E5C"/>
      <w:shd w:val="clear" w:color="auto" w:fill="E1DFDD"/>
    </w:rPr>
  </w:style>
  <w:style w:type="paragraph" w:customStyle="1" w:styleId="Normlny0">
    <w:name w:val="_Normálny"/>
    <w:basedOn w:val="Normlny"/>
    <w:uiPriority w:val="99"/>
    <w:rsid w:val="00746D3C"/>
    <w:pPr>
      <w:autoSpaceDE w:val="0"/>
      <w:autoSpaceDN w:val="0"/>
    </w:pPr>
    <w:rPr>
      <w:sz w:val="20"/>
      <w:szCs w:val="20"/>
      <w:lang w:eastAsia="en-US"/>
    </w:rPr>
  </w:style>
  <w:style w:type="paragraph" w:styleId="Nzov">
    <w:name w:val="Title"/>
    <w:basedOn w:val="Normlny"/>
    <w:link w:val="NzovChar"/>
    <w:qFormat/>
    <w:rsid w:val="00746D3C"/>
    <w:pPr>
      <w:jc w:val="center"/>
    </w:pPr>
    <w:rPr>
      <w:b/>
      <w:bCs/>
    </w:rPr>
  </w:style>
  <w:style w:type="character" w:customStyle="1" w:styleId="NzovChar">
    <w:name w:val="Názov Char"/>
    <w:basedOn w:val="Predvolenpsmoodseku"/>
    <w:link w:val="Nzov"/>
    <w:rsid w:val="00746D3C"/>
    <w:rPr>
      <w:b/>
      <w:bCs/>
      <w:sz w:val="24"/>
      <w:szCs w:val="24"/>
    </w:rPr>
  </w:style>
  <w:style w:type="paragraph" w:styleId="Zkladntext">
    <w:name w:val="Body Text"/>
    <w:basedOn w:val="Normlny"/>
    <w:link w:val="ZkladntextChar"/>
    <w:uiPriority w:val="99"/>
    <w:rsid w:val="00746D3C"/>
    <w:pPr>
      <w:spacing w:after="120"/>
    </w:pPr>
    <w:rPr>
      <w:lang w:eastAsia="cs-CZ"/>
    </w:rPr>
  </w:style>
  <w:style w:type="character" w:customStyle="1" w:styleId="ZkladntextChar">
    <w:name w:val="Základný text Char"/>
    <w:basedOn w:val="Predvolenpsmoodseku"/>
    <w:link w:val="Zkladntext"/>
    <w:uiPriority w:val="99"/>
    <w:rsid w:val="00746D3C"/>
    <w:rPr>
      <w:sz w:val="24"/>
      <w:szCs w:val="24"/>
      <w:lang w:eastAsia="cs-CZ"/>
    </w:rPr>
  </w:style>
  <w:style w:type="character" w:customStyle="1" w:styleId="Nadpis3Char">
    <w:name w:val="Nadpis 3 Char"/>
    <w:basedOn w:val="Predvolenpsmoodseku"/>
    <w:link w:val="Nadpis3"/>
    <w:uiPriority w:val="9"/>
    <w:semiHidden/>
    <w:rsid w:val="00746D3C"/>
    <w:rPr>
      <w:rFonts w:asciiTheme="minorHAnsi" w:eastAsiaTheme="majorEastAsia" w:hAnsiTheme="minorHAnsi" w:cstheme="majorBidi"/>
      <w:color w:val="0F4761" w:themeColor="accent1" w:themeShade="BF"/>
      <w:kern w:val="2"/>
      <w:sz w:val="28"/>
      <w:szCs w:val="28"/>
      <w:lang w:eastAsia="en-US"/>
      <w14:ligatures w14:val="standardContextual"/>
    </w:rPr>
  </w:style>
  <w:style w:type="character" w:styleId="Vrazn">
    <w:name w:val="Strong"/>
    <w:basedOn w:val="Predvolenpsmoodseku"/>
    <w:uiPriority w:val="22"/>
    <w:qFormat/>
    <w:rsid w:val="00746D3C"/>
    <w:rPr>
      <w:b/>
      <w:bCs/>
    </w:rPr>
  </w:style>
  <w:style w:type="character" w:customStyle="1" w:styleId="normaltextrun">
    <w:name w:val="normaltextrun"/>
    <w:basedOn w:val="Predvolenpsmoodseku"/>
    <w:rsid w:val="00746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7626">
      <w:bodyDiv w:val="1"/>
      <w:marLeft w:val="0"/>
      <w:marRight w:val="0"/>
      <w:marTop w:val="0"/>
      <w:marBottom w:val="0"/>
      <w:divBdr>
        <w:top w:val="none" w:sz="0" w:space="0" w:color="auto"/>
        <w:left w:val="none" w:sz="0" w:space="0" w:color="auto"/>
        <w:bottom w:val="none" w:sz="0" w:space="0" w:color="auto"/>
        <w:right w:val="none" w:sz="0" w:space="0" w:color="auto"/>
      </w:divBdr>
    </w:div>
    <w:div w:id="131096057">
      <w:bodyDiv w:val="1"/>
      <w:marLeft w:val="0"/>
      <w:marRight w:val="0"/>
      <w:marTop w:val="0"/>
      <w:marBottom w:val="0"/>
      <w:divBdr>
        <w:top w:val="none" w:sz="0" w:space="0" w:color="auto"/>
        <w:left w:val="none" w:sz="0" w:space="0" w:color="auto"/>
        <w:bottom w:val="none" w:sz="0" w:space="0" w:color="auto"/>
        <w:right w:val="none" w:sz="0" w:space="0" w:color="auto"/>
      </w:divBdr>
    </w:div>
    <w:div w:id="139932247">
      <w:bodyDiv w:val="1"/>
      <w:marLeft w:val="0"/>
      <w:marRight w:val="0"/>
      <w:marTop w:val="0"/>
      <w:marBottom w:val="0"/>
      <w:divBdr>
        <w:top w:val="none" w:sz="0" w:space="0" w:color="auto"/>
        <w:left w:val="none" w:sz="0" w:space="0" w:color="auto"/>
        <w:bottom w:val="none" w:sz="0" w:space="0" w:color="auto"/>
        <w:right w:val="none" w:sz="0" w:space="0" w:color="auto"/>
      </w:divBdr>
    </w:div>
    <w:div w:id="314919513">
      <w:bodyDiv w:val="1"/>
      <w:marLeft w:val="0"/>
      <w:marRight w:val="0"/>
      <w:marTop w:val="0"/>
      <w:marBottom w:val="0"/>
      <w:divBdr>
        <w:top w:val="none" w:sz="0" w:space="0" w:color="auto"/>
        <w:left w:val="none" w:sz="0" w:space="0" w:color="auto"/>
        <w:bottom w:val="none" w:sz="0" w:space="0" w:color="auto"/>
        <w:right w:val="none" w:sz="0" w:space="0" w:color="auto"/>
      </w:divBdr>
    </w:div>
    <w:div w:id="365714486">
      <w:bodyDiv w:val="1"/>
      <w:marLeft w:val="0"/>
      <w:marRight w:val="0"/>
      <w:marTop w:val="0"/>
      <w:marBottom w:val="0"/>
      <w:divBdr>
        <w:top w:val="none" w:sz="0" w:space="0" w:color="auto"/>
        <w:left w:val="none" w:sz="0" w:space="0" w:color="auto"/>
        <w:bottom w:val="none" w:sz="0" w:space="0" w:color="auto"/>
        <w:right w:val="none" w:sz="0" w:space="0" w:color="auto"/>
      </w:divBdr>
      <w:divsChild>
        <w:div w:id="82800695">
          <w:marLeft w:val="0"/>
          <w:marRight w:val="0"/>
          <w:marTop w:val="0"/>
          <w:marBottom w:val="0"/>
          <w:divBdr>
            <w:top w:val="none" w:sz="0" w:space="0" w:color="auto"/>
            <w:left w:val="none" w:sz="0" w:space="0" w:color="auto"/>
            <w:bottom w:val="none" w:sz="0" w:space="0" w:color="auto"/>
            <w:right w:val="none" w:sz="0" w:space="0" w:color="auto"/>
          </w:divBdr>
        </w:div>
      </w:divsChild>
    </w:div>
    <w:div w:id="530610899">
      <w:bodyDiv w:val="1"/>
      <w:marLeft w:val="0"/>
      <w:marRight w:val="0"/>
      <w:marTop w:val="0"/>
      <w:marBottom w:val="0"/>
      <w:divBdr>
        <w:top w:val="none" w:sz="0" w:space="0" w:color="auto"/>
        <w:left w:val="none" w:sz="0" w:space="0" w:color="auto"/>
        <w:bottom w:val="none" w:sz="0" w:space="0" w:color="auto"/>
        <w:right w:val="none" w:sz="0" w:space="0" w:color="auto"/>
      </w:divBdr>
    </w:div>
    <w:div w:id="603614329">
      <w:bodyDiv w:val="1"/>
      <w:marLeft w:val="0"/>
      <w:marRight w:val="0"/>
      <w:marTop w:val="0"/>
      <w:marBottom w:val="0"/>
      <w:divBdr>
        <w:top w:val="none" w:sz="0" w:space="0" w:color="auto"/>
        <w:left w:val="none" w:sz="0" w:space="0" w:color="auto"/>
        <w:bottom w:val="none" w:sz="0" w:space="0" w:color="auto"/>
        <w:right w:val="none" w:sz="0" w:space="0" w:color="auto"/>
      </w:divBdr>
      <w:divsChild>
        <w:div w:id="653024061">
          <w:marLeft w:val="0"/>
          <w:marRight w:val="0"/>
          <w:marTop w:val="200"/>
          <w:marBottom w:val="200"/>
          <w:divBdr>
            <w:top w:val="single" w:sz="8" w:space="0" w:color="000000"/>
            <w:left w:val="single" w:sz="8" w:space="0" w:color="000000"/>
            <w:bottom w:val="single" w:sz="8" w:space="0" w:color="000000"/>
            <w:right w:val="single" w:sz="8" w:space="0" w:color="000000"/>
          </w:divBdr>
          <w:divsChild>
            <w:div w:id="319042918">
              <w:marLeft w:val="0"/>
              <w:marRight w:val="0"/>
              <w:marTop w:val="0"/>
              <w:marBottom w:val="0"/>
              <w:divBdr>
                <w:top w:val="none" w:sz="0" w:space="0" w:color="auto"/>
                <w:left w:val="none" w:sz="0" w:space="0" w:color="auto"/>
                <w:bottom w:val="none" w:sz="0" w:space="0" w:color="auto"/>
                <w:right w:val="none" w:sz="0" w:space="0" w:color="auto"/>
              </w:divBdr>
              <w:divsChild>
                <w:div w:id="482041187">
                  <w:marLeft w:val="0"/>
                  <w:marRight w:val="0"/>
                  <w:marTop w:val="0"/>
                  <w:marBottom w:val="0"/>
                  <w:divBdr>
                    <w:top w:val="none" w:sz="0" w:space="0" w:color="auto"/>
                    <w:left w:val="none" w:sz="0" w:space="0" w:color="auto"/>
                    <w:bottom w:val="none" w:sz="0" w:space="0" w:color="auto"/>
                    <w:right w:val="none" w:sz="0" w:space="0" w:color="auto"/>
                  </w:divBdr>
                </w:div>
                <w:div w:id="601574957">
                  <w:marLeft w:val="0"/>
                  <w:marRight w:val="0"/>
                  <w:marTop w:val="0"/>
                  <w:marBottom w:val="0"/>
                  <w:divBdr>
                    <w:top w:val="none" w:sz="0" w:space="0" w:color="auto"/>
                    <w:left w:val="none" w:sz="0" w:space="0" w:color="auto"/>
                    <w:bottom w:val="none" w:sz="0" w:space="0" w:color="auto"/>
                    <w:right w:val="none" w:sz="0" w:space="0" w:color="auto"/>
                  </w:divBdr>
                </w:div>
                <w:div w:id="1153568958">
                  <w:marLeft w:val="0"/>
                  <w:marRight w:val="0"/>
                  <w:marTop w:val="0"/>
                  <w:marBottom w:val="0"/>
                  <w:divBdr>
                    <w:top w:val="none" w:sz="0" w:space="0" w:color="auto"/>
                    <w:left w:val="none" w:sz="0" w:space="0" w:color="auto"/>
                    <w:bottom w:val="none" w:sz="0" w:space="0" w:color="auto"/>
                    <w:right w:val="none" w:sz="0" w:space="0" w:color="auto"/>
                  </w:divBdr>
                </w:div>
                <w:div w:id="1423455538">
                  <w:marLeft w:val="0"/>
                  <w:marRight w:val="0"/>
                  <w:marTop w:val="0"/>
                  <w:marBottom w:val="0"/>
                  <w:divBdr>
                    <w:top w:val="none" w:sz="0" w:space="0" w:color="auto"/>
                    <w:left w:val="none" w:sz="0" w:space="0" w:color="auto"/>
                    <w:bottom w:val="none" w:sz="0" w:space="0" w:color="auto"/>
                    <w:right w:val="none" w:sz="0" w:space="0" w:color="auto"/>
                  </w:divBdr>
                </w:div>
                <w:div w:id="1576010963">
                  <w:marLeft w:val="0"/>
                  <w:marRight w:val="0"/>
                  <w:marTop w:val="0"/>
                  <w:marBottom w:val="0"/>
                  <w:divBdr>
                    <w:top w:val="none" w:sz="0" w:space="0" w:color="auto"/>
                    <w:left w:val="none" w:sz="0" w:space="0" w:color="auto"/>
                    <w:bottom w:val="none" w:sz="0" w:space="0" w:color="auto"/>
                    <w:right w:val="none" w:sz="0" w:space="0" w:color="auto"/>
                  </w:divBdr>
                </w:div>
                <w:div w:id="1756904161">
                  <w:marLeft w:val="0"/>
                  <w:marRight w:val="0"/>
                  <w:marTop w:val="0"/>
                  <w:marBottom w:val="0"/>
                  <w:divBdr>
                    <w:top w:val="none" w:sz="0" w:space="0" w:color="auto"/>
                    <w:left w:val="none" w:sz="0" w:space="0" w:color="auto"/>
                    <w:bottom w:val="none" w:sz="0" w:space="0" w:color="auto"/>
                    <w:right w:val="none" w:sz="0" w:space="0" w:color="auto"/>
                  </w:divBdr>
                </w:div>
                <w:div w:id="1964917571">
                  <w:marLeft w:val="0"/>
                  <w:marRight w:val="0"/>
                  <w:marTop w:val="0"/>
                  <w:marBottom w:val="0"/>
                  <w:divBdr>
                    <w:top w:val="none" w:sz="0" w:space="0" w:color="auto"/>
                    <w:left w:val="none" w:sz="0" w:space="0" w:color="auto"/>
                    <w:bottom w:val="none" w:sz="0" w:space="0" w:color="auto"/>
                    <w:right w:val="none" w:sz="0" w:space="0" w:color="auto"/>
                  </w:divBdr>
                </w:div>
                <w:div w:id="20957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2330">
          <w:marLeft w:val="0"/>
          <w:marRight w:val="0"/>
          <w:marTop w:val="200"/>
          <w:marBottom w:val="200"/>
          <w:divBdr>
            <w:top w:val="single" w:sz="8" w:space="0" w:color="000000"/>
            <w:left w:val="single" w:sz="8" w:space="0" w:color="000000"/>
            <w:bottom w:val="single" w:sz="8" w:space="0" w:color="000000"/>
            <w:right w:val="single" w:sz="8" w:space="0" w:color="000000"/>
          </w:divBdr>
          <w:divsChild>
            <w:div w:id="1057435008">
              <w:marLeft w:val="0"/>
              <w:marRight w:val="0"/>
              <w:marTop w:val="0"/>
              <w:marBottom w:val="0"/>
              <w:divBdr>
                <w:top w:val="none" w:sz="0" w:space="0" w:color="auto"/>
                <w:left w:val="none" w:sz="0" w:space="0" w:color="auto"/>
                <w:bottom w:val="none" w:sz="0" w:space="0" w:color="auto"/>
                <w:right w:val="none" w:sz="0" w:space="0" w:color="auto"/>
              </w:divBdr>
              <w:divsChild>
                <w:div w:id="5790111">
                  <w:marLeft w:val="0"/>
                  <w:marRight w:val="0"/>
                  <w:marTop w:val="0"/>
                  <w:marBottom w:val="0"/>
                  <w:divBdr>
                    <w:top w:val="none" w:sz="0" w:space="0" w:color="auto"/>
                    <w:left w:val="none" w:sz="0" w:space="0" w:color="auto"/>
                    <w:bottom w:val="none" w:sz="0" w:space="0" w:color="auto"/>
                    <w:right w:val="none" w:sz="0" w:space="0" w:color="auto"/>
                  </w:divBdr>
                </w:div>
                <w:div w:id="371461282">
                  <w:marLeft w:val="0"/>
                  <w:marRight w:val="0"/>
                  <w:marTop w:val="0"/>
                  <w:marBottom w:val="0"/>
                  <w:divBdr>
                    <w:top w:val="none" w:sz="0" w:space="0" w:color="auto"/>
                    <w:left w:val="none" w:sz="0" w:space="0" w:color="auto"/>
                    <w:bottom w:val="none" w:sz="0" w:space="0" w:color="auto"/>
                    <w:right w:val="none" w:sz="0" w:space="0" w:color="auto"/>
                  </w:divBdr>
                </w:div>
                <w:div w:id="821392605">
                  <w:marLeft w:val="0"/>
                  <w:marRight w:val="0"/>
                  <w:marTop w:val="0"/>
                  <w:marBottom w:val="0"/>
                  <w:divBdr>
                    <w:top w:val="none" w:sz="0" w:space="0" w:color="auto"/>
                    <w:left w:val="none" w:sz="0" w:space="0" w:color="auto"/>
                    <w:bottom w:val="none" w:sz="0" w:space="0" w:color="auto"/>
                    <w:right w:val="none" w:sz="0" w:space="0" w:color="auto"/>
                  </w:divBdr>
                </w:div>
                <w:div w:id="997004091">
                  <w:marLeft w:val="0"/>
                  <w:marRight w:val="0"/>
                  <w:marTop w:val="0"/>
                  <w:marBottom w:val="0"/>
                  <w:divBdr>
                    <w:top w:val="none" w:sz="0" w:space="0" w:color="auto"/>
                    <w:left w:val="none" w:sz="0" w:space="0" w:color="auto"/>
                    <w:bottom w:val="none" w:sz="0" w:space="0" w:color="auto"/>
                    <w:right w:val="none" w:sz="0" w:space="0" w:color="auto"/>
                  </w:divBdr>
                </w:div>
                <w:div w:id="1984456805">
                  <w:marLeft w:val="0"/>
                  <w:marRight w:val="0"/>
                  <w:marTop w:val="0"/>
                  <w:marBottom w:val="0"/>
                  <w:divBdr>
                    <w:top w:val="none" w:sz="0" w:space="0" w:color="auto"/>
                    <w:left w:val="none" w:sz="0" w:space="0" w:color="auto"/>
                    <w:bottom w:val="none" w:sz="0" w:space="0" w:color="auto"/>
                    <w:right w:val="none" w:sz="0" w:space="0" w:color="auto"/>
                  </w:divBdr>
                </w:div>
              </w:divsChild>
            </w:div>
            <w:div w:id="12187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9744">
      <w:bodyDiv w:val="1"/>
      <w:marLeft w:val="0"/>
      <w:marRight w:val="0"/>
      <w:marTop w:val="0"/>
      <w:marBottom w:val="0"/>
      <w:divBdr>
        <w:top w:val="none" w:sz="0" w:space="0" w:color="auto"/>
        <w:left w:val="none" w:sz="0" w:space="0" w:color="auto"/>
        <w:bottom w:val="none" w:sz="0" w:space="0" w:color="auto"/>
        <w:right w:val="none" w:sz="0" w:space="0" w:color="auto"/>
      </w:divBdr>
    </w:div>
    <w:div w:id="1034581374">
      <w:bodyDiv w:val="1"/>
      <w:marLeft w:val="0"/>
      <w:marRight w:val="0"/>
      <w:marTop w:val="0"/>
      <w:marBottom w:val="0"/>
      <w:divBdr>
        <w:top w:val="none" w:sz="0" w:space="0" w:color="auto"/>
        <w:left w:val="none" w:sz="0" w:space="0" w:color="auto"/>
        <w:bottom w:val="none" w:sz="0" w:space="0" w:color="auto"/>
        <w:right w:val="none" w:sz="0" w:space="0" w:color="auto"/>
      </w:divBdr>
    </w:div>
    <w:div w:id="169758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dancak@mfsr.sk" TargetMode="External"/><Relationship Id="rId13" Type="http://schemas.openxmlformats.org/officeDocument/2006/relationships/header" Target="header2.xml"/><Relationship Id="rId18" Type="http://schemas.openxmlformats.org/officeDocument/2006/relationships/hyperlink" Target="https://metais.slovensko.sk/ci/KS/d1faecf3-4be7-4bba-b5eb-cbbf6728101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hsr.sk/podnikatelske-prostredie/lepsia-regulacia/regulacne-zatazenie/kalkulacka-nakladov-regulacie" TargetMode="External"/><Relationship Id="rId10" Type="http://schemas.openxmlformats.org/officeDocument/2006/relationships/header" Target="header1.xml"/><Relationship Id="rId19" Type="http://schemas.openxmlformats.org/officeDocument/2006/relationships/hyperlink" Target="https://www.normoff.gov.sk/stranka/159/bezodplatne-poskytovanie-noriem/%E2%80%9C" TargetMode="External"/><Relationship Id="rId4" Type="http://schemas.openxmlformats.org/officeDocument/2006/relationships/settings" Target="settings.xml"/><Relationship Id="rId9" Type="http://schemas.openxmlformats.org/officeDocument/2006/relationships/hyperlink" Target="mailto:viera.simanova@mfsr.sk"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84A64-6140-4312-BA86-04FF1D56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94</Pages>
  <Words>42386</Words>
  <Characters>241140</Characters>
  <Application>Microsoft Office Word</Application>
  <DocSecurity>0</DocSecurity>
  <Lines>2009</Lines>
  <Paragraphs>565</Paragraphs>
  <ScaleCrop>false</ScaleCrop>
  <HeadingPairs>
    <vt:vector size="2" baseType="variant">
      <vt:variant>
        <vt:lpstr>Názov</vt:lpstr>
      </vt:variant>
      <vt:variant>
        <vt:i4>1</vt:i4>
      </vt:variant>
    </vt:vector>
  </HeadingPairs>
  <TitlesOfParts>
    <vt:vector size="1" baseType="lpstr">
      <vt:lpstr>Dobrý deň,</vt:lpstr>
    </vt:vector>
  </TitlesOfParts>
  <Company/>
  <LinksUpToDate>false</LinksUpToDate>
  <CharactersWithSpaces>282961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Dobrý deň,</dc:title>
  <dc:subject/>
  <dc:creator>Matej Čapo</dc:creator>
  <cp:keywords/>
  <dc:description/>
  <cp:lastModifiedBy>Dancak Jan</cp:lastModifiedBy>
  <cp:revision>30</cp:revision>
  <cp:lastPrinted>2025-07-14T08:34:00Z</cp:lastPrinted>
  <dcterms:created xsi:type="dcterms:W3CDTF">2025-09-03T13:01:00Z</dcterms:created>
  <dcterms:modified xsi:type="dcterms:W3CDTF">2025-09-25T08:46:00Z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2025-09-23T11:09:58Z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9a594416-f60a-4e22-a96e-bd2e01a24512</vt:lpwstr>
  </property>
  <property fmtid="{D5CDD505-2E9C-101B-9397-08002B2CF9AE}" pid="8" name="MSIP_Label_d8d4986f-dcbf-4623-ae9a-8251714e0a88_ContentBits">
    <vt:lpwstr>0</vt:lpwstr>
  </property>
  <property fmtid="{D5CDD505-2E9C-101B-9397-08002B2CF9AE}" pid="9" name="MSIP_Label_d8d4986f-dcbf-4623-ae9a-8251714e0a88_Tag">
    <vt:lpwstr>10, 0, 1, 1</vt:lpwstr>
  </property>
</Properties>
</file>