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C2EF7" w:rsidRDefault="003321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ô v o d o v á   s p r á v a</w:t>
      </w:r>
    </w:p>
    <w:p w14:paraId="00000002" w14:textId="77777777" w:rsidR="009C2EF7" w:rsidRDefault="009C2E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9C2EF7" w:rsidRDefault="0033218B" w:rsidP="00DF50A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Všeobecná časť</w:t>
      </w:r>
    </w:p>
    <w:p w14:paraId="00000004" w14:textId="77777777" w:rsidR="009C2EF7" w:rsidRDefault="009C2E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0A78A516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 ktorým sa dopĺňa zákon č. 190/2003 Z. z. o strelných zbraniach a strelive a o zmene a doplnení niektorých zákonov v znení neskorších predpisov predklad</w:t>
      </w:r>
      <w:r w:rsidR="0024081B">
        <w:rPr>
          <w:rFonts w:ascii="Times New Roman" w:eastAsia="Times New Roman" w:hAnsi="Times New Roman" w:cs="Times New Roman"/>
          <w:sz w:val="24"/>
          <w:szCs w:val="24"/>
        </w:rPr>
        <w:t xml:space="preserve">ajú </w:t>
      </w:r>
      <w:r>
        <w:rPr>
          <w:rFonts w:ascii="Times New Roman" w:eastAsia="Times New Roman" w:hAnsi="Times New Roman" w:cs="Times New Roman"/>
          <w:sz w:val="24"/>
          <w:szCs w:val="24"/>
        </w:rPr>
        <w:t>na rokovanie Národnej rady Slovenskej republiky poslan</w:t>
      </w:r>
      <w:r w:rsidR="001B6F6D">
        <w:rPr>
          <w:rFonts w:ascii="Times New Roman" w:eastAsia="Times New Roman" w:hAnsi="Times New Roman" w:cs="Times New Roman"/>
          <w:sz w:val="24"/>
          <w:szCs w:val="24"/>
        </w:rPr>
        <w:t xml:space="preserve">ci </w:t>
      </w:r>
      <w:r>
        <w:rPr>
          <w:rFonts w:ascii="Times New Roman" w:eastAsia="Times New Roman" w:hAnsi="Times New Roman" w:cs="Times New Roman"/>
          <w:sz w:val="24"/>
          <w:szCs w:val="24"/>
        </w:rPr>
        <w:t>Národnej rady Slovenskej republiky Martina Bajo Holečková</w:t>
      </w:r>
      <w:r w:rsidR="002164E4">
        <w:rPr>
          <w:rFonts w:ascii="Times New Roman" w:eastAsia="Times New Roman" w:hAnsi="Times New Roman" w:cs="Times New Roman"/>
          <w:sz w:val="24"/>
          <w:szCs w:val="24"/>
        </w:rPr>
        <w:t>, Mária Kolíková</w:t>
      </w:r>
      <w:r w:rsidR="00B5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64E4">
        <w:rPr>
          <w:rFonts w:ascii="Times New Roman" w:eastAsia="Times New Roman" w:hAnsi="Times New Roman" w:cs="Times New Roman"/>
          <w:sz w:val="24"/>
          <w:szCs w:val="24"/>
        </w:rPr>
        <w:t>Juraj Krúpa</w:t>
      </w:r>
      <w:r w:rsidR="00B50086">
        <w:rPr>
          <w:rFonts w:ascii="Times New Roman" w:eastAsia="Times New Roman" w:hAnsi="Times New Roman" w:cs="Times New Roman"/>
          <w:sz w:val="24"/>
          <w:szCs w:val="24"/>
        </w:rPr>
        <w:t xml:space="preserve"> a Marián Viskupič</w:t>
      </w:r>
      <w:r w:rsidR="00662F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Cieľom návrhu zákona je odstránenie neprimeranej a neopodstatnenej diskriminácie osôb so sluchovým postihnutím, ktorá im v súčasnosti bráni v prístupe k športovým a zberateľským aktivitám. Návrh zároveň posilňuje právnu istotu a stabilitu kritérií pre posudzovanie zdravotnej spôsobilosti prostredníctvom presunu týchto kritérií z podzákonnej normy (vyhlášky) do zákona.</w:t>
      </w:r>
    </w:p>
    <w:p w14:paraId="00000008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1BB71F9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súčasnosti sú podmienky zdravotnej spôsobilosti detailne stanovené vo vyhláške Ministerstva zdravotníctva S</w:t>
      </w:r>
      <w:r w:rsidR="00E70EEB">
        <w:rPr>
          <w:rFonts w:ascii="Times New Roman" w:eastAsia="Times New Roman" w:hAnsi="Times New Roman" w:cs="Times New Roman"/>
          <w:sz w:val="24"/>
          <w:szCs w:val="24"/>
        </w:rPr>
        <w:t xml:space="preserve">lovenskej republiky </w:t>
      </w:r>
      <w:r>
        <w:rPr>
          <w:rFonts w:ascii="Times New Roman" w:eastAsia="Times New Roman" w:hAnsi="Times New Roman" w:cs="Times New Roman"/>
          <w:sz w:val="24"/>
          <w:szCs w:val="24"/>
        </w:rPr>
        <w:t>č. 229/2011 Z. z. V rámci tohto katalógu kontraindikácií je zníženie sluchovej ostrosti uvedené ako prekážka vydania zbrojného preukazu. Tento stav neberie do úvahy špecifiká streleckých aktivít, ktoré sú primárne vizuálne a motorické. Pri streľbe sa pokyny a bezpečnostné signály bežne dávajú vizuálnou komunikáciou a gestami, čo nepočujúcim nebráni v bezpečnom zaobchádzaní so zbraňou. Súčasné reštriktívne kritériá sú v rozpore s princípmi rovnosti a medzinárodnou praxou, kde nepočujúci občania bežne súťažia a lovia v zahraničí (napríklad v Českej republike, Nemecku a iných štátoch EÚ).</w:t>
      </w:r>
    </w:p>
    <w:p w14:paraId="0000000A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4A7A840E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Navrhovateľka je presvedčená, že pre bezpečné vykonávanie streleckých aktivít v skupinách zbrojného preukazu E (šport) a F (zberateľstvo) nie je sluch rozhodujúcim faktorom. Preto sa navrhuje riešenie, ktoré zvyšuje právnu silu a stabilitu kritérií – presun celého katalógu kontraindikácií z vyhlášky priamo do zákona (vložením novej </w:t>
      </w:r>
      <w:r w:rsidR="00386916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rílohy č. 8) – a súčasne sa v § 20 ods. 2 zavádza špecifická výnimka pre kontraindikáciu sluchu. Táto výnimka platí výlučne pre uvedené skupiny zbrojného preukazu, pričom všetky ostatné zdravotné kontraindikácie, najmä zraková ostrosť, motorika a psychická spôsobilosť, zostávajú v plnej platnosti. Týmto sa zabezpečí, že ak je žiadateľ inak plne spôsobilý, nebude diskvalifikovaný len z dôvodu sluchu, pri zachovaní maximálnej miery bezpečnosti.</w:t>
      </w:r>
    </w:p>
    <w:p w14:paraId="0000000C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4B7F4FC2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Predložený návrh zákona </w:t>
      </w:r>
      <w:r w:rsidR="0024247F"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bude mať priame finančné vplyvy na rozpočet verejnej správy a nebude mať vplyvy na zamestnanosť, informatizáciu spoločnosti, životné prostredie, manželstvo, rodičovstvo ani rodinu. Očakáva sa pozitívny vplyv na sociálnu oblasť a oblasť práv osôb so zdravotným postihnutím, ktoré získajú rovnoprávny prístup k športovým a rekreačným aktivitám. </w:t>
      </w:r>
      <w:r w:rsidR="00614A63">
        <w:rPr>
          <w:rFonts w:ascii="Times New Roman" w:eastAsia="Times New Roman" w:hAnsi="Times New Roman" w:cs="Times New Roman"/>
          <w:sz w:val="24"/>
          <w:szCs w:val="24"/>
        </w:rPr>
        <w:t xml:space="preserve">Návrh zákona </w:t>
      </w:r>
      <w:r w:rsidR="007143E6">
        <w:rPr>
          <w:rFonts w:ascii="Times New Roman" w:eastAsia="Times New Roman" w:hAnsi="Times New Roman" w:cs="Times New Roman"/>
          <w:sz w:val="24"/>
          <w:szCs w:val="24"/>
        </w:rPr>
        <w:t>nebude mať vplyv na služby verejnej správy pre občana.</w:t>
      </w:r>
    </w:p>
    <w:p w14:paraId="0000000E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Predložený návrh zákona je v súlade s Ústavou Slovenskej republiky, ústavnými zákonmi a ostatnými všeobecne záväznými právnymi predpismi Slovenskej republiky, ako aj s právom Európskej únie.</w:t>
      </w:r>
    </w:p>
    <w:p w14:paraId="00000010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9C2EF7" w:rsidRDefault="0033218B" w:rsidP="00DF50A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Osobitná časť</w:t>
      </w:r>
    </w:p>
    <w:p w14:paraId="00000012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</w:t>
      </w:r>
    </w:p>
    <w:p w14:paraId="00000014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bodu 1</w:t>
      </w:r>
    </w:p>
    <w:p w14:paraId="00000016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15AEF18B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Navrhuje sa doplniť § 20 ods. 2 o nové vety, ktoré riešia špecifické prípady sluchového postihnutia. Vzhľadom na minimálne bezpečnostné riziko pri zbrojných preukazoch skupín E a F (šport a zberateľstvo) tieto vety vytvárajú priamu výnimku zo zákonom definovanej kontraindikácie sluchu (podľa novej </w:t>
      </w:r>
      <w:r w:rsidR="00023CB1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rílohy č. 8, časť II, bod 2). Tento mechanizmus zabezpečuje, že sluchovo postihnutá osoba, ktorá spĺňa všetky ostatné zdravotné kritériá, nebude automaticky diskvalifikovaná z vydania a držania zbrojného preukazu skupiny E a F.</w:t>
      </w:r>
    </w:p>
    <w:p w14:paraId="00000018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bodu 2</w:t>
      </w:r>
    </w:p>
    <w:p w14:paraId="0000001A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34F0B5D0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Navrhuje sa vložiť novú </w:t>
      </w:r>
      <w:r w:rsidR="00A90561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rílohu č. 8 do zákona. Obsah tejto prílohy preberá katalóg kontraindikácií z doterajšej vyhlášky Ministerstva zdravotníctva S</w:t>
      </w:r>
      <w:r w:rsidR="00340990">
        <w:rPr>
          <w:rFonts w:ascii="Times New Roman" w:eastAsia="Times New Roman" w:hAnsi="Times New Roman" w:cs="Times New Roman"/>
          <w:sz w:val="24"/>
          <w:szCs w:val="24"/>
        </w:rPr>
        <w:t>lovenskej republiky</w:t>
      </w:r>
      <w:r>
        <w:rPr>
          <w:rFonts w:ascii="Times New Roman" w:eastAsia="Times New Roman" w:hAnsi="Times New Roman" w:cs="Times New Roman"/>
          <w:sz w:val="24"/>
          <w:szCs w:val="24"/>
        </w:rPr>
        <w:t>, prílohy č. 1. Týmto sa dosahuje legislatívny presun tejto úpravy na úroveň zákona, čím sa zvyšuje jej stabilita a právna sila. Znenie prílohy je nevyhnutné pre aplikáciu výnimky v § 20 ods. 2.</w:t>
      </w:r>
    </w:p>
    <w:p w14:paraId="0000001C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II</w:t>
      </w:r>
    </w:p>
    <w:p w14:paraId="0000001E" w14:textId="77777777" w:rsidR="009C2EF7" w:rsidRDefault="009C2EF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9C2EF7" w:rsidRDefault="0033218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Účinnosť sa navrhuje od 1. januára 2026. </w:t>
      </w:r>
    </w:p>
    <w:p w14:paraId="00000020" w14:textId="77777777" w:rsidR="009C2EF7" w:rsidRDefault="009C2EF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9C2EF7" w:rsidRDefault="009C2EF7"/>
    <w:sectPr w:rsidR="009C2EF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F7"/>
    <w:rsid w:val="00023CB1"/>
    <w:rsid w:val="001B6F6D"/>
    <w:rsid w:val="002164E4"/>
    <w:rsid w:val="0024081B"/>
    <w:rsid w:val="0024247F"/>
    <w:rsid w:val="0024762F"/>
    <w:rsid w:val="0033218B"/>
    <w:rsid w:val="00340990"/>
    <w:rsid w:val="00386916"/>
    <w:rsid w:val="004D3363"/>
    <w:rsid w:val="004D3B96"/>
    <w:rsid w:val="00614A63"/>
    <w:rsid w:val="00662FA3"/>
    <w:rsid w:val="007143E6"/>
    <w:rsid w:val="009C2EF7"/>
    <w:rsid w:val="00A90561"/>
    <w:rsid w:val="00B50086"/>
    <w:rsid w:val="00D80D93"/>
    <w:rsid w:val="00DF50AB"/>
    <w:rsid w:val="00E7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B23ED"/>
  <w15:docId w15:val="{B3035B9F-125C-459A-90C6-EA9C5D2D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560</Words>
  <Characters>3326</Characters>
  <Application>Microsoft Office Word</Application>
  <DocSecurity>0</DocSecurity>
  <Lines>70</Lines>
  <Paragraphs>18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Andrej Pitonak</cp:lastModifiedBy>
  <cp:revision>37</cp:revision>
  <dcterms:created xsi:type="dcterms:W3CDTF">2025-09-26T11:29:00Z</dcterms:created>
  <dcterms:modified xsi:type="dcterms:W3CDTF">2025-09-26T11:57:00Z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740a8361-a7c7-4e9a-b256-c10232d0b275</vt:lpwstr>
  </property>
</Properties>
</file>