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Dôvodová správa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numPr>
          <w:ilvl w:val="0"/>
          <w:numId w:val="1"/>
        </w:numPr>
        <w:ind w:left="720" w:hanging="360"/>
        <w:jc w:val="both"/>
        <w:rPr>
          <w:b w:val="1"/>
          <w:sz w:val="24"/>
          <w:szCs w:val="24"/>
        </w:rPr>
      </w:pPr>
      <w:r w:rsidDel="00000000" w:rsidR="00000000" w:rsidRPr="00000000">
        <w:rPr>
          <w:b w:val="1"/>
          <w:sz w:val="24"/>
          <w:szCs w:val="24"/>
          <w:rtl w:val="0"/>
        </w:rPr>
        <w:t xml:space="preserve">Všeobecná časť</w:t>
      </w:r>
    </w:p>
    <w:p w:rsidR="00000000" w:rsidDel="00000000" w:rsidP="00000000" w:rsidRDefault="00000000" w:rsidRPr="00000000" w14:paraId="00000005">
      <w:pPr>
        <w:widowControl w:val="0"/>
        <w:jc w:val="both"/>
        <w:rPr>
          <w:b w:val="1"/>
          <w:sz w:val="24"/>
          <w:szCs w:val="24"/>
        </w:rPr>
      </w:pPr>
      <w:r w:rsidDel="00000000" w:rsidR="00000000" w:rsidRPr="00000000">
        <w:rPr>
          <w:rtl w:val="0"/>
        </w:rPr>
      </w:r>
    </w:p>
    <w:p w:rsidR="00000000" w:rsidDel="00000000" w:rsidP="00000000" w:rsidRDefault="00000000" w:rsidRPr="00000000" w14:paraId="00000006">
      <w:pPr>
        <w:widowControl w:val="0"/>
        <w:jc w:val="both"/>
        <w:rPr>
          <w:b w:val="1"/>
          <w:sz w:val="24"/>
          <w:szCs w:val="24"/>
        </w:rPr>
      </w:pPr>
      <w:r w:rsidDel="00000000" w:rsidR="00000000" w:rsidRPr="00000000">
        <w:rPr>
          <w:b w:val="1"/>
          <w:sz w:val="24"/>
          <w:szCs w:val="24"/>
          <w:rtl w:val="0"/>
        </w:rPr>
        <w:tab/>
      </w:r>
      <w:r w:rsidDel="00000000" w:rsidR="00000000" w:rsidRPr="00000000">
        <w:rPr>
          <w:sz w:val="24"/>
          <w:szCs w:val="24"/>
          <w:rtl w:val="0"/>
        </w:rPr>
        <w:t xml:space="preserve">Návrh zákona, ktorým sa mení a dopĺňa zákon č. 311/2001 Z. z. Zákonník práce v znení neskorších predpisov predkladá poslankyňa Národnej rady Slovenskej republiky Simona Petrík.</w:t>
      </w:r>
      <w:r w:rsidDel="00000000" w:rsidR="00000000" w:rsidRPr="00000000">
        <w:rPr>
          <w:rtl w:val="0"/>
        </w:rPr>
      </w:r>
    </w:p>
    <w:p w:rsidR="00000000" w:rsidDel="00000000" w:rsidP="00000000" w:rsidRDefault="00000000" w:rsidRPr="00000000" w14:paraId="00000007">
      <w:pPr>
        <w:widowControl w:val="0"/>
        <w:jc w:val="both"/>
        <w:rPr>
          <w:b w:val="1"/>
          <w:sz w:val="24"/>
          <w:szCs w:val="24"/>
        </w:rPr>
      </w:pPr>
      <w:r w:rsidDel="00000000" w:rsidR="00000000" w:rsidRPr="00000000">
        <w:rPr>
          <w:rtl w:val="0"/>
        </w:rPr>
      </w:r>
    </w:p>
    <w:p w:rsidR="00000000" w:rsidDel="00000000" w:rsidP="00000000" w:rsidRDefault="00000000" w:rsidRPr="00000000" w14:paraId="00000008">
      <w:pPr>
        <w:widowControl w:val="0"/>
        <w:jc w:val="both"/>
        <w:rPr>
          <w:b w:val="1"/>
          <w:sz w:val="24"/>
          <w:szCs w:val="24"/>
        </w:rPr>
      </w:pPr>
      <w:r w:rsidDel="00000000" w:rsidR="00000000" w:rsidRPr="00000000">
        <w:rPr>
          <w:sz w:val="24"/>
          <w:szCs w:val="24"/>
          <w:rtl w:val="0"/>
        </w:rPr>
        <w:tab/>
        <w:t xml:space="preserve">Cieľom návrhu zákona je posilniť ochranu zástupcov zamestnancov – </w:t>
      </w:r>
      <w:r w:rsidDel="00000000" w:rsidR="00000000" w:rsidRPr="00000000">
        <w:rPr>
          <w:b w:val="1"/>
          <w:sz w:val="24"/>
          <w:szCs w:val="24"/>
          <w:rtl w:val="0"/>
        </w:rPr>
        <w:t xml:space="preserve">členov a členiek výkonných výborov odborov</w:t>
      </w:r>
      <w:r w:rsidDel="00000000" w:rsidR="00000000" w:rsidRPr="00000000">
        <w:rPr>
          <w:sz w:val="24"/>
          <w:szCs w:val="24"/>
          <w:rtl w:val="0"/>
        </w:rPr>
        <w:t xml:space="preserve">. Touto zmenou budú lepšie chránení v prípade nezákonne podanej výpovede zo strany zamestnávateľa.</w:t>
      </w:r>
      <w:r w:rsidDel="00000000" w:rsidR="00000000" w:rsidRPr="00000000">
        <w:rPr>
          <w:rtl w:val="0"/>
        </w:rPr>
      </w:r>
    </w:p>
    <w:p w:rsidR="00000000" w:rsidDel="00000000" w:rsidP="00000000" w:rsidRDefault="00000000" w:rsidRPr="00000000" w14:paraId="00000009">
      <w:pPr>
        <w:widowControl w:val="0"/>
        <w:jc w:val="both"/>
        <w:rPr>
          <w:b w:val="1"/>
          <w:sz w:val="24"/>
          <w:szCs w:val="24"/>
        </w:rPr>
      </w:pPr>
      <w:r w:rsidDel="00000000" w:rsidR="00000000" w:rsidRPr="00000000">
        <w:rPr>
          <w:rtl w:val="0"/>
        </w:rPr>
      </w:r>
    </w:p>
    <w:p w:rsidR="00000000" w:rsidDel="00000000" w:rsidP="00000000" w:rsidRDefault="00000000" w:rsidRPr="00000000" w14:paraId="0000000A">
      <w:pPr>
        <w:widowControl w:val="0"/>
        <w:jc w:val="both"/>
        <w:rPr>
          <w:b w:val="1"/>
          <w:sz w:val="24"/>
          <w:szCs w:val="24"/>
        </w:rPr>
      </w:pPr>
      <w:r w:rsidDel="00000000" w:rsidR="00000000" w:rsidRPr="00000000">
        <w:rPr>
          <w:sz w:val="24"/>
          <w:szCs w:val="24"/>
          <w:rtl w:val="0"/>
        </w:rPr>
        <w:tab/>
        <w:t xml:space="preserve">V posledných rokoch vnímame čoraz väčší tlak na odborových predákov v spoločnostiach naprieč všetkými sektormi hospodárstva. Tento tlak priamo súvisí s legitímnou činnosťou danej odborovej organizácie a niekedy prerastá až do </w:t>
      </w:r>
      <w:r w:rsidDel="00000000" w:rsidR="00000000" w:rsidRPr="00000000">
        <w:rPr>
          <w:b w:val="1"/>
          <w:sz w:val="24"/>
          <w:szCs w:val="24"/>
          <w:rtl w:val="0"/>
        </w:rPr>
        <w:t xml:space="preserve">šikany</w:t>
      </w:r>
      <w:r w:rsidDel="00000000" w:rsidR="00000000" w:rsidRPr="00000000">
        <w:rPr>
          <w:sz w:val="24"/>
          <w:szCs w:val="24"/>
          <w:rtl w:val="0"/>
        </w:rPr>
        <w:t xml:space="preserve">. Odborárom sú kladené prekážky či už vo výkone pridelenej práce (napr. zamestnávateľ svojvoľne zamedzí zamestnancovi vstup na pracovisko), ale aj v ich odborárskych aktivitách (napr. zamestnávateľ neuznáva zákonné právo na čas venovať sa len odborárskej činnosti). </w:t>
      </w:r>
      <w:r w:rsidDel="00000000" w:rsidR="00000000" w:rsidRPr="00000000">
        <w:rPr>
          <w:b w:val="1"/>
          <w:sz w:val="24"/>
          <w:szCs w:val="24"/>
          <w:rtl w:val="0"/>
        </w:rPr>
        <w:t xml:space="preserve">V prípade, že toto hostilné správanie nemá žiaduci odstrašujúci efekt voči odborárom, zamestnávatelia v niektorých prípadoch pristupujú k ich prepusteniu </w:t>
      </w:r>
      <w:r w:rsidDel="00000000" w:rsidR="00000000" w:rsidRPr="00000000">
        <w:rPr>
          <w:sz w:val="24"/>
          <w:szCs w:val="24"/>
          <w:rtl w:val="0"/>
        </w:rPr>
        <w:t xml:space="preserve">– spravidla sa to týka predsedu/predsedníčky odborovej organizácie. Je potrebné uviesť, že tieto </w:t>
      </w:r>
      <w:r w:rsidDel="00000000" w:rsidR="00000000" w:rsidRPr="00000000">
        <w:rPr>
          <w:b w:val="1"/>
          <w:sz w:val="24"/>
          <w:szCs w:val="24"/>
          <w:rtl w:val="0"/>
        </w:rPr>
        <w:t xml:space="preserve">výpovede</w:t>
      </w:r>
      <w:r w:rsidDel="00000000" w:rsidR="00000000" w:rsidRPr="00000000">
        <w:rPr>
          <w:sz w:val="24"/>
          <w:szCs w:val="24"/>
          <w:rtl w:val="0"/>
        </w:rPr>
        <w:t xml:space="preserve"> (napr. medializované prípady v spoločnostiach Dell či Arriva Liorbus) </w:t>
      </w:r>
      <w:r w:rsidDel="00000000" w:rsidR="00000000" w:rsidRPr="00000000">
        <w:rPr>
          <w:b w:val="1"/>
          <w:sz w:val="24"/>
          <w:szCs w:val="24"/>
          <w:rtl w:val="0"/>
        </w:rPr>
        <w:t xml:space="preserve">boli príslušným predsedom organizácií doručené napriek tomu, že nebola splnená zákonná podmienka – odborová organizácia nedala súhlas na ich prepustenie. </w:t>
      </w:r>
      <w:r w:rsidDel="00000000" w:rsidR="00000000" w:rsidRPr="00000000">
        <w:rPr>
          <w:sz w:val="24"/>
          <w:szCs w:val="24"/>
          <w:rtl w:val="0"/>
        </w:rPr>
        <w:t xml:space="preserve">Prepustení odborári tak v jednom okamihu strácajú stabilný príjem a musia sa brániť tomuto nezákonnému postupu súdnou cestou.</w:t>
      </w:r>
      <w:r w:rsidDel="00000000" w:rsidR="00000000" w:rsidRPr="00000000">
        <w:rPr>
          <w:rtl w:val="0"/>
        </w:rPr>
      </w:r>
    </w:p>
    <w:p w:rsidR="00000000" w:rsidDel="00000000" w:rsidP="00000000" w:rsidRDefault="00000000" w:rsidRPr="00000000" w14:paraId="0000000B">
      <w:pPr>
        <w:widowControl w:val="0"/>
        <w:jc w:val="both"/>
        <w:rPr>
          <w:b w:val="1"/>
          <w:sz w:val="24"/>
          <w:szCs w:val="24"/>
        </w:rPr>
      </w:pPr>
      <w:r w:rsidDel="00000000" w:rsidR="00000000" w:rsidRPr="00000000">
        <w:rPr>
          <w:rtl w:val="0"/>
        </w:rPr>
      </w:r>
    </w:p>
    <w:p w:rsidR="00000000" w:rsidDel="00000000" w:rsidP="00000000" w:rsidRDefault="00000000" w:rsidRPr="00000000" w14:paraId="0000000C">
      <w:pPr>
        <w:widowControl w:val="0"/>
        <w:jc w:val="both"/>
        <w:rPr>
          <w:b w:val="1"/>
          <w:sz w:val="24"/>
          <w:szCs w:val="24"/>
        </w:rPr>
      </w:pPr>
      <w:r w:rsidDel="00000000" w:rsidR="00000000" w:rsidRPr="00000000">
        <w:rPr>
          <w:b w:val="1"/>
          <w:sz w:val="24"/>
          <w:szCs w:val="24"/>
          <w:rtl w:val="0"/>
        </w:rPr>
        <w:tab/>
        <w:t xml:space="preserve">Prax ukázala, že súdy často neprimerane dlho rozhodujú v pracovno-právnych sporoch a tým sa ochrana odborárov v rámci súčasného znenia Zákonníka práce stáva de facto nedostatočnou</w:t>
      </w:r>
      <w:r w:rsidDel="00000000" w:rsidR="00000000" w:rsidRPr="00000000">
        <w:rPr>
          <w:sz w:val="24"/>
          <w:szCs w:val="24"/>
          <w:rtl w:val="0"/>
        </w:rPr>
        <w:t xml:space="preserve">. Súčasná právna úprava vytvára stav, v ktorom je pre zamestnávateľa výhodnejšie nezákonne ukončiť pracovný pomer s odborovým predákom aj bez predchádzajúceho súhlasu zástupcov zamestnancov, pričom takáto výpoveď je považovaná za okamžite platnú. Následný súdny spor medzi prepusteným zamestnancom a zamestnávateľom síce vo väčšine prípadov vyhráva zamestnanec, avšak trvá rádovo roky kým definitívne rozhodne súd. To stačí na to, aby boli zvyšní členovia odborovej organizácie zastrašení a prestali vyvíjať ďalšie aktivity súvisiace s ochranou zamestnaneckých práv či kolektívnym vyjednávaním. Rovnako to odrádza ostatných zamestnancov pridať sa k existujúcej či vytvoriť novú odborovú organizáciu.</w:t>
      </w:r>
      <w:r w:rsidDel="00000000" w:rsidR="00000000" w:rsidRPr="00000000">
        <w:rPr>
          <w:b w:val="1"/>
          <w:sz w:val="24"/>
          <w:szCs w:val="24"/>
          <w:rtl w:val="0"/>
        </w:rPr>
        <w:t xml:space="preserve"> Takýto postup zamestnávateľa sa dá chápať aj ako cieľ oslabiť či znefunkčniť odbory.</w:t>
      </w:r>
    </w:p>
    <w:p w:rsidR="00000000" w:rsidDel="00000000" w:rsidP="00000000" w:rsidRDefault="00000000" w:rsidRPr="00000000" w14:paraId="0000000D">
      <w:pPr>
        <w:widowControl w:val="0"/>
        <w:jc w:val="both"/>
        <w:rPr>
          <w:b w:val="1"/>
          <w:sz w:val="24"/>
          <w:szCs w:val="24"/>
        </w:rPr>
      </w:pPr>
      <w:r w:rsidDel="00000000" w:rsidR="00000000" w:rsidRPr="00000000">
        <w:rPr>
          <w:rtl w:val="0"/>
        </w:rPr>
      </w:r>
    </w:p>
    <w:p w:rsidR="00000000" w:rsidDel="00000000" w:rsidP="00000000" w:rsidRDefault="00000000" w:rsidRPr="00000000" w14:paraId="0000000E">
      <w:pPr>
        <w:widowControl w:val="0"/>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Podľa navrhovanej novely zákona </w:t>
      </w:r>
      <w:r w:rsidDel="00000000" w:rsidR="00000000" w:rsidRPr="00000000">
        <w:rPr>
          <w:sz w:val="24"/>
          <w:szCs w:val="24"/>
          <w:rtl w:val="0"/>
        </w:rPr>
        <w:t xml:space="preserve">a</w:t>
      </w:r>
      <w:r w:rsidDel="00000000" w:rsidR="00000000" w:rsidRPr="00000000">
        <w:rPr>
          <w:sz w:val="24"/>
          <w:szCs w:val="24"/>
          <w:rtl w:val="0"/>
        </w:rPr>
        <w:t xml:space="preserve">k zamestnávateľ skončí pracovný pomer s členom odborového orgánu bez predchádzajúceho súhlasu zástupcov zamestnancov, pracovný pomer sa do právoplatnosti rozhodnutia súdu o neplatnosti skončenia bude považovať za trvajúci a členovi odborového orgánu bude patriť náhrada mzdy.</w:t>
      </w:r>
      <w:r w:rsidDel="00000000" w:rsidR="00000000" w:rsidRPr="00000000">
        <w:rPr>
          <w:sz w:val="24"/>
          <w:szCs w:val="24"/>
          <w:rtl w:val="0"/>
        </w:rPr>
        <w:t xml:space="preserve"> Týmto spôsobom sa presunie bremeno dokazovania na zamestnávateľa. </w:t>
      </w:r>
      <w:r w:rsidDel="00000000" w:rsidR="00000000" w:rsidRPr="00000000">
        <w:rPr>
          <w:b w:val="1"/>
          <w:sz w:val="24"/>
          <w:szCs w:val="24"/>
          <w:rtl w:val="0"/>
        </w:rPr>
        <w:t xml:space="preserve">Bude musieť preukázať, že prepustenie člena odborového orgánu bolo založené na zákonom stanovených dôvodoch, ktoré sa zhodujú s realitou</w:t>
      </w:r>
      <w:r w:rsidDel="00000000" w:rsidR="00000000" w:rsidRPr="00000000">
        <w:rPr>
          <w:sz w:val="24"/>
          <w:szCs w:val="24"/>
          <w:rtl w:val="0"/>
        </w:rPr>
        <w:t xml:space="preserve"> (napr. závažné porušenie pracovnej disciplíny).</w:t>
      </w:r>
      <w:r w:rsidDel="00000000" w:rsidR="00000000" w:rsidRPr="00000000">
        <w:rPr>
          <w:rtl w:val="0"/>
        </w:rPr>
      </w:r>
    </w:p>
    <w:p w:rsidR="00000000" w:rsidDel="00000000" w:rsidP="00000000" w:rsidRDefault="00000000" w:rsidRPr="00000000" w14:paraId="0000000F">
      <w:pPr>
        <w:widowControl w:val="0"/>
        <w:jc w:val="both"/>
        <w:rPr>
          <w:b w:val="1"/>
          <w:sz w:val="24"/>
          <w:szCs w:val="24"/>
        </w:rPr>
      </w:pPr>
      <w:r w:rsidDel="00000000" w:rsidR="00000000" w:rsidRPr="00000000">
        <w:rPr>
          <w:rtl w:val="0"/>
        </w:rPr>
      </w:r>
    </w:p>
    <w:p w:rsidR="00000000" w:rsidDel="00000000" w:rsidP="00000000" w:rsidRDefault="00000000" w:rsidRPr="00000000" w14:paraId="00000010">
      <w:pPr>
        <w:widowControl w:val="0"/>
        <w:jc w:val="both"/>
        <w:rPr>
          <w:sz w:val="24"/>
          <w:szCs w:val="24"/>
        </w:rPr>
      </w:pPr>
      <w:r w:rsidDel="00000000" w:rsidR="00000000" w:rsidRPr="00000000">
        <w:rPr>
          <w:sz w:val="24"/>
          <w:szCs w:val="24"/>
          <w:rtl w:val="0"/>
        </w:rPr>
        <w:tab/>
        <w:t xml:space="preserve">Predkladateľka má za to, že akékoľvek nezákonné obmedzovanie činnosti odborov je neprípustné. Právo združovať sa s inými na ochranu svojich hospodárskych a sociálnych záujmov je zakotvené v Ústave Slovenskej republiky a takéto útoky na odborových funkcionárov sú útokmi na princípy demokracie. Sú to práve odbory, ktoré bránia práva zamestnancov a upozorňujú na porušovanie Zákonníka práce, či zásad bezpečnosti pri práci. Bojujú tiež za lepšie pracovné podmienky, nakoľko práve kolektívne vyjednávanie je často jediný spôsob, ako dosiahnuť zvýšenie miezd. </w:t>
      </w:r>
    </w:p>
    <w:p w:rsidR="00000000" w:rsidDel="00000000" w:rsidP="00000000" w:rsidRDefault="00000000" w:rsidRPr="00000000" w14:paraId="00000011">
      <w:pPr>
        <w:widowControl w:val="0"/>
        <w:jc w:val="both"/>
        <w:rPr>
          <w:sz w:val="24"/>
          <w:szCs w:val="24"/>
        </w:rPr>
      </w:pPr>
      <w:r w:rsidDel="00000000" w:rsidR="00000000" w:rsidRPr="00000000">
        <w:rPr>
          <w:rtl w:val="0"/>
        </w:rPr>
      </w:r>
    </w:p>
    <w:p w:rsidR="00000000" w:rsidDel="00000000" w:rsidP="00000000" w:rsidRDefault="00000000" w:rsidRPr="00000000" w14:paraId="00000012">
      <w:pPr>
        <w:widowControl w:val="0"/>
        <w:jc w:val="both"/>
        <w:rPr>
          <w:sz w:val="24"/>
          <w:szCs w:val="24"/>
        </w:rPr>
      </w:pPr>
      <w:r w:rsidDel="00000000" w:rsidR="00000000" w:rsidRPr="00000000">
        <w:rPr>
          <w:sz w:val="24"/>
          <w:szCs w:val="24"/>
          <w:rtl w:val="0"/>
        </w:rPr>
        <w:tab/>
      </w:r>
    </w:p>
    <w:p w:rsidR="00000000" w:rsidDel="00000000" w:rsidP="00000000" w:rsidRDefault="00000000" w:rsidRPr="00000000" w14:paraId="00000013">
      <w:pPr>
        <w:widowControl w:val="0"/>
        <w:ind w:firstLine="720"/>
        <w:jc w:val="both"/>
        <w:rPr>
          <w:sz w:val="24"/>
          <w:szCs w:val="24"/>
        </w:rPr>
      </w:pPr>
      <w:r w:rsidDel="00000000" w:rsidR="00000000" w:rsidRPr="00000000">
        <w:rPr>
          <w:sz w:val="24"/>
          <w:szCs w:val="24"/>
          <w:rtl w:val="0"/>
        </w:rPr>
        <w:t xml:space="preserve">Navrhovaná novela zákona je tiež v súlade so Smernicou Európskeho parlamentu a Rady EÚ 2022/2041 o primeraných minimálnych mzdách v EÚ, ktorej súčasťou je tiež podpora pokrytia zamestnancov kolektívnymi zmluvami. V súvislosti s tým je nevyhnutné poskytovať nespochybniteľnú a právne podporenú ochranu odborových funkcionárov, aby mohli vykonávať svoju činnosť a prispieť vyjednaniu a podpisu kolektívnych zmlúv. </w:t>
      </w:r>
    </w:p>
    <w:p w:rsidR="00000000" w:rsidDel="00000000" w:rsidP="00000000" w:rsidRDefault="00000000" w:rsidRPr="00000000" w14:paraId="00000014">
      <w:pPr>
        <w:widowControl w:val="0"/>
        <w:jc w:val="both"/>
        <w:rPr>
          <w:sz w:val="24"/>
          <w:szCs w:val="24"/>
        </w:rPr>
      </w:pPr>
      <w:r w:rsidDel="00000000" w:rsidR="00000000" w:rsidRPr="00000000">
        <w:rPr>
          <w:rtl w:val="0"/>
        </w:rPr>
      </w:r>
    </w:p>
    <w:p w:rsidR="00000000" w:rsidDel="00000000" w:rsidP="00000000" w:rsidRDefault="00000000" w:rsidRPr="00000000" w14:paraId="00000015">
      <w:pPr>
        <w:ind w:firstLine="708"/>
        <w:jc w:val="both"/>
        <w:rPr>
          <w:sz w:val="27"/>
          <w:szCs w:val="27"/>
        </w:rPr>
      </w:pPr>
      <w:r w:rsidDel="00000000" w:rsidR="00000000" w:rsidRPr="00000000">
        <w:rPr>
          <w:sz w:val="24"/>
          <w:szCs w:val="24"/>
          <w:rtl w:val="0"/>
        </w:rPr>
        <w:t xml:space="preserve">Návrh zákona je v súlade s právom Európskej únie, s Ústavou Slovenskej republiky, s ústavnými zákonmi Slovenskej republiky, ako aj s medzinárodnými zmluvami a inými medzinárodnými dokumentmi, ktorými je Slovenská republika viazaná.</w:t>
      </w:r>
      <w:r w:rsidDel="00000000" w:rsidR="00000000" w:rsidRPr="00000000">
        <w:rPr>
          <w:rtl w:val="0"/>
        </w:rPr>
      </w:r>
    </w:p>
    <w:p w:rsidR="00000000" w:rsidDel="00000000" w:rsidP="00000000" w:rsidRDefault="00000000" w:rsidRPr="00000000" w14:paraId="00000016">
      <w:pPr>
        <w:spacing w:after="20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B. Osobitná časť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19">
      <w:pPr>
        <w:tabs>
          <w:tab w:val="left" w:leader="none" w:pos="843.0000000000002"/>
        </w:tabs>
        <w:spacing w:before="120" w:line="276" w:lineRule="auto"/>
        <w:ind w:left="0" w:firstLine="0"/>
        <w:jc w:val="both"/>
        <w:rPr>
          <w:b w:val="1"/>
          <w:sz w:val="24"/>
          <w:szCs w:val="24"/>
        </w:rPr>
      </w:pPr>
      <w:r w:rsidDel="00000000" w:rsidR="00000000" w:rsidRPr="00000000">
        <w:rPr>
          <w:b w:val="1"/>
          <w:sz w:val="24"/>
          <w:szCs w:val="24"/>
          <w:rtl w:val="0"/>
        </w:rPr>
        <w:t xml:space="preserve">K čl. I</w:t>
      </w:r>
    </w:p>
    <w:p w:rsidR="00000000" w:rsidDel="00000000" w:rsidP="00000000" w:rsidRDefault="00000000" w:rsidRPr="00000000" w14:paraId="0000001A">
      <w:pPr>
        <w:tabs>
          <w:tab w:val="left" w:leader="none" w:pos="843.0000000000002"/>
        </w:tabs>
        <w:spacing w:before="120" w:line="276" w:lineRule="auto"/>
        <w:ind w:left="0" w:firstLine="0"/>
        <w:jc w:val="both"/>
        <w:rPr>
          <w:sz w:val="24"/>
          <w:szCs w:val="24"/>
        </w:rPr>
      </w:pPr>
      <w:r w:rsidDel="00000000" w:rsidR="00000000" w:rsidRPr="00000000">
        <w:rPr>
          <w:sz w:val="24"/>
          <w:szCs w:val="24"/>
          <w:rtl w:val="0"/>
        </w:rPr>
        <w:t xml:space="preserve">V § 240 sa navrhuje nová právna úprava pre prípady, ak zamestnávateľ dá výpoveď alebo okamžite skončí pracovný pomer s členom odborového orgánu bez predchádzajúceho súhlasu zástupcov zamestnancov. Podľa navrhovaného odseku 11, ak zamestnávateľ doručí výpoveď alebo okamžité skončenie pracovného pomeru členovi odborového orgánu bez predchádzajúceho súhlasu podľa odseku 9, pracovný pomer sa do právoplatnosti rozhodnutia súdu v spore podľa § 77 (spor o neplatnosť skončenia pracovného pomeru) považuje za trvajúci. Zároveň členovi odborového orgánu patrí náhrada mzdy podľa § 79. Toto pravidlo sa nevzťahuje na prípady, ak člen odborového orgánu neuplatnil na súde neplatnosť skončenia pracovného pomeru podľa § 77 alebo ak netrvá na ďalšom zamestnávaní.</w:t>
      </w:r>
    </w:p>
    <w:p w:rsidR="00000000" w:rsidDel="00000000" w:rsidP="00000000" w:rsidRDefault="00000000" w:rsidRPr="00000000" w14:paraId="0000001B">
      <w:pPr>
        <w:tabs>
          <w:tab w:val="left" w:leader="none" w:pos="843.0000000000002"/>
        </w:tabs>
        <w:spacing w:before="12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C">
      <w:pPr>
        <w:tabs>
          <w:tab w:val="left" w:leader="none" w:pos="843.0000000000002"/>
        </w:tabs>
        <w:spacing w:before="120" w:line="276" w:lineRule="auto"/>
        <w:ind w:left="0" w:firstLine="0"/>
        <w:jc w:val="both"/>
        <w:rPr>
          <w:b w:val="1"/>
          <w:sz w:val="24"/>
          <w:szCs w:val="24"/>
        </w:rPr>
      </w:pPr>
      <w:r w:rsidDel="00000000" w:rsidR="00000000" w:rsidRPr="00000000">
        <w:rPr>
          <w:b w:val="1"/>
          <w:sz w:val="24"/>
          <w:szCs w:val="24"/>
          <w:rtl w:val="0"/>
        </w:rPr>
        <w:t xml:space="preserve">K čl. II</w:t>
      </w:r>
    </w:p>
    <w:p w:rsidR="00000000" w:rsidDel="00000000" w:rsidP="00000000" w:rsidRDefault="00000000" w:rsidRPr="00000000" w14:paraId="0000001D">
      <w:pPr>
        <w:tabs>
          <w:tab w:val="left" w:leader="none" w:pos="843.0000000000002"/>
        </w:tabs>
        <w:spacing w:before="120" w:line="276" w:lineRule="auto"/>
        <w:ind w:left="0" w:firstLine="0"/>
        <w:jc w:val="both"/>
        <w:rPr>
          <w:sz w:val="24"/>
          <w:szCs w:val="24"/>
        </w:rPr>
      </w:pPr>
      <w:r w:rsidDel="00000000" w:rsidR="00000000" w:rsidRPr="00000000">
        <w:rPr>
          <w:sz w:val="24"/>
          <w:szCs w:val="24"/>
          <w:rtl w:val="0"/>
        </w:rPr>
        <w:t xml:space="preserve">S prihliadnutím na dĺžku legislatívneho procesu sa navrhuje účinnosť návrhu zákona od 1. januára 2026.</w:t>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 %1."/>
      <w:lvlJc w:val="left"/>
      <w:pPr>
        <w:ind w:left="720" w:hanging="360"/>
      </w:pPr>
      <w:rPr>
        <w:u w:val="none"/>
      </w:rPr>
    </w:lvl>
    <w:lvl w:ilvl="1">
      <w:start w:val="1"/>
      <w:numFmt w:val="upperRoman"/>
      <w:lvlText w:val=" %2."/>
      <w:lvlJc w:val="left"/>
      <w:pPr>
        <w:ind w:left="1080" w:hanging="360"/>
      </w:pPr>
      <w:rPr>
        <w:u w:val="none"/>
      </w:rPr>
    </w:lvl>
    <w:lvl w:ilvl="2">
      <w:start w:val="1"/>
      <w:numFmt w:val="lowerLetter"/>
      <w:lvlText w:val=" %3."/>
      <w:lvlJc w:val="left"/>
      <w:pPr>
        <w:ind w:left="1440" w:hanging="360"/>
      </w:pPr>
      <w:rPr>
        <w:u w:val="none"/>
      </w:rPr>
    </w:lvl>
    <w:lvl w:ilvl="3">
      <w:start w:val="1"/>
      <w:numFmt w:val="lowerRoman"/>
      <w:lvlText w:val=" %4."/>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s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Východzie">
    <w:name w:val="Východzie"/>
    <w:next w:val="Východzie"/>
    <w:autoRedefine w:val="0"/>
    <w:hidden w:val="0"/>
    <w:qFormat w:val="0"/>
    <w:pPr>
      <w:widowControl w:val="0"/>
      <w:suppressAutoHyphens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1"/>
      <w:position w:val="-1"/>
      <w:sz w:val="24"/>
      <w:szCs w:val="24"/>
      <w:effect w:val="none"/>
      <w:vertAlign w:val="baseline"/>
      <w:cs w:val="0"/>
      <w:em w:val="none"/>
      <w:lang w:bidi="hi-IN" w:eastAsia="zh-CN" w:val="en-US"/>
    </w:rPr>
  </w:style>
  <w:style w:type="character" w:styleId="Symbolyprečíslovanie">
    <w:name w:val="Symboly pre číslovanie"/>
    <w:next w:val="Symbolyprečíslovanie"/>
    <w:autoRedefine w:val="0"/>
    <w:hidden w:val="0"/>
    <w:qFormat w:val="0"/>
    <w:rPr>
      <w:w w:val="100"/>
      <w:position w:val="-1"/>
      <w:effect w:val="none"/>
      <w:vertAlign w:val="baseline"/>
      <w:cs w:val="0"/>
      <w:em w:val="none"/>
      <w:lang/>
    </w:rPr>
  </w:style>
  <w:style w:type="character" w:styleId="Odrážky">
    <w:name w:val="Odrážky"/>
    <w:next w:val="Odrážky"/>
    <w:autoRedefine w:val="0"/>
    <w:hidden w:val="0"/>
    <w:qFormat w:val="0"/>
    <w:rPr>
      <w:rFonts w:ascii="OpenSymbol" w:cs="OpenSymbol" w:eastAsia="OpenSymbol" w:hAnsi="OpenSymbol"/>
      <w:w w:val="100"/>
      <w:position w:val="-1"/>
      <w:effect w:val="none"/>
      <w:vertAlign w:val="baseline"/>
      <w:cs w:val="0"/>
      <w:em w:val="none"/>
      <w:lang/>
    </w:rPr>
  </w:style>
  <w:style w:type="paragraph" w:styleId="Nadpis">
    <w:name w:val="Nadpis"/>
    <w:basedOn w:val="Východzie"/>
    <w:next w:val="Telotextu"/>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kern w:val="1"/>
      <w:position w:val="-1"/>
      <w:sz w:val="28"/>
      <w:szCs w:val="28"/>
      <w:effect w:val="none"/>
      <w:vertAlign w:val="baseline"/>
      <w:cs w:val="0"/>
      <w:em w:val="none"/>
      <w:lang w:bidi="hi-IN" w:eastAsia="zh-CN" w:val="en-US"/>
    </w:rPr>
  </w:style>
  <w:style w:type="paragraph" w:styleId="Telotextu">
    <w:name w:val="Telo textu"/>
    <w:basedOn w:val="Východzie"/>
    <w:next w:val="Telotextu"/>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Arial Unicode MS" w:eastAsia="Arial Unicode MS" w:hAnsi="Times New Roman"/>
      <w:w w:val="100"/>
      <w:kern w:val="1"/>
      <w:position w:val="-1"/>
      <w:sz w:val="24"/>
      <w:szCs w:val="24"/>
      <w:effect w:val="none"/>
      <w:vertAlign w:val="baseline"/>
      <w:cs w:val="0"/>
      <w:em w:val="none"/>
      <w:lang w:bidi="hi-IN" w:eastAsia="zh-CN" w:val="en-US"/>
    </w:rPr>
  </w:style>
  <w:style w:type="paragraph" w:styleId="Zoznam">
    <w:name w:val="Zoznam"/>
    <w:basedOn w:val="Telotextu"/>
    <w:next w:val="Zoznam"/>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Arial Unicode MS" w:eastAsia="Arial Unicode MS" w:hAnsi="Times New Roman"/>
      <w:w w:val="100"/>
      <w:kern w:val="1"/>
      <w:position w:val="-1"/>
      <w:sz w:val="24"/>
      <w:szCs w:val="24"/>
      <w:effect w:val="none"/>
      <w:vertAlign w:val="baseline"/>
      <w:cs w:val="0"/>
      <w:em w:val="none"/>
      <w:lang w:bidi="hi-IN" w:eastAsia="zh-CN" w:val="en-US"/>
    </w:rPr>
  </w:style>
  <w:style w:type="paragraph" w:styleId="Popisok">
    <w:name w:val="Popisok"/>
    <w:basedOn w:val="Východzie"/>
    <w:next w:val="Popisok"/>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Times New Roman" w:cs="Arial Unicode MS" w:eastAsia="Arial Unicode MS" w:hAnsi="Times New Roman"/>
      <w:i w:val="1"/>
      <w:iCs w:val="1"/>
      <w:w w:val="100"/>
      <w:kern w:val="1"/>
      <w:position w:val="-1"/>
      <w:sz w:val="24"/>
      <w:szCs w:val="24"/>
      <w:effect w:val="none"/>
      <w:vertAlign w:val="baseline"/>
      <w:cs w:val="0"/>
      <w:em w:val="none"/>
      <w:lang w:bidi="hi-IN" w:eastAsia="zh-CN" w:val="en-US"/>
    </w:rPr>
  </w:style>
  <w:style w:type="paragraph" w:styleId="Index">
    <w:name w:val="Index"/>
    <w:basedOn w:val="Východzie"/>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1"/>
      <w:position w:val="-1"/>
      <w:sz w:val="24"/>
      <w:szCs w:val="24"/>
      <w:effect w:val="none"/>
      <w:vertAlign w:val="baseline"/>
      <w:cs w:val="0"/>
      <w:em w:val="none"/>
      <w:lang w:bidi="hi-IN"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uf+tjFz87Rn4zuWnE4Bxm/XTA==">CgMxLjA4AGopChRzdWdnZXN0LjFtejJ1Z3Nhcm9vahIRRMOhxaFhIEJsYcWha292w6FqKQoUc3VnZ2VzdC45cjNucW9icTZqc3ISEUTDocWhYSBCbGHFoWtvdsOhaikKFHN1Z2dlc3QuYnlqenExNHB2d2dsEhFEw6HFoWEgQmxhxaFrb3bDoWopChRzdWdnZXN0Ljg4a2p0bTRub3h3cxIRRMOhxaFhIEJsYcWha292w6FqKQoUc3VnZ2VzdC42Y3BsM3J4d3I1OHMSEUTDocWhYSBCbGHFoWtvdsOhaikKFHN1Z2dlc3QuMWpwcGZ2MXc1ODllEhFEw6HFoWEgQmxhxaFrb3bDoXIhMUVSVHlPS1lDUGl6LWl2RVpQaFdCZEFHZ2ctLXU5Q0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2025-09-22T08:48:18Z</dcterms:created>
</cp:coreProperties>
</file>

<file path=docProps/custom.xml><?xml version="1.0" encoding="utf-8"?>
<Properties xmlns="http://schemas.openxmlformats.org/officeDocument/2006/custom-properties" xmlns:vt="http://schemas.openxmlformats.org/officeDocument/2006/docPropsVTypes"/>
</file>