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C3FA" w14:textId="5BE76807" w:rsidR="00DF7AD0" w:rsidRPr="0005351E" w:rsidRDefault="005A5EC6" w:rsidP="00D4281D">
      <w:pPr>
        <w:pStyle w:val="Zkladntext"/>
        <w:jc w:val="center"/>
        <w:rPr>
          <w:b/>
          <w:bCs/>
          <w:sz w:val="20"/>
        </w:rPr>
      </w:pPr>
      <w:bookmarkStart w:id="0" w:name="_Hlk156375465"/>
      <w:r w:rsidRPr="0005351E">
        <w:rPr>
          <w:b/>
          <w:bCs/>
          <w:sz w:val="20"/>
        </w:rPr>
        <w:t xml:space="preserve">TÉZY </w:t>
      </w:r>
    </w:p>
    <w:p w14:paraId="63D8129A" w14:textId="77777777" w:rsidR="00DF7AD0" w:rsidRPr="0005351E" w:rsidRDefault="00DF7AD0">
      <w:pPr>
        <w:pStyle w:val="Zkladntext"/>
        <w:jc w:val="left"/>
        <w:rPr>
          <w:sz w:val="20"/>
        </w:rPr>
      </w:pPr>
    </w:p>
    <w:p w14:paraId="2C9C6C4B" w14:textId="09346DDA" w:rsidR="00E639DD" w:rsidRPr="0005351E" w:rsidRDefault="000C4B0B" w:rsidP="00E639DD">
      <w:pPr>
        <w:ind w:left="130" w:right="132" w:firstLine="1"/>
        <w:jc w:val="both"/>
        <w:rPr>
          <w:b/>
          <w:sz w:val="24"/>
        </w:rPr>
      </w:pPr>
      <w:r w:rsidRPr="0005351E">
        <w:rPr>
          <w:b/>
          <w:sz w:val="24"/>
        </w:rPr>
        <w:t>k návrhu</w:t>
      </w:r>
      <w:bookmarkEnd w:id="0"/>
      <w:r w:rsidRPr="0005351E">
        <w:rPr>
          <w:b/>
          <w:sz w:val="24"/>
        </w:rPr>
        <w:t xml:space="preserve"> </w:t>
      </w:r>
      <w:r w:rsidR="005A5EC6" w:rsidRPr="0005351E">
        <w:rPr>
          <w:b/>
          <w:sz w:val="24"/>
        </w:rPr>
        <w:t>o</w:t>
      </w:r>
      <w:r w:rsidR="00D46BBE" w:rsidRPr="0005351E">
        <w:rPr>
          <w:b/>
          <w:sz w:val="24"/>
        </w:rPr>
        <w:t>patreni</w:t>
      </w:r>
      <w:r w:rsidR="005A5EC6" w:rsidRPr="0005351E">
        <w:rPr>
          <w:b/>
          <w:sz w:val="24"/>
        </w:rPr>
        <w:t>a</w:t>
      </w:r>
      <w:r w:rsidR="00D46BBE" w:rsidRPr="0005351E">
        <w:rPr>
          <w:b/>
          <w:sz w:val="24"/>
        </w:rPr>
        <w:t xml:space="preserve"> Národnej banky Slovenska </w:t>
      </w:r>
      <w:r w:rsidR="000624E3" w:rsidRPr="0005351E">
        <w:rPr>
          <w:b/>
          <w:sz w:val="24"/>
        </w:rPr>
        <w:t>z</w:t>
      </w:r>
      <w:r w:rsidR="00D46BBE" w:rsidRPr="0005351E">
        <w:rPr>
          <w:b/>
          <w:sz w:val="24"/>
        </w:rPr>
        <w:t xml:space="preserve"> XX </w:t>
      </w:r>
      <w:r w:rsidR="000624E3" w:rsidRPr="0005351E">
        <w:rPr>
          <w:b/>
          <w:sz w:val="24"/>
        </w:rPr>
        <w:t>20</w:t>
      </w:r>
      <w:r w:rsidR="00D46BBE" w:rsidRPr="0005351E">
        <w:rPr>
          <w:b/>
          <w:sz w:val="24"/>
        </w:rPr>
        <w:t>2</w:t>
      </w:r>
      <w:r w:rsidR="00274505">
        <w:rPr>
          <w:b/>
          <w:sz w:val="24"/>
        </w:rPr>
        <w:t>5</w:t>
      </w:r>
      <w:r w:rsidR="000624E3" w:rsidRPr="0005351E">
        <w:rPr>
          <w:b/>
          <w:sz w:val="24"/>
        </w:rPr>
        <w:t xml:space="preserve"> č. </w:t>
      </w:r>
      <w:r w:rsidR="00D46BBE" w:rsidRPr="0005351E">
        <w:rPr>
          <w:b/>
          <w:sz w:val="24"/>
        </w:rPr>
        <w:t>X</w:t>
      </w:r>
      <w:r w:rsidR="000624E3" w:rsidRPr="0005351E">
        <w:rPr>
          <w:b/>
          <w:sz w:val="24"/>
        </w:rPr>
        <w:t>/20</w:t>
      </w:r>
      <w:r w:rsidR="00D46BBE" w:rsidRPr="0005351E">
        <w:rPr>
          <w:b/>
          <w:sz w:val="24"/>
        </w:rPr>
        <w:t>2</w:t>
      </w:r>
      <w:r w:rsidR="00274505">
        <w:rPr>
          <w:b/>
          <w:sz w:val="24"/>
        </w:rPr>
        <w:t>5</w:t>
      </w:r>
      <w:r w:rsidR="00BF4551">
        <w:rPr>
          <w:b/>
          <w:sz w:val="24"/>
        </w:rPr>
        <w:t xml:space="preserve"> </w:t>
      </w:r>
      <w:r w:rsidR="00274505" w:rsidRPr="00274505">
        <w:rPr>
          <w:b/>
          <w:sz w:val="24"/>
        </w:rPr>
        <w:t>ktorým sa mení a</w:t>
      </w:r>
      <w:r w:rsidR="00C2463E">
        <w:rPr>
          <w:b/>
          <w:sz w:val="24"/>
        </w:rPr>
        <w:t> </w:t>
      </w:r>
      <w:r w:rsidR="00274505" w:rsidRPr="00274505">
        <w:rPr>
          <w:b/>
          <w:sz w:val="24"/>
        </w:rPr>
        <w:t>dopĺňa</w:t>
      </w:r>
      <w:r w:rsidR="00C2463E">
        <w:rPr>
          <w:b/>
          <w:sz w:val="24"/>
        </w:rPr>
        <w:t xml:space="preserve"> </w:t>
      </w:r>
      <w:r w:rsidR="00274505" w:rsidRPr="00274505">
        <w:rPr>
          <w:b/>
          <w:sz w:val="24"/>
        </w:rPr>
        <w:t>opatrenie Národnej banky Slovenska z 31. marca 2015 č. 4/2015 o ďalších druhoch rizík, o podrobnostiach o systéme riadenia rizík banky a pobočky zahraničnej banky a ktorým sa ustanovuje čo sa rozumie náhlou a neočakávanou zmenou úrokových mier na trhu v znení opatrenia z 19. novembra 2024 č. 7/2024</w:t>
      </w:r>
    </w:p>
    <w:p w14:paraId="5E8DCFFD" w14:textId="77777777" w:rsidR="0017593D" w:rsidRPr="0005351E" w:rsidRDefault="0017593D">
      <w:pPr>
        <w:ind w:left="130" w:right="132" w:firstLine="1"/>
        <w:jc w:val="center"/>
        <w:rPr>
          <w:b/>
          <w:sz w:val="24"/>
        </w:rPr>
      </w:pPr>
    </w:p>
    <w:p w14:paraId="4DB9F58E" w14:textId="77777777" w:rsidR="00D46BBE" w:rsidRPr="0005351E" w:rsidRDefault="00D46BBE" w:rsidP="00D46BBE">
      <w:pPr>
        <w:pStyle w:val="Zkladntext"/>
        <w:ind w:left="118" w:right="113"/>
      </w:pPr>
    </w:p>
    <w:p w14:paraId="25E900ED" w14:textId="4CC08D01" w:rsidR="00DF7AD0" w:rsidRPr="0005351E" w:rsidRDefault="000624E3" w:rsidP="008A3D50">
      <w:pPr>
        <w:pStyle w:val="Zkladntext"/>
        <w:ind w:right="113"/>
      </w:pPr>
      <w:r w:rsidRPr="0005351E">
        <w:t>Národná banka Slovenska podľa</w:t>
      </w:r>
      <w:r w:rsidR="00860FDB">
        <w:t xml:space="preserve"> § </w:t>
      </w:r>
      <w:r w:rsidR="00274505">
        <w:t>27 ods. 14 písm. a) a d) a § 33 ods. 3</w:t>
      </w:r>
      <w:r w:rsidR="00D61D92" w:rsidRPr="0005351E">
        <w:t xml:space="preserve"> </w:t>
      </w:r>
      <w:r w:rsidR="0017593D" w:rsidRPr="0005351E">
        <w:t>zákona</w:t>
      </w:r>
      <w:r w:rsidR="003E1F6D" w:rsidRPr="00256DF1">
        <w:t xml:space="preserve"> č. 483/2001 Z. z. o bankách a o zmene a doplnení niektorých zákonov </w:t>
      </w:r>
      <w:r w:rsidR="00F342E1">
        <w:t xml:space="preserve">v znení neskorších predpisov </w:t>
      </w:r>
      <w:r w:rsidR="00D20822" w:rsidRPr="0005351E">
        <w:t xml:space="preserve">plánuje vydať </w:t>
      </w:r>
      <w:r w:rsidR="00D46BBE" w:rsidRPr="0005351E">
        <w:t>opatren</w:t>
      </w:r>
      <w:r w:rsidR="00D20822" w:rsidRPr="0005351E">
        <w:t>i</w:t>
      </w:r>
      <w:r w:rsidR="0017593D" w:rsidRPr="0005351E">
        <w:t>e</w:t>
      </w:r>
      <w:r w:rsidR="00274505">
        <w:t xml:space="preserve">, </w:t>
      </w:r>
      <w:r w:rsidR="00274505" w:rsidRPr="00274505">
        <w:rPr>
          <w:bCs/>
        </w:rPr>
        <w:t>ktorým sa mení a dopĺňa opatrenie Národnej banky Slovenska z 31. marca 2015 č. 4/2015 o ďalších druhoch rizík, o podrobnostiach o systéme riadenia rizík banky a pobočky zahraničnej banky a ktorým sa ustanovuje čo sa rozumie náhlou a neočakávanou zmenou úrokových mier na trhu v znení opatrenia z 19. novembra 2024 č. 7/2024</w:t>
      </w:r>
      <w:r w:rsidR="00840641" w:rsidRPr="00274505">
        <w:rPr>
          <w:bCs/>
        </w:rPr>
        <w:t>.</w:t>
      </w:r>
      <w:r w:rsidR="00D46BBE" w:rsidRPr="0005351E">
        <w:t xml:space="preserve"> </w:t>
      </w:r>
    </w:p>
    <w:p w14:paraId="222EF98A" w14:textId="7F27E67D" w:rsidR="00D46BBE" w:rsidRPr="0005351E" w:rsidRDefault="00D46BBE" w:rsidP="00105AEA">
      <w:pPr>
        <w:pStyle w:val="Zkladntext"/>
        <w:ind w:left="118" w:right="113"/>
      </w:pPr>
    </w:p>
    <w:p w14:paraId="1F1C74E9" w14:textId="652DE9E3" w:rsidR="00274505" w:rsidRDefault="00AB7378" w:rsidP="008A3D50">
      <w:pPr>
        <w:pStyle w:val="Zkladntext"/>
        <w:ind w:right="113"/>
      </w:pPr>
      <w:r>
        <w:t>Plánované o</w:t>
      </w:r>
      <w:r w:rsidR="00D4281D" w:rsidRPr="0005351E">
        <w:t>patreni</w:t>
      </w:r>
      <w:r w:rsidR="0017593D" w:rsidRPr="0005351E">
        <w:t>e</w:t>
      </w:r>
      <w:r w:rsidR="00D46BBE" w:rsidRPr="0005351E">
        <w:t xml:space="preserve"> </w:t>
      </w:r>
      <w:r>
        <w:t xml:space="preserve">zohľadňuje </w:t>
      </w:r>
      <w:r w:rsidR="00010D87">
        <w:t>prijatie</w:t>
      </w:r>
      <w:r w:rsidR="005C13B4">
        <w:t xml:space="preserve"> s</w:t>
      </w:r>
      <w:r w:rsidR="005C13B4" w:rsidRPr="005C13B4">
        <w:t>mernic</w:t>
      </w:r>
      <w:r w:rsidR="005C13B4">
        <w:t>e</w:t>
      </w:r>
      <w:r w:rsidR="005C13B4" w:rsidRPr="005C13B4">
        <w:t xml:space="preserve"> Európskeho parlamentu a Rady (EÚ) 2024/1619 z 31. mája 2024, ktorou sa mení smernica 2013/36/EÚ</w:t>
      </w:r>
      <w:r w:rsidR="005D541C">
        <w:t xml:space="preserve"> </w:t>
      </w:r>
      <w:r w:rsidR="005D541C" w:rsidRPr="005D541C">
        <w:t>pokiaľ ide o právomoci v</w:t>
      </w:r>
      <w:r w:rsidR="00C2463E">
        <w:t> </w:t>
      </w:r>
      <w:r w:rsidR="005D541C" w:rsidRPr="005D541C">
        <w:t>oblasti</w:t>
      </w:r>
      <w:r w:rsidR="00C2463E">
        <w:t xml:space="preserve"> </w:t>
      </w:r>
      <w:r w:rsidR="005D541C" w:rsidRPr="005D541C">
        <w:t>dohľadu, sankcie, pobočky z tretích krajín a environmentálne a sociálne riziká a riziká v</w:t>
      </w:r>
      <w:r w:rsidR="00C2463E">
        <w:t> </w:t>
      </w:r>
      <w:r w:rsidR="005D541C" w:rsidRPr="005D541C">
        <w:t>oblasti</w:t>
      </w:r>
      <w:r w:rsidR="00C2463E">
        <w:t xml:space="preserve"> </w:t>
      </w:r>
      <w:r w:rsidR="005D541C" w:rsidRPr="005D541C">
        <w:t>správy a</w:t>
      </w:r>
      <w:r w:rsidR="00274505">
        <w:t> </w:t>
      </w:r>
      <w:r w:rsidR="005D541C" w:rsidRPr="005D541C">
        <w:t>riadenia</w:t>
      </w:r>
      <w:r w:rsidR="00274505">
        <w:t xml:space="preserve"> (ďalej len „CRD6“).</w:t>
      </w:r>
    </w:p>
    <w:p w14:paraId="726B0816" w14:textId="77777777" w:rsidR="00274505" w:rsidRDefault="00274505" w:rsidP="008A3D50">
      <w:pPr>
        <w:pStyle w:val="Zkladntext"/>
        <w:ind w:right="113"/>
      </w:pPr>
    </w:p>
    <w:p w14:paraId="2E2DB46E" w14:textId="218246B4" w:rsidR="00274505" w:rsidRDefault="00274505" w:rsidP="008A3D50">
      <w:pPr>
        <w:pStyle w:val="Zkladntext"/>
        <w:ind w:right="113"/>
      </w:pPr>
      <w:r>
        <w:t>Opatrenie bude predstavovať transpozíciu ustanovení čl. 1 ods. 24, 25, 26, 27 a 28 CRD6 v oblasti riadenia rizík.</w:t>
      </w:r>
    </w:p>
    <w:p w14:paraId="3BF044C6" w14:textId="1B3DF4A5" w:rsidR="00274505" w:rsidRDefault="00274505" w:rsidP="00274505">
      <w:pPr>
        <w:pStyle w:val="Zkladntext"/>
        <w:ind w:right="113"/>
      </w:pPr>
    </w:p>
    <w:p w14:paraId="05CB6CC6" w14:textId="4688824A" w:rsidR="00274505" w:rsidRPr="0048433D" w:rsidRDefault="0048433D" w:rsidP="00274505">
      <w:pPr>
        <w:pStyle w:val="Zkladntext"/>
        <w:ind w:right="113"/>
      </w:pPr>
      <w:r w:rsidRPr="0048433D">
        <w:t xml:space="preserve">Transpozícia uvedených ustanovení sa zabezpečí tak, že sa stanovia požiadavky na riadenie rizík v prípadoch, ak sú expozície banky alebo pobočky zahraničnej banky spojené s kryptoaktívami, resp. poskytovateľmi služieb kryptoaktív. Zároveň sa upravia požiadavky na niektoré aspekty riadenia </w:t>
      </w:r>
      <w:r>
        <w:t>environmentálnych a sociálnych</w:t>
      </w:r>
      <w:r w:rsidRPr="0048433D">
        <w:t xml:space="preserve"> rizík</w:t>
      </w:r>
      <w:r>
        <w:t xml:space="preserve"> a rizík v oblasti správy a riadenia</w:t>
      </w:r>
      <w:r w:rsidRPr="0048433D">
        <w:t xml:space="preserve"> a testovanie odolnosti </w:t>
      </w:r>
      <w:r>
        <w:t>v tejto oblasti.</w:t>
      </w:r>
    </w:p>
    <w:p w14:paraId="2A8F1FCA" w14:textId="77777777" w:rsidR="005D541C" w:rsidRDefault="005D541C" w:rsidP="00105AEA">
      <w:pPr>
        <w:pStyle w:val="Zkladntext"/>
        <w:ind w:left="118" w:right="113"/>
      </w:pPr>
    </w:p>
    <w:p w14:paraId="387C2ACB" w14:textId="480ADE94" w:rsidR="000C4B0B" w:rsidRPr="00840641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  <w:bookmarkStart w:id="1" w:name="_Hlk156375958"/>
      <w:r w:rsidRPr="0005351E">
        <w:rPr>
          <w:sz w:val="24"/>
          <w:szCs w:val="24"/>
        </w:rPr>
        <w:t xml:space="preserve">Opatrenie </w:t>
      </w:r>
      <w:r w:rsidR="003A3E5C">
        <w:rPr>
          <w:sz w:val="24"/>
          <w:szCs w:val="24"/>
        </w:rPr>
        <w:t xml:space="preserve">bude </w:t>
      </w:r>
      <w:r w:rsidRPr="0005351E">
        <w:rPr>
          <w:sz w:val="24"/>
          <w:szCs w:val="24"/>
        </w:rPr>
        <w:t>vyd</w:t>
      </w:r>
      <w:r w:rsidR="003A3E5C">
        <w:rPr>
          <w:sz w:val="24"/>
          <w:szCs w:val="24"/>
        </w:rPr>
        <w:t>ané</w:t>
      </w:r>
      <w:r w:rsidRPr="0005351E">
        <w:rPr>
          <w:sz w:val="24"/>
          <w:szCs w:val="24"/>
        </w:rPr>
        <w:t xml:space="preserve"> vo Vestníku Národnej banky Slovenska a v Zbierke zákonov </w:t>
      </w:r>
      <w:r w:rsidR="003A3E5C">
        <w:rPr>
          <w:sz w:val="24"/>
          <w:szCs w:val="24"/>
        </w:rPr>
        <w:t>bude</w:t>
      </w:r>
      <w:r w:rsidRPr="0005351E">
        <w:rPr>
          <w:sz w:val="24"/>
          <w:szCs w:val="24"/>
        </w:rPr>
        <w:t xml:space="preserve"> vyhlás</w:t>
      </w:r>
      <w:r w:rsidR="003A3E5C">
        <w:rPr>
          <w:sz w:val="24"/>
          <w:szCs w:val="24"/>
        </w:rPr>
        <w:t xml:space="preserve">ené </w:t>
      </w:r>
      <w:r w:rsidRPr="0005351E">
        <w:rPr>
          <w:sz w:val="24"/>
          <w:szCs w:val="24"/>
        </w:rPr>
        <w:t>oznámením o jeho vydaní.</w:t>
      </w:r>
    </w:p>
    <w:bookmarkEnd w:id="1"/>
    <w:p w14:paraId="2A203B81" w14:textId="18ABF1C1" w:rsidR="00C13F8B" w:rsidRPr="00D46BBE" w:rsidRDefault="00C13F8B" w:rsidP="00105AEA">
      <w:pPr>
        <w:widowControl/>
        <w:autoSpaceDE/>
        <w:autoSpaceDN/>
        <w:ind w:left="284" w:right="113"/>
        <w:contextualSpacing/>
        <w:jc w:val="both"/>
      </w:pP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13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4791" w14:textId="77777777" w:rsidR="00D049BB" w:rsidRDefault="00D049BB">
      <w:r>
        <w:separator/>
      </w:r>
    </w:p>
  </w:endnote>
  <w:endnote w:type="continuationSeparator" w:id="0">
    <w:p w14:paraId="72D520D1" w14:textId="77777777" w:rsidR="00D049BB" w:rsidRDefault="00D0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77EC" w14:textId="77777777" w:rsidR="00D049BB" w:rsidRDefault="00D049BB">
      <w:r>
        <w:separator/>
      </w:r>
    </w:p>
  </w:footnote>
  <w:footnote w:type="continuationSeparator" w:id="0">
    <w:p w14:paraId="3BC2DE8C" w14:textId="77777777" w:rsidR="00D049BB" w:rsidRDefault="00D0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32D592F"/>
    <w:multiLevelType w:val="hybridMultilevel"/>
    <w:tmpl w:val="24D8D286"/>
    <w:lvl w:ilvl="0" w:tplc="28D277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7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8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9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0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1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2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3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3928C0"/>
    <w:multiLevelType w:val="hybridMultilevel"/>
    <w:tmpl w:val="5FB080EA"/>
    <w:lvl w:ilvl="0" w:tplc="C7E64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6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7" w15:restartNumberingAfterBreak="0">
    <w:nsid w:val="4C8D743B"/>
    <w:multiLevelType w:val="hybridMultilevel"/>
    <w:tmpl w:val="81E49E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9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20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1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22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3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4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5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6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7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8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num w:numId="1" w16cid:durableId="1947540174">
    <w:abstractNumId w:val="18"/>
  </w:num>
  <w:num w:numId="2" w16cid:durableId="507409727">
    <w:abstractNumId w:val="24"/>
  </w:num>
  <w:num w:numId="3" w16cid:durableId="906302766">
    <w:abstractNumId w:val="8"/>
  </w:num>
  <w:num w:numId="4" w16cid:durableId="2000184901">
    <w:abstractNumId w:val="11"/>
  </w:num>
  <w:num w:numId="5" w16cid:durableId="203056357">
    <w:abstractNumId w:val="7"/>
  </w:num>
  <w:num w:numId="6" w16cid:durableId="1891333739">
    <w:abstractNumId w:val="20"/>
  </w:num>
  <w:num w:numId="7" w16cid:durableId="229966332">
    <w:abstractNumId w:val="10"/>
  </w:num>
  <w:num w:numId="8" w16cid:durableId="445739379">
    <w:abstractNumId w:val="4"/>
  </w:num>
  <w:num w:numId="9" w16cid:durableId="1975872322">
    <w:abstractNumId w:val="23"/>
  </w:num>
  <w:num w:numId="10" w16cid:durableId="280183852">
    <w:abstractNumId w:val="25"/>
  </w:num>
  <w:num w:numId="11" w16cid:durableId="346641257">
    <w:abstractNumId w:val="27"/>
  </w:num>
  <w:num w:numId="12" w16cid:durableId="1057700762">
    <w:abstractNumId w:val="22"/>
  </w:num>
  <w:num w:numId="13" w16cid:durableId="1795517520">
    <w:abstractNumId w:val="6"/>
  </w:num>
  <w:num w:numId="14" w16cid:durableId="246966196">
    <w:abstractNumId w:val="26"/>
  </w:num>
  <w:num w:numId="15" w16cid:durableId="1643849351">
    <w:abstractNumId w:val="3"/>
  </w:num>
  <w:num w:numId="16" w16cid:durableId="1917856375">
    <w:abstractNumId w:val="19"/>
  </w:num>
  <w:num w:numId="17" w16cid:durableId="810561752">
    <w:abstractNumId w:val="16"/>
  </w:num>
  <w:num w:numId="18" w16cid:durableId="2147047270">
    <w:abstractNumId w:val="9"/>
  </w:num>
  <w:num w:numId="19" w16cid:durableId="1951205926">
    <w:abstractNumId w:val="1"/>
  </w:num>
  <w:num w:numId="20" w16cid:durableId="599988206">
    <w:abstractNumId w:val="28"/>
  </w:num>
  <w:num w:numId="21" w16cid:durableId="1647081052">
    <w:abstractNumId w:val="2"/>
  </w:num>
  <w:num w:numId="22" w16cid:durableId="963734549">
    <w:abstractNumId w:val="0"/>
  </w:num>
  <w:num w:numId="23" w16cid:durableId="1338845339">
    <w:abstractNumId w:val="15"/>
  </w:num>
  <w:num w:numId="24" w16cid:durableId="1827671822">
    <w:abstractNumId w:val="21"/>
  </w:num>
  <w:num w:numId="25" w16cid:durableId="1610698906">
    <w:abstractNumId w:val="12"/>
  </w:num>
  <w:num w:numId="26" w16cid:durableId="326709690">
    <w:abstractNumId w:val="13"/>
  </w:num>
  <w:num w:numId="27" w16cid:durableId="1253273601">
    <w:abstractNumId w:val="5"/>
  </w:num>
  <w:num w:numId="28" w16cid:durableId="700403732">
    <w:abstractNumId w:val="17"/>
  </w:num>
  <w:num w:numId="29" w16cid:durableId="1325888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D0"/>
    <w:rsid w:val="00010D87"/>
    <w:rsid w:val="00013C1F"/>
    <w:rsid w:val="00022457"/>
    <w:rsid w:val="00036809"/>
    <w:rsid w:val="00046A06"/>
    <w:rsid w:val="0005351E"/>
    <w:rsid w:val="000624E3"/>
    <w:rsid w:val="000721AE"/>
    <w:rsid w:val="000A1769"/>
    <w:rsid w:val="000B0239"/>
    <w:rsid w:val="000C0EC0"/>
    <w:rsid w:val="000C4B0B"/>
    <w:rsid w:val="00105AEA"/>
    <w:rsid w:val="00155962"/>
    <w:rsid w:val="0017593D"/>
    <w:rsid w:val="0024037D"/>
    <w:rsid w:val="00274505"/>
    <w:rsid w:val="00282DBF"/>
    <w:rsid w:val="0029119C"/>
    <w:rsid w:val="002E46D6"/>
    <w:rsid w:val="002E60F6"/>
    <w:rsid w:val="0032062C"/>
    <w:rsid w:val="00330215"/>
    <w:rsid w:val="0037180A"/>
    <w:rsid w:val="00372DF8"/>
    <w:rsid w:val="003A3E5C"/>
    <w:rsid w:val="003E1F6D"/>
    <w:rsid w:val="003E2CDD"/>
    <w:rsid w:val="00430A34"/>
    <w:rsid w:val="00452D2C"/>
    <w:rsid w:val="00474746"/>
    <w:rsid w:val="0048433D"/>
    <w:rsid w:val="004A2771"/>
    <w:rsid w:val="004D062E"/>
    <w:rsid w:val="00540372"/>
    <w:rsid w:val="005A5EC6"/>
    <w:rsid w:val="005B3954"/>
    <w:rsid w:val="005C13B4"/>
    <w:rsid w:val="005D541C"/>
    <w:rsid w:val="005D72FC"/>
    <w:rsid w:val="00653387"/>
    <w:rsid w:val="00662F4B"/>
    <w:rsid w:val="0067383A"/>
    <w:rsid w:val="00733AB7"/>
    <w:rsid w:val="00785972"/>
    <w:rsid w:val="00791468"/>
    <w:rsid w:val="00797FAE"/>
    <w:rsid w:val="007D68B5"/>
    <w:rsid w:val="00840641"/>
    <w:rsid w:val="00860FDB"/>
    <w:rsid w:val="00884EC9"/>
    <w:rsid w:val="008977E1"/>
    <w:rsid w:val="008A14C5"/>
    <w:rsid w:val="008A2B0E"/>
    <w:rsid w:val="008A3D50"/>
    <w:rsid w:val="0090117E"/>
    <w:rsid w:val="009E0513"/>
    <w:rsid w:val="00A45475"/>
    <w:rsid w:val="00A536F2"/>
    <w:rsid w:val="00A5384F"/>
    <w:rsid w:val="00A77099"/>
    <w:rsid w:val="00AB7378"/>
    <w:rsid w:val="00AD7137"/>
    <w:rsid w:val="00B12567"/>
    <w:rsid w:val="00B5096B"/>
    <w:rsid w:val="00BA7AE8"/>
    <w:rsid w:val="00BF4551"/>
    <w:rsid w:val="00C13F8B"/>
    <w:rsid w:val="00C2463E"/>
    <w:rsid w:val="00C466FF"/>
    <w:rsid w:val="00C87D05"/>
    <w:rsid w:val="00CC1285"/>
    <w:rsid w:val="00CC20F5"/>
    <w:rsid w:val="00CD465C"/>
    <w:rsid w:val="00D0189C"/>
    <w:rsid w:val="00D049BB"/>
    <w:rsid w:val="00D1394E"/>
    <w:rsid w:val="00D20822"/>
    <w:rsid w:val="00D4281D"/>
    <w:rsid w:val="00D449EC"/>
    <w:rsid w:val="00D46BBE"/>
    <w:rsid w:val="00D52323"/>
    <w:rsid w:val="00D576A7"/>
    <w:rsid w:val="00D61D92"/>
    <w:rsid w:val="00D80280"/>
    <w:rsid w:val="00D93B58"/>
    <w:rsid w:val="00DB6A18"/>
    <w:rsid w:val="00DF7AD0"/>
    <w:rsid w:val="00E639DD"/>
    <w:rsid w:val="00E73D79"/>
    <w:rsid w:val="00E76CDE"/>
    <w:rsid w:val="00EC01BB"/>
    <w:rsid w:val="00F10876"/>
    <w:rsid w:val="00F342E1"/>
    <w:rsid w:val="00F52082"/>
    <w:rsid w:val="00F968F7"/>
    <w:rsid w:val="00FA284E"/>
    <w:rsid w:val="00FD6C21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D61D9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2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2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2DB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2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2DBF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https://ovdmasv601/sites/DMS/_layouts/15/DocIdRedir.aspx?ID=WKX3UHSAJ2R6-2-1294748</Url>
      <Description>WKX3UHSAJ2R6-2-1294748</Description>
    </_dlc_DocIdUrl>
    <_dlc_DocId xmlns="e60a29af-d413-48d4-bd90-fe9d2a897e4b">WKX3UHSAJ2R6-2-1294748</_dlc_DocId>
  </documentManagement>
</p:properties>
</file>

<file path=customXml/itemProps1.xml><?xml version="1.0" encoding="utf-8"?>
<ds:datastoreItem xmlns:ds="http://schemas.openxmlformats.org/officeDocument/2006/customXml" ds:itemID="{2E5B4633-533C-46F9-882B-EC820FD57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53434-156C-4E2D-A7C8-95D74D86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906484B-C155-42BB-8396-23BDE6C382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F81CC5-4D52-4CB3-AE91-61B6708DEA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916EBD-F461-472C-A73A-6DE764400C1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červená – nové , modrá – vypustené  zelená – úvaha či použiť</vt:lpstr>
      <vt:lpstr>červená – nové , modrá – vypustené  zelená – úvaha či použiť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4</cp:revision>
  <dcterms:created xsi:type="dcterms:W3CDTF">2025-07-23T09:13:00Z</dcterms:created>
  <dcterms:modified xsi:type="dcterms:W3CDTF">2025-09-08T06:52:00Z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d7e7b054-a4ee-482e-ad49-86ad55967f51</vt:lpwstr>
  </property>
  <property fmtid="{D5CDD505-2E9C-101B-9397-08002B2CF9AE}" pid="159" name="MSIP_Label_d8d4986f-dcbf-4623-ae9a-8251714e0a88_Enabled">
    <vt:lpwstr>true</vt:lpwstr>
  </property>
  <property fmtid="{D5CDD505-2E9C-101B-9397-08002B2CF9AE}" pid="160" name="MSIP_Label_d8d4986f-dcbf-4623-ae9a-8251714e0a88_SetDate">
    <vt:lpwstr>2025-09-08T06:52:11Z</vt:lpwstr>
  </property>
  <property fmtid="{D5CDD505-2E9C-101B-9397-08002B2CF9AE}" pid="161" name="MSIP_Label_d8d4986f-dcbf-4623-ae9a-8251714e0a88_Method">
    <vt:lpwstr>Privileged</vt:lpwstr>
  </property>
  <property fmtid="{D5CDD505-2E9C-101B-9397-08002B2CF9AE}" pid="162" name="MSIP_Label_d8d4986f-dcbf-4623-ae9a-8251714e0a88_Name">
    <vt:lpwstr>Public</vt:lpwstr>
  </property>
  <property fmtid="{D5CDD505-2E9C-101B-9397-08002B2CF9AE}" pid="163" name="MSIP_Label_d8d4986f-dcbf-4623-ae9a-8251714e0a88_SiteId">
    <vt:lpwstr>579df390-dbff-49fd-8f10-624670566482</vt:lpwstr>
  </property>
  <property fmtid="{D5CDD505-2E9C-101B-9397-08002B2CF9AE}" pid="164" name="MSIP_Label_d8d4986f-dcbf-4623-ae9a-8251714e0a88_ActionId">
    <vt:lpwstr>5aa296f8-5424-4a8c-9fa6-e59ce1b962ec</vt:lpwstr>
  </property>
  <property fmtid="{D5CDD505-2E9C-101B-9397-08002B2CF9AE}" pid="165" name="MSIP_Label_d8d4986f-dcbf-4623-ae9a-8251714e0a88_ContentBits">
    <vt:lpwstr>0</vt:lpwstr>
  </property>
</Properties>
</file>