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38DA" w14:textId="77777777" w:rsidR="005C3031" w:rsidRPr="00444E00" w:rsidRDefault="005C3031" w:rsidP="005C3031">
      <w:pPr>
        <w:shd w:val="clear" w:color="auto" w:fill="FFFFFF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444E00">
        <w:rPr>
          <w:rFonts w:ascii="Palatino Linotype" w:hAnsi="Palatino Linotype"/>
          <w:b/>
          <w:bCs/>
          <w:sz w:val="28"/>
          <w:szCs w:val="28"/>
        </w:rPr>
        <w:t>NÁRODNÁ  RADA  SLOVENSKEJ  REPUBLIKY</w:t>
      </w:r>
    </w:p>
    <w:p w14:paraId="6AACFBFA" w14:textId="77777777" w:rsidR="005C3031" w:rsidRPr="00ED051C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/>
          <w:b/>
          <w:bCs/>
        </w:rPr>
      </w:pPr>
      <w:r w:rsidRPr="00ED051C">
        <w:rPr>
          <w:rFonts w:ascii="Palatino Linotype" w:hAnsi="Palatino Linotype"/>
          <w:b/>
          <w:bCs/>
        </w:rPr>
        <w:t>IX</w:t>
      </w:r>
      <w:r w:rsidR="005C3031" w:rsidRPr="00ED051C">
        <w:rPr>
          <w:rFonts w:ascii="Palatino Linotype" w:hAnsi="Palatino Linotype"/>
          <w:b/>
          <w:bCs/>
        </w:rPr>
        <w:t>. volebné obdobie</w:t>
      </w:r>
    </w:p>
    <w:p w14:paraId="094B9E89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77475602" w14:textId="77777777" w:rsidR="00982FD0" w:rsidRPr="001528B7" w:rsidRDefault="00982FD0" w:rsidP="00982FD0">
      <w:pPr>
        <w:shd w:val="clear" w:color="auto" w:fill="FFFFFF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1528B7">
        <w:rPr>
          <w:rFonts w:ascii="Palatino Linotype" w:hAnsi="Palatino Linotype"/>
          <w:b/>
          <w:bCs/>
          <w:sz w:val="22"/>
          <w:szCs w:val="22"/>
        </w:rPr>
        <w:t xml:space="preserve">NÁVRH </w:t>
      </w:r>
    </w:p>
    <w:p w14:paraId="06BB8C5B" w14:textId="77777777" w:rsidR="00982FD0" w:rsidRPr="001528B7" w:rsidRDefault="00982FD0" w:rsidP="00982FD0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64043BD3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b/>
          <w:caps/>
          <w:spacing w:val="30"/>
          <w:sz w:val="22"/>
          <w:szCs w:val="22"/>
        </w:rPr>
        <w:t>zákon</w:t>
      </w:r>
    </w:p>
    <w:p w14:paraId="1177F368" w14:textId="77777777" w:rsidR="00982FD0" w:rsidRPr="001528B7" w:rsidRDefault="00982FD0" w:rsidP="00F02061">
      <w:pPr>
        <w:tabs>
          <w:tab w:val="left" w:pos="1730"/>
        </w:tabs>
        <w:spacing w:before="120" w:line="276" w:lineRule="auto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ab/>
      </w:r>
    </w:p>
    <w:p w14:paraId="41C1A9E2" w14:textId="3C7BFE0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Z ...... 202</w:t>
      </w:r>
      <w:r w:rsidR="000420E0">
        <w:rPr>
          <w:rFonts w:ascii="Palatino Linotype" w:hAnsi="Palatino Linotype"/>
          <w:sz w:val="22"/>
          <w:szCs w:val="22"/>
        </w:rPr>
        <w:t>5</w:t>
      </w:r>
      <w:r w:rsidRPr="001528B7">
        <w:rPr>
          <w:rFonts w:ascii="Palatino Linotype" w:hAnsi="Palatino Linotype"/>
          <w:sz w:val="22"/>
          <w:szCs w:val="22"/>
        </w:rPr>
        <w:t>,</w:t>
      </w:r>
    </w:p>
    <w:p w14:paraId="3D9F196B" w14:textId="77777777" w:rsidR="00982FD0" w:rsidRPr="001528B7" w:rsidRDefault="00982FD0" w:rsidP="00F02061">
      <w:pPr>
        <w:spacing w:before="120"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14:paraId="1B9F014E" w14:textId="1CA555E7" w:rsidR="00982FD0" w:rsidRDefault="001D7A99" w:rsidP="00F02061">
      <w:pPr>
        <w:pStyle w:val="TextBody"/>
        <w:spacing w:line="276" w:lineRule="auto"/>
        <w:jc w:val="center"/>
        <w:rPr>
          <w:rFonts w:ascii="Palatino Linotype" w:hAnsi="Palatino Linotype" w:cs="Times New Roman"/>
          <w:b/>
          <w:sz w:val="22"/>
          <w:szCs w:val="22"/>
        </w:rPr>
      </w:pPr>
      <w:bookmarkStart w:id="0" w:name="_Hlk85308999"/>
      <w:r>
        <w:rPr>
          <w:rFonts w:ascii="Palatino Linotype" w:hAnsi="Palatino Linotype" w:cs="Times New Roman"/>
          <w:b/>
          <w:sz w:val="22"/>
          <w:szCs w:val="22"/>
        </w:rPr>
        <w:t xml:space="preserve">ktorým sa </w:t>
      </w:r>
      <w:r w:rsidR="00765BF1">
        <w:rPr>
          <w:rFonts w:ascii="Palatino Linotype" w:hAnsi="Palatino Linotype" w:cs="Times New Roman"/>
          <w:b/>
          <w:sz w:val="22"/>
          <w:szCs w:val="22"/>
        </w:rPr>
        <w:t xml:space="preserve">mení a </w:t>
      </w:r>
      <w:r w:rsidR="00DB1A3E">
        <w:rPr>
          <w:rFonts w:ascii="Palatino Linotype" w:hAnsi="Palatino Linotype" w:cs="Times New Roman"/>
          <w:b/>
          <w:sz w:val="22"/>
          <w:szCs w:val="22"/>
        </w:rPr>
        <w:t>dopĺňa zákon č. 330/199</w:t>
      </w:r>
      <w:r w:rsidR="00ED051C">
        <w:rPr>
          <w:rFonts w:ascii="Palatino Linotype" w:hAnsi="Palatino Linotype" w:cs="Times New Roman"/>
          <w:b/>
          <w:sz w:val="22"/>
          <w:szCs w:val="22"/>
        </w:rPr>
        <w:t>1</w:t>
      </w:r>
      <w:r w:rsidR="00982FD0" w:rsidRPr="001528B7">
        <w:rPr>
          <w:rFonts w:ascii="Palatino Linotype" w:hAnsi="Palatino Linotype" w:cs="Times New Roman"/>
          <w:b/>
          <w:sz w:val="22"/>
          <w:szCs w:val="22"/>
        </w:rPr>
        <w:t xml:space="preserve"> Z. z. </w:t>
      </w:r>
      <w:r w:rsidR="00DB1A3E" w:rsidRPr="00DB1A3E">
        <w:rPr>
          <w:rFonts w:ascii="Palatino Linotype" w:hAnsi="Palatino Linotype" w:cs="Arial"/>
          <w:b/>
          <w:sz w:val="22"/>
          <w:szCs w:val="22"/>
          <w:shd w:val="clear" w:color="auto" w:fill="FFFFFF"/>
        </w:rPr>
        <w:t>o pozemkových úpravách, usporiadaní pozemkového vlastníctva, pozemkových úradoch, pozemkovom fonde a o pozemkových spoločenstvách</w:t>
      </w:r>
    </w:p>
    <w:p w14:paraId="418F4A51" w14:textId="77777777" w:rsidR="00765BF1" w:rsidRPr="001528B7" w:rsidRDefault="00765BF1" w:rsidP="00F02061">
      <w:pPr>
        <w:pStyle w:val="TextBody"/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</w:p>
    <w:bookmarkEnd w:id="0"/>
    <w:p w14:paraId="3E01C23C" w14:textId="77777777" w:rsidR="00982FD0" w:rsidRPr="001528B7" w:rsidRDefault="00982FD0" w:rsidP="00F02061">
      <w:pPr>
        <w:pStyle w:val="TextBody"/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  <w:r w:rsidRPr="001528B7">
        <w:rPr>
          <w:rFonts w:ascii="Palatino Linotype" w:hAnsi="Palatino Linotype" w:cs="Times New Roman"/>
          <w:sz w:val="22"/>
          <w:szCs w:val="22"/>
        </w:rPr>
        <w:t>Národná rada Slovenskej republiky sa uzniesla na tomto zákone</w:t>
      </w:r>
    </w:p>
    <w:p w14:paraId="64855AC6" w14:textId="77777777" w:rsidR="00982FD0" w:rsidRPr="001528B7" w:rsidRDefault="00982FD0" w:rsidP="00F02061">
      <w:pPr>
        <w:pStyle w:val="Default"/>
        <w:spacing w:line="276" w:lineRule="auto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AF85C1B" w14:textId="77777777" w:rsidR="00982FD0" w:rsidRPr="001528B7" w:rsidRDefault="00982FD0" w:rsidP="00F02061">
      <w:pPr>
        <w:pStyle w:val="Default"/>
        <w:spacing w:line="276" w:lineRule="auto"/>
        <w:jc w:val="center"/>
        <w:rPr>
          <w:rFonts w:ascii="Palatino Linotype" w:hAnsi="Palatino Linotype" w:cs="Times New Roman"/>
          <w:sz w:val="22"/>
          <w:szCs w:val="22"/>
          <w:lang w:bidi="ar-SA"/>
        </w:rPr>
      </w:pPr>
      <w:r w:rsidRPr="001528B7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</w:p>
    <w:p w14:paraId="54F27384" w14:textId="77777777" w:rsidR="00982FD0" w:rsidRPr="001528B7" w:rsidRDefault="00982FD0" w:rsidP="00F02061">
      <w:pPr>
        <w:pStyle w:val="Default"/>
        <w:spacing w:line="276" w:lineRule="auto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74466498" w14:textId="7BC608A2" w:rsidR="00982FD0" w:rsidRPr="00DB1A3E" w:rsidRDefault="00DB1A3E" w:rsidP="00F02061">
      <w:pPr>
        <w:pStyle w:val="Default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DB1A3E">
        <w:rPr>
          <w:rFonts w:ascii="Palatino Linotype" w:hAnsi="Palatino Linotype" w:cs="Arial"/>
          <w:sz w:val="22"/>
          <w:szCs w:val="22"/>
          <w:shd w:val="clear" w:color="auto" w:fill="FFFFFF"/>
        </w:rPr>
        <w:t>Zákon Slovenskej národnej rady o pozemkových úpravách, usporiadaní pozemkového vlastníctva, pozemkových úradoch, pozemkovom fonde a o pozemkových spoločenstvách</w:t>
      </w:r>
      <w:r>
        <w:rPr>
          <w:rFonts w:ascii="Arial" w:hAnsi="Arial" w:cs="Arial"/>
          <w:sz w:val="29"/>
          <w:szCs w:val="29"/>
          <w:shd w:val="clear" w:color="auto" w:fill="FFFFFF"/>
        </w:rPr>
        <w:t xml:space="preserve"> </w:t>
      </w:r>
      <w:r w:rsidR="00ED051C" w:rsidRPr="00ED051C">
        <w:rPr>
          <w:rFonts w:ascii="Palatino Linotype" w:hAnsi="Palatino Linotype" w:cs="Times New Roman"/>
          <w:sz w:val="22"/>
          <w:szCs w:val="22"/>
        </w:rPr>
        <w:t xml:space="preserve">v znení </w:t>
      </w:r>
      <w:r w:rsidR="00ED051C">
        <w:rPr>
          <w:rFonts w:ascii="Palatino Linotype" w:hAnsi="Palatino Linotype" w:cs="Times New Roman"/>
          <w:sz w:val="22"/>
          <w:szCs w:val="22"/>
        </w:rPr>
        <w:t>zákona</w:t>
      </w:r>
      <w:r w:rsidR="00765BF1">
        <w:rPr>
          <w:rFonts w:ascii="Palatino Linotype" w:hAnsi="Palatino Linotype" w:cs="Times New Roman"/>
          <w:sz w:val="22"/>
          <w:szCs w:val="22"/>
        </w:rPr>
        <w:t xml:space="preserve"> č.</w:t>
      </w:r>
      <w:r w:rsidR="00ED051C">
        <w:rPr>
          <w:rFonts w:ascii="Palatino Linotype" w:hAnsi="Palatino Linotype" w:cs="Times New Roman"/>
          <w:sz w:val="22"/>
          <w:szCs w:val="22"/>
        </w:rPr>
        <w:t xml:space="preserve">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293/1992 Zb.,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323/1992 Zb.,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187/1993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180/1995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222/1996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80/1998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256/2001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420/2002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518/2003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217/2004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523/2004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549/2004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571/2007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285/2008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66/2009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499/2009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136/2010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139/2010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559/2010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547/2011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345/2012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145/2013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180/2013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115/2014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363/2014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122/2015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125/2016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153/2017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177/2018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119/2019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211/2019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151/2021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503/2021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6/2022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257/2022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487/2022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205/2023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142/2024 Z. z.,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zákona č. 204/2024 Z. z. a zákona č. </w:t>
      </w:r>
      <w:r w:rsidR="00765BF1" w:rsidRPr="00765BF1">
        <w:rPr>
          <w:rFonts w:ascii="Palatino Linotype" w:hAnsi="Palatino Linotype" w:cs="Times New Roman"/>
          <w:sz w:val="22"/>
          <w:szCs w:val="22"/>
        </w:rPr>
        <w:t xml:space="preserve"> 26/2025 Z. z.</w:t>
      </w:r>
      <w:r w:rsidR="00ED051C">
        <w:rPr>
          <w:rFonts w:ascii="Palatino Linotype" w:hAnsi="Palatino Linotype" w:cs="Times New Roman"/>
          <w:sz w:val="22"/>
          <w:szCs w:val="22"/>
        </w:rPr>
        <w:t xml:space="preserve">sa </w:t>
      </w:r>
      <w:r w:rsidR="00765BF1">
        <w:rPr>
          <w:rFonts w:ascii="Palatino Linotype" w:hAnsi="Palatino Linotype" w:cs="Times New Roman"/>
          <w:sz w:val="22"/>
          <w:szCs w:val="22"/>
        </w:rPr>
        <w:t xml:space="preserve">mení a </w:t>
      </w:r>
      <w:r w:rsidR="00982FD0" w:rsidRPr="001528B7">
        <w:rPr>
          <w:rFonts w:ascii="Palatino Linotype" w:eastAsia="SimSun" w:hAnsi="Palatino Linotype"/>
          <w:kern w:val="3"/>
          <w:sz w:val="22"/>
          <w:szCs w:val="22"/>
        </w:rPr>
        <w:t>dopĺňa takto:</w:t>
      </w:r>
    </w:p>
    <w:p w14:paraId="4B8E0CA9" w14:textId="77777777" w:rsidR="00982FD0" w:rsidRPr="001528B7" w:rsidRDefault="00982FD0" w:rsidP="00F02061">
      <w:pPr>
        <w:pStyle w:val="Default"/>
        <w:spacing w:line="276" w:lineRule="auto"/>
        <w:jc w:val="both"/>
        <w:rPr>
          <w:rFonts w:ascii="Palatino Linotype" w:eastAsia="SimSun" w:hAnsi="Palatino Linotype"/>
          <w:kern w:val="3"/>
          <w:sz w:val="22"/>
          <w:szCs w:val="22"/>
        </w:rPr>
      </w:pPr>
    </w:p>
    <w:p w14:paraId="3017C8EE" w14:textId="59E870DD" w:rsidR="00CD46F8" w:rsidRPr="00506084" w:rsidRDefault="002274B9" w:rsidP="00506084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</w:rPr>
      </w:pPr>
      <w:r w:rsidRPr="00506084">
        <w:rPr>
          <w:rFonts w:ascii="Palatino Linotype" w:hAnsi="Palatino Linotype"/>
          <w:sz w:val="22"/>
          <w:szCs w:val="22"/>
        </w:rPr>
        <w:t xml:space="preserve">V </w:t>
      </w:r>
      <w:r w:rsidR="00982FD0" w:rsidRPr="00506084">
        <w:rPr>
          <w:rFonts w:ascii="Palatino Linotype" w:hAnsi="Palatino Linotype"/>
          <w:sz w:val="22"/>
          <w:szCs w:val="22"/>
        </w:rPr>
        <w:t>§</w:t>
      </w:r>
      <w:r w:rsidRPr="00506084">
        <w:rPr>
          <w:rFonts w:ascii="Palatino Linotype" w:hAnsi="Palatino Linotype"/>
          <w:sz w:val="22"/>
          <w:szCs w:val="22"/>
        </w:rPr>
        <w:t xml:space="preserve"> </w:t>
      </w:r>
      <w:r w:rsidR="00E16812" w:rsidRPr="00506084">
        <w:rPr>
          <w:rFonts w:ascii="Palatino Linotype" w:hAnsi="Palatino Linotype"/>
          <w:sz w:val="22"/>
          <w:szCs w:val="22"/>
        </w:rPr>
        <w:t xml:space="preserve">34 sa za </w:t>
      </w:r>
      <w:r w:rsidRPr="00506084">
        <w:rPr>
          <w:rFonts w:ascii="Palatino Linotype" w:hAnsi="Palatino Linotype"/>
          <w:sz w:val="22"/>
          <w:szCs w:val="22"/>
        </w:rPr>
        <w:t>ods</w:t>
      </w:r>
      <w:r w:rsidR="00E16812" w:rsidRPr="00506084">
        <w:rPr>
          <w:rFonts w:ascii="Palatino Linotype" w:hAnsi="Palatino Linotype"/>
          <w:sz w:val="22"/>
          <w:szCs w:val="22"/>
        </w:rPr>
        <w:t xml:space="preserve">ek </w:t>
      </w:r>
      <w:r w:rsidR="00352431" w:rsidRPr="00506084">
        <w:rPr>
          <w:rFonts w:ascii="Palatino Linotype" w:hAnsi="Palatino Linotype"/>
          <w:sz w:val="22"/>
          <w:szCs w:val="22"/>
        </w:rPr>
        <w:t>2</w:t>
      </w:r>
      <w:r w:rsidR="00E16812" w:rsidRPr="00506084">
        <w:rPr>
          <w:rFonts w:ascii="Palatino Linotype" w:hAnsi="Palatino Linotype"/>
          <w:sz w:val="22"/>
          <w:szCs w:val="22"/>
        </w:rPr>
        <w:t xml:space="preserve">9 vkladá nový odsek </w:t>
      </w:r>
      <w:r w:rsidR="00352431" w:rsidRPr="00506084">
        <w:rPr>
          <w:rFonts w:ascii="Palatino Linotype" w:hAnsi="Palatino Linotype"/>
          <w:sz w:val="22"/>
          <w:szCs w:val="22"/>
        </w:rPr>
        <w:t>3</w:t>
      </w:r>
      <w:r w:rsidR="00E16812" w:rsidRPr="00506084">
        <w:rPr>
          <w:rFonts w:ascii="Palatino Linotype" w:hAnsi="Palatino Linotype"/>
          <w:sz w:val="22"/>
          <w:szCs w:val="22"/>
        </w:rPr>
        <w:t>0, ktorý znie:</w:t>
      </w:r>
    </w:p>
    <w:p w14:paraId="3F95BBCF" w14:textId="63E4759E" w:rsidR="007D326B" w:rsidRPr="007D326B" w:rsidRDefault="007D326B" w:rsidP="007D326B">
      <w:pPr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„</w:t>
      </w:r>
      <w:r w:rsidR="00352431">
        <w:rPr>
          <w:rFonts w:ascii="Palatino Linotype" w:hAnsi="Palatino Linotype"/>
          <w:sz w:val="22"/>
          <w:szCs w:val="22"/>
        </w:rPr>
        <w:t>(3</w:t>
      </w:r>
      <w:r>
        <w:rPr>
          <w:rFonts w:ascii="Palatino Linotype" w:hAnsi="Palatino Linotype"/>
          <w:sz w:val="22"/>
          <w:szCs w:val="22"/>
        </w:rPr>
        <w:t xml:space="preserve">0) </w:t>
      </w:r>
      <w:r w:rsidRPr="007D326B">
        <w:rPr>
          <w:rFonts w:ascii="Palatino Linotype" w:hAnsi="Palatino Linotype"/>
          <w:bCs/>
          <w:sz w:val="22"/>
          <w:szCs w:val="22"/>
        </w:rPr>
        <w:t>Pozemkový fond prevedie bezodplat</w:t>
      </w:r>
      <w:r>
        <w:rPr>
          <w:rFonts w:ascii="Palatino Linotype" w:hAnsi="Palatino Linotype"/>
          <w:bCs/>
          <w:sz w:val="22"/>
          <w:szCs w:val="22"/>
        </w:rPr>
        <w:t>ne do vlastníctva obce alebo samosprávneho kraja</w:t>
      </w:r>
      <w:r w:rsidRPr="007D326B">
        <w:rPr>
          <w:rFonts w:ascii="Palatino Linotype" w:hAnsi="Palatino Linotype"/>
          <w:bCs/>
          <w:sz w:val="22"/>
          <w:szCs w:val="22"/>
        </w:rPr>
        <w:t xml:space="preserve"> pozemok vo </w:t>
      </w:r>
      <w:r w:rsidRPr="00B9501E">
        <w:rPr>
          <w:rFonts w:ascii="Palatino Linotype" w:hAnsi="Palatino Linotype"/>
          <w:bCs/>
          <w:sz w:val="22"/>
          <w:szCs w:val="22"/>
        </w:rPr>
        <w:t>vlastníctve štátu,</w:t>
      </w:r>
      <w:r w:rsidRPr="007D326B">
        <w:rPr>
          <w:rFonts w:ascii="Palatino Linotype" w:hAnsi="Palatino Linotype"/>
          <w:bCs/>
          <w:sz w:val="22"/>
          <w:szCs w:val="22"/>
        </w:rPr>
        <w:t xml:space="preserve"> ktorý spravuje, ak ta</w:t>
      </w:r>
      <w:r w:rsidR="008D5D43">
        <w:rPr>
          <w:rFonts w:ascii="Palatino Linotype" w:hAnsi="Palatino Linotype"/>
          <w:bCs/>
          <w:sz w:val="22"/>
          <w:szCs w:val="22"/>
        </w:rPr>
        <w:t xml:space="preserve">kýto pozemok má byť použitý </w:t>
      </w:r>
      <w:r w:rsidRPr="007D326B">
        <w:rPr>
          <w:rFonts w:ascii="Palatino Linotype" w:hAnsi="Palatino Linotype"/>
          <w:bCs/>
          <w:sz w:val="22"/>
          <w:szCs w:val="22"/>
        </w:rPr>
        <w:t xml:space="preserve">na účely náhrady  fyzickým osobám alebo právnickým osobám (ďalej len „kompenzant“). Táto kompenzácia sa poskytuje </w:t>
      </w:r>
      <w:r w:rsidR="008D5D43">
        <w:rPr>
          <w:rFonts w:ascii="Palatino Linotype" w:hAnsi="Palatino Linotype"/>
          <w:bCs/>
          <w:sz w:val="22"/>
          <w:szCs w:val="22"/>
        </w:rPr>
        <w:t xml:space="preserve">výlučne za pozemky </w:t>
      </w:r>
      <w:r w:rsidRPr="007D326B">
        <w:rPr>
          <w:rFonts w:ascii="Palatino Linotype" w:hAnsi="Palatino Linotype"/>
          <w:bCs/>
          <w:sz w:val="22"/>
          <w:szCs w:val="22"/>
        </w:rPr>
        <w:t xml:space="preserve">kompenzantov, ktoré sú </w:t>
      </w:r>
      <w:r w:rsidRPr="008A582A">
        <w:rPr>
          <w:rFonts w:ascii="Palatino Linotype" w:hAnsi="Palatino Linotype"/>
          <w:bCs/>
          <w:sz w:val="22"/>
          <w:szCs w:val="22"/>
        </w:rPr>
        <w:t xml:space="preserve">v zmysle záväznej </w:t>
      </w:r>
      <w:r w:rsidR="008A582A" w:rsidRPr="008A582A">
        <w:rPr>
          <w:rFonts w:ascii="Palatino Linotype" w:hAnsi="Palatino Linotype"/>
          <w:bCs/>
          <w:sz w:val="22"/>
          <w:szCs w:val="22"/>
        </w:rPr>
        <w:lastRenderedPageBreak/>
        <w:t>časti územného plánu obce</w:t>
      </w:r>
      <w:r w:rsidRPr="007D326B">
        <w:rPr>
          <w:rFonts w:ascii="Palatino Linotype" w:hAnsi="Palatino Linotype"/>
          <w:bCs/>
          <w:sz w:val="22"/>
          <w:szCs w:val="22"/>
        </w:rPr>
        <w:t xml:space="preserve"> určené na umiestnenie verejnoprospešnej stavby technického, dopravného, vzdelávacieho, športového alebo rekreačného účelu, a ku ktorým </w:t>
      </w:r>
      <w:r w:rsidR="008D5D43">
        <w:rPr>
          <w:rFonts w:ascii="Palatino Linotype" w:hAnsi="Palatino Linotype"/>
          <w:bCs/>
          <w:sz w:val="22"/>
          <w:szCs w:val="22"/>
        </w:rPr>
        <w:t xml:space="preserve">má </w:t>
      </w:r>
      <w:r w:rsidRPr="007D326B">
        <w:rPr>
          <w:rFonts w:ascii="Palatino Linotype" w:hAnsi="Palatino Linotype"/>
          <w:bCs/>
          <w:sz w:val="22"/>
          <w:szCs w:val="22"/>
        </w:rPr>
        <w:t xml:space="preserve">obec </w:t>
      </w:r>
      <w:r w:rsidR="008D5D43">
        <w:rPr>
          <w:rFonts w:ascii="Palatino Linotype" w:hAnsi="Palatino Linotype"/>
          <w:bCs/>
          <w:sz w:val="22"/>
          <w:szCs w:val="22"/>
        </w:rPr>
        <w:t xml:space="preserve">alebo </w:t>
      </w:r>
      <w:r w:rsidR="0093402E">
        <w:rPr>
          <w:rFonts w:ascii="Palatino Linotype" w:hAnsi="Palatino Linotype"/>
          <w:bCs/>
          <w:sz w:val="22"/>
          <w:szCs w:val="22"/>
        </w:rPr>
        <w:t>vyšší územný celok</w:t>
      </w:r>
      <w:r w:rsidRPr="007D326B">
        <w:rPr>
          <w:rFonts w:ascii="Palatino Linotype" w:hAnsi="Palatino Linotype"/>
          <w:bCs/>
          <w:sz w:val="22"/>
          <w:szCs w:val="22"/>
        </w:rPr>
        <w:t xml:space="preserve"> realiz</w:t>
      </w:r>
      <w:r w:rsidR="008D5D43">
        <w:rPr>
          <w:rFonts w:ascii="Palatino Linotype" w:hAnsi="Palatino Linotype"/>
          <w:bCs/>
          <w:sz w:val="22"/>
          <w:szCs w:val="22"/>
        </w:rPr>
        <w:t xml:space="preserve">ujúci </w:t>
      </w:r>
      <w:r w:rsidR="0093402E" w:rsidRPr="008A582A">
        <w:rPr>
          <w:rFonts w:ascii="Palatino Linotype" w:hAnsi="Palatino Linotype"/>
          <w:bCs/>
          <w:sz w:val="22"/>
          <w:szCs w:val="22"/>
        </w:rPr>
        <w:t>stavbu vo verejnom záujme</w:t>
      </w:r>
      <w:r w:rsidR="0093402E">
        <w:rPr>
          <w:rFonts w:ascii="Palatino Linotype" w:hAnsi="Palatino Linotype"/>
          <w:bCs/>
          <w:sz w:val="22"/>
          <w:szCs w:val="22"/>
        </w:rPr>
        <w:t xml:space="preserve"> </w:t>
      </w:r>
      <w:r w:rsidRPr="007D326B">
        <w:rPr>
          <w:rFonts w:ascii="Palatino Linotype" w:hAnsi="Palatino Linotype"/>
          <w:bCs/>
          <w:sz w:val="22"/>
          <w:szCs w:val="22"/>
        </w:rPr>
        <w:t xml:space="preserve">nadobudnúť vlastnícke </w:t>
      </w:r>
      <w:r w:rsidRPr="008A582A">
        <w:rPr>
          <w:rFonts w:ascii="Palatino Linotype" w:hAnsi="Palatino Linotype"/>
          <w:bCs/>
          <w:sz w:val="22"/>
          <w:szCs w:val="22"/>
        </w:rPr>
        <w:t>právo.</w:t>
      </w:r>
      <w:r w:rsidRPr="007D326B">
        <w:rPr>
          <w:rFonts w:ascii="Palatino Linotype" w:hAnsi="Palatino Linotype"/>
          <w:bCs/>
          <w:sz w:val="22"/>
          <w:szCs w:val="22"/>
        </w:rPr>
        <w:t xml:space="preserve"> Prevod náhradného pozemku z vlastníctva obce na kompenzanta sa uskutoční na základe porovnania všeobecnej hodnoty pozemkov určenej znaleckým posudkom podľa osobitného predpisu</w:t>
      </w:r>
      <w:r w:rsidR="00B9501E">
        <w:rPr>
          <w:rFonts w:ascii="Palatino Linotype" w:hAnsi="Palatino Linotype"/>
          <w:bCs/>
          <w:sz w:val="22"/>
          <w:szCs w:val="22"/>
        </w:rPr>
        <w:t xml:space="preserve"> </w:t>
      </w:r>
      <w:r w:rsidR="00B9501E" w:rsidRPr="00B9501E">
        <w:rPr>
          <w:rFonts w:ascii="Palatino Linotype" w:hAnsi="Palatino Linotype"/>
          <w:bCs/>
          <w:sz w:val="22"/>
          <w:szCs w:val="22"/>
          <w:vertAlign w:val="superscript"/>
        </w:rPr>
        <w:t>23hhh</w:t>
      </w:r>
      <w:r w:rsidR="00F1293D">
        <w:rPr>
          <w:rFonts w:ascii="Palatino Linotype" w:hAnsi="Palatino Linotype"/>
          <w:bCs/>
          <w:sz w:val="22"/>
          <w:szCs w:val="22"/>
        </w:rPr>
        <w:t>)</w:t>
      </w:r>
      <w:r w:rsidR="008D5D43">
        <w:rPr>
          <w:rFonts w:ascii="Palatino Linotype" w:hAnsi="Palatino Linotype"/>
          <w:bCs/>
          <w:sz w:val="22"/>
          <w:szCs w:val="22"/>
        </w:rPr>
        <w:t xml:space="preserve">. </w:t>
      </w:r>
      <w:r w:rsidR="00B9501E">
        <w:rPr>
          <w:rFonts w:ascii="Palatino Linotype" w:hAnsi="Palatino Linotype"/>
          <w:bCs/>
          <w:sz w:val="22"/>
          <w:szCs w:val="22"/>
        </w:rPr>
        <w:t>O</w:t>
      </w:r>
      <w:r w:rsidR="008D5D43">
        <w:rPr>
          <w:rFonts w:ascii="Palatino Linotype" w:hAnsi="Palatino Linotype"/>
          <w:bCs/>
          <w:sz w:val="22"/>
          <w:szCs w:val="22"/>
        </w:rPr>
        <w:t xml:space="preserve">bec alebo </w:t>
      </w:r>
      <w:r w:rsidR="0093402E">
        <w:rPr>
          <w:rFonts w:ascii="Palatino Linotype" w:hAnsi="Palatino Linotype"/>
          <w:bCs/>
          <w:sz w:val="22"/>
          <w:szCs w:val="22"/>
        </w:rPr>
        <w:t>vyšší územný celok</w:t>
      </w:r>
      <w:r w:rsidR="00B9501E">
        <w:rPr>
          <w:rFonts w:ascii="Palatino Linotype" w:hAnsi="Palatino Linotype"/>
          <w:bCs/>
          <w:sz w:val="22"/>
          <w:szCs w:val="22"/>
        </w:rPr>
        <w:t xml:space="preserve"> sú</w:t>
      </w:r>
      <w:r w:rsidRPr="007D326B">
        <w:rPr>
          <w:rFonts w:ascii="Palatino Linotype" w:hAnsi="Palatino Linotype"/>
          <w:bCs/>
          <w:sz w:val="22"/>
          <w:szCs w:val="22"/>
        </w:rPr>
        <w:t xml:space="preserve"> povinn</w:t>
      </w:r>
      <w:r w:rsidR="00B9501E">
        <w:rPr>
          <w:rFonts w:ascii="Palatino Linotype" w:hAnsi="Palatino Linotype"/>
          <w:bCs/>
          <w:sz w:val="22"/>
          <w:szCs w:val="22"/>
        </w:rPr>
        <w:t>í</w:t>
      </w:r>
      <w:r w:rsidRPr="007D326B">
        <w:rPr>
          <w:rFonts w:ascii="Palatino Linotype" w:hAnsi="Palatino Linotype"/>
          <w:bCs/>
          <w:sz w:val="22"/>
          <w:szCs w:val="22"/>
        </w:rPr>
        <w:t xml:space="preserve"> odo dňa účinnosti zmluvy strpieť, aby pozemkový fond kontroloval dohodnutý účel poskytnutia pozemku a jeho trvalé zachovanie pr</w:t>
      </w:r>
      <w:r w:rsidR="008D5D43">
        <w:rPr>
          <w:rFonts w:ascii="Palatino Linotype" w:hAnsi="Palatino Linotype"/>
          <w:bCs/>
          <w:sz w:val="22"/>
          <w:szCs w:val="22"/>
        </w:rPr>
        <w:t xml:space="preserve">e tento účel najmenej po dobu </w:t>
      </w:r>
      <w:r w:rsidR="008D5D43" w:rsidRPr="008A582A">
        <w:rPr>
          <w:rFonts w:ascii="Palatino Linotype" w:hAnsi="Palatino Linotype"/>
          <w:bCs/>
          <w:sz w:val="22"/>
          <w:szCs w:val="22"/>
        </w:rPr>
        <w:t>15</w:t>
      </w:r>
      <w:r w:rsidRPr="007D326B">
        <w:rPr>
          <w:rFonts w:ascii="Palatino Linotype" w:hAnsi="Palatino Linotype"/>
          <w:bCs/>
          <w:sz w:val="22"/>
          <w:szCs w:val="22"/>
        </w:rPr>
        <w:t xml:space="preserve"> rokov. Podmienkou platnosti zmluvy o prevode vlastníctva podľa prvej vety je právo pozemkového fondu odstúpiť od zmluvy </w:t>
      </w:r>
      <w:r w:rsidRPr="008A582A">
        <w:rPr>
          <w:rFonts w:ascii="Palatino Linotype" w:hAnsi="Palatino Linotype"/>
          <w:bCs/>
          <w:sz w:val="22"/>
          <w:szCs w:val="22"/>
        </w:rPr>
        <w:t>a nárok pozemkového fondu na zaplatenie zmluvnej pokuty vo výške najviac dvojnásobku hodnoty prevedených pozemkov určenej znaleckým posudkom podľa osobitného predpisu ku dňu uplatnenia nároku na zaplatenie zmluvnej pokuty,</w:t>
      </w:r>
      <w:r w:rsidRPr="007D326B">
        <w:rPr>
          <w:rFonts w:ascii="Palatino Linotype" w:hAnsi="Palatino Linotype"/>
          <w:bCs/>
          <w:sz w:val="22"/>
          <w:szCs w:val="22"/>
        </w:rPr>
        <w:t xml:space="preserve"> ak</w:t>
      </w:r>
    </w:p>
    <w:p w14:paraId="6E52CD23" w14:textId="1757805A" w:rsidR="007D326B" w:rsidRPr="007D326B" w:rsidRDefault="008D5D43" w:rsidP="007D326B">
      <w:pPr>
        <w:pStyle w:val="Odsekzoznamu"/>
        <w:numPr>
          <w:ilvl w:val="0"/>
          <w:numId w:val="8"/>
        </w:numPr>
        <w:spacing w:after="160" w:line="278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obec alebo vyšší územný celok</w:t>
      </w:r>
      <w:r w:rsidR="007D326B" w:rsidRPr="007D326B">
        <w:rPr>
          <w:rFonts w:ascii="Palatino Linotype" w:hAnsi="Palatino Linotype"/>
          <w:bCs/>
          <w:sz w:val="22"/>
          <w:szCs w:val="22"/>
        </w:rPr>
        <w:t xml:space="preserve"> neposkytne prevedený pozemok na kompenzáciu kompenzantovi </w:t>
      </w:r>
      <w:r w:rsidR="007D326B" w:rsidRPr="008A582A">
        <w:rPr>
          <w:rFonts w:ascii="Palatino Linotype" w:hAnsi="Palatino Linotype"/>
          <w:bCs/>
          <w:sz w:val="22"/>
          <w:szCs w:val="22"/>
        </w:rPr>
        <w:t>do troch</w:t>
      </w:r>
      <w:r w:rsidR="007D326B" w:rsidRPr="007D326B">
        <w:rPr>
          <w:rFonts w:ascii="Palatino Linotype" w:hAnsi="Palatino Linotype"/>
          <w:bCs/>
          <w:sz w:val="22"/>
          <w:szCs w:val="22"/>
        </w:rPr>
        <w:t xml:space="preserve"> rokov odo dňa účinnosti zmluvy o prevode vlastníctva,</w:t>
      </w:r>
      <w:r w:rsidR="007D326B" w:rsidRPr="007D326B">
        <w:rPr>
          <w:rFonts w:ascii="Palatino Linotype" w:hAnsi="Palatino Linotype"/>
          <w:sz w:val="22"/>
          <w:szCs w:val="22"/>
        </w:rPr>
        <w:t xml:space="preserve"> </w:t>
      </w:r>
    </w:p>
    <w:p w14:paraId="7994A8DA" w14:textId="5743ECE8" w:rsidR="007D326B" w:rsidRPr="007D326B" w:rsidRDefault="007D326B" w:rsidP="007D326B">
      <w:pPr>
        <w:pStyle w:val="Odsekzoznamu"/>
        <w:numPr>
          <w:ilvl w:val="0"/>
          <w:numId w:val="8"/>
        </w:numPr>
        <w:spacing w:after="160" w:line="278" w:lineRule="auto"/>
        <w:jc w:val="both"/>
        <w:rPr>
          <w:rFonts w:ascii="Palatino Linotype" w:hAnsi="Palatino Linotype"/>
          <w:sz w:val="22"/>
          <w:szCs w:val="22"/>
        </w:rPr>
      </w:pPr>
      <w:r w:rsidRPr="007D326B">
        <w:rPr>
          <w:rFonts w:ascii="Palatino Linotype" w:hAnsi="Palatino Linotype"/>
          <w:bCs/>
          <w:sz w:val="22"/>
          <w:szCs w:val="22"/>
        </w:rPr>
        <w:t xml:space="preserve">obec alebo </w:t>
      </w:r>
      <w:r w:rsidR="008D5D43">
        <w:rPr>
          <w:rFonts w:ascii="Palatino Linotype" w:hAnsi="Palatino Linotype"/>
          <w:bCs/>
          <w:sz w:val="22"/>
          <w:szCs w:val="22"/>
        </w:rPr>
        <w:t>vyšší územný celok</w:t>
      </w:r>
      <w:r w:rsidRPr="007D326B">
        <w:rPr>
          <w:rFonts w:ascii="Palatino Linotype" w:hAnsi="Palatino Linotype"/>
          <w:bCs/>
          <w:sz w:val="22"/>
          <w:szCs w:val="22"/>
        </w:rPr>
        <w:t xml:space="preserve"> pri poskytnutí kompenzácie nedodrží podmienku porovnania všeobecnej hodnoty pozemkov určenej znaleckým posudkom podľa osobitného predpisu</w:t>
      </w:r>
      <w:r w:rsidR="00F1293D">
        <w:rPr>
          <w:rStyle w:val="Odkaznapoznmkupodiarou"/>
          <w:rFonts w:ascii="Palatino Linotype" w:hAnsi="Palatino Linotype"/>
          <w:bCs/>
          <w:sz w:val="22"/>
          <w:szCs w:val="22"/>
        </w:rPr>
        <w:t xml:space="preserve"> </w:t>
      </w:r>
      <w:r w:rsidR="00F1293D" w:rsidRPr="00F1293D">
        <w:rPr>
          <w:rFonts w:ascii="Palatino Linotype" w:hAnsi="Palatino Linotype"/>
          <w:bCs/>
          <w:sz w:val="22"/>
          <w:szCs w:val="22"/>
          <w:vertAlign w:val="superscript"/>
        </w:rPr>
        <w:t>23hhh</w:t>
      </w:r>
      <w:r w:rsidR="00F1293D">
        <w:rPr>
          <w:rFonts w:ascii="Palatino Linotype" w:hAnsi="Palatino Linotype"/>
          <w:bCs/>
          <w:sz w:val="22"/>
          <w:szCs w:val="22"/>
        </w:rPr>
        <w:t>)</w:t>
      </w:r>
      <w:r w:rsidRPr="007D326B">
        <w:rPr>
          <w:rFonts w:ascii="Palatino Linotype" w:hAnsi="Palatino Linotype"/>
          <w:bCs/>
          <w:sz w:val="22"/>
          <w:szCs w:val="22"/>
        </w:rPr>
        <w:t>,</w:t>
      </w:r>
      <w:r w:rsidRPr="007D326B">
        <w:rPr>
          <w:rFonts w:ascii="Palatino Linotype" w:hAnsi="Palatino Linotype"/>
          <w:sz w:val="22"/>
          <w:szCs w:val="22"/>
        </w:rPr>
        <w:t xml:space="preserve"> </w:t>
      </w:r>
    </w:p>
    <w:p w14:paraId="571EBE30" w14:textId="4382D00D" w:rsidR="007D326B" w:rsidRPr="007D326B" w:rsidRDefault="007D326B" w:rsidP="007D326B">
      <w:pPr>
        <w:pStyle w:val="Odsekzoznamu"/>
        <w:numPr>
          <w:ilvl w:val="0"/>
          <w:numId w:val="8"/>
        </w:numPr>
        <w:spacing w:after="160" w:line="278" w:lineRule="auto"/>
        <w:jc w:val="both"/>
        <w:rPr>
          <w:rFonts w:ascii="Palatino Linotype" w:hAnsi="Palatino Linotype"/>
          <w:sz w:val="22"/>
          <w:szCs w:val="22"/>
        </w:rPr>
      </w:pPr>
      <w:r w:rsidRPr="007D326B">
        <w:rPr>
          <w:rFonts w:ascii="Palatino Linotype" w:hAnsi="Palatino Linotype"/>
          <w:bCs/>
          <w:sz w:val="22"/>
          <w:szCs w:val="22"/>
        </w:rPr>
        <w:t xml:space="preserve">pozemok prevedený na obec alebo </w:t>
      </w:r>
      <w:r w:rsidR="008D5D43">
        <w:rPr>
          <w:rFonts w:ascii="Palatino Linotype" w:hAnsi="Palatino Linotype"/>
          <w:bCs/>
          <w:sz w:val="22"/>
          <w:szCs w:val="22"/>
        </w:rPr>
        <w:t>vyšší územný celok</w:t>
      </w:r>
      <w:r w:rsidRPr="007D326B">
        <w:rPr>
          <w:rFonts w:ascii="Palatino Linotype" w:hAnsi="Palatino Linotype"/>
          <w:bCs/>
          <w:sz w:val="22"/>
          <w:szCs w:val="22"/>
        </w:rPr>
        <w:t xml:space="preserve"> bude použitý na iný účel ako na kompenzáciu špecifikovanú v tomto odseku, alebo</w:t>
      </w:r>
      <w:r w:rsidRPr="007D326B">
        <w:rPr>
          <w:rFonts w:ascii="Palatino Linotype" w:hAnsi="Palatino Linotype"/>
          <w:sz w:val="22"/>
          <w:szCs w:val="22"/>
        </w:rPr>
        <w:t xml:space="preserve"> </w:t>
      </w:r>
    </w:p>
    <w:p w14:paraId="51730F2E" w14:textId="6AF8D845" w:rsidR="007D326B" w:rsidRPr="007D326B" w:rsidRDefault="007D326B" w:rsidP="007D326B">
      <w:pPr>
        <w:pStyle w:val="Odsekzoznamu"/>
        <w:numPr>
          <w:ilvl w:val="0"/>
          <w:numId w:val="8"/>
        </w:numPr>
        <w:spacing w:after="160" w:line="278" w:lineRule="auto"/>
        <w:jc w:val="both"/>
        <w:rPr>
          <w:rFonts w:ascii="Palatino Linotype" w:hAnsi="Palatino Linotype"/>
          <w:sz w:val="22"/>
          <w:szCs w:val="22"/>
        </w:rPr>
      </w:pPr>
      <w:r w:rsidRPr="007D326B">
        <w:rPr>
          <w:rFonts w:ascii="Palatino Linotype" w:hAnsi="Palatino Linotype"/>
          <w:bCs/>
          <w:sz w:val="22"/>
          <w:szCs w:val="22"/>
        </w:rPr>
        <w:t xml:space="preserve">dôjde k prevodu vlastníckeho práva k pozemku nadobudnutému obcou alebo </w:t>
      </w:r>
      <w:r w:rsidR="008D5D43">
        <w:rPr>
          <w:rFonts w:ascii="Palatino Linotype" w:hAnsi="Palatino Linotype"/>
          <w:bCs/>
          <w:sz w:val="22"/>
          <w:szCs w:val="22"/>
        </w:rPr>
        <w:t>vyšším územným celkom</w:t>
      </w:r>
      <w:r w:rsidRPr="007D326B">
        <w:rPr>
          <w:rFonts w:ascii="Palatino Linotype" w:hAnsi="Palatino Linotype"/>
          <w:bCs/>
          <w:sz w:val="22"/>
          <w:szCs w:val="22"/>
        </w:rPr>
        <w:t xml:space="preserve"> od pozemkového fondu na inú osobu</w:t>
      </w:r>
      <w:r w:rsidR="0093402E">
        <w:rPr>
          <w:rFonts w:ascii="Palatino Linotype" w:hAnsi="Palatino Linotype"/>
          <w:bCs/>
          <w:sz w:val="22"/>
          <w:szCs w:val="22"/>
        </w:rPr>
        <w:t xml:space="preserve"> než</w:t>
      </w:r>
      <w:r w:rsidRPr="007D326B">
        <w:rPr>
          <w:rFonts w:ascii="Palatino Linotype" w:hAnsi="Palatino Linotype"/>
          <w:bCs/>
          <w:sz w:val="22"/>
          <w:szCs w:val="22"/>
        </w:rPr>
        <w:t xml:space="preserve"> na</w:t>
      </w:r>
      <w:r w:rsidR="0093402E">
        <w:rPr>
          <w:rFonts w:ascii="Palatino Linotype" w:hAnsi="Palatino Linotype"/>
          <w:bCs/>
          <w:sz w:val="22"/>
          <w:szCs w:val="22"/>
        </w:rPr>
        <w:t xml:space="preserve"> kompenzanta v rámci náhrady</w:t>
      </w:r>
      <w:r w:rsidRPr="007D326B">
        <w:rPr>
          <w:rFonts w:ascii="Palatino Linotype" w:hAnsi="Palatino Linotype"/>
          <w:bCs/>
          <w:sz w:val="22"/>
          <w:szCs w:val="22"/>
        </w:rPr>
        <w:t xml:space="preserve"> za pozemok určený </w:t>
      </w:r>
      <w:r w:rsidR="0093402E">
        <w:rPr>
          <w:rFonts w:ascii="Palatino Linotype" w:hAnsi="Palatino Linotype"/>
          <w:bCs/>
          <w:sz w:val="22"/>
          <w:szCs w:val="22"/>
        </w:rPr>
        <w:t>na stavbu vo verejnom záujme</w:t>
      </w:r>
      <w:r w:rsidRPr="007D326B">
        <w:rPr>
          <w:rFonts w:ascii="Palatino Linotype" w:hAnsi="Palatino Linotype"/>
          <w:bCs/>
          <w:sz w:val="22"/>
          <w:szCs w:val="22"/>
        </w:rPr>
        <w:t>.</w:t>
      </w:r>
    </w:p>
    <w:p w14:paraId="461A2616" w14:textId="38AA78CC" w:rsidR="007D326B" w:rsidRDefault="007D326B" w:rsidP="007D326B">
      <w:pPr>
        <w:jc w:val="both"/>
        <w:rPr>
          <w:rFonts w:ascii="Palatino Linotype" w:hAnsi="Palatino Linotype"/>
          <w:bCs/>
          <w:sz w:val="22"/>
          <w:szCs w:val="22"/>
        </w:rPr>
      </w:pPr>
      <w:r w:rsidRPr="007D326B">
        <w:rPr>
          <w:rFonts w:ascii="Palatino Linotype" w:hAnsi="Palatino Linotype"/>
          <w:bCs/>
          <w:sz w:val="22"/>
          <w:szCs w:val="22"/>
        </w:rPr>
        <w:t>Ustanovenie tohto odseku nezakladá právny nárok kompenzanta na p</w:t>
      </w:r>
      <w:r w:rsidR="008D5D43">
        <w:rPr>
          <w:rFonts w:ascii="Palatino Linotype" w:hAnsi="Palatino Linotype"/>
          <w:bCs/>
          <w:sz w:val="22"/>
          <w:szCs w:val="22"/>
        </w:rPr>
        <w:t xml:space="preserve">oskytnutie náhrady </w:t>
      </w:r>
      <w:r w:rsidRPr="007D326B">
        <w:rPr>
          <w:rFonts w:ascii="Palatino Linotype" w:hAnsi="Palatino Linotype"/>
          <w:bCs/>
          <w:sz w:val="22"/>
          <w:szCs w:val="22"/>
        </w:rPr>
        <w:t xml:space="preserve"> len na základe skutočnosti, že jeho pozemok je v územnoplánovacej dokument</w:t>
      </w:r>
      <w:r w:rsidR="0093402E">
        <w:rPr>
          <w:rFonts w:ascii="Palatino Linotype" w:hAnsi="Palatino Linotype"/>
          <w:bCs/>
          <w:sz w:val="22"/>
          <w:szCs w:val="22"/>
        </w:rPr>
        <w:t xml:space="preserve">ácii určený na </w:t>
      </w:r>
      <w:r w:rsidRPr="007D326B">
        <w:rPr>
          <w:rFonts w:ascii="Palatino Linotype" w:hAnsi="Palatino Linotype"/>
          <w:bCs/>
          <w:sz w:val="22"/>
          <w:szCs w:val="22"/>
        </w:rPr>
        <w:t>stavbu</w:t>
      </w:r>
      <w:r w:rsidR="0093402E">
        <w:rPr>
          <w:rFonts w:ascii="Palatino Linotype" w:hAnsi="Palatino Linotype"/>
          <w:bCs/>
          <w:sz w:val="22"/>
          <w:szCs w:val="22"/>
        </w:rPr>
        <w:t xml:space="preserve"> vo verejnom záujme</w:t>
      </w:r>
      <w:r w:rsidR="0005759B">
        <w:rPr>
          <w:rFonts w:ascii="Palatino Linotype" w:hAnsi="Palatino Linotype"/>
          <w:bCs/>
          <w:sz w:val="22"/>
          <w:szCs w:val="22"/>
        </w:rPr>
        <w:t xml:space="preserve">. </w:t>
      </w:r>
      <w:r w:rsidR="0005759B" w:rsidRPr="007D326B">
        <w:rPr>
          <w:rFonts w:ascii="Palatino Linotype" w:hAnsi="Palatino Linotype"/>
          <w:bCs/>
          <w:sz w:val="22"/>
          <w:szCs w:val="22"/>
        </w:rPr>
        <w:t xml:space="preserve">Ustanovenie tohto odseku </w:t>
      </w:r>
      <w:r w:rsidR="0005759B">
        <w:rPr>
          <w:rFonts w:ascii="Palatino Linotype" w:hAnsi="Palatino Linotype"/>
          <w:bCs/>
          <w:sz w:val="22"/>
          <w:szCs w:val="22"/>
        </w:rPr>
        <w:t xml:space="preserve">taktiež </w:t>
      </w:r>
      <w:r w:rsidR="0005759B" w:rsidRPr="007D326B">
        <w:rPr>
          <w:rFonts w:ascii="Palatino Linotype" w:hAnsi="Palatino Linotype"/>
          <w:bCs/>
          <w:sz w:val="22"/>
          <w:szCs w:val="22"/>
        </w:rPr>
        <w:t>nezakladá právny nárok kompenzanta</w:t>
      </w:r>
      <w:r w:rsidR="0005759B">
        <w:rPr>
          <w:rFonts w:ascii="Palatino Linotype" w:hAnsi="Palatino Linotype"/>
          <w:bCs/>
          <w:sz w:val="22"/>
          <w:szCs w:val="22"/>
        </w:rPr>
        <w:t xml:space="preserve"> </w:t>
      </w:r>
      <w:r w:rsidR="0005759B" w:rsidRPr="007D326B">
        <w:rPr>
          <w:rFonts w:ascii="Palatino Linotype" w:hAnsi="Palatino Linotype"/>
          <w:bCs/>
          <w:sz w:val="22"/>
          <w:szCs w:val="22"/>
        </w:rPr>
        <w:t>na p</w:t>
      </w:r>
      <w:r w:rsidR="0005759B">
        <w:rPr>
          <w:rFonts w:ascii="Palatino Linotype" w:hAnsi="Palatino Linotype"/>
          <w:bCs/>
          <w:sz w:val="22"/>
          <w:szCs w:val="22"/>
        </w:rPr>
        <w:t xml:space="preserve">oskytnutie náhrady </w:t>
      </w:r>
      <w:r w:rsidR="0005759B" w:rsidRPr="007D326B">
        <w:rPr>
          <w:rFonts w:ascii="Palatino Linotype" w:hAnsi="Palatino Linotype"/>
          <w:bCs/>
          <w:sz w:val="22"/>
          <w:szCs w:val="22"/>
        </w:rPr>
        <w:t xml:space="preserve"> </w:t>
      </w:r>
      <w:r w:rsidR="0005759B">
        <w:rPr>
          <w:rFonts w:ascii="Palatino Linotype" w:hAnsi="Palatino Linotype"/>
          <w:bCs/>
          <w:sz w:val="22"/>
          <w:szCs w:val="22"/>
        </w:rPr>
        <w:t>v katastrálnych územiach, v ktorých pozemkový fond nemá žiadne pozemok vo vlastníctve štátu.</w:t>
      </w:r>
    </w:p>
    <w:p w14:paraId="7EE90046" w14:textId="4BBC7949" w:rsidR="00B9501E" w:rsidRDefault="00B9501E" w:rsidP="007D326B">
      <w:pPr>
        <w:jc w:val="both"/>
        <w:rPr>
          <w:rFonts w:ascii="Palatino Linotype" w:hAnsi="Palatino Linotype"/>
          <w:bCs/>
          <w:sz w:val="22"/>
          <w:szCs w:val="22"/>
        </w:rPr>
      </w:pPr>
    </w:p>
    <w:p w14:paraId="1885C91A" w14:textId="010A453F" w:rsidR="00B9501E" w:rsidRDefault="00B9501E" w:rsidP="007D326B">
      <w:pPr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Poznámka k novovloženému </w:t>
      </w:r>
      <w:r w:rsidR="00FB5A02">
        <w:rPr>
          <w:rFonts w:ascii="Palatino Linotype" w:hAnsi="Palatino Linotype"/>
          <w:bCs/>
          <w:sz w:val="22"/>
          <w:szCs w:val="22"/>
        </w:rPr>
        <w:t>odkazu pod čiarou číslo 23hhh) znie:</w:t>
      </w:r>
    </w:p>
    <w:p w14:paraId="483CB4AB" w14:textId="111C2D80" w:rsidR="00FB5A02" w:rsidRPr="00FB5A02" w:rsidRDefault="00FB5A02" w:rsidP="007D326B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„</w:t>
      </w:r>
      <w:r w:rsidRPr="00FB5A02">
        <w:rPr>
          <w:rFonts w:ascii="Palatino Linotype" w:hAnsi="Palatino Linotype"/>
          <w:bCs/>
          <w:sz w:val="22"/>
          <w:szCs w:val="22"/>
          <w:vertAlign w:val="superscript"/>
        </w:rPr>
        <w:t>23hhh)</w:t>
      </w:r>
      <w:r>
        <w:rPr>
          <w:rFonts w:ascii="Palatino Linotype" w:hAnsi="Palatino Linotype"/>
          <w:bCs/>
          <w:sz w:val="22"/>
          <w:szCs w:val="22"/>
        </w:rPr>
        <w:t xml:space="preserve"> Zákon č. 382/2004 Z. z. o znalcoch, </w:t>
      </w:r>
      <w:r w:rsidRPr="00FB5A02">
        <w:rPr>
          <w:rFonts w:ascii="Palatino Linotype" w:hAnsi="Palatino Linotype" w:cs="Arial"/>
          <w:bCs/>
          <w:color w:val="000000"/>
          <w:sz w:val="22"/>
          <w:szCs w:val="22"/>
          <w:shd w:val="clear" w:color="auto" w:fill="FFFFFF"/>
        </w:rPr>
        <w:t>tlmočníkoch a prekladateľoch a o zmene a doplnení niektorých zákonov</w:t>
      </w:r>
      <w:r>
        <w:rPr>
          <w:rFonts w:ascii="Palatino Linotype" w:hAnsi="Palatino Linotype" w:cs="Arial"/>
          <w:bCs/>
          <w:color w:val="000000"/>
          <w:sz w:val="22"/>
          <w:szCs w:val="22"/>
          <w:shd w:val="clear" w:color="auto" w:fill="FFFFFF"/>
        </w:rPr>
        <w:t>.“</w:t>
      </w:r>
    </w:p>
    <w:p w14:paraId="5C334A03" w14:textId="596A6056" w:rsidR="00391706" w:rsidRPr="001528B7" w:rsidRDefault="00391706" w:rsidP="00F02061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1D73B3C7" w14:textId="77777777" w:rsidR="00B76162" w:rsidRPr="001528B7" w:rsidRDefault="00B76162" w:rsidP="00F02061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1528B7">
        <w:rPr>
          <w:rFonts w:ascii="Palatino Linotype" w:hAnsi="Palatino Linotype"/>
          <w:b/>
          <w:sz w:val="22"/>
          <w:szCs w:val="22"/>
        </w:rPr>
        <w:t>Čl. II</w:t>
      </w:r>
    </w:p>
    <w:p w14:paraId="6261A757" w14:textId="625E865B" w:rsidR="00B92F60" w:rsidRPr="001528B7" w:rsidRDefault="00B92F60" w:rsidP="00F02061">
      <w:pPr>
        <w:spacing w:line="276" w:lineRule="auto"/>
        <w:rPr>
          <w:rFonts w:ascii="Palatino Linotype" w:hAnsi="Palatino Linotype"/>
          <w:b/>
          <w:sz w:val="22"/>
          <w:szCs w:val="22"/>
        </w:rPr>
      </w:pPr>
    </w:p>
    <w:p w14:paraId="575D92A4" w14:textId="57F5A199" w:rsidR="00B92F60" w:rsidRPr="001528B7" w:rsidRDefault="00CF68EC" w:rsidP="00F0206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1528B7">
        <w:rPr>
          <w:rFonts w:ascii="Palatino Linotype" w:hAnsi="Palatino Linotype"/>
          <w:sz w:val="22"/>
          <w:szCs w:val="22"/>
        </w:rPr>
        <w:t>Tento zákon</w:t>
      </w:r>
      <w:r w:rsidR="00B92F60" w:rsidRPr="001528B7">
        <w:rPr>
          <w:rFonts w:ascii="Palatino Linotype" w:hAnsi="Palatino Linotype"/>
          <w:sz w:val="22"/>
          <w:szCs w:val="22"/>
        </w:rPr>
        <w:t xml:space="preserve"> nadobúda účinnosť dňom </w:t>
      </w:r>
      <w:r w:rsidR="00B92F60" w:rsidRPr="007D326B">
        <w:rPr>
          <w:rFonts w:ascii="Palatino Linotype" w:hAnsi="Palatino Linotype"/>
          <w:sz w:val="22"/>
          <w:szCs w:val="22"/>
        </w:rPr>
        <w:t xml:space="preserve">1. </w:t>
      </w:r>
      <w:r w:rsidR="00B9501E">
        <w:rPr>
          <w:rFonts w:ascii="Palatino Linotype" w:hAnsi="Palatino Linotype"/>
          <w:sz w:val="22"/>
          <w:szCs w:val="22"/>
        </w:rPr>
        <w:t>januára</w:t>
      </w:r>
      <w:r w:rsidR="00B92F60" w:rsidRPr="007D326B">
        <w:rPr>
          <w:rFonts w:ascii="Palatino Linotype" w:hAnsi="Palatino Linotype"/>
          <w:sz w:val="22"/>
          <w:szCs w:val="22"/>
        </w:rPr>
        <w:t xml:space="preserve"> 202</w:t>
      </w:r>
      <w:r w:rsidR="00ED051C" w:rsidRPr="007D326B">
        <w:rPr>
          <w:rFonts w:ascii="Palatino Linotype" w:hAnsi="Palatino Linotype"/>
          <w:sz w:val="22"/>
          <w:szCs w:val="22"/>
        </w:rPr>
        <w:t>6</w:t>
      </w:r>
      <w:r w:rsidR="007D326B" w:rsidRPr="007D326B">
        <w:rPr>
          <w:rFonts w:ascii="Palatino Linotype" w:hAnsi="Palatino Linotype"/>
          <w:sz w:val="22"/>
          <w:szCs w:val="22"/>
        </w:rPr>
        <w:t>.</w:t>
      </w:r>
    </w:p>
    <w:sectPr w:rsidR="00B92F60" w:rsidRPr="0015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7CB7" w14:textId="77777777" w:rsidR="0025224D" w:rsidRDefault="0025224D" w:rsidP="007D326B">
      <w:r>
        <w:separator/>
      </w:r>
    </w:p>
  </w:endnote>
  <w:endnote w:type="continuationSeparator" w:id="0">
    <w:p w14:paraId="2A5843D6" w14:textId="77777777" w:rsidR="0025224D" w:rsidRDefault="0025224D" w:rsidP="007D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E40E" w14:textId="77777777" w:rsidR="0025224D" w:rsidRDefault="0025224D" w:rsidP="007D326B">
      <w:r>
        <w:separator/>
      </w:r>
    </w:p>
  </w:footnote>
  <w:footnote w:type="continuationSeparator" w:id="0">
    <w:p w14:paraId="1CE0C85F" w14:textId="77777777" w:rsidR="0025224D" w:rsidRDefault="0025224D" w:rsidP="007D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001"/>
    <w:multiLevelType w:val="hybridMultilevel"/>
    <w:tmpl w:val="023CF4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061"/>
    <w:multiLevelType w:val="hybridMultilevel"/>
    <w:tmpl w:val="7C0EBB20"/>
    <w:lvl w:ilvl="0" w:tplc="E56C0C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666732">
    <w:abstractNumId w:val="7"/>
  </w:num>
  <w:num w:numId="2" w16cid:durableId="42751835">
    <w:abstractNumId w:val="4"/>
  </w:num>
  <w:num w:numId="3" w16cid:durableId="1957129799">
    <w:abstractNumId w:val="6"/>
  </w:num>
  <w:num w:numId="4" w16cid:durableId="552734815">
    <w:abstractNumId w:val="2"/>
  </w:num>
  <w:num w:numId="5" w16cid:durableId="908030895">
    <w:abstractNumId w:val="3"/>
  </w:num>
  <w:num w:numId="6" w16cid:durableId="2055932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1878181">
    <w:abstractNumId w:val="1"/>
  </w:num>
  <w:num w:numId="8" w16cid:durableId="90776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31"/>
    <w:rsid w:val="000420E0"/>
    <w:rsid w:val="0005759B"/>
    <w:rsid w:val="00060EBB"/>
    <w:rsid w:val="0007268E"/>
    <w:rsid w:val="000B0356"/>
    <w:rsid w:val="000E3F33"/>
    <w:rsid w:val="000F6A0C"/>
    <w:rsid w:val="001528B7"/>
    <w:rsid w:val="001D7A99"/>
    <w:rsid w:val="002274B9"/>
    <w:rsid w:val="00244110"/>
    <w:rsid w:val="0025224D"/>
    <w:rsid w:val="0028688A"/>
    <w:rsid w:val="002F497A"/>
    <w:rsid w:val="00303D8D"/>
    <w:rsid w:val="00352431"/>
    <w:rsid w:val="003633E5"/>
    <w:rsid w:val="0036570A"/>
    <w:rsid w:val="0037504E"/>
    <w:rsid w:val="00391706"/>
    <w:rsid w:val="003E2B52"/>
    <w:rsid w:val="003E73CC"/>
    <w:rsid w:val="003F4D79"/>
    <w:rsid w:val="00444E00"/>
    <w:rsid w:val="0044770D"/>
    <w:rsid w:val="00492FC9"/>
    <w:rsid w:val="004E4DEC"/>
    <w:rsid w:val="004F2CE1"/>
    <w:rsid w:val="00506084"/>
    <w:rsid w:val="005461F6"/>
    <w:rsid w:val="005A3088"/>
    <w:rsid w:val="005C3031"/>
    <w:rsid w:val="00642093"/>
    <w:rsid w:val="00656002"/>
    <w:rsid w:val="006B67AE"/>
    <w:rsid w:val="006D1157"/>
    <w:rsid w:val="006D4160"/>
    <w:rsid w:val="006E17C8"/>
    <w:rsid w:val="006F7476"/>
    <w:rsid w:val="00714C2A"/>
    <w:rsid w:val="007623DC"/>
    <w:rsid w:val="00762A7F"/>
    <w:rsid w:val="00765BF1"/>
    <w:rsid w:val="0077560D"/>
    <w:rsid w:val="007D326B"/>
    <w:rsid w:val="007E545C"/>
    <w:rsid w:val="008231DC"/>
    <w:rsid w:val="00860714"/>
    <w:rsid w:val="0086236C"/>
    <w:rsid w:val="008802AB"/>
    <w:rsid w:val="008A582A"/>
    <w:rsid w:val="008D5D43"/>
    <w:rsid w:val="008F5BAB"/>
    <w:rsid w:val="00904953"/>
    <w:rsid w:val="009205D7"/>
    <w:rsid w:val="0093402E"/>
    <w:rsid w:val="00936E1F"/>
    <w:rsid w:val="009662C8"/>
    <w:rsid w:val="00982FD0"/>
    <w:rsid w:val="009F31F1"/>
    <w:rsid w:val="00A14CEC"/>
    <w:rsid w:val="00A87C46"/>
    <w:rsid w:val="00A94DC3"/>
    <w:rsid w:val="00B76162"/>
    <w:rsid w:val="00B92F60"/>
    <w:rsid w:val="00B9501E"/>
    <w:rsid w:val="00BA2D78"/>
    <w:rsid w:val="00C04F0E"/>
    <w:rsid w:val="00C21904"/>
    <w:rsid w:val="00C54FEE"/>
    <w:rsid w:val="00C620FE"/>
    <w:rsid w:val="00C83B04"/>
    <w:rsid w:val="00CC4D13"/>
    <w:rsid w:val="00CD46F8"/>
    <w:rsid w:val="00CF68EC"/>
    <w:rsid w:val="00D07E59"/>
    <w:rsid w:val="00D714C7"/>
    <w:rsid w:val="00D830C5"/>
    <w:rsid w:val="00DB1A3E"/>
    <w:rsid w:val="00DE32DF"/>
    <w:rsid w:val="00E10C3F"/>
    <w:rsid w:val="00E16812"/>
    <w:rsid w:val="00ED051C"/>
    <w:rsid w:val="00EF2CB4"/>
    <w:rsid w:val="00EF3DD3"/>
    <w:rsid w:val="00F02061"/>
    <w:rsid w:val="00F1293D"/>
    <w:rsid w:val="00F23E28"/>
    <w:rsid w:val="00F32498"/>
    <w:rsid w:val="00F404F5"/>
    <w:rsid w:val="00F42DF9"/>
    <w:rsid w:val="00F66015"/>
    <w:rsid w:val="00FB5A02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9F2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5C303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274B9"/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623DC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D11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5D7"/>
    <w:rPr>
      <w:rFonts w:ascii="Segoe UI" w:eastAsia="Times New Roman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D326B"/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D326B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uiPriority w:val="99"/>
    <w:semiHidden/>
    <w:unhideWhenUsed/>
    <w:rsid w:val="007D326B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5D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5D43"/>
    <w:rPr>
      <w:rFonts w:eastAsia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7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AEB5-0C07-4B86-9DC8-9345DD12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M M</cp:lastModifiedBy>
  <cp:revision>4</cp:revision>
  <cp:lastPrinted>2025-09-25T09:38:00Z</cp:lastPrinted>
  <dcterms:created xsi:type="dcterms:W3CDTF">2025-08-15T10:16:00Z</dcterms:created>
  <dcterms:modified xsi:type="dcterms:W3CDTF">2025-09-26T07:46:00Z</dcterms:modified>
</cp:coreProperties>
</file>