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40" w:line="240" w:lineRule="auto"/>
        <w:ind w:left="0" w:right="0" w:firstLine="0"/>
        <w:jc w:val="center"/>
      </w:pPr>
      <w:r>
        <w:rPr>
          <w:rStyle w:val="CharStyle3"/>
          <w:b/>
          <w:bCs/>
        </w:rPr>
        <w:t>DOLOŽKA ZLUČITEĽNOSTI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r>
        <w:rPr>
          <w:rStyle w:val="CharStyle3"/>
          <w:b/>
          <w:bCs/>
        </w:rPr>
        <w:t>právneho predpisu s právom Európskej únie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3840" w:right="0" w:hanging="3840"/>
        <w:jc w:val="both"/>
      </w:pPr>
      <w:r>
        <w:rPr>
          <w:rStyle w:val="CharStyle3"/>
          <w:b/>
          <w:bCs/>
        </w:rPr>
        <w:t xml:space="preserve">L </w:t>
      </w:r>
      <w:r>
        <w:rPr>
          <w:rStyle w:val="CharStyle3"/>
          <w:b/>
          <w:bCs/>
          <w:lang w:val="cs-CZ" w:eastAsia="cs-CZ" w:bidi="cs-CZ"/>
        </w:rPr>
        <w:t xml:space="preserve">Předkladatel’ </w:t>
      </w:r>
      <w:r>
        <w:rPr>
          <w:rStyle w:val="CharStyle3"/>
          <w:b/>
          <w:bCs/>
        </w:rPr>
        <w:t xml:space="preserve">právneho predpisu: </w:t>
      </w:r>
      <w:r>
        <w:rPr>
          <w:rStyle w:val="CharStyle3"/>
        </w:rPr>
        <w:t>poslanci Národnej rady Slovenskej republiky Dávid Demečko a Richard Eliáš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58" w:val="left"/>
        </w:tabs>
        <w:bidi w:val="0"/>
        <w:spacing w:before="0" w:line="240" w:lineRule="auto"/>
        <w:ind w:left="3840" w:right="0" w:hanging="3840"/>
        <w:jc w:val="both"/>
      </w:pPr>
      <w:r>
        <w:rPr>
          <w:rStyle w:val="CharStyle3"/>
          <w:b/>
          <w:bCs/>
        </w:rPr>
        <w:t xml:space="preserve">Názov návrhu právneho predpisu: </w:t>
      </w:r>
      <w:r>
        <w:rPr>
          <w:rStyle w:val="CharStyle3"/>
        </w:rPr>
        <w:t>Návrh zákona, ktorým sa mení zákon č. 180/2014 Z. z. o podmienkach výkonu volebného práva a o zmene a doplnení niektorých zákonov v znení neskorších predpisov</w:t>
      </w:r>
    </w:p>
    <w:p>
      <w:pPr>
        <w:pStyle w:val="Style2"/>
        <w:keepNext w:val="0"/>
        <w:keepLines w:val="0"/>
        <w:widowControl w:val="0"/>
        <w:numPr>
          <w:ilvl w:val="0"/>
          <w:numId w:val="1"/>
        </w:numPr>
        <w:shd w:val="clear" w:color="auto" w:fill="auto"/>
        <w:tabs>
          <w:tab w:pos="363" w:val="left"/>
        </w:tabs>
        <w:bidi w:val="0"/>
        <w:spacing w:before="0" w:line="240" w:lineRule="auto"/>
        <w:ind w:left="3840" w:right="0" w:hanging="3840"/>
        <w:jc w:val="both"/>
      </w:pPr>
      <w:r>
        <w:rPr>
          <w:rStyle w:val="CharStyle3"/>
          <w:b/>
          <w:bCs/>
        </w:rPr>
        <w:t xml:space="preserve">Predmet návrhu právneho predpisu </w:t>
      </w:r>
      <w:r>
        <w:rPr>
          <w:rStyle w:val="CharStyle3"/>
        </w:rPr>
        <w:t>nie je upravený v práve Európskej únie: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48" w:val="left"/>
        </w:tabs>
        <w:bidi w:val="0"/>
        <w:spacing w:before="0" w:line="240" w:lineRule="auto"/>
        <w:ind w:left="0" w:right="0" w:firstLine="280"/>
        <w:jc w:val="both"/>
      </w:pPr>
      <w:r>
        <w:rPr>
          <w:rStyle w:val="CharStyle3"/>
        </w:rPr>
        <w:t>v primárnom práve,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67" w:val="left"/>
        </w:tabs>
        <w:bidi w:val="0"/>
        <w:spacing w:before="0" w:line="240" w:lineRule="auto"/>
        <w:ind w:left="0" w:right="0" w:firstLine="280"/>
        <w:jc w:val="both"/>
      </w:pPr>
      <w:r>
        <w:rPr>
          <w:rStyle w:val="CharStyle3"/>
        </w:rPr>
        <w:t>v sekundárnom práve,</w:t>
      </w:r>
    </w:p>
    <w:p>
      <w:pPr>
        <w:pStyle w:val="Style2"/>
        <w:keepNext w:val="0"/>
        <w:keepLines w:val="0"/>
        <w:widowControl w:val="0"/>
        <w:numPr>
          <w:ilvl w:val="0"/>
          <w:numId w:val="3"/>
        </w:numPr>
        <w:shd w:val="clear" w:color="auto" w:fill="auto"/>
        <w:tabs>
          <w:tab w:pos="648" w:val="left"/>
        </w:tabs>
        <w:bidi w:val="0"/>
        <w:spacing w:before="0" w:after="400" w:line="240" w:lineRule="auto"/>
        <w:ind w:left="0" w:right="0" w:firstLine="280"/>
        <w:jc w:val="both"/>
      </w:pPr>
      <w:r>
        <w:rPr>
          <w:rStyle w:val="CharStyle3"/>
        </w:rPr>
        <w:t>v judikatúre Súdneho dvora Európskej únie.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line="221" w:lineRule="auto"/>
        <w:ind w:left="0" w:right="0" w:firstLine="280"/>
        <w:jc w:val="both"/>
      </w:pPr>
      <w:r>
        <w:rPr>
          <w:rStyle w:val="CharStyle3"/>
          <w:b/>
          <w:bCs/>
        </w:rPr>
        <w:t>Vzhľadom na to, že problematika návrhu právneho predpisu nie je upravená v práve Európskej únie, je bezpredmetné vyjadrovať sa k bodom 4. a 5.</w:t>
      </w:r>
    </w:p>
    <w:sectPr>
      <w:footerReference w:type="default" r:id="rId5"/>
      <w:footnotePr>
        <w:pos w:val="pageBottom"/>
        <w:numFmt w:val="decimal"/>
        <w:numRestart w:val="continuous"/>
      </w:footnotePr>
      <w:pgSz w:w="11900" w:h="16840"/>
      <w:pgMar w:top="1191" w:right="1346" w:bottom="1229" w:left="1387" w:header="763" w:footer="3" w:gutter="0"/>
      <w:pgNumType w:start="1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6592570</wp:posOffset>
              </wp:positionH>
              <wp:positionV relativeFrom="page">
                <wp:posOffset>9912350</wp:posOffset>
              </wp:positionV>
              <wp:extent cx="60960" cy="94615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60960" cy="946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5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CharStyle6"/>
                              <w:sz w:val="22"/>
                              <w:szCs w:val="22"/>
                            </w:rPr>
                            <w:t>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19.10000000000002pt;margin-top:780.5pt;width:4.7999999999999998pt;height:7.4500000000000002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22"/>
                        <w:szCs w:val="22"/>
                      </w:rPr>
                    </w:pPr>
                    <w:r>
                      <w:rPr>
                        <w:rStyle w:val="CharStyle6"/>
                        <w:sz w:val="22"/>
                        <w:szCs w:val="22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2"/>
      <w:numFmt w:val="decimal"/>
      <w:lvlText w:val="%1.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</w:abstractNum>
  <w:abstractNum w:abstractNumId="2">
    <w:multiLevelType w:val="multilevel"/>
    <w:lvl w:ilvl="0">
      <w:start w:val="1"/>
      <w:numFmt w:val="lowerLetter"/>
      <w:lvlText w:val="%1)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sk-SK" w:eastAsia="sk-SK" w:bidi="sk-SK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sk-SK" w:eastAsia="sk-SK" w:bidi="sk-SK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sk-SK" w:eastAsia="sk-SK" w:bidi="sk-SK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sk-SK" w:eastAsia="sk-SK" w:bidi="sk-SK"/>
    </w:rPr>
  </w:style>
  <w:style w:type="character" w:customStyle="1" w:styleId="CharStyle3">
    <w:name w:val="Body text|1_"/>
    <w:basedOn w:val="DefaultParagraphFont"/>
    <w:link w:val="Style2"/>
    <w:rPr>
      <w:b w:val="0"/>
      <w:bCs w:val="0"/>
      <w:i w:val="0"/>
      <w:iCs w:val="0"/>
      <w:smallCaps w:val="0"/>
      <w:strike w:val="0"/>
      <w:u w:val="none"/>
    </w:rPr>
  </w:style>
  <w:style w:type="character" w:customStyle="1" w:styleId="CharStyle6">
    <w:name w:val="Header or footer|2_"/>
    <w:basedOn w:val="DefaultParagraphFont"/>
    <w:link w:val="Style5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2">
    <w:name w:val="Body text|1"/>
    <w:basedOn w:val="Normal"/>
    <w:link w:val="CharStyle3"/>
    <w:pPr>
      <w:widowControl w:val="0"/>
      <w:shd w:val="clear" w:color="auto" w:fill="auto"/>
      <w:spacing w:after="240"/>
    </w:pPr>
    <w:rPr>
      <w:b w:val="0"/>
      <w:bCs w:val="0"/>
      <w:i w:val="0"/>
      <w:iCs w:val="0"/>
      <w:smallCaps w:val="0"/>
      <w:strike w:val="0"/>
      <w:u w:val="none"/>
    </w:rPr>
  </w:style>
  <w:style w:type="paragraph" w:customStyle="1" w:styleId="Style5">
    <w:name w:val="Header or footer|2"/>
    <w:basedOn w:val="Normal"/>
    <w:link w:val="CharStyle6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/>
  <dc:subject/>
  <dc:creator>David Demecko</dc:creator>
  <cp:keywords/>
</cp:coreProperties>
</file>