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81F" w14:textId="77777777" w:rsidR="003E4DFC" w:rsidRPr="00A9656A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A9656A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A9656A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A9656A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A9656A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A9656A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A9656A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poslanc</w:t>
      </w:r>
      <w:r w:rsidR="001E7946" w:rsidRPr="00A9656A">
        <w:rPr>
          <w:rFonts w:ascii="Palatino Linotype" w:hAnsi="Palatino Linotype"/>
          <w:sz w:val="22"/>
          <w:szCs w:val="22"/>
        </w:rPr>
        <w:t>ov</w:t>
      </w:r>
      <w:r w:rsidRPr="00A9656A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6F6C2491" w:rsidR="003E4DFC" w:rsidRPr="00A9656A" w:rsidRDefault="00A14633" w:rsidP="00BF65D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Milana</w:t>
      </w:r>
      <w:r w:rsidR="009949E0" w:rsidRPr="00A9656A">
        <w:rPr>
          <w:rFonts w:ascii="Palatino Linotype" w:hAnsi="Palatino Linotype"/>
        </w:rPr>
        <w:t xml:space="preserve"> Majerského</w:t>
      </w:r>
      <w:r>
        <w:rPr>
          <w:rFonts w:ascii="Palatino Linotype" w:hAnsi="Palatino Linotype"/>
        </w:rPr>
        <w:t>, Jozefa Hajka, Igora Janckulíka a Mariána Čaučíka</w:t>
      </w:r>
    </w:p>
    <w:p w14:paraId="58993829" w14:textId="5E4717F4" w:rsidR="003E4DFC" w:rsidRPr="00A9656A" w:rsidRDefault="006D226D" w:rsidP="00AD7E03">
      <w:pPr>
        <w:jc w:val="center"/>
        <w:rPr>
          <w:rFonts w:ascii="Palatino Linotype" w:hAnsi="Palatino Linotype"/>
          <w:bCs/>
        </w:rPr>
      </w:pPr>
      <w:r w:rsidRPr="00A9656A">
        <w:rPr>
          <w:rFonts w:ascii="Palatino Linotype" w:hAnsi="Palatino Linotype"/>
          <w:bCs/>
        </w:rPr>
        <w:t>n a  </w:t>
      </w:r>
      <w:r w:rsidR="0055642B" w:rsidRPr="00A9656A">
        <w:rPr>
          <w:rFonts w:ascii="Palatino Linotype" w:hAnsi="Palatino Linotype"/>
          <w:bCs/>
        </w:rPr>
        <w:t xml:space="preserve"> </w:t>
      </w:r>
      <w:r w:rsidRPr="00A9656A">
        <w:rPr>
          <w:rFonts w:ascii="Palatino Linotype" w:hAnsi="Palatino Linotype"/>
          <w:bCs/>
        </w:rPr>
        <w:t>p r i j a t i e</w:t>
      </w:r>
    </w:p>
    <w:p w14:paraId="3D10C2A7" w14:textId="1DB487C5" w:rsidR="00AD7E03" w:rsidRPr="00A14633" w:rsidRDefault="009949E0" w:rsidP="009949E0">
      <w:pPr>
        <w:jc w:val="both"/>
        <w:rPr>
          <w:rFonts w:ascii="Palatino Linotype" w:hAnsi="Palatino Linotype"/>
        </w:rPr>
      </w:pPr>
      <w:r w:rsidRPr="00A14633">
        <w:rPr>
          <w:rFonts w:ascii="Palatino Linotype" w:hAnsi="Palatino Linotype"/>
        </w:rPr>
        <w:t xml:space="preserve">uznesenia </w:t>
      </w:r>
      <w:r w:rsidR="00A14633" w:rsidRPr="00A14633">
        <w:rPr>
          <w:rFonts w:ascii="Palatino Linotype" w:hAnsi="Palatino Linotype" w:cs="Arial"/>
          <w:color w:val="222222"/>
          <w:shd w:val="clear" w:color="auto" w:fill="FFFFFF"/>
        </w:rPr>
        <w:t>o </w:t>
      </w:r>
      <w:r w:rsidR="00862FE7">
        <w:rPr>
          <w:rFonts w:ascii="Tahoma" w:hAnsi="Tahoma" w:cs="Tahoma"/>
          <w:color w:val="222222"/>
          <w:shd w:val="clear" w:color="auto" w:fill="FFFFFF"/>
        </w:rPr>
        <w:t>⁠</w:t>
      </w:r>
      <w:r w:rsidR="00862FE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3F90" w:rsidRPr="00093F90">
        <w:rPr>
          <w:rFonts w:ascii="Palatino Linotype" w:hAnsi="Palatino Linotype" w:cs="Arial"/>
          <w:color w:val="222222"/>
          <w:shd w:val="clear" w:color="auto" w:fill="FFFFFF"/>
        </w:rPr>
        <w:t xml:space="preserve">záväznom zvyšovaní čerpania </w:t>
      </w:r>
      <w:r w:rsidR="00621124">
        <w:rPr>
          <w:rFonts w:ascii="Palatino Linotype" w:hAnsi="Palatino Linotype" w:cs="Arial"/>
          <w:color w:val="222222"/>
          <w:shd w:val="clear" w:color="auto" w:fill="FFFFFF"/>
        </w:rPr>
        <w:t>fondov</w:t>
      </w:r>
      <w:r w:rsidR="00093F90" w:rsidRPr="00093F9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r w:rsidR="00831884">
        <w:rPr>
          <w:rFonts w:ascii="Palatino Linotype" w:hAnsi="Palatino Linotype" w:cs="Arial"/>
          <w:color w:val="222222"/>
          <w:shd w:val="clear" w:color="auto" w:fill="FFFFFF"/>
        </w:rPr>
        <w:t xml:space="preserve">Európskej únie </w:t>
      </w:r>
      <w:r w:rsidR="00093F90" w:rsidRPr="00093F90">
        <w:rPr>
          <w:rFonts w:ascii="Palatino Linotype" w:hAnsi="Palatino Linotype" w:cs="Arial"/>
          <w:color w:val="222222"/>
          <w:shd w:val="clear" w:color="auto" w:fill="FFFFFF"/>
        </w:rPr>
        <w:t>na mesačnej báze priemerne o 2 percentá do konca roka 2026</w:t>
      </w:r>
      <w:r w:rsidR="00093F9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8F26146" w14:textId="77777777" w:rsidR="003E4DFC" w:rsidRPr="00A9656A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A9656A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58A7CF7" w14:textId="628139C3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CE8F4F5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400A440E" w14:textId="77777777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A9656A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DDF3A04" w14:textId="5D416113" w:rsidR="003E4DFC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MILAN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MAJERSKÝ v. r.</w:t>
            </w:r>
          </w:p>
          <w:p w14:paraId="31B1B535" w14:textId="41678973" w:rsidR="0055642B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caps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JOZEF HAJKO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r.</w:t>
            </w:r>
            <w:r w:rsidR="001E7946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C10C9E8" w14:textId="7BCCFA0A" w:rsidR="00A14633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IGOR JANCKULÍK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01A1567C" w14:textId="5105E673" w:rsidR="00A14633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 xml:space="preserve">MARIÁN ČAUČÍK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367D39B2" w14:textId="77777777" w:rsidR="003E4DFC" w:rsidRPr="00A9656A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D1B2313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3D47211" w14:textId="77777777" w:rsidR="00C54883" w:rsidRPr="00A9656A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A9656A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A9656A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A9656A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A9656A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A9656A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A9656A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A9656A" w:rsidRDefault="003E4DFC">
      <w:pPr>
        <w:rPr>
          <w:rFonts w:ascii="Palatino Linotype" w:hAnsi="Palatino Linotype"/>
        </w:rPr>
      </w:pPr>
    </w:p>
    <w:p w14:paraId="242083FA" w14:textId="77777777" w:rsidR="003D6287" w:rsidRPr="00A9656A" w:rsidRDefault="003D6287">
      <w:pPr>
        <w:rPr>
          <w:rFonts w:ascii="Palatino Linotype" w:hAnsi="Palatino Linotype"/>
        </w:rPr>
      </w:pPr>
    </w:p>
    <w:p w14:paraId="6808F2EC" w14:textId="77777777" w:rsidR="003E4DFC" w:rsidRPr="00A9656A" w:rsidRDefault="003E4DFC">
      <w:pPr>
        <w:rPr>
          <w:rFonts w:ascii="Palatino Linotype" w:hAnsi="Palatino Linotype"/>
        </w:rPr>
      </w:pPr>
    </w:p>
    <w:p w14:paraId="5501E665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3A5C2C10" w14:textId="002A7541" w:rsidR="003E4DFC" w:rsidRPr="00A9656A" w:rsidRDefault="006D226D">
      <w:pPr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 xml:space="preserve">Bratislava </w:t>
      </w:r>
      <w:r w:rsidR="00A25CF0">
        <w:rPr>
          <w:rFonts w:ascii="Palatino Linotype" w:hAnsi="Palatino Linotype"/>
        </w:rPr>
        <w:t>september</w:t>
      </w:r>
      <w:r w:rsidR="009949E0" w:rsidRPr="00A9656A">
        <w:rPr>
          <w:rFonts w:ascii="Palatino Linotype" w:hAnsi="Palatino Linotype"/>
        </w:rPr>
        <w:t xml:space="preserve"> </w:t>
      </w:r>
      <w:r w:rsidRPr="00A9656A">
        <w:rPr>
          <w:rFonts w:ascii="Palatino Linotype" w:hAnsi="Palatino Linotype"/>
        </w:rPr>
        <w:t>202</w:t>
      </w:r>
      <w:r w:rsidR="009949E0" w:rsidRPr="00A9656A">
        <w:rPr>
          <w:rFonts w:ascii="Palatino Linotype" w:hAnsi="Palatino Linotype"/>
        </w:rPr>
        <w:t>5</w:t>
      </w:r>
      <w:r w:rsidRPr="00A9656A">
        <w:rPr>
          <w:rFonts w:ascii="Palatino Linotype" w:hAnsi="Palatino Linotype"/>
        </w:rPr>
        <w:br w:type="page"/>
      </w:r>
    </w:p>
    <w:p w14:paraId="7D1343F7" w14:textId="77777777" w:rsidR="003E4DFC" w:rsidRPr="00A9656A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A9656A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2A95F8F7" w:rsidR="003E4DFC" w:rsidRPr="003539C5" w:rsidRDefault="00F91205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3539C5">
        <w:rPr>
          <w:rFonts w:ascii="Palatino Linotype" w:hAnsi="Palatino Linotype"/>
          <w:bCs/>
          <w:sz w:val="22"/>
          <w:szCs w:val="22"/>
        </w:rPr>
        <w:t>z 23.</w:t>
      </w:r>
      <w:r w:rsidR="006D226D" w:rsidRPr="003539C5">
        <w:rPr>
          <w:rFonts w:ascii="Palatino Linotype" w:hAnsi="Palatino Linotype"/>
          <w:bCs/>
          <w:sz w:val="22"/>
          <w:szCs w:val="22"/>
        </w:rPr>
        <w:t xml:space="preserve"> </w:t>
      </w:r>
      <w:r w:rsidR="004F2CA7" w:rsidRPr="003539C5">
        <w:rPr>
          <w:rFonts w:ascii="Palatino Linotype" w:hAnsi="Palatino Linotype"/>
          <w:bCs/>
          <w:sz w:val="22"/>
          <w:szCs w:val="22"/>
        </w:rPr>
        <w:t xml:space="preserve">septembra </w:t>
      </w:r>
      <w:r w:rsidR="009E501E" w:rsidRPr="003539C5">
        <w:rPr>
          <w:rFonts w:ascii="Palatino Linotype" w:hAnsi="Palatino Linotype"/>
          <w:bCs/>
          <w:sz w:val="22"/>
          <w:szCs w:val="22"/>
        </w:rPr>
        <w:t>202</w:t>
      </w:r>
      <w:r w:rsidR="009949E0" w:rsidRPr="003539C5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3539C5" w:rsidRDefault="003E4DFC" w:rsidP="003539C5">
      <w:pPr>
        <w:spacing w:before="120" w:after="0" w:line="276" w:lineRule="auto"/>
        <w:rPr>
          <w:rFonts w:ascii="Palatino Linotype" w:hAnsi="Palatino Linotype" w:cs="Times New Roman"/>
        </w:rPr>
      </w:pPr>
    </w:p>
    <w:p w14:paraId="29C9A926" w14:textId="7FE1164C" w:rsidR="009949E0" w:rsidRPr="003539C5" w:rsidRDefault="009949E0" w:rsidP="003539C5">
      <w:pPr>
        <w:spacing w:line="276" w:lineRule="auto"/>
        <w:jc w:val="both"/>
        <w:rPr>
          <w:rFonts w:ascii="Palatino Linotype" w:hAnsi="Palatino Linotype"/>
          <w:b/>
          <w:bCs/>
        </w:rPr>
      </w:pPr>
      <w:r w:rsidRPr="003539C5">
        <w:rPr>
          <w:rFonts w:ascii="Palatino Linotype" w:hAnsi="Palatino Linotype"/>
          <w:b/>
          <w:bCs/>
        </w:rPr>
        <w:t>k</w:t>
      </w:r>
      <w:r w:rsidR="00621124" w:rsidRPr="003539C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21124" w:rsidRPr="003539C5">
        <w:rPr>
          <w:rFonts w:ascii="Palatino Linotype" w:hAnsi="Palatino Linotype" w:cs="Arial"/>
          <w:b/>
          <w:color w:val="222222"/>
          <w:shd w:val="clear" w:color="auto" w:fill="FFFFFF"/>
        </w:rPr>
        <w:t xml:space="preserve">záväzku zvyšovania čerpania fondov </w:t>
      </w:r>
      <w:r w:rsidR="00F91205" w:rsidRPr="003539C5">
        <w:rPr>
          <w:rFonts w:ascii="Palatino Linotype" w:hAnsi="Palatino Linotype" w:cs="Arial"/>
          <w:b/>
          <w:color w:val="222222"/>
          <w:shd w:val="clear" w:color="auto" w:fill="FFFFFF"/>
        </w:rPr>
        <w:t>Európskej únie</w:t>
      </w:r>
      <w:r w:rsidR="00621124" w:rsidRPr="003539C5">
        <w:rPr>
          <w:rFonts w:ascii="Palatino Linotype" w:hAnsi="Palatino Linotype" w:cs="Arial"/>
          <w:b/>
          <w:color w:val="222222"/>
          <w:shd w:val="clear" w:color="auto" w:fill="FFFFFF"/>
        </w:rPr>
        <w:t xml:space="preserve"> na mesačnej báze priemerne o 2 percentá do konca roka 2026</w:t>
      </w:r>
      <w:r w:rsidRPr="003539C5">
        <w:rPr>
          <w:rFonts w:ascii="Palatino Linotype" w:hAnsi="Palatino Linotype"/>
          <w:b/>
          <w:bCs/>
        </w:rPr>
        <w:t> </w:t>
      </w:r>
    </w:p>
    <w:p w14:paraId="61227C9A" w14:textId="77777777" w:rsidR="00957298" w:rsidRPr="003539C5" w:rsidRDefault="00957298" w:rsidP="003539C5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  <w:b/>
          <w:bCs/>
        </w:rPr>
      </w:pPr>
    </w:p>
    <w:p w14:paraId="652F90C5" w14:textId="799BAA83" w:rsidR="0096109A" w:rsidRPr="003539C5" w:rsidRDefault="006D226D" w:rsidP="003539C5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  <w:r w:rsidRPr="003539C5">
        <w:rPr>
          <w:rFonts w:ascii="Palatino Linotype" w:hAnsi="Palatino Linotype" w:cs="Times New Roman"/>
        </w:rPr>
        <w:t>Národná rada Slovenskej republiky:</w:t>
      </w:r>
    </w:p>
    <w:p w14:paraId="44D2887A" w14:textId="5BCA8C68" w:rsidR="0096109A" w:rsidRPr="003539C5" w:rsidRDefault="0096109A" w:rsidP="003539C5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02DD7917" w14:textId="32F51651" w:rsidR="00A9656A" w:rsidRPr="003539C5" w:rsidRDefault="00F91205" w:rsidP="003539C5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3539C5">
        <w:rPr>
          <w:rFonts w:ascii="Palatino Linotype" w:hAnsi="Palatino Linotype" w:cs="Times New Roman"/>
          <w:b/>
          <w:bCs/>
        </w:rPr>
        <w:t>Považuje</w:t>
      </w:r>
      <w:r w:rsidR="00A9656A" w:rsidRPr="003539C5">
        <w:rPr>
          <w:rFonts w:ascii="Palatino Linotype" w:hAnsi="Palatino Linotype" w:cs="Times New Roman"/>
        </w:rPr>
        <w:t>:</w:t>
      </w:r>
      <w:r w:rsidR="008073C5" w:rsidRPr="003539C5">
        <w:rPr>
          <w:rFonts w:ascii="Palatino Linotype" w:hAnsi="Palatino Linotype" w:cs="Times New Roman"/>
        </w:rPr>
        <w:t xml:space="preserve"> </w:t>
      </w:r>
      <w:bookmarkStart w:id="2" w:name="_GoBack"/>
      <w:bookmarkEnd w:id="2"/>
    </w:p>
    <w:p w14:paraId="34E64351" w14:textId="31DC9B60" w:rsidR="008073C5" w:rsidRPr="003539C5" w:rsidRDefault="003455F7" w:rsidP="003539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3539C5">
        <w:rPr>
          <w:rFonts w:ascii="Palatino Linotype" w:hAnsi="Palatino Linotype" w:cs="Times New Roman"/>
        </w:rPr>
        <w:t xml:space="preserve">Vládou predložený </w:t>
      </w:r>
      <w:r w:rsidR="00F91205" w:rsidRPr="003539C5">
        <w:rPr>
          <w:rFonts w:ascii="Palatino Linotype" w:hAnsi="Palatino Linotype" w:cs="Times New Roman"/>
        </w:rPr>
        <w:t>konsolidačný</w:t>
      </w:r>
      <w:r w:rsidRPr="003539C5">
        <w:rPr>
          <w:rFonts w:ascii="Palatino Linotype" w:hAnsi="Palatino Linotype" w:cs="Times New Roman"/>
        </w:rPr>
        <w:t xml:space="preserve"> balík </w:t>
      </w:r>
      <w:r w:rsidR="00F91205" w:rsidRPr="003539C5">
        <w:rPr>
          <w:rFonts w:ascii="Palatino Linotype" w:hAnsi="Palatino Linotype" w:cs="Times New Roman"/>
        </w:rPr>
        <w:t>na strane výdavkov štátu za ne</w:t>
      </w:r>
      <w:r w:rsidR="00831884" w:rsidRPr="003539C5">
        <w:rPr>
          <w:rFonts w:ascii="Palatino Linotype" w:hAnsi="Palatino Linotype" w:cs="Times New Roman"/>
        </w:rPr>
        <w:t>transparentný</w:t>
      </w:r>
      <w:r w:rsidR="00F91205" w:rsidRPr="003539C5">
        <w:rPr>
          <w:rFonts w:ascii="Palatino Linotype" w:hAnsi="Palatino Linotype" w:cs="Times New Roman"/>
        </w:rPr>
        <w:t>.</w:t>
      </w:r>
    </w:p>
    <w:p w14:paraId="29036520" w14:textId="77777777" w:rsidR="008073C5" w:rsidRPr="003539C5" w:rsidRDefault="008073C5" w:rsidP="003539C5">
      <w:pPr>
        <w:pStyle w:val="Odsekzoznamu"/>
        <w:tabs>
          <w:tab w:val="left" w:pos="1095"/>
        </w:tabs>
        <w:spacing w:before="120" w:after="120" w:line="276" w:lineRule="auto"/>
        <w:ind w:left="709"/>
        <w:jc w:val="both"/>
        <w:rPr>
          <w:rFonts w:ascii="Palatino Linotype" w:hAnsi="Palatino Linotype" w:cs="Times New Roman"/>
        </w:rPr>
      </w:pPr>
    </w:p>
    <w:p w14:paraId="1F15C6D8" w14:textId="53D3B37A" w:rsidR="008073C5" w:rsidRPr="003539C5" w:rsidRDefault="00F91205" w:rsidP="003539C5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3539C5">
        <w:rPr>
          <w:rFonts w:ascii="Palatino Linotype" w:hAnsi="Palatino Linotype" w:cs="Times New Roman"/>
          <w:b/>
          <w:bCs/>
        </w:rPr>
        <w:t>Vyzýva predsedu vlády</w:t>
      </w:r>
      <w:r w:rsidR="008073C5" w:rsidRPr="003539C5">
        <w:rPr>
          <w:rFonts w:ascii="Palatino Linotype" w:hAnsi="Palatino Linotype" w:cs="Times New Roman"/>
          <w:b/>
          <w:bCs/>
        </w:rPr>
        <w:t xml:space="preserve"> Slovenskej republiky</w:t>
      </w:r>
      <w:r w:rsidR="008073C5" w:rsidRPr="003539C5">
        <w:rPr>
          <w:rFonts w:ascii="Palatino Linotype" w:hAnsi="Palatino Linotype" w:cs="Times New Roman"/>
        </w:rPr>
        <w:t>, aby:</w:t>
      </w:r>
    </w:p>
    <w:p w14:paraId="55207DF9" w14:textId="3CCC8F9E" w:rsidR="003B5250" w:rsidRPr="003539C5" w:rsidRDefault="00F91205" w:rsidP="003539C5">
      <w:pPr>
        <w:pStyle w:val="Odsekzoznamu"/>
        <w:numPr>
          <w:ilvl w:val="0"/>
          <w:numId w:val="15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3539C5">
        <w:rPr>
          <w:rFonts w:ascii="Palatino Linotype" w:hAnsi="Palatino Linotype" w:cs="Times New Roman"/>
        </w:rPr>
        <w:t>na najbližšie rokovanie</w:t>
      </w:r>
      <w:r w:rsidR="004F2CA7" w:rsidRPr="003539C5">
        <w:rPr>
          <w:rFonts w:ascii="Palatino Linotype" w:hAnsi="Palatino Linotype" w:cs="Times New Roman"/>
        </w:rPr>
        <w:t xml:space="preserve"> vlády </w:t>
      </w:r>
      <w:r w:rsidRPr="003539C5">
        <w:rPr>
          <w:rFonts w:ascii="Palatino Linotype" w:hAnsi="Palatino Linotype" w:cs="Times New Roman"/>
        </w:rPr>
        <w:t xml:space="preserve">predložil materiál, ktorý </w:t>
      </w:r>
      <w:r w:rsidR="003B5250" w:rsidRPr="003539C5">
        <w:rPr>
          <w:rFonts w:ascii="Palatino Linotype" w:hAnsi="Palatino Linotype" w:cs="Arial"/>
          <w:color w:val="222222"/>
          <w:shd w:val="clear" w:color="auto" w:fill="FFFFFF"/>
        </w:rPr>
        <w:t>zavia</w:t>
      </w:r>
      <w:r w:rsidRPr="003539C5">
        <w:rPr>
          <w:rFonts w:ascii="Palatino Linotype" w:hAnsi="Palatino Linotype" w:cs="Arial"/>
          <w:color w:val="222222"/>
          <w:shd w:val="clear" w:color="auto" w:fill="FFFFFF"/>
        </w:rPr>
        <w:t>že príslušné ministerstvá navýšiť</w:t>
      </w:r>
      <w:r w:rsidR="003B5250" w:rsidRPr="003539C5">
        <w:rPr>
          <w:rFonts w:ascii="Palatino Linotype" w:hAnsi="Palatino Linotype" w:cs="Arial"/>
          <w:color w:val="222222"/>
          <w:shd w:val="clear" w:color="auto" w:fill="FFFFFF"/>
        </w:rPr>
        <w:t xml:space="preserve"> čerpanie</w:t>
      </w:r>
      <w:r w:rsidRPr="003539C5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r w:rsidR="003B5250" w:rsidRPr="003539C5">
        <w:rPr>
          <w:rFonts w:ascii="Palatino Linotype" w:hAnsi="Palatino Linotype" w:cs="Arial"/>
          <w:color w:val="222222"/>
          <w:shd w:val="clear" w:color="auto" w:fill="FFFFFF"/>
        </w:rPr>
        <w:t xml:space="preserve">fondov </w:t>
      </w:r>
      <w:r w:rsidRPr="003539C5">
        <w:rPr>
          <w:rFonts w:ascii="Palatino Linotype" w:hAnsi="Palatino Linotype" w:cs="Arial"/>
          <w:color w:val="222222"/>
          <w:shd w:val="clear" w:color="auto" w:fill="FFFFFF"/>
        </w:rPr>
        <w:t>Európskej únie tak, aby ich celkové čerpanie bolo v priemer</w:t>
      </w:r>
      <w:r w:rsidR="003B5250" w:rsidRPr="003539C5">
        <w:rPr>
          <w:rFonts w:ascii="Palatino Linotype" w:hAnsi="Palatino Linotype" w:cs="Arial"/>
          <w:color w:val="222222"/>
          <w:shd w:val="clear" w:color="auto" w:fill="FFFFFF"/>
        </w:rPr>
        <w:t xml:space="preserve">e </w:t>
      </w:r>
      <w:r w:rsidRPr="003539C5">
        <w:rPr>
          <w:rFonts w:ascii="Palatino Linotype" w:hAnsi="Palatino Linotype" w:cs="Arial"/>
          <w:color w:val="222222"/>
          <w:shd w:val="clear" w:color="auto" w:fill="FFFFFF"/>
        </w:rPr>
        <w:t xml:space="preserve">každý mesiac </w:t>
      </w:r>
      <w:r w:rsidR="003B5250" w:rsidRPr="003539C5">
        <w:rPr>
          <w:rFonts w:ascii="Palatino Linotype" w:hAnsi="Palatino Linotype" w:cs="Arial"/>
          <w:color w:val="222222"/>
          <w:shd w:val="clear" w:color="auto" w:fill="FFFFFF"/>
        </w:rPr>
        <w:t xml:space="preserve">o 2 percentá </w:t>
      </w:r>
      <w:r w:rsidRPr="003539C5">
        <w:rPr>
          <w:rFonts w:ascii="Palatino Linotype" w:hAnsi="Palatino Linotype" w:cs="Arial"/>
          <w:color w:val="222222"/>
          <w:shd w:val="clear" w:color="auto" w:fill="FFFFFF"/>
        </w:rPr>
        <w:t xml:space="preserve">vyššie </w:t>
      </w:r>
      <w:r w:rsidR="003B5250" w:rsidRPr="003539C5">
        <w:rPr>
          <w:rFonts w:ascii="Palatino Linotype" w:hAnsi="Palatino Linotype" w:cs="Arial"/>
          <w:color w:val="222222"/>
          <w:shd w:val="clear" w:color="auto" w:fill="FFFFFF"/>
        </w:rPr>
        <w:t>do konca roka 2026</w:t>
      </w:r>
      <w:r w:rsidR="003B5250" w:rsidRPr="003539C5">
        <w:rPr>
          <w:rFonts w:ascii="Palatino Linotype" w:hAnsi="Palatino Linotype"/>
          <w:bCs/>
        </w:rPr>
        <w:t> </w:t>
      </w:r>
    </w:p>
    <w:p w14:paraId="67C15230" w14:textId="450E8912" w:rsidR="00C82330" w:rsidRPr="003539C5" w:rsidRDefault="00C82330" w:rsidP="003539C5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25F04BA0" w14:textId="6331053B" w:rsidR="00C82330" w:rsidRPr="003539C5" w:rsidRDefault="00C82330" w:rsidP="003539C5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6AA28DBC" w14:textId="7FFEF3E0" w:rsidR="003539C5" w:rsidRP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72DED6A0" w14:textId="033DD998" w:rsidR="003539C5" w:rsidRP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76D1480D" w14:textId="1E00B2F8" w:rsidR="003539C5" w:rsidRP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1BDE97FB" w14:textId="4EE28E16" w:rsidR="003539C5" w:rsidRP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6471C6FE" w14:textId="38CE5E0C" w:rsid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5FFAC60D" w14:textId="2E223C7D" w:rsid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72774273" w14:textId="06A1CCA9" w:rsid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083515FD" w14:textId="77777777" w:rsidR="003539C5" w:rsidRPr="003539C5" w:rsidRDefault="003539C5" w:rsidP="003B5250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33E89811" w14:textId="77777777" w:rsidR="00957B96" w:rsidRPr="003539C5" w:rsidRDefault="00957B96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0B6057E7" w14:textId="114868B0" w:rsidR="009E501E" w:rsidRDefault="009E501E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  <w:caps/>
        </w:rPr>
      </w:pPr>
      <w:r w:rsidRPr="003539C5">
        <w:rPr>
          <w:rFonts w:ascii="Palatino Linotype" w:hAnsi="Palatino Linotype" w:cs="Times New Roman"/>
          <w:b/>
          <w:bCs/>
          <w:caps/>
        </w:rPr>
        <w:t>Odôvodnenie</w:t>
      </w:r>
      <w:r w:rsidR="00AD7E03" w:rsidRPr="003539C5">
        <w:rPr>
          <w:rFonts w:ascii="Palatino Linotype" w:hAnsi="Palatino Linotype" w:cs="Times New Roman"/>
          <w:b/>
          <w:bCs/>
          <w:caps/>
        </w:rPr>
        <w:t>:</w:t>
      </w:r>
    </w:p>
    <w:p w14:paraId="21E4E980" w14:textId="77777777" w:rsidR="003539C5" w:rsidRPr="003539C5" w:rsidRDefault="003539C5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717695F1" w14:textId="5E905001" w:rsidR="00EB383B" w:rsidRPr="003539C5" w:rsidRDefault="00831884" w:rsidP="003539C5">
      <w:pPr>
        <w:pStyle w:val="Normlnywebov"/>
        <w:spacing w:line="276" w:lineRule="auto"/>
        <w:jc w:val="both"/>
        <w:rPr>
          <w:rFonts w:ascii="Palatino Linotype" w:hAnsi="Palatino Linotype"/>
          <w:sz w:val="22"/>
          <w:szCs w:val="22"/>
          <w:lang w:val="sk-SK"/>
        </w:rPr>
      </w:pPr>
      <w:r w:rsidRPr="003539C5">
        <w:rPr>
          <w:rFonts w:ascii="Palatino Linotype" w:hAnsi="Palatino Linotype"/>
          <w:sz w:val="22"/>
          <w:szCs w:val="22"/>
          <w:lang w:val="sk-SK"/>
        </w:rPr>
        <w:t xml:space="preserve">Minister financií Ladislav Kamenický predstavil </w:t>
      </w:r>
      <w:r w:rsidR="003161FD" w:rsidRPr="003539C5">
        <w:rPr>
          <w:rFonts w:ascii="Palatino Linotype" w:hAnsi="Palatino Linotype"/>
          <w:sz w:val="22"/>
          <w:szCs w:val="22"/>
          <w:lang w:val="sk-SK"/>
        </w:rPr>
        <w:t>9</w:t>
      </w:r>
      <w:r w:rsidRPr="003539C5">
        <w:rPr>
          <w:rFonts w:ascii="Palatino Linotype" w:hAnsi="Palatino Linotype"/>
          <w:sz w:val="22"/>
          <w:szCs w:val="22"/>
          <w:lang w:val="sk-SK"/>
        </w:rPr>
        <w:t>.</w:t>
      </w:r>
      <w:r w:rsidR="003161FD" w:rsidRPr="003539C5">
        <w:rPr>
          <w:rFonts w:ascii="Palatino Linotype" w:hAnsi="Palatino Linotype"/>
          <w:sz w:val="22"/>
          <w:szCs w:val="22"/>
          <w:lang w:val="sk-SK"/>
        </w:rPr>
        <w:t xml:space="preserve"> 9</w:t>
      </w:r>
      <w:r w:rsidRPr="003539C5">
        <w:rPr>
          <w:rFonts w:ascii="Palatino Linotype" w:hAnsi="Palatino Linotype"/>
          <w:sz w:val="22"/>
          <w:szCs w:val="22"/>
          <w:lang w:val="sk-SK"/>
        </w:rPr>
        <w:t>. 2025 konsolidačné opatrenia na ozdravenie verejných financií Slovenskej republiky. Na strane výdavkov štátu však neposkytol súbor žiadnych konkrétnych opatrení v záväznej forme.</w:t>
      </w:r>
      <w:r w:rsidR="008073C5" w:rsidRPr="003539C5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Pr="003539C5">
        <w:rPr>
          <w:rFonts w:ascii="Palatino Linotype" w:hAnsi="Palatino Linotype"/>
          <w:sz w:val="22"/>
          <w:szCs w:val="22"/>
          <w:lang w:val="sk-SK"/>
        </w:rPr>
        <w:t xml:space="preserve"> Preto pokladáme za zodpovedané predstaviť opatrenie posilňujúce zvýšenie čerpania prostriedkov Európskej únie.</w:t>
      </w:r>
    </w:p>
    <w:sectPr w:rsidR="00EB383B" w:rsidRPr="003539C5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7237" w14:textId="77777777" w:rsidR="00DD0374" w:rsidRDefault="00DD0374" w:rsidP="00957298">
      <w:pPr>
        <w:spacing w:after="0" w:line="240" w:lineRule="auto"/>
      </w:pPr>
      <w:r>
        <w:separator/>
      </w:r>
    </w:p>
  </w:endnote>
  <w:endnote w:type="continuationSeparator" w:id="0">
    <w:p w14:paraId="491837B4" w14:textId="77777777" w:rsidR="00DD0374" w:rsidRDefault="00DD0374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180174"/>
      <w:docPartObj>
        <w:docPartGallery w:val="Page Numbers (Bottom of Page)"/>
        <w:docPartUnique/>
      </w:docPartObj>
    </w:sdtPr>
    <w:sdtEndPr/>
    <w:sdtContent>
      <w:p w14:paraId="26545D01" w14:textId="27BF168A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9C5">
          <w:rPr>
            <w:noProof/>
          </w:rPr>
          <w:t>1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3A225" w14:textId="77777777" w:rsidR="00DD0374" w:rsidRDefault="00DD0374" w:rsidP="00957298">
      <w:pPr>
        <w:spacing w:after="0" w:line="240" w:lineRule="auto"/>
      </w:pPr>
      <w:r>
        <w:separator/>
      </w:r>
    </w:p>
  </w:footnote>
  <w:footnote w:type="continuationSeparator" w:id="0">
    <w:p w14:paraId="27857FC0" w14:textId="77777777" w:rsidR="00DD0374" w:rsidRDefault="00DD0374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4653"/>
    <w:rsid w:val="000316AD"/>
    <w:rsid w:val="00032B84"/>
    <w:rsid w:val="00041BD5"/>
    <w:rsid w:val="00062E61"/>
    <w:rsid w:val="00093F90"/>
    <w:rsid w:val="00097B3E"/>
    <w:rsid w:val="00143D62"/>
    <w:rsid w:val="001D73CE"/>
    <w:rsid w:val="001E7946"/>
    <w:rsid w:val="00250C97"/>
    <w:rsid w:val="00251B15"/>
    <w:rsid w:val="002B3882"/>
    <w:rsid w:val="002C04DC"/>
    <w:rsid w:val="002C6FC4"/>
    <w:rsid w:val="002D56FF"/>
    <w:rsid w:val="003161FD"/>
    <w:rsid w:val="003455F7"/>
    <w:rsid w:val="003539C5"/>
    <w:rsid w:val="00367708"/>
    <w:rsid w:val="003B5250"/>
    <w:rsid w:val="003D41C9"/>
    <w:rsid w:val="003D6287"/>
    <w:rsid w:val="003D7E18"/>
    <w:rsid w:val="003E4DFC"/>
    <w:rsid w:val="0044681E"/>
    <w:rsid w:val="00481154"/>
    <w:rsid w:val="004862C3"/>
    <w:rsid w:val="00486476"/>
    <w:rsid w:val="004F2CA7"/>
    <w:rsid w:val="00501268"/>
    <w:rsid w:val="0052379D"/>
    <w:rsid w:val="0055197F"/>
    <w:rsid w:val="0055642B"/>
    <w:rsid w:val="0055787F"/>
    <w:rsid w:val="00577ECF"/>
    <w:rsid w:val="00585D80"/>
    <w:rsid w:val="00590700"/>
    <w:rsid w:val="005924FB"/>
    <w:rsid w:val="005B445F"/>
    <w:rsid w:val="005B5B85"/>
    <w:rsid w:val="005F067F"/>
    <w:rsid w:val="00602095"/>
    <w:rsid w:val="00613F34"/>
    <w:rsid w:val="00621124"/>
    <w:rsid w:val="006D226D"/>
    <w:rsid w:val="007305B3"/>
    <w:rsid w:val="00761BB8"/>
    <w:rsid w:val="008073C5"/>
    <w:rsid w:val="00822009"/>
    <w:rsid w:val="00831884"/>
    <w:rsid w:val="00862FE7"/>
    <w:rsid w:val="008827EE"/>
    <w:rsid w:val="008B4281"/>
    <w:rsid w:val="008E19C9"/>
    <w:rsid w:val="008E4122"/>
    <w:rsid w:val="00914744"/>
    <w:rsid w:val="00925986"/>
    <w:rsid w:val="009367E9"/>
    <w:rsid w:val="00957298"/>
    <w:rsid w:val="00957B96"/>
    <w:rsid w:val="0096109A"/>
    <w:rsid w:val="009949E0"/>
    <w:rsid w:val="009E501E"/>
    <w:rsid w:val="009F1D7D"/>
    <w:rsid w:val="009F5A24"/>
    <w:rsid w:val="00A02BC2"/>
    <w:rsid w:val="00A04742"/>
    <w:rsid w:val="00A14633"/>
    <w:rsid w:val="00A25CF0"/>
    <w:rsid w:val="00A3234C"/>
    <w:rsid w:val="00A557AD"/>
    <w:rsid w:val="00A9656A"/>
    <w:rsid w:val="00AD7E03"/>
    <w:rsid w:val="00AF759F"/>
    <w:rsid w:val="00B00BA6"/>
    <w:rsid w:val="00B06633"/>
    <w:rsid w:val="00B20E9F"/>
    <w:rsid w:val="00B438C4"/>
    <w:rsid w:val="00B6616D"/>
    <w:rsid w:val="00B776A9"/>
    <w:rsid w:val="00B83DA2"/>
    <w:rsid w:val="00BC53F3"/>
    <w:rsid w:val="00BC77C6"/>
    <w:rsid w:val="00BF65D5"/>
    <w:rsid w:val="00C10B4F"/>
    <w:rsid w:val="00C24211"/>
    <w:rsid w:val="00C33E51"/>
    <w:rsid w:val="00C54883"/>
    <w:rsid w:val="00C64782"/>
    <w:rsid w:val="00C82330"/>
    <w:rsid w:val="00CE512F"/>
    <w:rsid w:val="00D443F6"/>
    <w:rsid w:val="00D71C1E"/>
    <w:rsid w:val="00D77FA2"/>
    <w:rsid w:val="00D8280C"/>
    <w:rsid w:val="00DA495F"/>
    <w:rsid w:val="00DB3157"/>
    <w:rsid w:val="00DD0374"/>
    <w:rsid w:val="00E37362"/>
    <w:rsid w:val="00E53280"/>
    <w:rsid w:val="00EA3647"/>
    <w:rsid w:val="00EB383B"/>
    <w:rsid w:val="00EE1F96"/>
    <w:rsid w:val="00F21FFD"/>
    <w:rsid w:val="00F91205"/>
    <w:rsid w:val="00FA4352"/>
    <w:rsid w:val="00FA5C69"/>
    <w:rsid w:val="00FD55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1A9D-1957-4CA9-AF33-9ED32132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Hajko, Jozef, (asistent)</cp:lastModifiedBy>
  <cp:revision>7</cp:revision>
  <cp:lastPrinted>2024-10-03T16:16:00Z</cp:lastPrinted>
  <dcterms:created xsi:type="dcterms:W3CDTF">2025-09-22T12:20:00Z</dcterms:created>
  <dcterms:modified xsi:type="dcterms:W3CDTF">2025-09-23T10:55:00Z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