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bookmarkStart w:id="0" w:name="_GoBack"/>
      <w:r w:rsidRPr="007B7470">
        <w:rPr>
          <w:rFonts w:ascii="Times New Roman" w:eastAsia="Times New Roman" w:hAnsi="Times New Roman" w:cs="Times New Roman"/>
          <w:b/>
          <w:bCs/>
          <w:sz w:val="28"/>
          <w:szCs w:val="28"/>
          <w:lang w:eastAsia="sk-SK"/>
        </w:rPr>
        <w:t>Analýza vplyvov na rozpočet verejnej správy,</w:t>
      </w:r>
    </w:p>
    <w:p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340"/>
        <w:gridCol w:w="1560"/>
        <w:gridCol w:w="1559"/>
        <w:gridCol w:w="1553"/>
      </w:tblGrid>
      <w:tr w:rsidR="007D5748" w:rsidRPr="001A4A64" w:rsidTr="00973916">
        <w:trPr>
          <w:cantSplit/>
          <w:trHeight w:val="194"/>
          <w:jc w:val="center"/>
        </w:trPr>
        <w:tc>
          <w:tcPr>
            <w:tcW w:w="3964" w:type="dxa"/>
            <w:vMerge w:val="restart"/>
            <w:shd w:val="clear" w:color="auto" w:fill="BFBFBF" w:themeFill="background1" w:themeFillShade="BF"/>
            <w:vAlign w:val="center"/>
          </w:tcPr>
          <w:p w:rsidR="007D5748" w:rsidRPr="001A4A64" w:rsidRDefault="007D5748" w:rsidP="007D5748">
            <w:pPr>
              <w:spacing w:after="0" w:line="240" w:lineRule="auto"/>
              <w:jc w:val="center"/>
              <w:rPr>
                <w:rFonts w:ascii="Times New Roman" w:eastAsia="Times New Roman" w:hAnsi="Times New Roman" w:cs="Times New Roman"/>
                <w:b/>
                <w:bCs/>
                <w:sz w:val="24"/>
                <w:szCs w:val="24"/>
                <w:lang w:eastAsia="sk-SK"/>
              </w:rPr>
            </w:pPr>
            <w:bookmarkStart w:id="1" w:name="OLE_LINK1"/>
            <w:r w:rsidRPr="001A4A64">
              <w:rPr>
                <w:rFonts w:ascii="Times New Roman" w:eastAsia="Times New Roman" w:hAnsi="Times New Roman" w:cs="Times New Roman"/>
                <w:b/>
                <w:bCs/>
                <w:sz w:val="24"/>
                <w:szCs w:val="24"/>
                <w:lang w:eastAsia="sk-SK"/>
              </w:rPr>
              <w:t>Vplyvy na rozpočet verejnej správy</w:t>
            </w:r>
          </w:p>
        </w:tc>
        <w:tc>
          <w:tcPr>
            <w:tcW w:w="6012" w:type="dxa"/>
            <w:gridSpan w:val="4"/>
            <w:shd w:val="clear" w:color="auto" w:fill="BFBFBF" w:themeFill="background1" w:themeFillShade="BF"/>
            <w:vAlign w:val="center"/>
          </w:tcPr>
          <w:p w:rsidR="007D5748" w:rsidRPr="001A4A64" w:rsidRDefault="007D5748" w:rsidP="007D5748">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Vplyv na rozpočet verejnej správy (v eurách)</w:t>
            </w:r>
          </w:p>
        </w:tc>
      </w:tr>
      <w:tr w:rsidR="007D5748" w:rsidRPr="001A4A64" w:rsidTr="00973916">
        <w:trPr>
          <w:cantSplit/>
          <w:trHeight w:val="70"/>
          <w:jc w:val="center"/>
        </w:trPr>
        <w:tc>
          <w:tcPr>
            <w:tcW w:w="3964" w:type="dxa"/>
            <w:vMerge/>
            <w:shd w:val="clear" w:color="auto" w:fill="BFBFBF" w:themeFill="background1" w:themeFillShade="BF"/>
            <w:vAlign w:val="center"/>
          </w:tcPr>
          <w:p w:rsidR="007D5748" w:rsidRPr="001A4A64"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340" w:type="dxa"/>
            <w:shd w:val="clear" w:color="auto" w:fill="BFBFBF" w:themeFill="background1" w:themeFillShade="BF"/>
            <w:vAlign w:val="center"/>
          </w:tcPr>
          <w:p w:rsidR="007D5748" w:rsidRPr="001A4A64" w:rsidRDefault="008C5460" w:rsidP="00B1022E">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2025</w:t>
            </w:r>
          </w:p>
        </w:tc>
        <w:tc>
          <w:tcPr>
            <w:tcW w:w="1560" w:type="dxa"/>
            <w:tcBorders>
              <w:bottom w:val="single" w:sz="4" w:space="0" w:color="auto"/>
            </w:tcBorders>
            <w:shd w:val="clear" w:color="auto" w:fill="BFBFBF" w:themeFill="background1" w:themeFillShade="BF"/>
            <w:vAlign w:val="center"/>
          </w:tcPr>
          <w:p w:rsidR="007D5748" w:rsidRPr="001A4A64" w:rsidRDefault="008C5460" w:rsidP="00B1022E">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2026</w:t>
            </w:r>
          </w:p>
        </w:tc>
        <w:tc>
          <w:tcPr>
            <w:tcW w:w="1559" w:type="dxa"/>
            <w:tcBorders>
              <w:bottom w:val="single" w:sz="4" w:space="0" w:color="auto"/>
            </w:tcBorders>
            <w:shd w:val="clear" w:color="auto" w:fill="BFBFBF" w:themeFill="background1" w:themeFillShade="BF"/>
            <w:vAlign w:val="center"/>
          </w:tcPr>
          <w:p w:rsidR="007D5748" w:rsidRPr="001A4A64" w:rsidRDefault="008C5460" w:rsidP="00B1022E">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2027</w:t>
            </w:r>
          </w:p>
        </w:tc>
        <w:tc>
          <w:tcPr>
            <w:tcW w:w="1553" w:type="dxa"/>
            <w:tcBorders>
              <w:bottom w:val="single" w:sz="4" w:space="0" w:color="auto"/>
            </w:tcBorders>
            <w:shd w:val="clear" w:color="auto" w:fill="BFBFBF" w:themeFill="background1" w:themeFillShade="BF"/>
            <w:vAlign w:val="center"/>
          </w:tcPr>
          <w:p w:rsidR="007D5748" w:rsidRPr="001A4A64" w:rsidRDefault="008C5460" w:rsidP="00B1022E">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2028</w:t>
            </w:r>
          </w:p>
        </w:tc>
      </w:tr>
      <w:tr w:rsidR="004955CA" w:rsidRPr="001A4A64" w:rsidTr="00973916">
        <w:trPr>
          <w:trHeight w:val="70"/>
          <w:jc w:val="center"/>
        </w:trPr>
        <w:tc>
          <w:tcPr>
            <w:tcW w:w="3964" w:type="dxa"/>
            <w:shd w:val="clear" w:color="auto" w:fill="C0C0C0"/>
            <w:noWrap/>
            <w:vAlign w:val="center"/>
          </w:tcPr>
          <w:p w:rsidR="004955CA" w:rsidRPr="001A4A64" w:rsidRDefault="004955CA" w:rsidP="004955CA">
            <w:pPr>
              <w:spacing w:after="0" w:line="240" w:lineRule="auto"/>
              <w:rPr>
                <w:rFonts w:ascii="Times New Roman" w:eastAsia="Times New Roman" w:hAnsi="Times New Roman" w:cs="Times New Roman"/>
                <w:sz w:val="24"/>
                <w:szCs w:val="24"/>
                <w:lang w:eastAsia="sk-SK"/>
              </w:rPr>
            </w:pPr>
            <w:r w:rsidRPr="001A4A64">
              <w:rPr>
                <w:rFonts w:ascii="Times New Roman" w:eastAsia="Times New Roman" w:hAnsi="Times New Roman" w:cs="Times New Roman"/>
                <w:b/>
                <w:bCs/>
                <w:sz w:val="24"/>
                <w:szCs w:val="24"/>
                <w:lang w:eastAsia="sk-SK"/>
              </w:rPr>
              <w:t>Príjmy verejnej správy celkom</w:t>
            </w:r>
          </w:p>
        </w:tc>
        <w:tc>
          <w:tcPr>
            <w:tcW w:w="1340" w:type="dxa"/>
            <w:shd w:val="clear" w:color="auto" w:fill="C0C0C0"/>
            <w:vAlign w:val="center"/>
          </w:tcPr>
          <w:p w:rsidR="004955CA" w:rsidRPr="001A4A64" w:rsidRDefault="004955CA" w:rsidP="004955CA">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60" w:type="dxa"/>
            <w:tcBorders>
              <w:top w:val="single" w:sz="4" w:space="0" w:color="auto"/>
              <w:left w:val="nil"/>
              <w:bottom w:val="single" w:sz="4" w:space="0" w:color="auto"/>
              <w:right w:val="single" w:sz="4" w:space="0" w:color="auto"/>
            </w:tcBorders>
            <w:shd w:val="clear" w:color="000000" w:fill="C0C0C0"/>
          </w:tcPr>
          <w:p w:rsidR="004955CA" w:rsidRPr="006B04D7" w:rsidRDefault="007C21A5" w:rsidP="004955C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000000" w:fill="C0C0C0"/>
          </w:tcPr>
          <w:p w:rsidR="004955CA" w:rsidRPr="006B04D7" w:rsidRDefault="007C21A5"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53" w:type="dxa"/>
            <w:tcBorders>
              <w:top w:val="single" w:sz="4" w:space="0" w:color="auto"/>
              <w:left w:val="single" w:sz="4" w:space="0" w:color="auto"/>
              <w:bottom w:val="single" w:sz="4" w:space="0" w:color="auto"/>
              <w:right w:val="single" w:sz="4" w:space="0" w:color="auto"/>
            </w:tcBorders>
            <w:shd w:val="clear" w:color="000000" w:fill="C0C0C0"/>
          </w:tcPr>
          <w:p w:rsidR="004955CA" w:rsidRPr="006B04D7" w:rsidRDefault="007C21A5" w:rsidP="004955C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7D5748" w:rsidRPr="001A4A64" w:rsidTr="00973916">
        <w:trPr>
          <w:trHeight w:val="132"/>
          <w:jc w:val="center"/>
        </w:trPr>
        <w:tc>
          <w:tcPr>
            <w:tcW w:w="3964" w:type="dxa"/>
            <w:noWrap/>
            <w:vAlign w:val="center"/>
          </w:tcPr>
          <w:p w:rsidR="007D5748" w:rsidRPr="001A4A64" w:rsidRDefault="007D5748" w:rsidP="007D5748">
            <w:pPr>
              <w:spacing w:after="0" w:line="240" w:lineRule="auto"/>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v tom: za každý subjekt verejnej správy zvlášť</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tcBorders>
              <w:top w:val="single" w:sz="4" w:space="0" w:color="auto"/>
            </w:tcBorders>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tcBorders>
              <w:top w:val="single" w:sz="4" w:space="0" w:color="auto"/>
            </w:tcBorders>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tcBorders>
              <w:top w:val="single" w:sz="4" w:space="0" w:color="auto"/>
            </w:tcBorders>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D5748" w:rsidRPr="001A4A64" w:rsidTr="00973916">
        <w:trPr>
          <w:trHeight w:val="70"/>
          <w:jc w:val="center"/>
        </w:trPr>
        <w:tc>
          <w:tcPr>
            <w:tcW w:w="3964" w:type="dxa"/>
            <w:noWrap/>
            <w:vAlign w:val="center"/>
          </w:tcPr>
          <w:p w:rsidR="007D5748" w:rsidRPr="001A4A64" w:rsidRDefault="007D5748" w:rsidP="007D5748">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xml:space="preserve">z toho:  </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p>
        </w:tc>
        <w:tc>
          <w:tcPr>
            <w:tcW w:w="1559"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p>
        </w:tc>
        <w:tc>
          <w:tcPr>
            <w:tcW w:w="1553"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p>
        </w:tc>
      </w:tr>
      <w:tr w:rsidR="007D5748" w:rsidRPr="001A4A64" w:rsidTr="00973916">
        <w:trPr>
          <w:trHeight w:val="125"/>
          <w:jc w:val="center"/>
        </w:trPr>
        <w:tc>
          <w:tcPr>
            <w:tcW w:w="3964" w:type="dxa"/>
            <w:noWrap/>
            <w:vAlign w:val="center"/>
          </w:tcPr>
          <w:p w:rsidR="007D5748" w:rsidRPr="001A4A64" w:rsidRDefault="007D5748" w:rsidP="00F13CD8">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ŠR</w:t>
            </w:r>
            <w:r w:rsidR="008C5460" w:rsidRPr="001A4A64">
              <w:rPr>
                <w:rFonts w:ascii="Times New Roman" w:eastAsia="Times New Roman" w:hAnsi="Times New Roman" w:cs="Times New Roman"/>
                <w:b/>
                <w:bCs/>
                <w:i/>
                <w:iCs/>
                <w:sz w:val="24"/>
                <w:szCs w:val="24"/>
                <w:lang w:eastAsia="sk-SK"/>
              </w:rPr>
              <w:t xml:space="preserve"> (</w:t>
            </w:r>
            <w:r w:rsidR="00F13CD8">
              <w:rPr>
                <w:rFonts w:ascii="Times New Roman" w:eastAsia="Times New Roman" w:hAnsi="Times New Roman" w:cs="Times New Roman"/>
                <w:b/>
                <w:bCs/>
                <w:i/>
                <w:iCs/>
                <w:sz w:val="24"/>
                <w:szCs w:val="24"/>
                <w:lang w:eastAsia="sk-SK"/>
              </w:rPr>
              <w:t>MPSVR SR</w:t>
            </w:r>
            <w:r w:rsidR="008C5460" w:rsidRPr="001A4A64">
              <w:rPr>
                <w:rFonts w:ascii="Times New Roman" w:eastAsia="Times New Roman" w:hAnsi="Times New Roman" w:cs="Times New Roman"/>
                <w:b/>
                <w:bCs/>
                <w:i/>
                <w:iCs/>
                <w:sz w:val="24"/>
                <w:szCs w:val="24"/>
                <w:lang w:eastAsia="sk-SK"/>
              </w:rPr>
              <w:t>)</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C51FD4" w:rsidRPr="001A4A64" w:rsidTr="00973916">
        <w:trPr>
          <w:trHeight w:val="125"/>
          <w:jc w:val="center"/>
        </w:trPr>
        <w:tc>
          <w:tcPr>
            <w:tcW w:w="3964" w:type="dxa"/>
            <w:noWrap/>
            <w:vAlign w:val="center"/>
          </w:tcPr>
          <w:p w:rsidR="00C51FD4" w:rsidRPr="001A4A64"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Cs/>
                <w:i/>
                <w:iCs/>
                <w:sz w:val="24"/>
                <w:szCs w:val="24"/>
                <w:lang w:eastAsia="sk-SK"/>
              </w:rPr>
              <w:t>Rozpočtové prostriedky</w:t>
            </w:r>
          </w:p>
        </w:tc>
        <w:tc>
          <w:tcPr>
            <w:tcW w:w="1340" w:type="dxa"/>
            <w:noWrap/>
            <w:vAlign w:val="center"/>
          </w:tcPr>
          <w:p w:rsidR="00C51FD4" w:rsidRPr="001A4A64" w:rsidRDefault="00212894"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C51FD4" w:rsidRPr="001A4A64" w:rsidRDefault="00212894"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C51FD4" w:rsidRPr="001A4A64" w:rsidRDefault="00212894"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C51FD4" w:rsidRPr="001A4A64" w:rsidRDefault="00212894"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D5748" w:rsidRPr="001A4A64" w:rsidTr="00973916">
        <w:trPr>
          <w:trHeight w:val="125"/>
          <w:jc w:val="center"/>
        </w:trPr>
        <w:tc>
          <w:tcPr>
            <w:tcW w:w="3964" w:type="dxa"/>
            <w:noWrap/>
            <w:vAlign w:val="center"/>
          </w:tcPr>
          <w:p w:rsidR="007D5748" w:rsidRPr="001A4A64" w:rsidRDefault="007D5748" w:rsidP="00212894">
            <w:pPr>
              <w:spacing w:after="0" w:line="240" w:lineRule="auto"/>
              <w:ind w:left="259"/>
              <w:rPr>
                <w:rFonts w:ascii="Times New Roman" w:eastAsia="Times New Roman" w:hAnsi="Times New Roman" w:cs="Times New Roman"/>
                <w:bCs/>
                <w:i/>
                <w:iCs/>
                <w:sz w:val="24"/>
                <w:szCs w:val="24"/>
                <w:lang w:eastAsia="sk-SK"/>
              </w:rPr>
            </w:pPr>
            <w:r w:rsidRPr="001A4A64">
              <w:rPr>
                <w:rFonts w:ascii="Times New Roman" w:eastAsia="Times New Roman" w:hAnsi="Times New Roman" w:cs="Times New Roman"/>
                <w:bCs/>
                <w:i/>
                <w:iCs/>
                <w:sz w:val="24"/>
                <w:szCs w:val="24"/>
                <w:lang w:eastAsia="sk-SK"/>
              </w:rPr>
              <w:t>EÚ zdroje</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noWrap/>
            <w:vAlign w:val="center"/>
          </w:tcPr>
          <w:p w:rsidR="007D5748" w:rsidRPr="001A4A64" w:rsidRDefault="007D5748" w:rsidP="00B1022E">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D5748" w:rsidRPr="001A4A64" w:rsidTr="00973916">
        <w:trPr>
          <w:trHeight w:val="125"/>
          <w:jc w:val="center"/>
        </w:trPr>
        <w:tc>
          <w:tcPr>
            <w:tcW w:w="3964" w:type="dxa"/>
            <w:noWrap/>
            <w:vAlign w:val="center"/>
          </w:tcPr>
          <w:p w:rsidR="007D5748" w:rsidRPr="001A4A64" w:rsidRDefault="007D5748" w:rsidP="007D5748">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obce</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D5748" w:rsidRPr="001A4A64" w:rsidTr="00973916">
        <w:trPr>
          <w:trHeight w:val="125"/>
          <w:jc w:val="center"/>
        </w:trPr>
        <w:tc>
          <w:tcPr>
            <w:tcW w:w="3964" w:type="dxa"/>
            <w:noWrap/>
            <w:vAlign w:val="center"/>
          </w:tcPr>
          <w:p w:rsidR="007D5748" w:rsidRPr="001A4A64" w:rsidRDefault="007D5748" w:rsidP="007D5748">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D5748" w:rsidRPr="001A4A64" w:rsidTr="00973916">
        <w:trPr>
          <w:trHeight w:val="125"/>
          <w:jc w:val="center"/>
        </w:trPr>
        <w:tc>
          <w:tcPr>
            <w:tcW w:w="3964" w:type="dxa"/>
            <w:noWrap/>
            <w:vAlign w:val="center"/>
          </w:tcPr>
          <w:p w:rsidR="007D5748" w:rsidRPr="001A4A64" w:rsidRDefault="007D5748" w:rsidP="007D5748">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ostatné subjekty verejnej správy</w:t>
            </w:r>
          </w:p>
        </w:tc>
        <w:tc>
          <w:tcPr>
            <w:tcW w:w="134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tcBorders>
              <w:bottom w:val="single" w:sz="4" w:space="0" w:color="auto"/>
            </w:tcBorders>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tcBorders>
              <w:bottom w:val="single" w:sz="4" w:space="0" w:color="auto"/>
            </w:tcBorders>
            <w:noWrap/>
            <w:vAlign w:val="center"/>
          </w:tcPr>
          <w:p w:rsidR="007D5748" w:rsidRPr="001A4A64" w:rsidRDefault="007D5748" w:rsidP="00B1022E">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4955CA" w:rsidRPr="001A4A64" w:rsidTr="00973916">
        <w:trPr>
          <w:trHeight w:val="125"/>
          <w:jc w:val="center"/>
        </w:trPr>
        <w:tc>
          <w:tcPr>
            <w:tcW w:w="3964" w:type="dxa"/>
            <w:noWrap/>
            <w:vAlign w:val="center"/>
          </w:tcPr>
          <w:p w:rsidR="004955CA" w:rsidRPr="001A4A64" w:rsidRDefault="004955CA" w:rsidP="004955CA">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xml:space="preserve">- vplyv na Sociálnu poisťovňu </w:t>
            </w:r>
          </w:p>
        </w:tc>
        <w:tc>
          <w:tcPr>
            <w:tcW w:w="1340" w:type="dxa"/>
            <w:noWrap/>
            <w:vAlign w:val="center"/>
          </w:tcPr>
          <w:p w:rsidR="004955CA" w:rsidRPr="001A4A64" w:rsidRDefault="004955CA" w:rsidP="004955CA">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tcBorders>
              <w:top w:val="nil"/>
              <w:left w:val="nil"/>
              <w:bottom w:val="single" w:sz="4" w:space="0" w:color="auto"/>
              <w:right w:val="single" w:sz="4" w:space="0" w:color="auto"/>
            </w:tcBorders>
            <w:shd w:val="clear" w:color="auto" w:fill="auto"/>
            <w:noWrap/>
          </w:tcPr>
          <w:p w:rsidR="004955CA" w:rsidRPr="006B04D7" w:rsidRDefault="007C21A5" w:rsidP="004955CA">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4955CA" w:rsidRPr="006B04D7" w:rsidRDefault="007C21A5" w:rsidP="007C21A5">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3" w:type="dxa"/>
            <w:tcBorders>
              <w:top w:val="single" w:sz="4" w:space="0" w:color="auto"/>
              <w:left w:val="single" w:sz="4" w:space="0" w:color="auto"/>
              <w:bottom w:val="single" w:sz="4" w:space="0" w:color="auto"/>
              <w:right w:val="single" w:sz="4" w:space="0" w:color="auto"/>
            </w:tcBorders>
            <w:shd w:val="clear" w:color="auto" w:fill="auto"/>
            <w:noWrap/>
          </w:tcPr>
          <w:p w:rsidR="004955CA" w:rsidRPr="006B04D7" w:rsidRDefault="007C21A5" w:rsidP="004955CA">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E93DBE" w:rsidRPr="001A4A64" w:rsidTr="00E93DBE">
        <w:trPr>
          <w:trHeight w:val="125"/>
          <w:jc w:val="center"/>
        </w:trPr>
        <w:tc>
          <w:tcPr>
            <w:tcW w:w="3964" w:type="dxa"/>
            <w:noWrap/>
            <w:vAlign w:val="center"/>
          </w:tcPr>
          <w:p w:rsidR="00E93DBE" w:rsidRPr="00E93DBE" w:rsidRDefault="00E93DBE" w:rsidP="00E93DBE">
            <w:pPr>
              <w:spacing w:after="0" w:line="240" w:lineRule="auto"/>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 xml:space="preserve">- z toho: </w:t>
            </w:r>
            <w:r>
              <w:rPr>
                <w:rFonts w:ascii="Times New Roman" w:eastAsia="Times New Roman" w:hAnsi="Times New Roman" w:cs="Times New Roman"/>
                <w:bCs/>
                <w:i/>
                <w:iCs/>
                <w:sz w:val="24"/>
                <w:szCs w:val="24"/>
                <w:lang w:eastAsia="sk-SK"/>
              </w:rPr>
              <w:t>zníženie príjmu poistného plateného štátom</w:t>
            </w:r>
          </w:p>
        </w:tc>
        <w:tc>
          <w:tcPr>
            <w:tcW w:w="1340" w:type="dxa"/>
            <w:noWrap/>
            <w:vAlign w:val="center"/>
          </w:tcPr>
          <w:p w:rsidR="00E93DBE" w:rsidRPr="00E93DBE" w:rsidRDefault="00E93DBE" w:rsidP="00E93DBE">
            <w:pPr>
              <w:spacing w:after="0" w:line="240" w:lineRule="auto"/>
              <w:jc w:val="center"/>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0</w:t>
            </w:r>
          </w:p>
        </w:tc>
        <w:tc>
          <w:tcPr>
            <w:tcW w:w="1560" w:type="dxa"/>
            <w:tcBorders>
              <w:top w:val="nil"/>
              <w:left w:val="nil"/>
              <w:bottom w:val="single" w:sz="4" w:space="0" w:color="auto"/>
              <w:right w:val="single" w:sz="4" w:space="0" w:color="auto"/>
            </w:tcBorders>
            <w:shd w:val="clear" w:color="auto" w:fill="auto"/>
            <w:noWrap/>
            <w:vAlign w:val="center"/>
          </w:tcPr>
          <w:p w:rsidR="00E93DBE" w:rsidRPr="00E93DBE" w:rsidRDefault="00E93DBE" w:rsidP="00E93DBE">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-471 989 996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3DBE" w:rsidRPr="00E93DBE" w:rsidRDefault="00E93DBE" w:rsidP="00E93DBE">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-497 450 065</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3DBE" w:rsidRPr="00E93DBE" w:rsidRDefault="00E93DBE" w:rsidP="00E93DBE">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-523 750 661</w:t>
            </w:r>
          </w:p>
        </w:tc>
      </w:tr>
      <w:tr w:rsidR="007C21A5" w:rsidRPr="001A4A64" w:rsidTr="0091691E">
        <w:trPr>
          <w:trHeight w:val="125"/>
          <w:jc w:val="center"/>
        </w:trPr>
        <w:tc>
          <w:tcPr>
            <w:tcW w:w="3964" w:type="dxa"/>
            <w:noWrap/>
            <w:vAlign w:val="center"/>
          </w:tcPr>
          <w:p w:rsidR="007C21A5" w:rsidRPr="00E93DBE" w:rsidRDefault="007C21A5" w:rsidP="007C21A5">
            <w:pPr>
              <w:spacing w:after="0" w:line="240" w:lineRule="auto"/>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príjem transferu zo ŠR (kapitola V</w:t>
            </w:r>
            <w:r w:rsidR="00F13CD8">
              <w:rPr>
                <w:rFonts w:ascii="Times New Roman" w:eastAsia="Times New Roman" w:hAnsi="Times New Roman" w:cs="Times New Roman"/>
                <w:bCs/>
                <w:i/>
                <w:iCs/>
                <w:sz w:val="24"/>
                <w:szCs w:val="24"/>
                <w:lang w:eastAsia="sk-SK"/>
              </w:rPr>
              <w:t>PS</w:t>
            </w:r>
            <w:r>
              <w:rPr>
                <w:rFonts w:ascii="Times New Roman" w:eastAsia="Times New Roman" w:hAnsi="Times New Roman" w:cs="Times New Roman"/>
                <w:bCs/>
                <w:i/>
                <w:iCs/>
                <w:sz w:val="24"/>
                <w:szCs w:val="24"/>
                <w:lang w:eastAsia="sk-SK"/>
              </w:rPr>
              <w:t xml:space="preserve">) </w:t>
            </w:r>
          </w:p>
        </w:tc>
        <w:tc>
          <w:tcPr>
            <w:tcW w:w="1340" w:type="dxa"/>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0</w:t>
            </w:r>
          </w:p>
        </w:tc>
        <w:tc>
          <w:tcPr>
            <w:tcW w:w="1560" w:type="dxa"/>
            <w:tcBorders>
              <w:top w:val="nil"/>
              <w:left w:val="nil"/>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471 989 996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497 450 065</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523 750 661</w:t>
            </w:r>
          </w:p>
        </w:tc>
      </w:tr>
      <w:tr w:rsidR="00F13CD8" w:rsidRPr="001A4A64" w:rsidTr="0091691E">
        <w:trPr>
          <w:trHeight w:val="125"/>
          <w:jc w:val="center"/>
        </w:trPr>
        <w:tc>
          <w:tcPr>
            <w:tcW w:w="3964" w:type="dxa"/>
            <w:shd w:val="clear" w:color="auto" w:fill="C0C0C0"/>
            <w:noWrap/>
            <w:vAlign w:val="center"/>
          </w:tcPr>
          <w:p w:rsidR="00F13CD8" w:rsidRPr="001A4A64" w:rsidRDefault="00F13CD8" w:rsidP="00F13CD8">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Výdavky verejnej správy celkom</w:t>
            </w:r>
          </w:p>
        </w:tc>
        <w:tc>
          <w:tcPr>
            <w:tcW w:w="1340" w:type="dxa"/>
            <w:shd w:val="clear" w:color="auto" w:fill="C0C0C0"/>
            <w:noWrap/>
            <w:vAlign w:val="center"/>
          </w:tcPr>
          <w:p w:rsidR="00F13CD8" w:rsidRPr="001A4A64" w:rsidRDefault="00F13CD8" w:rsidP="00F13CD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2 340 000 </w:t>
            </w:r>
          </w:p>
        </w:tc>
        <w:tc>
          <w:tcPr>
            <w:tcW w:w="1560" w:type="dxa"/>
            <w:tcBorders>
              <w:top w:val="single" w:sz="4" w:space="0" w:color="auto"/>
              <w:left w:val="nil"/>
              <w:bottom w:val="single" w:sz="4" w:space="0" w:color="auto"/>
              <w:right w:val="single" w:sz="4" w:space="0" w:color="auto"/>
            </w:tcBorders>
            <w:shd w:val="clear" w:color="000000" w:fill="A6A6A6"/>
            <w:noWrap/>
          </w:tcPr>
          <w:p w:rsidR="00F13CD8" w:rsidRPr="00DE6100" w:rsidRDefault="00F13CD8" w:rsidP="00F13CD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DE6100">
              <w:rPr>
                <w:rFonts w:ascii="Times New Roman" w:eastAsia="Times New Roman" w:hAnsi="Times New Roman" w:cs="Times New Roman"/>
                <w:b/>
                <w:bCs/>
                <w:sz w:val="24"/>
                <w:szCs w:val="24"/>
                <w:lang w:eastAsia="sk-SK"/>
              </w:rPr>
              <w:t>48 462 199</w:t>
            </w:r>
          </w:p>
        </w:tc>
        <w:tc>
          <w:tcPr>
            <w:tcW w:w="1559" w:type="dxa"/>
            <w:tcBorders>
              <w:top w:val="single" w:sz="4" w:space="0" w:color="auto"/>
              <w:left w:val="single" w:sz="4" w:space="0" w:color="auto"/>
              <w:bottom w:val="single" w:sz="4" w:space="0" w:color="auto"/>
              <w:right w:val="single" w:sz="4" w:space="0" w:color="auto"/>
            </w:tcBorders>
            <w:shd w:val="clear" w:color="000000" w:fill="A6A6A6"/>
            <w:noWrap/>
          </w:tcPr>
          <w:p w:rsidR="00F13CD8" w:rsidRPr="00DE6100" w:rsidRDefault="00F13CD8" w:rsidP="00946B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00946BE9">
              <w:rPr>
                <w:rFonts w:ascii="Times New Roman" w:eastAsia="Times New Roman" w:hAnsi="Times New Roman" w:cs="Times New Roman"/>
                <w:b/>
                <w:bCs/>
                <w:sz w:val="24"/>
                <w:szCs w:val="24"/>
                <w:lang w:eastAsia="sk-SK"/>
              </w:rPr>
              <w:t>25 406 089</w:t>
            </w:r>
          </w:p>
        </w:tc>
        <w:tc>
          <w:tcPr>
            <w:tcW w:w="1553" w:type="dxa"/>
            <w:tcBorders>
              <w:top w:val="single" w:sz="4" w:space="0" w:color="auto"/>
              <w:left w:val="single" w:sz="4" w:space="0" w:color="auto"/>
              <w:bottom w:val="single" w:sz="4" w:space="0" w:color="auto"/>
              <w:right w:val="single" w:sz="4" w:space="0" w:color="auto"/>
            </w:tcBorders>
            <w:shd w:val="clear" w:color="000000" w:fill="A6A6A6"/>
            <w:noWrap/>
          </w:tcPr>
          <w:p w:rsidR="00F13CD8" w:rsidRPr="00C03002" w:rsidRDefault="00F13CD8" w:rsidP="00946BE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00946BE9">
              <w:rPr>
                <w:rFonts w:ascii="Times New Roman" w:eastAsia="Times New Roman" w:hAnsi="Times New Roman" w:cs="Times New Roman"/>
                <w:b/>
                <w:bCs/>
                <w:sz w:val="24"/>
                <w:szCs w:val="24"/>
                <w:lang w:eastAsia="sk-SK"/>
              </w:rPr>
              <w:t>1 487 969</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v tom: za každý subjekt verejnej správy / program zvlášť</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tcBorders>
              <w:top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tcBorders>
              <w:top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tcBorders>
              <w:top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xml:space="preserve">z toho: </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p>
        </w:tc>
        <w:tc>
          <w:tcPr>
            <w:tcW w:w="1560" w:type="dxa"/>
            <w:tcBorders>
              <w:bottom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p>
        </w:tc>
        <w:tc>
          <w:tcPr>
            <w:tcW w:w="1559" w:type="dxa"/>
            <w:tcBorders>
              <w:bottom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p>
        </w:tc>
        <w:tc>
          <w:tcPr>
            <w:tcW w:w="1553" w:type="dxa"/>
            <w:tcBorders>
              <w:bottom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p>
        </w:tc>
      </w:tr>
      <w:tr w:rsidR="007C21A5" w:rsidRPr="001A4A64" w:rsidTr="007C21A5">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ŠR (kapitola MPSVR SR)</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C21A5" w:rsidRPr="006B04D7" w:rsidRDefault="007C21A5" w:rsidP="007C21A5">
            <w:pPr>
              <w:spacing w:after="0" w:line="240" w:lineRule="auto"/>
              <w:jc w:val="center"/>
              <w:rPr>
                <w:rFonts w:ascii="Times New Roman" w:eastAsia="Times New Roman" w:hAnsi="Times New Roman" w:cs="Times New Roman"/>
                <w:b/>
                <w:bCs/>
                <w:iCs/>
                <w:sz w:val="24"/>
                <w:szCs w:val="24"/>
                <w:lang w:eastAsia="sk-SK"/>
              </w:rPr>
            </w:pPr>
            <w:r w:rsidRPr="00973916">
              <w:rPr>
                <w:rFonts w:ascii="Times New Roman" w:eastAsia="Times New Roman" w:hAnsi="Times New Roman" w:cs="Times New Roman"/>
                <w:b/>
                <w:bCs/>
                <w:iCs/>
                <w:sz w:val="24"/>
                <w:szCs w:val="24"/>
                <w:lang w:eastAsia="sk-SK"/>
              </w:rPr>
              <w:t>-520 452 195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6B04D7" w:rsidRDefault="007C21A5" w:rsidP="007C21A5">
            <w:pPr>
              <w:spacing w:after="0" w:line="240" w:lineRule="auto"/>
              <w:jc w:val="center"/>
              <w:rPr>
                <w:rFonts w:ascii="Times New Roman" w:eastAsia="Times New Roman" w:hAnsi="Times New Roman" w:cs="Times New Roman"/>
                <w:b/>
                <w:bCs/>
                <w:iCs/>
                <w:sz w:val="24"/>
                <w:szCs w:val="24"/>
                <w:lang w:eastAsia="sk-SK"/>
              </w:rPr>
            </w:pPr>
            <w:r w:rsidRPr="00973916">
              <w:rPr>
                <w:rFonts w:ascii="Times New Roman" w:eastAsia="Times New Roman" w:hAnsi="Times New Roman" w:cs="Times New Roman"/>
                <w:b/>
                <w:bCs/>
                <w:iCs/>
                <w:sz w:val="24"/>
                <w:szCs w:val="24"/>
                <w:lang w:eastAsia="sk-SK"/>
              </w:rPr>
              <w:t>-548 787 478</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6B04D7" w:rsidRDefault="007C21A5" w:rsidP="007C21A5">
            <w:pPr>
              <w:spacing w:after="0" w:line="240" w:lineRule="auto"/>
              <w:jc w:val="center"/>
              <w:rPr>
                <w:rFonts w:ascii="Times New Roman" w:eastAsia="Times New Roman" w:hAnsi="Times New Roman" w:cs="Times New Roman"/>
                <w:b/>
                <w:bCs/>
                <w:iCs/>
                <w:sz w:val="24"/>
                <w:szCs w:val="24"/>
                <w:lang w:eastAsia="sk-SK"/>
              </w:rPr>
            </w:pPr>
            <w:r w:rsidRPr="00973916">
              <w:rPr>
                <w:rFonts w:ascii="Times New Roman" w:eastAsia="Times New Roman" w:hAnsi="Times New Roman" w:cs="Times New Roman"/>
                <w:b/>
                <w:bCs/>
                <w:iCs/>
                <w:sz w:val="24"/>
                <w:szCs w:val="24"/>
                <w:lang w:eastAsia="sk-SK"/>
              </w:rPr>
              <w:t>-578 370 570</w:t>
            </w:r>
          </w:p>
        </w:tc>
      </w:tr>
      <w:tr w:rsidR="007C21A5" w:rsidRPr="001A4A64" w:rsidTr="007C21A5">
        <w:trPr>
          <w:trHeight w:val="70"/>
          <w:jc w:val="center"/>
        </w:trPr>
        <w:tc>
          <w:tcPr>
            <w:tcW w:w="3964" w:type="dxa"/>
            <w:noWrap/>
            <w:vAlign w:val="center"/>
          </w:tcPr>
          <w:p w:rsidR="007C21A5" w:rsidRPr="00221E14" w:rsidRDefault="007C21A5" w:rsidP="007C21A5">
            <w:pPr>
              <w:spacing w:after="0" w:line="240" w:lineRule="auto"/>
              <w:ind w:left="259"/>
              <w:rPr>
                <w:rFonts w:ascii="Times New Roman" w:eastAsia="Times New Roman" w:hAnsi="Times New Roman" w:cs="Times New Roman"/>
                <w:b/>
                <w:bCs/>
                <w:i/>
                <w:iCs/>
                <w:sz w:val="24"/>
                <w:szCs w:val="24"/>
                <w:lang w:eastAsia="sk-SK"/>
              </w:rPr>
            </w:pPr>
            <w:r w:rsidRPr="00221E14">
              <w:rPr>
                <w:rFonts w:ascii="Times New Roman" w:eastAsia="Times New Roman" w:hAnsi="Times New Roman" w:cs="Times New Roman"/>
                <w:bCs/>
                <w:i/>
                <w:iCs/>
                <w:sz w:val="24"/>
                <w:szCs w:val="24"/>
                <w:lang w:eastAsia="sk-SK"/>
              </w:rPr>
              <w:t xml:space="preserve">Rozpočtové prostriedky - </w:t>
            </w:r>
            <w:r w:rsidRPr="00221E14">
              <w:rPr>
                <w:rFonts w:ascii="Times New Roman" w:hAnsi="Times New Roman"/>
                <w:i/>
                <w:sz w:val="24"/>
                <w:szCs w:val="24"/>
              </w:rPr>
              <w:t>07C06 Nesystémové dávky sociálneho poistenia</w:t>
            </w:r>
          </w:p>
        </w:tc>
        <w:tc>
          <w:tcPr>
            <w:tcW w:w="1340" w:type="dxa"/>
            <w:noWrap/>
            <w:vAlign w:val="center"/>
          </w:tcPr>
          <w:p w:rsidR="007C21A5" w:rsidRPr="007C21A5" w:rsidRDefault="007C21A5" w:rsidP="007C21A5">
            <w:pPr>
              <w:spacing w:after="0" w:line="240" w:lineRule="auto"/>
              <w:jc w:val="center"/>
              <w:rPr>
                <w:rFonts w:ascii="Times New Roman" w:eastAsia="Times New Roman" w:hAnsi="Times New Roman" w:cs="Times New Roman"/>
                <w:bCs/>
                <w:i/>
                <w:iCs/>
                <w:sz w:val="24"/>
                <w:szCs w:val="24"/>
                <w:lang w:eastAsia="sk-SK"/>
              </w:rPr>
            </w:pPr>
            <w:r w:rsidRPr="007C21A5">
              <w:rPr>
                <w:rFonts w:ascii="Times New Roman" w:eastAsia="Times New Roman" w:hAnsi="Times New Roman" w:cs="Times New Roman"/>
                <w:bCs/>
                <w:i/>
                <w:iCs/>
                <w:sz w:val="24"/>
                <w:szCs w:val="24"/>
                <w:lang w:eastAsia="sk-SK"/>
              </w:rPr>
              <w:t>0</w:t>
            </w:r>
          </w:p>
        </w:tc>
        <w:tc>
          <w:tcPr>
            <w:tcW w:w="1560"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221E14">
              <w:rPr>
                <w:rFonts w:ascii="Times New Roman" w:eastAsia="Times New Roman" w:hAnsi="Times New Roman" w:cs="Times New Roman"/>
                <w:bCs/>
                <w:i/>
                <w:iCs/>
                <w:sz w:val="24"/>
                <w:szCs w:val="24"/>
                <w:lang w:eastAsia="sk-SK"/>
              </w:rPr>
              <w:t>0</w:t>
            </w:r>
          </w:p>
        </w:tc>
        <w:tc>
          <w:tcPr>
            <w:tcW w:w="1559"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221E14">
              <w:rPr>
                <w:rFonts w:ascii="Times New Roman" w:eastAsia="Times New Roman" w:hAnsi="Times New Roman" w:cs="Times New Roman"/>
                <w:bCs/>
                <w:i/>
                <w:iCs/>
                <w:sz w:val="24"/>
                <w:szCs w:val="24"/>
                <w:lang w:eastAsia="sk-SK"/>
              </w:rPr>
              <w:t>-307 328</w:t>
            </w:r>
          </w:p>
        </w:tc>
        <w:tc>
          <w:tcPr>
            <w:tcW w:w="1553"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221E14">
              <w:rPr>
                <w:rFonts w:ascii="Times New Roman" w:eastAsia="Times New Roman" w:hAnsi="Times New Roman" w:cs="Times New Roman"/>
                <w:bCs/>
                <w:i/>
                <w:iCs/>
                <w:sz w:val="24"/>
                <w:szCs w:val="24"/>
                <w:lang w:eastAsia="sk-SK"/>
              </w:rPr>
              <w:t>-940 424</w:t>
            </w:r>
          </w:p>
        </w:tc>
      </w:tr>
      <w:tr w:rsidR="007C21A5" w:rsidRPr="001A4A64" w:rsidTr="007C21A5">
        <w:trPr>
          <w:trHeight w:val="70"/>
          <w:jc w:val="center"/>
        </w:trPr>
        <w:tc>
          <w:tcPr>
            <w:tcW w:w="3964" w:type="dxa"/>
            <w:noWrap/>
            <w:vAlign w:val="center"/>
          </w:tcPr>
          <w:p w:rsidR="007C21A5" w:rsidRPr="00221E14" w:rsidRDefault="007C21A5" w:rsidP="007C21A5">
            <w:pPr>
              <w:spacing w:after="0" w:line="240" w:lineRule="auto"/>
              <w:ind w:left="259"/>
              <w:rPr>
                <w:rFonts w:ascii="Times New Roman" w:eastAsia="Times New Roman" w:hAnsi="Times New Roman" w:cs="Times New Roman"/>
                <w:bCs/>
                <w:i/>
                <w:iCs/>
                <w:sz w:val="24"/>
                <w:szCs w:val="24"/>
                <w:lang w:eastAsia="sk-SK"/>
              </w:rPr>
            </w:pPr>
            <w:r w:rsidRPr="00221E14">
              <w:rPr>
                <w:rFonts w:ascii="Times New Roman" w:eastAsia="Times New Roman" w:hAnsi="Times New Roman" w:cs="Times New Roman"/>
                <w:bCs/>
                <w:i/>
                <w:iCs/>
                <w:sz w:val="24"/>
                <w:szCs w:val="24"/>
                <w:lang w:eastAsia="sk-SK"/>
              </w:rPr>
              <w:t>Rozpočtové prostriedky – 07</w:t>
            </w:r>
            <w:r>
              <w:rPr>
                <w:rFonts w:ascii="Times New Roman" w:eastAsia="Times New Roman" w:hAnsi="Times New Roman" w:cs="Times New Roman"/>
                <w:bCs/>
                <w:i/>
                <w:iCs/>
                <w:sz w:val="24"/>
                <w:szCs w:val="24"/>
                <w:lang w:eastAsia="sk-SK"/>
              </w:rPr>
              <w:t>C</w:t>
            </w:r>
            <w:r w:rsidRPr="00221E14">
              <w:rPr>
                <w:rFonts w:ascii="Times New Roman" w:eastAsia="Times New Roman" w:hAnsi="Times New Roman" w:cs="Times New Roman"/>
                <w:bCs/>
                <w:i/>
                <w:iCs/>
                <w:sz w:val="24"/>
                <w:szCs w:val="24"/>
                <w:lang w:eastAsia="sk-SK"/>
              </w:rPr>
              <w:t>020A Štátom platené poistné</w:t>
            </w:r>
          </w:p>
        </w:tc>
        <w:tc>
          <w:tcPr>
            <w:tcW w:w="1340" w:type="dxa"/>
            <w:noWrap/>
            <w:vAlign w:val="center"/>
          </w:tcPr>
          <w:p w:rsidR="007C21A5" w:rsidRPr="007C21A5" w:rsidRDefault="007C21A5" w:rsidP="007C21A5">
            <w:pPr>
              <w:spacing w:after="0" w:line="240" w:lineRule="auto"/>
              <w:jc w:val="center"/>
              <w:rPr>
                <w:rFonts w:ascii="Times New Roman" w:eastAsia="Times New Roman" w:hAnsi="Times New Roman" w:cs="Times New Roman"/>
                <w:bCs/>
                <w:i/>
                <w:iCs/>
                <w:sz w:val="24"/>
                <w:szCs w:val="24"/>
                <w:lang w:eastAsia="sk-SK"/>
              </w:rPr>
            </w:pPr>
            <w:r w:rsidRPr="007C21A5">
              <w:rPr>
                <w:rFonts w:ascii="Times New Roman" w:eastAsia="Times New Roman" w:hAnsi="Times New Roman" w:cs="Times New Roman"/>
                <w:bCs/>
                <w:i/>
                <w:iCs/>
                <w:sz w:val="24"/>
                <w:szCs w:val="24"/>
                <w:lang w:eastAsia="sk-SK"/>
              </w:rPr>
              <w:t>0</w:t>
            </w:r>
          </w:p>
        </w:tc>
        <w:tc>
          <w:tcPr>
            <w:tcW w:w="1560"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973916">
              <w:rPr>
                <w:rFonts w:ascii="Times New Roman" w:eastAsia="Times New Roman" w:hAnsi="Times New Roman" w:cs="Times New Roman"/>
                <w:bCs/>
                <w:i/>
                <w:iCs/>
                <w:sz w:val="24"/>
                <w:szCs w:val="24"/>
                <w:lang w:eastAsia="sk-SK"/>
              </w:rPr>
              <w:t>-520 452 195</w:t>
            </w:r>
          </w:p>
        </w:tc>
        <w:tc>
          <w:tcPr>
            <w:tcW w:w="1559"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973916">
              <w:rPr>
                <w:rFonts w:ascii="Times New Roman" w:eastAsia="Times New Roman" w:hAnsi="Times New Roman" w:cs="Times New Roman"/>
                <w:bCs/>
                <w:i/>
                <w:iCs/>
                <w:sz w:val="24"/>
                <w:szCs w:val="24"/>
                <w:lang w:eastAsia="sk-SK"/>
              </w:rPr>
              <w:t>-548 480 150</w:t>
            </w:r>
          </w:p>
        </w:tc>
        <w:tc>
          <w:tcPr>
            <w:tcW w:w="1553" w:type="dxa"/>
            <w:noWrap/>
            <w:vAlign w:val="center"/>
          </w:tcPr>
          <w:p w:rsidR="007C21A5" w:rsidRPr="00221E14" w:rsidRDefault="007C21A5" w:rsidP="007C21A5">
            <w:pPr>
              <w:spacing w:after="0" w:line="240" w:lineRule="auto"/>
              <w:jc w:val="center"/>
              <w:rPr>
                <w:rFonts w:ascii="Times New Roman" w:eastAsia="Times New Roman" w:hAnsi="Times New Roman" w:cs="Times New Roman"/>
                <w:bCs/>
                <w:i/>
                <w:iCs/>
                <w:sz w:val="24"/>
                <w:szCs w:val="24"/>
                <w:lang w:eastAsia="sk-SK"/>
              </w:rPr>
            </w:pPr>
            <w:r w:rsidRPr="00973916">
              <w:rPr>
                <w:rFonts w:ascii="Times New Roman" w:eastAsia="Times New Roman" w:hAnsi="Times New Roman" w:cs="Times New Roman"/>
                <w:bCs/>
                <w:i/>
                <w:iCs/>
                <w:sz w:val="24"/>
                <w:szCs w:val="24"/>
                <w:lang w:eastAsia="sk-SK"/>
              </w:rPr>
              <w:t>-577 430 146</w:t>
            </w:r>
          </w:p>
        </w:tc>
      </w:tr>
      <w:tr w:rsidR="007C21A5" w:rsidRPr="001A4A64" w:rsidTr="0091691E">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xml:space="preserve">- vplyv na ŠR (kapitola </w:t>
            </w:r>
            <w:r>
              <w:rPr>
                <w:rFonts w:ascii="Times New Roman" w:eastAsia="Times New Roman" w:hAnsi="Times New Roman" w:cs="Times New Roman"/>
                <w:b/>
                <w:bCs/>
                <w:i/>
                <w:iCs/>
                <w:sz w:val="24"/>
                <w:szCs w:val="24"/>
                <w:lang w:eastAsia="sk-SK"/>
              </w:rPr>
              <w:t>V</w:t>
            </w:r>
            <w:r w:rsidR="00F13CD8">
              <w:rPr>
                <w:rFonts w:ascii="Times New Roman" w:eastAsia="Times New Roman" w:hAnsi="Times New Roman" w:cs="Times New Roman"/>
                <w:b/>
                <w:bCs/>
                <w:i/>
                <w:iCs/>
                <w:sz w:val="24"/>
                <w:szCs w:val="24"/>
                <w:lang w:eastAsia="sk-SK"/>
              </w:rPr>
              <w:t>PS</w:t>
            </w:r>
            <w:r w:rsidRPr="001A4A64">
              <w:rPr>
                <w:rFonts w:ascii="Times New Roman" w:eastAsia="Times New Roman" w:hAnsi="Times New Roman" w:cs="Times New Roman"/>
                <w:b/>
                <w:bCs/>
                <w:i/>
                <w:iCs/>
                <w:sz w:val="24"/>
                <w:szCs w:val="24"/>
                <w:lang w:eastAsia="sk-SK"/>
              </w:rPr>
              <w:t>)</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tcBorders>
              <w:top w:val="nil"/>
              <w:left w:val="nil"/>
              <w:bottom w:val="single" w:sz="4" w:space="0" w:color="auto"/>
              <w:right w:val="single" w:sz="4" w:space="0" w:color="auto"/>
            </w:tcBorders>
            <w:shd w:val="clear" w:color="auto" w:fill="auto"/>
            <w:noWrap/>
            <w:vAlign w:val="center"/>
          </w:tcPr>
          <w:p w:rsidR="007C21A5" w:rsidRPr="007C21A5" w:rsidRDefault="007C21A5" w:rsidP="007C21A5">
            <w:pPr>
              <w:spacing w:after="0" w:line="240" w:lineRule="auto"/>
              <w:jc w:val="center"/>
              <w:rPr>
                <w:rFonts w:ascii="Times New Roman" w:eastAsia="Times New Roman" w:hAnsi="Times New Roman" w:cs="Times New Roman"/>
                <w:b/>
                <w:bCs/>
                <w:iCs/>
                <w:sz w:val="24"/>
                <w:szCs w:val="24"/>
                <w:lang w:eastAsia="sk-SK"/>
              </w:rPr>
            </w:pPr>
            <w:r w:rsidRPr="007C21A5">
              <w:rPr>
                <w:rFonts w:ascii="Times New Roman" w:eastAsia="Times New Roman" w:hAnsi="Times New Roman" w:cs="Times New Roman"/>
                <w:b/>
                <w:bCs/>
                <w:iCs/>
                <w:sz w:val="24"/>
                <w:szCs w:val="24"/>
                <w:lang w:eastAsia="sk-SK"/>
              </w:rPr>
              <w:t>471 989 996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7C21A5" w:rsidRDefault="007C21A5" w:rsidP="007C21A5">
            <w:pPr>
              <w:spacing w:after="0" w:line="240" w:lineRule="auto"/>
              <w:jc w:val="center"/>
              <w:rPr>
                <w:rFonts w:ascii="Times New Roman" w:eastAsia="Times New Roman" w:hAnsi="Times New Roman" w:cs="Times New Roman"/>
                <w:b/>
                <w:bCs/>
                <w:iCs/>
                <w:sz w:val="24"/>
                <w:szCs w:val="24"/>
                <w:lang w:eastAsia="sk-SK"/>
              </w:rPr>
            </w:pPr>
            <w:r w:rsidRPr="007C21A5">
              <w:rPr>
                <w:rFonts w:ascii="Times New Roman" w:eastAsia="Times New Roman" w:hAnsi="Times New Roman" w:cs="Times New Roman"/>
                <w:b/>
                <w:bCs/>
                <w:iCs/>
                <w:sz w:val="24"/>
                <w:szCs w:val="24"/>
                <w:lang w:eastAsia="sk-SK"/>
              </w:rPr>
              <w:t>497 450 065</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7C21A5" w:rsidRDefault="007C21A5" w:rsidP="007C21A5">
            <w:pPr>
              <w:spacing w:after="0" w:line="240" w:lineRule="auto"/>
              <w:jc w:val="center"/>
              <w:rPr>
                <w:rFonts w:ascii="Times New Roman" w:eastAsia="Times New Roman" w:hAnsi="Times New Roman" w:cs="Times New Roman"/>
                <w:b/>
                <w:bCs/>
                <w:iCs/>
                <w:sz w:val="24"/>
                <w:szCs w:val="24"/>
                <w:lang w:eastAsia="sk-SK"/>
              </w:rPr>
            </w:pPr>
            <w:r w:rsidRPr="007C21A5">
              <w:rPr>
                <w:rFonts w:ascii="Times New Roman" w:eastAsia="Times New Roman" w:hAnsi="Times New Roman" w:cs="Times New Roman"/>
                <w:b/>
                <w:bCs/>
                <w:iCs/>
                <w:sz w:val="24"/>
                <w:szCs w:val="24"/>
                <w:lang w:eastAsia="sk-SK"/>
              </w:rPr>
              <w:t>523 750 661</w:t>
            </w:r>
          </w:p>
        </w:tc>
      </w:tr>
      <w:tr w:rsidR="007C21A5" w:rsidRPr="001A4A64" w:rsidTr="0091691E">
        <w:trPr>
          <w:trHeight w:val="70"/>
          <w:jc w:val="center"/>
        </w:trPr>
        <w:tc>
          <w:tcPr>
            <w:tcW w:w="3964" w:type="dxa"/>
            <w:noWrap/>
            <w:vAlign w:val="center"/>
          </w:tcPr>
          <w:p w:rsidR="007C21A5" w:rsidRPr="00221E14" w:rsidRDefault="007C21A5" w:rsidP="007C21A5">
            <w:pPr>
              <w:spacing w:after="0" w:line="240" w:lineRule="auto"/>
              <w:ind w:left="259"/>
              <w:rPr>
                <w:rFonts w:ascii="Times New Roman" w:eastAsia="Times New Roman" w:hAnsi="Times New Roman" w:cs="Times New Roman"/>
                <w:bCs/>
                <w:i/>
                <w:iCs/>
                <w:sz w:val="24"/>
                <w:szCs w:val="24"/>
                <w:lang w:eastAsia="sk-SK"/>
              </w:rPr>
            </w:pPr>
            <w:r w:rsidRPr="00221E14">
              <w:rPr>
                <w:rFonts w:ascii="Times New Roman" w:eastAsia="Times New Roman" w:hAnsi="Times New Roman" w:cs="Times New Roman"/>
                <w:bCs/>
                <w:i/>
                <w:iCs/>
                <w:sz w:val="24"/>
                <w:szCs w:val="24"/>
                <w:lang w:eastAsia="sk-SK"/>
              </w:rPr>
              <w:t xml:space="preserve">Rozpočtové prostriedky </w:t>
            </w:r>
            <w:r>
              <w:rPr>
                <w:rFonts w:ascii="Times New Roman" w:eastAsia="Times New Roman" w:hAnsi="Times New Roman" w:cs="Times New Roman"/>
                <w:bCs/>
                <w:i/>
                <w:iCs/>
                <w:sz w:val="24"/>
                <w:szCs w:val="24"/>
                <w:lang w:eastAsia="sk-SK"/>
              </w:rPr>
              <w:t>–</w:t>
            </w:r>
            <w:r w:rsidRPr="00221E14">
              <w:rPr>
                <w:rFonts w:ascii="Times New Roman" w:eastAsia="Times New Roman" w:hAnsi="Times New Roman" w:cs="Times New Roman"/>
                <w:bCs/>
                <w:i/>
                <w:iCs/>
                <w:sz w:val="24"/>
                <w:szCs w:val="24"/>
                <w:lang w:eastAsia="sk-SK"/>
              </w:rPr>
              <w:t xml:space="preserve"> </w:t>
            </w:r>
            <w:r>
              <w:rPr>
                <w:rFonts w:ascii="Times New Roman" w:hAnsi="Times New Roman"/>
                <w:i/>
                <w:sz w:val="24"/>
                <w:szCs w:val="24"/>
              </w:rPr>
              <w:t>0HW03</w:t>
            </w:r>
            <w:r w:rsidRPr="00221E14">
              <w:rPr>
                <w:rFonts w:ascii="Times New Roman" w:hAnsi="Times New Roman"/>
                <w:i/>
                <w:sz w:val="24"/>
                <w:szCs w:val="24"/>
              </w:rPr>
              <w:t xml:space="preserve"> </w:t>
            </w:r>
            <w:r>
              <w:rPr>
                <w:rFonts w:ascii="Times New Roman" w:hAnsi="Times New Roman"/>
                <w:i/>
                <w:sz w:val="24"/>
                <w:szCs w:val="24"/>
              </w:rPr>
              <w:t>Transfer Sociálnej poisťovni</w:t>
            </w:r>
          </w:p>
        </w:tc>
        <w:tc>
          <w:tcPr>
            <w:tcW w:w="1340" w:type="dxa"/>
            <w:noWrap/>
            <w:vAlign w:val="center"/>
          </w:tcPr>
          <w:p w:rsidR="007C21A5" w:rsidRPr="007C21A5" w:rsidRDefault="007C21A5" w:rsidP="007C21A5">
            <w:pPr>
              <w:spacing w:after="0" w:line="240" w:lineRule="auto"/>
              <w:jc w:val="center"/>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0</w:t>
            </w:r>
          </w:p>
        </w:tc>
        <w:tc>
          <w:tcPr>
            <w:tcW w:w="1560" w:type="dxa"/>
            <w:tcBorders>
              <w:top w:val="nil"/>
              <w:left w:val="nil"/>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471 989 996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497 450 065</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E93DBE" w:rsidRDefault="007C21A5" w:rsidP="007C21A5">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523 750 661</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Cs/>
                <w:i/>
                <w:iCs/>
                <w:sz w:val="24"/>
                <w:szCs w:val="24"/>
                <w:lang w:eastAsia="sk-SK"/>
              </w:rPr>
            </w:pPr>
            <w:r w:rsidRPr="001A4A64">
              <w:rPr>
                <w:rFonts w:ascii="Times New Roman" w:eastAsia="Times New Roman" w:hAnsi="Times New Roman" w:cs="Times New Roman"/>
                <w:bCs/>
                <w:i/>
                <w:iCs/>
                <w:sz w:val="24"/>
                <w:szCs w:val="24"/>
                <w:lang w:eastAsia="sk-SK"/>
              </w:rPr>
              <w:t xml:space="preserve">    EÚ zdroje</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Cs/>
                <w:i/>
                <w:iCs/>
                <w:sz w:val="24"/>
                <w:szCs w:val="24"/>
                <w:lang w:eastAsia="sk-SK"/>
              </w:rPr>
            </w:pPr>
            <w:r w:rsidRPr="001A4A64">
              <w:rPr>
                <w:rFonts w:ascii="Times New Roman" w:eastAsia="Times New Roman" w:hAnsi="Times New Roman" w:cs="Times New Roman"/>
                <w:bCs/>
                <w:i/>
                <w:iCs/>
                <w:sz w:val="24"/>
                <w:szCs w:val="24"/>
                <w:lang w:eastAsia="sk-SK"/>
              </w:rPr>
              <w:t xml:space="preserve">    Spolufinancovanie</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C21A5" w:rsidRPr="001A4A64" w:rsidTr="00973916">
        <w:trPr>
          <w:trHeight w:val="125"/>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obce</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125"/>
          <w:jc w:val="center"/>
        </w:trPr>
        <w:tc>
          <w:tcPr>
            <w:tcW w:w="3964" w:type="dxa"/>
            <w:noWrap/>
            <w:vAlign w:val="center"/>
          </w:tcPr>
          <w:p w:rsidR="007C21A5" w:rsidRPr="001A4A64" w:rsidRDefault="007C21A5" w:rsidP="007C21A5">
            <w:pPr>
              <w:spacing w:after="0" w:line="240" w:lineRule="auto"/>
              <w:ind w:left="203"/>
              <w:rPr>
                <w:rFonts w:ascii="Times New Roman" w:eastAsia="Times New Roman" w:hAnsi="Times New Roman" w:cs="Times New Roman"/>
                <w:bCs/>
                <w:i/>
                <w:iCs/>
                <w:sz w:val="24"/>
                <w:szCs w:val="24"/>
                <w:lang w:eastAsia="sk-SK"/>
              </w:rPr>
            </w:pPr>
            <w:r w:rsidRPr="001A4A64">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7C21A5" w:rsidRPr="001A4A64" w:rsidRDefault="007C21A5" w:rsidP="007C21A5">
            <w:pPr>
              <w:spacing w:after="0" w:line="240" w:lineRule="auto"/>
              <w:ind w:left="203"/>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Cs/>
                <w:i/>
                <w:iCs/>
                <w:sz w:val="24"/>
                <w:szCs w:val="24"/>
                <w:lang w:eastAsia="sk-SK"/>
              </w:rPr>
              <w:t>o rozpočtovej zodpovednosti</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C21A5" w:rsidRPr="001A4A64" w:rsidTr="00973916">
        <w:trPr>
          <w:trHeight w:val="125"/>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125"/>
          <w:jc w:val="center"/>
        </w:trPr>
        <w:tc>
          <w:tcPr>
            <w:tcW w:w="3964" w:type="dxa"/>
            <w:noWrap/>
            <w:vAlign w:val="center"/>
          </w:tcPr>
          <w:p w:rsidR="007C21A5" w:rsidRPr="001A4A64" w:rsidRDefault="007C21A5" w:rsidP="007C21A5">
            <w:pPr>
              <w:spacing w:after="0" w:line="240" w:lineRule="auto"/>
              <w:ind w:left="203"/>
              <w:rPr>
                <w:rFonts w:ascii="Times New Roman" w:eastAsia="Times New Roman" w:hAnsi="Times New Roman" w:cs="Times New Roman"/>
                <w:bCs/>
                <w:i/>
                <w:iCs/>
                <w:sz w:val="24"/>
                <w:szCs w:val="24"/>
                <w:lang w:eastAsia="sk-SK"/>
              </w:rPr>
            </w:pPr>
            <w:r w:rsidRPr="001A4A64">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7C21A5" w:rsidRPr="001A4A64" w:rsidRDefault="007C21A5" w:rsidP="007C21A5">
            <w:pPr>
              <w:spacing w:after="0" w:line="240" w:lineRule="auto"/>
              <w:ind w:left="203"/>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Cs/>
                <w:i/>
                <w:iCs/>
                <w:sz w:val="24"/>
                <w:szCs w:val="24"/>
                <w:lang w:eastAsia="sk-SK"/>
              </w:rPr>
              <w:t>o rozpočtovej zodpovednosti</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i/>
                <w:iCs/>
                <w:sz w:val="24"/>
                <w:szCs w:val="24"/>
                <w:lang w:eastAsia="sk-SK"/>
              </w:rPr>
              <w:lastRenderedPageBreak/>
              <w:t>- vplyv na ostatné subjekty verejnej správy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tcBorders>
              <w:bottom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tcBorders>
              <w:bottom w:val="single" w:sz="4" w:space="0" w:color="auto"/>
            </w:tcBorders>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xml:space="preserve">- vplyv na Sociálnu poisťovňu </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2 340 000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C21A5" w:rsidRPr="002E61A8" w:rsidRDefault="002E61A8" w:rsidP="007C21A5">
            <w:pPr>
              <w:spacing w:after="0" w:line="240" w:lineRule="auto"/>
              <w:jc w:val="center"/>
              <w:rPr>
                <w:rFonts w:ascii="Times New Roman" w:eastAsia="Times New Roman" w:hAnsi="Times New Roman" w:cs="Times New Roman"/>
                <w:b/>
                <w:bCs/>
                <w:iCs/>
                <w:sz w:val="24"/>
                <w:szCs w:val="24"/>
                <w:highlight w:val="yellow"/>
                <w:lang w:eastAsia="sk-SK"/>
              </w:rPr>
            </w:pPr>
            <w:r w:rsidRPr="002E61A8">
              <w:rPr>
                <w:rFonts w:ascii="Times New Roman" w:eastAsia="Times New Roman" w:hAnsi="Times New Roman" w:cs="Times New Roman"/>
                <w:b/>
                <w:bCs/>
                <w:iCs/>
                <w:sz w:val="24"/>
                <w:szCs w:val="24"/>
                <w:lang w:eastAsia="sk-SK"/>
              </w:rPr>
              <w:t>25 931 324</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1A5" w:rsidRPr="002E61A8" w:rsidRDefault="002E61A8" w:rsidP="007C21A5">
            <w:pPr>
              <w:spacing w:after="0" w:line="240" w:lineRule="auto"/>
              <w:jc w:val="center"/>
              <w:rPr>
                <w:rFonts w:ascii="Times New Roman" w:eastAsia="Times New Roman" w:hAnsi="Times New Roman" w:cs="Times New Roman"/>
                <w:b/>
                <w:bCs/>
                <w:iCs/>
                <w:sz w:val="24"/>
                <w:szCs w:val="24"/>
                <w:highlight w:val="yellow"/>
                <w:lang w:eastAsia="sk-SK"/>
              </w:rPr>
            </w:pPr>
            <w:r w:rsidRPr="002E61A8">
              <w:rPr>
                <w:rFonts w:ascii="Times New Roman" w:eastAsia="Times New Roman" w:hAnsi="Times New Roman" w:cs="Times New Roman"/>
                <w:b/>
                <w:bCs/>
                <w:iCs/>
                <w:sz w:val="24"/>
                <w:szCs w:val="24"/>
                <w:lang w:eastAsia="sk-SK"/>
              </w:rPr>
              <w:t>53 131 940</w:t>
            </w:r>
          </w:p>
        </w:tc>
      </w:tr>
      <w:tr w:rsidR="007C21A5" w:rsidRPr="001A4A64" w:rsidTr="00973916">
        <w:trPr>
          <w:trHeight w:val="70"/>
          <w:jc w:val="center"/>
        </w:trPr>
        <w:tc>
          <w:tcPr>
            <w:tcW w:w="3964" w:type="dxa"/>
            <w:shd w:val="clear" w:color="auto" w:fill="BFBFBF" w:themeFill="background1" w:themeFillShade="BF"/>
            <w:noWrap/>
            <w:vAlign w:val="center"/>
          </w:tcPr>
          <w:p w:rsidR="007C21A5" w:rsidRPr="001A4A64" w:rsidRDefault="007C21A5" w:rsidP="007C21A5">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 xml:space="preserve">Vplyv na počet zamestnancov </w:t>
            </w:r>
          </w:p>
        </w:tc>
        <w:tc>
          <w:tcPr>
            <w:tcW w:w="1340"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60"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53"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ŠR</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obce</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ostatné subjekty verejnej správy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shd w:val="clear" w:color="auto" w:fill="BFBFBF" w:themeFill="background1" w:themeFillShade="BF"/>
            <w:noWrap/>
            <w:vAlign w:val="center"/>
          </w:tcPr>
          <w:p w:rsidR="007C21A5" w:rsidRPr="001A4A64" w:rsidRDefault="007C21A5" w:rsidP="007C21A5">
            <w:pPr>
              <w:spacing w:after="0" w:line="240" w:lineRule="auto"/>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Vplyv na mzdové výdavky</w:t>
            </w:r>
          </w:p>
        </w:tc>
        <w:tc>
          <w:tcPr>
            <w:tcW w:w="1340"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0</w:t>
            </w:r>
          </w:p>
        </w:tc>
        <w:tc>
          <w:tcPr>
            <w:tcW w:w="1560"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0</w:t>
            </w:r>
          </w:p>
        </w:tc>
        <w:tc>
          <w:tcPr>
            <w:tcW w:w="1559"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0</w:t>
            </w:r>
          </w:p>
        </w:tc>
        <w:tc>
          <w:tcPr>
            <w:tcW w:w="1553"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ŠR</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obce</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i/>
                <w:iCs/>
                <w:sz w:val="24"/>
                <w:szCs w:val="24"/>
                <w:lang w:eastAsia="sk-SK"/>
              </w:rPr>
            </w:pPr>
            <w:r w:rsidRPr="001A4A64">
              <w:rPr>
                <w:rFonts w:ascii="Times New Roman" w:eastAsia="Times New Roman" w:hAnsi="Times New Roman" w:cs="Times New Roman"/>
                <w:b/>
                <w:bCs/>
                <w:i/>
                <w:iCs/>
                <w:sz w:val="24"/>
                <w:szCs w:val="24"/>
                <w:lang w:eastAsia="sk-SK"/>
              </w:rPr>
              <w:t>- vplyv na vyššie územné celky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i/>
                <w:iCs/>
                <w:sz w:val="24"/>
                <w:szCs w:val="24"/>
                <w:lang w:eastAsia="sk-SK"/>
              </w:rPr>
              <w:t>- vplyv na ostatné subjekty verejnej správy</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9"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c>
          <w:tcPr>
            <w:tcW w:w="1553" w:type="dxa"/>
            <w:noWrap/>
            <w:vAlign w:val="center"/>
          </w:tcPr>
          <w:p w:rsidR="007C21A5" w:rsidRPr="001A4A64" w:rsidRDefault="007C21A5" w:rsidP="007C21A5">
            <w:pPr>
              <w:spacing w:after="0" w:line="240" w:lineRule="auto"/>
              <w:jc w:val="center"/>
              <w:rPr>
                <w:rFonts w:ascii="Times New Roman" w:eastAsia="Times New Roman" w:hAnsi="Times New Roman" w:cs="Times New Roman"/>
                <w:b/>
                <w:bCs/>
                <w:iCs/>
                <w:sz w:val="24"/>
                <w:szCs w:val="24"/>
                <w:lang w:eastAsia="sk-SK"/>
              </w:rPr>
            </w:pPr>
            <w:r w:rsidRPr="001A4A64">
              <w:rPr>
                <w:rFonts w:ascii="Times New Roman" w:eastAsia="Times New Roman" w:hAnsi="Times New Roman" w:cs="Times New Roman"/>
                <w:b/>
                <w:bCs/>
                <w:iCs/>
                <w:sz w:val="24"/>
                <w:szCs w:val="24"/>
                <w:lang w:eastAsia="sk-SK"/>
              </w:rPr>
              <w:t>0</w:t>
            </w:r>
          </w:p>
        </w:tc>
      </w:tr>
      <w:tr w:rsidR="007C21A5" w:rsidRPr="001A4A64" w:rsidTr="00973916">
        <w:trPr>
          <w:trHeight w:val="70"/>
          <w:jc w:val="center"/>
        </w:trPr>
        <w:tc>
          <w:tcPr>
            <w:tcW w:w="3964" w:type="dxa"/>
            <w:shd w:val="clear" w:color="auto" w:fill="C0C0C0"/>
            <w:noWrap/>
            <w:vAlign w:val="center"/>
          </w:tcPr>
          <w:p w:rsidR="007C21A5" w:rsidRPr="001A4A64" w:rsidRDefault="007C21A5" w:rsidP="007C21A5">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Financovanie zabezpečené v rozpočte</w:t>
            </w:r>
          </w:p>
        </w:tc>
        <w:tc>
          <w:tcPr>
            <w:tcW w:w="1340" w:type="dxa"/>
            <w:shd w:val="clear" w:color="auto" w:fill="C0C0C0"/>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2 340 000</w:t>
            </w:r>
          </w:p>
        </w:tc>
        <w:tc>
          <w:tcPr>
            <w:tcW w:w="1560" w:type="dxa"/>
            <w:shd w:val="clear" w:color="auto" w:fill="C0C0C0"/>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59" w:type="dxa"/>
            <w:shd w:val="clear" w:color="auto" w:fill="C0C0C0"/>
            <w:noWrap/>
            <w:vAlign w:val="center"/>
          </w:tcPr>
          <w:p w:rsidR="007C21A5" w:rsidRPr="001A4A64" w:rsidRDefault="00946BE9"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2 127 405</w:t>
            </w:r>
          </w:p>
        </w:tc>
        <w:tc>
          <w:tcPr>
            <w:tcW w:w="1553" w:type="dxa"/>
            <w:shd w:val="clear" w:color="auto" w:fill="C0C0C0"/>
            <w:noWrap/>
            <w:vAlign w:val="center"/>
          </w:tcPr>
          <w:p w:rsidR="007C21A5" w:rsidRPr="001A4A64" w:rsidRDefault="00946BE9"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2 191 228</w:t>
            </w:r>
          </w:p>
        </w:tc>
      </w:tr>
      <w:tr w:rsidR="007C21A5" w:rsidRPr="001A4A64" w:rsidTr="00973916">
        <w:trPr>
          <w:trHeight w:val="70"/>
          <w:jc w:val="center"/>
        </w:trPr>
        <w:tc>
          <w:tcPr>
            <w:tcW w:w="3964" w:type="dxa"/>
            <w:noWrap/>
            <w:vAlign w:val="center"/>
          </w:tcPr>
          <w:p w:rsidR="007C21A5" w:rsidRPr="001A4A64" w:rsidRDefault="007C21A5" w:rsidP="007C21A5">
            <w:pPr>
              <w:spacing w:after="0" w:line="240" w:lineRule="auto"/>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v tom: za každý subjekt verejnej správy / program zvlášť</w:t>
            </w:r>
            <w:r>
              <w:rPr>
                <w:rFonts w:ascii="Times New Roman" w:eastAsia="Times New Roman" w:hAnsi="Times New Roman" w:cs="Times New Roman"/>
                <w:sz w:val="24"/>
                <w:szCs w:val="24"/>
                <w:lang w:eastAsia="sk-SK"/>
              </w:rPr>
              <w:t xml:space="preserve"> – Sociálna poisťovňa</w:t>
            </w:r>
          </w:p>
        </w:tc>
        <w:tc>
          <w:tcPr>
            <w:tcW w:w="134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2 340 000</w:t>
            </w:r>
          </w:p>
        </w:tc>
        <w:tc>
          <w:tcPr>
            <w:tcW w:w="1560" w:type="dxa"/>
            <w:noWrap/>
            <w:vAlign w:val="center"/>
          </w:tcPr>
          <w:p w:rsidR="007C21A5" w:rsidRPr="001A4A64" w:rsidRDefault="007C21A5" w:rsidP="007C21A5">
            <w:pPr>
              <w:spacing w:after="0" w:line="240" w:lineRule="auto"/>
              <w:jc w:val="center"/>
              <w:rPr>
                <w:rFonts w:ascii="Times New Roman" w:eastAsia="Times New Roman" w:hAnsi="Times New Roman" w:cs="Times New Roman"/>
                <w:sz w:val="24"/>
                <w:szCs w:val="24"/>
                <w:lang w:eastAsia="sk-SK"/>
              </w:rPr>
            </w:pPr>
            <w:r w:rsidRPr="001A4A64">
              <w:rPr>
                <w:rFonts w:ascii="Times New Roman" w:eastAsia="Times New Roman" w:hAnsi="Times New Roman" w:cs="Times New Roman"/>
                <w:sz w:val="24"/>
                <w:szCs w:val="24"/>
                <w:lang w:eastAsia="sk-SK"/>
              </w:rPr>
              <w:t>0</w:t>
            </w:r>
          </w:p>
        </w:tc>
        <w:tc>
          <w:tcPr>
            <w:tcW w:w="1559" w:type="dxa"/>
            <w:noWrap/>
            <w:vAlign w:val="center"/>
          </w:tcPr>
          <w:p w:rsidR="007C21A5" w:rsidRPr="001A4A64" w:rsidRDefault="00946BE9" w:rsidP="007C21A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2 127 405</w:t>
            </w:r>
          </w:p>
        </w:tc>
        <w:tc>
          <w:tcPr>
            <w:tcW w:w="1553" w:type="dxa"/>
            <w:noWrap/>
            <w:vAlign w:val="center"/>
          </w:tcPr>
          <w:p w:rsidR="007C21A5" w:rsidRPr="001A4A64" w:rsidRDefault="00946BE9" w:rsidP="007C21A5">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2 191 228</w:t>
            </w:r>
          </w:p>
        </w:tc>
      </w:tr>
      <w:tr w:rsidR="007C21A5" w:rsidRPr="001A4A64" w:rsidTr="00973916">
        <w:trPr>
          <w:trHeight w:val="70"/>
          <w:jc w:val="center"/>
        </w:trPr>
        <w:tc>
          <w:tcPr>
            <w:tcW w:w="3964" w:type="dxa"/>
            <w:shd w:val="clear" w:color="auto" w:fill="BFBFBF" w:themeFill="background1" w:themeFillShade="BF"/>
            <w:noWrap/>
            <w:vAlign w:val="center"/>
          </w:tcPr>
          <w:p w:rsidR="007C21A5" w:rsidRPr="001A4A64" w:rsidRDefault="007C21A5" w:rsidP="007C21A5">
            <w:pPr>
              <w:spacing w:after="0" w:line="240" w:lineRule="auto"/>
              <w:rPr>
                <w:rFonts w:ascii="Times New Roman" w:eastAsia="Times New Roman" w:hAnsi="Times New Roman" w:cs="Times New Roman"/>
                <w:b/>
                <w:sz w:val="24"/>
                <w:szCs w:val="24"/>
                <w:lang w:eastAsia="sk-SK"/>
              </w:rPr>
            </w:pPr>
            <w:r w:rsidRPr="001A4A64">
              <w:rPr>
                <w:rFonts w:ascii="Times New Roman" w:eastAsia="Times New Roman" w:hAnsi="Times New Roman" w:cs="Times New Roman"/>
                <w:b/>
                <w:sz w:val="24"/>
                <w:szCs w:val="24"/>
                <w:lang w:eastAsia="sk-SK"/>
              </w:rPr>
              <w:t>Iné ako rozpočtové zdroje</w:t>
            </w:r>
          </w:p>
        </w:tc>
        <w:tc>
          <w:tcPr>
            <w:tcW w:w="1340" w:type="dxa"/>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60" w:type="dxa"/>
            <w:tcBorders>
              <w:bottom w:val="single" w:sz="4" w:space="0" w:color="auto"/>
            </w:tcBorders>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59" w:type="dxa"/>
            <w:tcBorders>
              <w:bottom w:val="single" w:sz="4" w:space="0" w:color="auto"/>
            </w:tcBorders>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53" w:type="dxa"/>
            <w:tcBorders>
              <w:bottom w:val="single" w:sz="4" w:space="0" w:color="auto"/>
            </w:tcBorders>
            <w:shd w:val="clear" w:color="auto" w:fill="BFBFBF" w:themeFill="background1" w:themeFillShade="BF"/>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r>
      <w:tr w:rsidR="007C21A5" w:rsidRPr="001A4A64" w:rsidTr="001E23BB">
        <w:trPr>
          <w:trHeight w:val="70"/>
          <w:jc w:val="center"/>
        </w:trPr>
        <w:tc>
          <w:tcPr>
            <w:tcW w:w="3964" w:type="dxa"/>
            <w:shd w:val="clear" w:color="auto" w:fill="A6A6A6" w:themeFill="background1" w:themeFillShade="A6"/>
            <w:noWrap/>
            <w:vAlign w:val="center"/>
          </w:tcPr>
          <w:p w:rsidR="007C21A5" w:rsidRPr="001A4A64" w:rsidRDefault="007C21A5" w:rsidP="007C21A5">
            <w:pPr>
              <w:spacing w:after="0" w:line="240" w:lineRule="auto"/>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Rozpočtovo nekrytý vplyv / úspora</w:t>
            </w:r>
            <w:r>
              <w:rPr>
                <w:rFonts w:ascii="Times New Roman" w:eastAsia="Times New Roman" w:hAnsi="Times New Roman" w:cs="Times New Roman"/>
                <w:b/>
                <w:bCs/>
                <w:sz w:val="24"/>
                <w:szCs w:val="24"/>
                <w:lang w:eastAsia="sk-SK"/>
              </w:rPr>
              <w:t>*</w:t>
            </w:r>
          </w:p>
        </w:tc>
        <w:tc>
          <w:tcPr>
            <w:tcW w:w="1340" w:type="dxa"/>
            <w:shd w:val="clear" w:color="auto" w:fill="A6A6A6" w:themeFill="background1" w:themeFillShade="A6"/>
            <w:noWrap/>
            <w:vAlign w:val="center"/>
          </w:tcPr>
          <w:p w:rsidR="007C21A5" w:rsidRPr="001A4A64" w:rsidRDefault="007C21A5" w:rsidP="007C21A5">
            <w:pPr>
              <w:spacing w:after="0" w:line="240" w:lineRule="auto"/>
              <w:jc w:val="center"/>
              <w:rPr>
                <w:rFonts w:ascii="Times New Roman" w:eastAsia="Times New Roman" w:hAnsi="Times New Roman" w:cs="Times New Roman"/>
                <w:b/>
                <w:bCs/>
                <w:sz w:val="24"/>
                <w:szCs w:val="24"/>
                <w:lang w:eastAsia="sk-SK"/>
              </w:rPr>
            </w:pPr>
            <w:r w:rsidRPr="001A4A64">
              <w:rPr>
                <w:rFonts w:ascii="Times New Roman" w:eastAsia="Times New Roman" w:hAnsi="Times New Roman" w:cs="Times New Roman"/>
                <w:b/>
                <w:bCs/>
                <w:sz w:val="24"/>
                <w:szCs w:val="24"/>
                <w:lang w:eastAsia="sk-SK"/>
              </w:rPr>
              <w:t>0</w:t>
            </w:r>
          </w:p>
        </w:tc>
        <w:tc>
          <w:tcPr>
            <w:tcW w:w="1560" w:type="dxa"/>
            <w:tcBorders>
              <w:top w:val="single" w:sz="4" w:space="0" w:color="auto"/>
              <w:left w:val="nil"/>
              <w:bottom w:val="single" w:sz="4" w:space="0" w:color="auto"/>
              <w:right w:val="single" w:sz="4" w:space="0" w:color="auto"/>
            </w:tcBorders>
            <w:shd w:val="clear" w:color="000000" w:fill="A6A6A6"/>
            <w:noWrap/>
          </w:tcPr>
          <w:p w:rsidR="007C21A5" w:rsidRPr="00DE6100" w:rsidRDefault="007C21A5"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DE6100">
              <w:rPr>
                <w:rFonts w:ascii="Times New Roman" w:eastAsia="Times New Roman" w:hAnsi="Times New Roman" w:cs="Times New Roman"/>
                <w:b/>
                <w:bCs/>
                <w:sz w:val="24"/>
                <w:szCs w:val="24"/>
                <w:lang w:eastAsia="sk-SK"/>
              </w:rPr>
              <w:t>48 462 199</w:t>
            </w:r>
          </w:p>
        </w:tc>
        <w:tc>
          <w:tcPr>
            <w:tcW w:w="1559" w:type="dxa"/>
            <w:tcBorders>
              <w:top w:val="single" w:sz="4" w:space="0" w:color="auto"/>
              <w:left w:val="single" w:sz="4" w:space="0" w:color="auto"/>
              <w:bottom w:val="single" w:sz="4" w:space="0" w:color="auto"/>
              <w:right w:val="single" w:sz="4" w:space="0" w:color="auto"/>
            </w:tcBorders>
            <w:shd w:val="clear" w:color="000000" w:fill="A6A6A6"/>
            <w:noWrap/>
          </w:tcPr>
          <w:p w:rsidR="007C21A5" w:rsidRPr="00DE6100" w:rsidRDefault="007C21A5"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DE6100">
              <w:rPr>
                <w:rFonts w:ascii="Times New Roman" w:eastAsia="Times New Roman" w:hAnsi="Times New Roman" w:cs="Times New Roman"/>
                <w:b/>
                <w:bCs/>
                <w:sz w:val="24"/>
                <w:szCs w:val="24"/>
                <w:lang w:eastAsia="sk-SK"/>
              </w:rPr>
              <w:t>27 533 494</w:t>
            </w:r>
          </w:p>
        </w:tc>
        <w:tc>
          <w:tcPr>
            <w:tcW w:w="1553" w:type="dxa"/>
            <w:tcBorders>
              <w:top w:val="single" w:sz="4" w:space="0" w:color="auto"/>
              <w:left w:val="single" w:sz="4" w:space="0" w:color="auto"/>
              <w:bottom w:val="single" w:sz="4" w:space="0" w:color="auto"/>
              <w:right w:val="single" w:sz="4" w:space="0" w:color="auto"/>
            </w:tcBorders>
            <w:shd w:val="clear" w:color="000000" w:fill="A6A6A6"/>
            <w:noWrap/>
          </w:tcPr>
          <w:p w:rsidR="007C21A5" w:rsidRPr="00C03002" w:rsidRDefault="007C21A5" w:rsidP="007C21A5">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DE6100">
              <w:rPr>
                <w:rFonts w:ascii="Times New Roman" w:eastAsia="Times New Roman" w:hAnsi="Times New Roman" w:cs="Times New Roman"/>
                <w:b/>
                <w:bCs/>
                <w:sz w:val="24"/>
                <w:szCs w:val="24"/>
                <w:lang w:eastAsia="sk-SK"/>
              </w:rPr>
              <w:t>3 679 197</w:t>
            </w:r>
          </w:p>
        </w:tc>
      </w:tr>
      <w:tr w:rsidR="00F13CD8" w:rsidRPr="001A4A64" w:rsidTr="00F13CD8">
        <w:trPr>
          <w:trHeight w:val="70"/>
          <w:jc w:val="center"/>
        </w:trPr>
        <w:tc>
          <w:tcPr>
            <w:tcW w:w="3964" w:type="dxa"/>
            <w:shd w:val="clear" w:color="auto" w:fill="auto"/>
            <w:noWrap/>
            <w:vAlign w:val="center"/>
          </w:tcPr>
          <w:p w:rsidR="00F13CD8" w:rsidRPr="00B013B4" w:rsidRDefault="00B013B4" w:rsidP="007C21A5">
            <w:pPr>
              <w:spacing w:after="0" w:line="240" w:lineRule="auto"/>
              <w:rPr>
                <w:rFonts w:ascii="Times New Roman" w:eastAsia="Times New Roman" w:hAnsi="Times New Roman" w:cs="Times New Roman"/>
                <w:b/>
                <w:i/>
                <w:sz w:val="24"/>
                <w:szCs w:val="24"/>
                <w:lang w:eastAsia="sk-SK"/>
              </w:rPr>
            </w:pPr>
            <w:r>
              <w:rPr>
                <w:rFonts w:ascii="Times New Roman" w:eastAsia="Times New Roman" w:hAnsi="Times New Roman" w:cs="Times New Roman"/>
                <w:b/>
                <w:i/>
                <w:sz w:val="24"/>
                <w:szCs w:val="24"/>
                <w:lang w:eastAsia="sk-SK"/>
              </w:rPr>
              <w:t>z toho:</w:t>
            </w:r>
          </w:p>
        </w:tc>
        <w:tc>
          <w:tcPr>
            <w:tcW w:w="1340" w:type="dxa"/>
            <w:shd w:val="clear" w:color="auto" w:fill="auto"/>
            <w:noWrap/>
            <w:vAlign w:val="center"/>
          </w:tcPr>
          <w:p w:rsidR="00F13CD8" w:rsidRPr="00B013B4" w:rsidRDefault="00F13CD8" w:rsidP="007C21A5">
            <w:pPr>
              <w:spacing w:after="0" w:line="240" w:lineRule="auto"/>
              <w:jc w:val="center"/>
              <w:rPr>
                <w:rFonts w:ascii="Times New Roman" w:eastAsia="Times New Roman" w:hAnsi="Times New Roman" w:cs="Times New Roman"/>
                <w:i/>
                <w:sz w:val="24"/>
                <w:szCs w:val="24"/>
                <w:lang w:eastAsia="sk-SK"/>
              </w:rPr>
            </w:pPr>
          </w:p>
        </w:tc>
        <w:tc>
          <w:tcPr>
            <w:tcW w:w="1560" w:type="dxa"/>
            <w:tcBorders>
              <w:top w:val="single" w:sz="4" w:space="0" w:color="auto"/>
              <w:left w:val="nil"/>
              <w:bottom w:val="single" w:sz="4" w:space="0" w:color="auto"/>
              <w:right w:val="single" w:sz="4" w:space="0" w:color="auto"/>
            </w:tcBorders>
            <w:shd w:val="clear" w:color="auto" w:fill="auto"/>
            <w:noWrap/>
          </w:tcPr>
          <w:p w:rsidR="00F13CD8" w:rsidRPr="00B013B4" w:rsidRDefault="00F13CD8" w:rsidP="007C21A5">
            <w:pPr>
              <w:spacing w:after="0" w:line="240" w:lineRule="auto"/>
              <w:jc w:val="center"/>
              <w:rPr>
                <w:rFonts w:ascii="Times New Roman" w:eastAsia="Times New Roman" w:hAnsi="Times New Roman" w:cs="Times New Roman"/>
                <w:i/>
                <w:sz w:val="24"/>
                <w:szCs w:val="24"/>
                <w:lang w:eastAsia="sk-SK"/>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F13CD8" w:rsidRPr="00B013B4" w:rsidRDefault="00F13CD8" w:rsidP="007C21A5">
            <w:pPr>
              <w:spacing w:after="0" w:line="240" w:lineRule="auto"/>
              <w:jc w:val="center"/>
              <w:rPr>
                <w:rFonts w:ascii="Times New Roman" w:eastAsia="Times New Roman" w:hAnsi="Times New Roman" w:cs="Times New Roman"/>
                <w:i/>
                <w:sz w:val="24"/>
                <w:szCs w:val="24"/>
                <w:lang w:eastAsia="sk-SK"/>
              </w:rPr>
            </w:pPr>
          </w:p>
        </w:tc>
        <w:tc>
          <w:tcPr>
            <w:tcW w:w="1553" w:type="dxa"/>
            <w:tcBorders>
              <w:top w:val="single" w:sz="4" w:space="0" w:color="auto"/>
              <w:left w:val="single" w:sz="4" w:space="0" w:color="auto"/>
              <w:bottom w:val="single" w:sz="4" w:space="0" w:color="auto"/>
              <w:right w:val="single" w:sz="4" w:space="0" w:color="auto"/>
            </w:tcBorders>
            <w:shd w:val="clear" w:color="auto" w:fill="auto"/>
            <w:noWrap/>
          </w:tcPr>
          <w:p w:rsidR="00F13CD8" w:rsidRPr="00B013B4" w:rsidRDefault="00F13CD8" w:rsidP="007C21A5">
            <w:pPr>
              <w:spacing w:after="0" w:line="240" w:lineRule="auto"/>
              <w:jc w:val="center"/>
              <w:rPr>
                <w:rFonts w:ascii="Times New Roman" w:eastAsia="Times New Roman" w:hAnsi="Times New Roman" w:cs="Times New Roman"/>
                <w:i/>
                <w:sz w:val="24"/>
                <w:szCs w:val="24"/>
                <w:lang w:eastAsia="sk-SK"/>
              </w:rPr>
            </w:pPr>
          </w:p>
        </w:tc>
      </w:tr>
      <w:tr w:rsidR="00B013B4" w:rsidRPr="001A4A64" w:rsidTr="0091691E">
        <w:trPr>
          <w:trHeight w:val="70"/>
          <w:jc w:val="center"/>
        </w:trPr>
        <w:tc>
          <w:tcPr>
            <w:tcW w:w="3964" w:type="dxa"/>
            <w:shd w:val="clear" w:color="auto" w:fill="auto"/>
            <w:noWrap/>
            <w:vAlign w:val="center"/>
          </w:tcPr>
          <w:p w:rsidR="00B013B4" w:rsidRPr="00B013B4" w:rsidRDefault="00B013B4" w:rsidP="00B013B4">
            <w:pPr>
              <w:spacing w:after="0" w:line="240" w:lineRule="auto"/>
              <w:ind w:left="67"/>
              <w:rPr>
                <w:rFonts w:ascii="Times New Roman" w:eastAsia="Times New Roman" w:hAnsi="Times New Roman" w:cs="Times New Roman"/>
                <w:i/>
                <w:sz w:val="24"/>
                <w:szCs w:val="24"/>
                <w:lang w:eastAsia="sk-SK"/>
              </w:rPr>
            </w:pPr>
            <w:r w:rsidRPr="00B013B4">
              <w:rPr>
                <w:rFonts w:ascii="Times New Roman" w:eastAsia="Times New Roman" w:hAnsi="Times New Roman" w:cs="Times New Roman"/>
                <w:i/>
                <w:sz w:val="24"/>
                <w:szCs w:val="24"/>
                <w:lang w:eastAsia="sk-SK"/>
              </w:rPr>
              <w:t>- Vplyv na kapitolu MPSVR SR</w:t>
            </w:r>
            <w:r>
              <w:rPr>
                <w:rFonts w:ascii="Times New Roman" w:eastAsia="Times New Roman" w:hAnsi="Times New Roman" w:cs="Times New Roman"/>
                <w:i/>
                <w:sz w:val="24"/>
                <w:szCs w:val="24"/>
                <w:lang w:eastAsia="sk-SK"/>
              </w:rPr>
              <w:t xml:space="preserve"> (úspora výdavkov)</w:t>
            </w:r>
          </w:p>
        </w:tc>
        <w:tc>
          <w:tcPr>
            <w:tcW w:w="1340" w:type="dxa"/>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bCs/>
                <w:i/>
                <w:iCs/>
                <w:sz w:val="24"/>
                <w:szCs w:val="24"/>
                <w:lang w:eastAsia="sk-SK"/>
              </w:rPr>
            </w:pPr>
            <w:r w:rsidRPr="00B013B4">
              <w:rPr>
                <w:rFonts w:ascii="Times New Roman" w:eastAsia="Times New Roman" w:hAnsi="Times New Roman" w:cs="Times New Roman"/>
                <w:bCs/>
                <w:i/>
                <w:iCs/>
                <w:sz w:val="24"/>
                <w:szCs w:val="24"/>
                <w:lang w:eastAsia="sk-SK"/>
              </w:rPr>
              <w:t>-520 452 195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bCs/>
                <w:i/>
                <w:iCs/>
                <w:sz w:val="24"/>
                <w:szCs w:val="24"/>
                <w:lang w:eastAsia="sk-SK"/>
              </w:rPr>
            </w:pPr>
            <w:r w:rsidRPr="00B013B4">
              <w:rPr>
                <w:rFonts w:ascii="Times New Roman" w:eastAsia="Times New Roman" w:hAnsi="Times New Roman" w:cs="Times New Roman"/>
                <w:bCs/>
                <w:i/>
                <w:iCs/>
                <w:sz w:val="24"/>
                <w:szCs w:val="24"/>
                <w:lang w:eastAsia="sk-SK"/>
              </w:rPr>
              <w:t>-548 787 478</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bCs/>
                <w:i/>
                <w:iCs/>
                <w:sz w:val="24"/>
                <w:szCs w:val="24"/>
                <w:lang w:eastAsia="sk-SK"/>
              </w:rPr>
            </w:pPr>
            <w:r w:rsidRPr="00B013B4">
              <w:rPr>
                <w:rFonts w:ascii="Times New Roman" w:eastAsia="Times New Roman" w:hAnsi="Times New Roman" w:cs="Times New Roman"/>
                <w:bCs/>
                <w:i/>
                <w:iCs/>
                <w:sz w:val="24"/>
                <w:szCs w:val="24"/>
                <w:lang w:eastAsia="sk-SK"/>
              </w:rPr>
              <w:t>-578 370 570</w:t>
            </w:r>
          </w:p>
        </w:tc>
      </w:tr>
      <w:tr w:rsidR="00B013B4" w:rsidRPr="001A4A64" w:rsidTr="0091691E">
        <w:trPr>
          <w:trHeight w:val="70"/>
          <w:jc w:val="center"/>
        </w:trPr>
        <w:tc>
          <w:tcPr>
            <w:tcW w:w="3964" w:type="dxa"/>
            <w:shd w:val="clear" w:color="auto" w:fill="auto"/>
            <w:noWrap/>
            <w:vAlign w:val="center"/>
          </w:tcPr>
          <w:p w:rsidR="00B013B4" w:rsidRPr="00B013B4" w:rsidRDefault="00B013B4" w:rsidP="00B013B4">
            <w:pPr>
              <w:spacing w:after="0" w:line="240" w:lineRule="auto"/>
              <w:rPr>
                <w:rFonts w:ascii="Times New Roman" w:eastAsia="Times New Roman" w:hAnsi="Times New Roman" w:cs="Times New Roman"/>
                <w:i/>
                <w:sz w:val="24"/>
                <w:szCs w:val="24"/>
                <w:lang w:eastAsia="sk-SK"/>
              </w:rPr>
            </w:pPr>
            <w:r w:rsidRPr="00B013B4">
              <w:rPr>
                <w:rFonts w:ascii="Times New Roman" w:eastAsia="Times New Roman" w:hAnsi="Times New Roman" w:cs="Times New Roman"/>
                <w:i/>
                <w:sz w:val="24"/>
                <w:szCs w:val="24"/>
                <w:lang w:eastAsia="sk-SK"/>
              </w:rPr>
              <w:t xml:space="preserve">- Vplyv na kapitolu </w:t>
            </w:r>
            <w:r>
              <w:rPr>
                <w:rFonts w:ascii="Times New Roman" w:eastAsia="Times New Roman" w:hAnsi="Times New Roman" w:cs="Times New Roman"/>
                <w:i/>
                <w:sz w:val="24"/>
                <w:szCs w:val="24"/>
                <w:lang w:eastAsia="sk-SK"/>
              </w:rPr>
              <w:t>VPS</w:t>
            </w:r>
            <w:r>
              <w:rPr>
                <w:rFonts w:ascii="Times New Roman" w:eastAsia="Times New Roman" w:hAnsi="Times New Roman" w:cs="Times New Roman"/>
                <w:i/>
                <w:sz w:val="24"/>
                <w:szCs w:val="24"/>
                <w:lang w:eastAsia="sk-SK"/>
              </w:rPr>
              <w:br/>
              <w:t xml:space="preserve"> (zvýšenie výdavkov)</w:t>
            </w:r>
          </w:p>
        </w:tc>
        <w:tc>
          <w:tcPr>
            <w:tcW w:w="1340" w:type="dxa"/>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0</w:t>
            </w:r>
          </w:p>
        </w:tc>
        <w:tc>
          <w:tcPr>
            <w:tcW w:w="1560" w:type="dxa"/>
            <w:tcBorders>
              <w:top w:val="nil"/>
              <w:left w:val="nil"/>
              <w:bottom w:val="single" w:sz="4" w:space="0" w:color="auto"/>
              <w:right w:val="single" w:sz="4" w:space="0" w:color="auto"/>
            </w:tcBorders>
            <w:shd w:val="clear" w:color="auto" w:fill="auto"/>
            <w:noWrap/>
            <w:vAlign w:val="center"/>
          </w:tcPr>
          <w:p w:rsidR="00B013B4" w:rsidRPr="00E93DBE" w:rsidRDefault="00B013B4" w:rsidP="00B013B4">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471 989 996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3B4" w:rsidRPr="00E93DBE" w:rsidRDefault="00B013B4" w:rsidP="00B013B4">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497 450 065</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3B4" w:rsidRPr="00E93DBE" w:rsidRDefault="00B013B4" w:rsidP="00B013B4">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523 750 661</w:t>
            </w:r>
          </w:p>
        </w:tc>
      </w:tr>
      <w:tr w:rsidR="00B013B4" w:rsidRPr="001A4A64" w:rsidTr="00B013B4">
        <w:trPr>
          <w:trHeight w:val="70"/>
          <w:jc w:val="center"/>
        </w:trPr>
        <w:tc>
          <w:tcPr>
            <w:tcW w:w="3964" w:type="dxa"/>
            <w:shd w:val="clear" w:color="auto" w:fill="auto"/>
            <w:noWrap/>
            <w:vAlign w:val="center"/>
          </w:tcPr>
          <w:p w:rsidR="00B013B4" w:rsidRPr="00B013B4" w:rsidRDefault="00B013B4" w:rsidP="00B013B4">
            <w:pPr>
              <w:spacing w:after="0" w:line="240" w:lineRule="auto"/>
              <w:rPr>
                <w:rFonts w:ascii="Times New Roman" w:eastAsia="Times New Roman" w:hAnsi="Times New Roman" w:cs="Times New Roman"/>
                <w:i/>
                <w:sz w:val="24"/>
                <w:szCs w:val="24"/>
                <w:lang w:eastAsia="sk-SK"/>
              </w:rPr>
            </w:pPr>
            <w:r w:rsidRPr="00B013B4">
              <w:rPr>
                <w:rFonts w:ascii="Times New Roman" w:eastAsia="Times New Roman" w:hAnsi="Times New Roman" w:cs="Times New Roman"/>
                <w:i/>
                <w:sz w:val="24"/>
                <w:szCs w:val="24"/>
                <w:lang w:eastAsia="sk-SK"/>
              </w:rPr>
              <w:t>- V</w:t>
            </w:r>
            <w:r>
              <w:rPr>
                <w:rFonts w:ascii="Times New Roman" w:eastAsia="Times New Roman" w:hAnsi="Times New Roman" w:cs="Times New Roman"/>
                <w:i/>
                <w:sz w:val="24"/>
                <w:szCs w:val="24"/>
                <w:lang w:eastAsia="sk-SK"/>
              </w:rPr>
              <w:t>plyv na Sociálnu poisťovňu</w:t>
            </w:r>
            <w:r>
              <w:rPr>
                <w:rFonts w:ascii="Times New Roman" w:eastAsia="Times New Roman" w:hAnsi="Times New Roman" w:cs="Times New Roman"/>
                <w:i/>
                <w:sz w:val="24"/>
                <w:szCs w:val="24"/>
                <w:lang w:eastAsia="sk-SK"/>
              </w:rPr>
              <w:br/>
              <w:t xml:space="preserve"> (zvýšenie výdavkov)</w:t>
            </w:r>
          </w:p>
        </w:tc>
        <w:tc>
          <w:tcPr>
            <w:tcW w:w="1340" w:type="dxa"/>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sidRPr="00B013B4">
              <w:rPr>
                <w:rFonts w:ascii="Times New Roman" w:eastAsia="Times New Roman" w:hAnsi="Times New Roman" w:cs="Times New Roman"/>
                <w:i/>
                <w:sz w:val="24"/>
                <w:szCs w:val="24"/>
                <w:lang w:eastAsia="sk-SK"/>
              </w:rPr>
              <w:t>23 803 919</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13B4" w:rsidRPr="00B013B4" w:rsidRDefault="00B013B4" w:rsidP="00B013B4">
            <w:pPr>
              <w:spacing w:after="0" w:line="240" w:lineRule="auto"/>
              <w:jc w:val="center"/>
              <w:rPr>
                <w:rFonts w:ascii="Times New Roman" w:eastAsia="Times New Roman" w:hAnsi="Times New Roman" w:cs="Times New Roman"/>
                <w:i/>
                <w:sz w:val="24"/>
                <w:szCs w:val="24"/>
                <w:lang w:eastAsia="sk-SK"/>
              </w:rPr>
            </w:pPr>
            <w:r w:rsidRPr="00B013B4">
              <w:rPr>
                <w:rFonts w:ascii="Times New Roman" w:eastAsia="Times New Roman" w:hAnsi="Times New Roman" w:cs="Times New Roman"/>
                <w:i/>
                <w:sz w:val="24"/>
                <w:szCs w:val="24"/>
                <w:lang w:eastAsia="sk-SK"/>
              </w:rPr>
              <w:t>50 940 712</w:t>
            </w:r>
          </w:p>
        </w:tc>
      </w:tr>
    </w:tbl>
    <w:bookmarkEnd w:id="1"/>
    <w:p w:rsidR="00B263BD" w:rsidRPr="00221E14" w:rsidRDefault="00B013B4" w:rsidP="00221E14">
      <w:pPr>
        <w:spacing w:after="0"/>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 (-) </w:t>
      </w:r>
      <w:r w:rsidR="002C256D">
        <w:rPr>
          <w:rFonts w:ascii="Times New Roman" w:eastAsia="Times New Roman" w:hAnsi="Times New Roman" w:cs="Times New Roman"/>
          <w:bCs/>
          <w:sz w:val="20"/>
          <w:szCs w:val="20"/>
          <w:lang w:eastAsia="sk-SK"/>
        </w:rPr>
        <w:t>znamená zlepšenie salda</w:t>
      </w:r>
    </w:p>
    <w:p w:rsidR="001F624A" w:rsidRPr="007B7470" w:rsidRDefault="001C721D" w:rsidP="00B263BD">
      <w:pPr>
        <w:spacing w:after="0"/>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112"/>
        <w:gridCol w:w="850"/>
        <w:gridCol w:w="1701"/>
        <w:gridCol w:w="1560"/>
        <w:gridCol w:w="1701"/>
      </w:tblGrid>
      <w:tr w:rsidR="001C721D" w:rsidRPr="007B7470" w:rsidTr="00B263BD">
        <w:trPr>
          <w:trHeight w:val="300"/>
        </w:trPr>
        <w:tc>
          <w:tcPr>
            <w:tcW w:w="41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706C52"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2025</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706C52"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2026</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706C52"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2027</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7B7470" w:rsidRDefault="00706C52" w:rsidP="001C721D">
            <w:pPr>
              <w:spacing w:after="0"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2028</w:t>
            </w:r>
          </w:p>
        </w:tc>
      </w:tr>
      <w:tr w:rsidR="00B64558" w:rsidRPr="007B7470" w:rsidTr="002E62AB">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64558" w:rsidRPr="007B7470" w:rsidRDefault="00B64558" w:rsidP="00B64558">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850" w:type="dxa"/>
            <w:tcBorders>
              <w:top w:val="nil"/>
              <w:left w:val="nil"/>
              <w:bottom w:val="single" w:sz="4" w:space="0" w:color="auto"/>
              <w:right w:val="single" w:sz="4" w:space="0" w:color="auto"/>
            </w:tcBorders>
            <w:shd w:val="clear" w:color="auto" w:fill="auto"/>
            <w:noWrap/>
            <w:vAlign w:val="center"/>
            <w:hideMark/>
          </w:tcPr>
          <w:p w:rsidR="00B64558" w:rsidRPr="007B7470" w:rsidRDefault="00B64558" w:rsidP="00B64558">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64558" w:rsidRPr="006B04D7" w:rsidRDefault="00710873" w:rsidP="002E62AB">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r w:rsidR="00B64558" w:rsidRPr="00B64558">
              <w:rPr>
                <w:rFonts w:ascii="Times New Roman" w:eastAsia="Times New Roman" w:hAnsi="Times New Roman" w:cs="Times New Roman"/>
                <w:b/>
                <w:color w:val="000000"/>
                <w:sz w:val="24"/>
                <w:szCs w:val="24"/>
                <w:lang w:eastAsia="sk-SK"/>
              </w:rPr>
              <w:t>48 462 199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558" w:rsidRPr="006B04D7" w:rsidRDefault="00710873" w:rsidP="002E62AB">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r w:rsidR="00B64558" w:rsidRPr="00B64558">
              <w:rPr>
                <w:rFonts w:ascii="Times New Roman" w:eastAsia="Times New Roman" w:hAnsi="Times New Roman" w:cs="Times New Roman"/>
                <w:b/>
                <w:color w:val="000000"/>
                <w:sz w:val="24"/>
                <w:szCs w:val="24"/>
                <w:lang w:eastAsia="sk-SK"/>
              </w:rPr>
              <w:t>27 533 494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558" w:rsidRPr="006B04D7" w:rsidRDefault="00710873" w:rsidP="002E62AB">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w:t>
            </w:r>
            <w:r w:rsidR="00B64558" w:rsidRPr="00B64558">
              <w:rPr>
                <w:rFonts w:ascii="Times New Roman" w:eastAsia="Times New Roman" w:hAnsi="Times New Roman" w:cs="Times New Roman"/>
                <w:b/>
                <w:color w:val="000000"/>
                <w:sz w:val="24"/>
                <w:szCs w:val="24"/>
                <w:lang w:eastAsia="sk-SK"/>
              </w:rPr>
              <w:t>3 679 197</w:t>
            </w:r>
          </w:p>
        </w:tc>
      </w:tr>
      <w:tr w:rsidR="001C721D" w:rsidRPr="007B7470" w:rsidTr="00E65183">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850" w:type="dxa"/>
            <w:tcBorders>
              <w:top w:val="nil"/>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r>
      <w:tr w:rsidR="001C721D" w:rsidRPr="007B7470" w:rsidTr="00E65183">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850" w:type="dxa"/>
            <w:tcBorders>
              <w:top w:val="nil"/>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C721D" w:rsidRPr="00E65183" w:rsidRDefault="001C721D" w:rsidP="00E65183">
            <w:pPr>
              <w:spacing w:after="0" w:line="240" w:lineRule="auto"/>
              <w:jc w:val="center"/>
              <w:rPr>
                <w:rFonts w:ascii="Times New Roman" w:eastAsia="Times New Roman" w:hAnsi="Times New Roman" w:cs="Times New Roman"/>
                <w:i/>
                <w:color w:val="000000"/>
                <w:sz w:val="24"/>
                <w:szCs w:val="24"/>
                <w:lang w:eastAsia="sk-SK"/>
              </w:rPr>
            </w:pPr>
          </w:p>
        </w:tc>
      </w:tr>
      <w:tr w:rsidR="001E23BB" w:rsidRPr="007B7470" w:rsidTr="00E65183">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E23BB" w:rsidRPr="00E65183" w:rsidRDefault="001E23BB" w:rsidP="001E23BB">
            <w:pPr>
              <w:spacing w:after="0" w:line="240" w:lineRule="auto"/>
              <w:rPr>
                <w:rFonts w:ascii="Times New Roman" w:eastAsia="Times New Roman" w:hAnsi="Times New Roman" w:cs="Times New Roman"/>
                <w:bCs/>
                <w:i/>
                <w:color w:val="000000" w:themeColor="text1"/>
                <w:sz w:val="24"/>
                <w:szCs w:val="24"/>
                <w:lang w:eastAsia="sk-SK"/>
              </w:rPr>
            </w:pPr>
            <w:r w:rsidRPr="00E65183">
              <w:rPr>
                <w:rFonts w:ascii="Times New Roman" w:eastAsia="Times New Roman" w:hAnsi="Times New Roman" w:cs="Times New Roman"/>
                <w:bCs/>
                <w:i/>
                <w:color w:val="000000" w:themeColor="text1"/>
                <w:sz w:val="24"/>
                <w:szCs w:val="24"/>
                <w:lang w:eastAsia="sk-SK"/>
              </w:rPr>
              <w:t>vplyv na limit verejných výdavkov ŠR – MPSVR SR</w:t>
            </w:r>
          </w:p>
        </w:tc>
        <w:tc>
          <w:tcPr>
            <w:tcW w:w="850" w:type="dxa"/>
            <w:tcBorders>
              <w:top w:val="nil"/>
              <w:left w:val="nil"/>
              <w:bottom w:val="single" w:sz="4" w:space="0" w:color="auto"/>
              <w:right w:val="single" w:sz="4" w:space="0" w:color="auto"/>
            </w:tcBorders>
            <w:shd w:val="clear" w:color="auto" w:fill="auto"/>
            <w:noWrap/>
            <w:vAlign w:val="center"/>
            <w:hideMark/>
          </w:tcPr>
          <w:p w:rsidR="001E23BB" w:rsidRPr="00E65183" w:rsidRDefault="001E23BB"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E23BB" w:rsidRPr="00E65183" w:rsidRDefault="001E23BB"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-520 452 195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3BB" w:rsidRPr="00E65183" w:rsidRDefault="001E23BB"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-548 787 478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3BB" w:rsidRPr="00E65183" w:rsidRDefault="001E23BB"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-578 370 570</w:t>
            </w:r>
          </w:p>
        </w:tc>
      </w:tr>
      <w:tr w:rsidR="009707CF" w:rsidRPr="007B7470" w:rsidTr="00E65183">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707CF" w:rsidRPr="00E65183" w:rsidRDefault="009707CF" w:rsidP="009707CF">
            <w:pPr>
              <w:spacing w:after="0" w:line="240" w:lineRule="auto"/>
              <w:rPr>
                <w:rFonts w:ascii="Times New Roman" w:eastAsia="Times New Roman" w:hAnsi="Times New Roman" w:cs="Times New Roman"/>
                <w:bCs/>
                <w:i/>
                <w:color w:val="000000" w:themeColor="text1"/>
                <w:sz w:val="24"/>
                <w:szCs w:val="24"/>
                <w:lang w:eastAsia="sk-SK"/>
              </w:rPr>
            </w:pPr>
            <w:r w:rsidRPr="00E65183">
              <w:rPr>
                <w:rFonts w:ascii="Times New Roman" w:eastAsia="Times New Roman" w:hAnsi="Times New Roman" w:cs="Times New Roman"/>
                <w:bCs/>
                <w:i/>
                <w:color w:val="000000" w:themeColor="text1"/>
                <w:sz w:val="24"/>
                <w:szCs w:val="24"/>
                <w:lang w:eastAsia="sk-SK"/>
              </w:rPr>
              <w:t>vplyv na limit verejných výdavkov ŠR – VPS</w:t>
            </w:r>
          </w:p>
        </w:tc>
        <w:tc>
          <w:tcPr>
            <w:tcW w:w="850" w:type="dxa"/>
            <w:tcBorders>
              <w:top w:val="nil"/>
              <w:left w:val="nil"/>
              <w:bottom w:val="single" w:sz="4" w:space="0" w:color="auto"/>
              <w:right w:val="single" w:sz="4" w:space="0" w:color="auto"/>
            </w:tcBorders>
            <w:shd w:val="clear" w:color="auto" w:fill="auto"/>
            <w:noWrap/>
            <w:vAlign w:val="center"/>
            <w:hideMark/>
          </w:tcPr>
          <w:p w:rsidR="009707CF" w:rsidRPr="00E65183" w:rsidRDefault="009707CF" w:rsidP="009707CF">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707CF" w:rsidRPr="00E65183" w:rsidRDefault="009707CF" w:rsidP="009707CF">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471 989 996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7CF" w:rsidRPr="00E93DBE" w:rsidRDefault="009707CF" w:rsidP="009707CF">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497 450 065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7CF" w:rsidRPr="00E93DBE" w:rsidRDefault="009707CF" w:rsidP="009707CF">
            <w:pPr>
              <w:spacing w:after="0" w:line="240" w:lineRule="auto"/>
              <w:jc w:val="center"/>
              <w:rPr>
                <w:rFonts w:ascii="Times New Roman" w:eastAsia="Times New Roman" w:hAnsi="Times New Roman" w:cs="Times New Roman"/>
                <w:bCs/>
                <w:i/>
                <w:iCs/>
                <w:sz w:val="24"/>
                <w:szCs w:val="24"/>
                <w:lang w:eastAsia="sk-SK"/>
              </w:rPr>
            </w:pPr>
            <w:r w:rsidRPr="00E93DBE">
              <w:rPr>
                <w:rFonts w:ascii="Times New Roman" w:eastAsia="Times New Roman" w:hAnsi="Times New Roman" w:cs="Times New Roman"/>
                <w:bCs/>
                <w:i/>
                <w:iCs/>
                <w:sz w:val="24"/>
                <w:szCs w:val="24"/>
                <w:lang w:eastAsia="sk-SK"/>
              </w:rPr>
              <w:t>523 750 661</w:t>
            </w:r>
          </w:p>
        </w:tc>
      </w:tr>
      <w:tr w:rsidR="00E65183" w:rsidRPr="007B7470" w:rsidTr="00E65183">
        <w:trPr>
          <w:trHeight w:val="300"/>
        </w:trPr>
        <w:tc>
          <w:tcPr>
            <w:tcW w:w="4112"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E65183" w:rsidRPr="00E65183" w:rsidRDefault="00E65183" w:rsidP="00E65183">
            <w:pPr>
              <w:spacing w:after="0" w:line="240" w:lineRule="auto"/>
              <w:rPr>
                <w:rFonts w:ascii="Times New Roman" w:eastAsia="Times New Roman" w:hAnsi="Times New Roman" w:cs="Times New Roman"/>
                <w:bCs/>
                <w:i/>
                <w:color w:val="000000" w:themeColor="text1"/>
                <w:sz w:val="24"/>
                <w:szCs w:val="24"/>
                <w:lang w:eastAsia="sk-SK"/>
              </w:rPr>
            </w:pPr>
            <w:r w:rsidRPr="00E65183">
              <w:rPr>
                <w:rFonts w:ascii="Times New Roman" w:eastAsia="Times New Roman" w:hAnsi="Times New Roman" w:cs="Times New Roman"/>
                <w:bCs/>
                <w:i/>
                <w:color w:val="000000" w:themeColor="text1"/>
                <w:sz w:val="24"/>
                <w:szCs w:val="24"/>
                <w:lang w:eastAsia="sk-SK"/>
              </w:rPr>
              <w:t>vplyv na limit verejných výdavkov Sociálnej poisťovne</w:t>
            </w:r>
          </w:p>
        </w:tc>
        <w:tc>
          <w:tcPr>
            <w:tcW w:w="850" w:type="dxa"/>
            <w:tcBorders>
              <w:top w:val="nil"/>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23 803 919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50 940 712</w:t>
            </w:r>
          </w:p>
        </w:tc>
      </w:tr>
      <w:tr w:rsidR="00E65183" w:rsidRPr="007B7470" w:rsidTr="00E65183">
        <w:trPr>
          <w:trHeight w:val="300"/>
        </w:trPr>
        <w:tc>
          <w:tcPr>
            <w:tcW w:w="41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65183" w:rsidRPr="007B7470" w:rsidRDefault="00E65183" w:rsidP="00E65183">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65183" w:rsidRPr="00E65183" w:rsidRDefault="00E65183" w:rsidP="00E65183">
            <w:pPr>
              <w:spacing w:after="0" w:line="240" w:lineRule="auto"/>
              <w:jc w:val="center"/>
              <w:rPr>
                <w:rFonts w:ascii="Times New Roman" w:eastAsia="Times New Roman" w:hAnsi="Times New Roman" w:cs="Times New Roman"/>
                <w:i/>
                <w:color w:val="000000"/>
                <w:sz w:val="24"/>
                <w:szCs w:val="24"/>
                <w:lang w:eastAsia="sk-SK"/>
              </w:rPr>
            </w:pPr>
            <w:r w:rsidRPr="00E65183">
              <w:rPr>
                <w:rFonts w:ascii="Times New Roman" w:eastAsia="Times New Roman" w:hAnsi="Times New Roman" w:cs="Times New Roman"/>
                <w:i/>
                <w:color w:val="000000"/>
                <w:sz w:val="24"/>
                <w:szCs w:val="24"/>
                <w:lang w:eastAsia="sk-SK"/>
              </w:rPr>
              <w:t>0</w:t>
            </w:r>
          </w:p>
        </w:tc>
      </w:tr>
    </w:tbl>
    <w:p w:rsidR="00221E14" w:rsidRDefault="00221E14" w:rsidP="00221E14">
      <w:pPr>
        <w:spacing w:after="0"/>
        <w:rPr>
          <w:rFonts w:ascii="Times New Roman" w:eastAsia="Times New Roman" w:hAnsi="Times New Roman" w:cs="Times New Roman"/>
          <w:bCs/>
          <w:sz w:val="20"/>
          <w:szCs w:val="20"/>
          <w:lang w:eastAsia="sk-SK"/>
        </w:rPr>
      </w:pPr>
      <w:r w:rsidRPr="00221E14">
        <w:rPr>
          <w:rFonts w:ascii="Times New Roman" w:eastAsia="Times New Roman" w:hAnsi="Times New Roman" w:cs="Times New Roman"/>
          <w:bCs/>
          <w:sz w:val="20"/>
          <w:szCs w:val="20"/>
          <w:lang w:eastAsia="sk-SK"/>
        </w:rPr>
        <w:t>* (-)</w:t>
      </w:r>
      <w:r w:rsidR="00E65183" w:rsidRPr="00E65183">
        <w:rPr>
          <w:rFonts w:ascii="Times New Roman" w:eastAsia="Times New Roman" w:hAnsi="Times New Roman" w:cs="Times New Roman"/>
          <w:bCs/>
          <w:sz w:val="20"/>
          <w:szCs w:val="20"/>
          <w:lang w:eastAsia="sk-SK"/>
        </w:rPr>
        <w:t xml:space="preserve"> </w:t>
      </w:r>
      <w:r w:rsidR="00E65183">
        <w:rPr>
          <w:rFonts w:ascii="Times New Roman" w:eastAsia="Times New Roman" w:hAnsi="Times New Roman" w:cs="Times New Roman"/>
          <w:bCs/>
          <w:sz w:val="20"/>
          <w:szCs w:val="20"/>
          <w:lang w:eastAsia="sk-SK"/>
        </w:rPr>
        <w:t>znamená zlepšenie salda</w:t>
      </w:r>
      <w:r>
        <w:rPr>
          <w:rFonts w:ascii="Times New Roman" w:eastAsia="Times New Roman" w:hAnsi="Times New Roman" w:cs="Times New Roman"/>
          <w:bCs/>
          <w:sz w:val="20"/>
          <w:szCs w:val="20"/>
          <w:lang w:eastAsia="sk-SK"/>
        </w:rPr>
        <w:br/>
        <w:t xml:space="preserve"> </w:t>
      </w:r>
    </w:p>
    <w:p w:rsidR="00221E14" w:rsidRPr="00221E14" w:rsidRDefault="00221E14" w:rsidP="00221E14">
      <w:pPr>
        <w:spacing w:after="0"/>
        <w:rPr>
          <w:rFonts w:ascii="Times New Roman" w:eastAsia="Times New Roman" w:hAnsi="Times New Roman" w:cs="Times New Roman"/>
          <w:bCs/>
          <w:sz w:val="20"/>
          <w:szCs w:val="20"/>
          <w:lang w:eastAsia="sk-SK"/>
        </w:rPr>
      </w:pPr>
      <w:r w:rsidRPr="00221E14">
        <w:rPr>
          <w:rFonts w:ascii="Times New Roman" w:eastAsia="Times New Roman" w:hAnsi="Times New Roman" w:cs="Times New Roman"/>
          <w:bCs/>
          <w:sz w:val="20"/>
          <w:szCs w:val="20"/>
          <w:lang w:eastAsia="sk-SK"/>
        </w:rPr>
        <w:t xml:space="preserve">                                                                                                                                                       </w:t>
      </w:r>
    </w:p>
    <w:p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rsidR="00B02E66" w:rsidRDefault="00EC6247" w:rsidP="00B02E66">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color w:val="1F497D"/>
          <w:sz w:val="24"/>
          <w:szCs w:val="24"/>
        </w:rPr>
      </w:pPr>
      <w:r w:rsidRPr="00EC6247">
        <w:rPr>
          <w:rFonts w:ascii="Times New Roman" w:eastAsia="Times New Roman" w:hAnsi="Times New Roman" w:cs="Times New Roman"/>
          <w:bCs/>
          <w:sz w:val="24"/>
          <w:szCs w:val="24"/>
          <w:lang w:eastAsia="sk-SK"/>
        </w:rPr>
        <w:t xml:space="preserve">Finančný mechanizmus </w:t>
      </w:r>
      <w:r w:rsidR="001200C9">
        <w:rPr>
          <w:rFonts w:ascii="Times New Roman" w:eastAsia="Times New Roman" w:hAnsi="Times New Roman" w:cs="Times New Roman"/>
          <w:bCs/>
          <w:sz w:val="24"/>
          <w:szCs w:val="24"/>
          <w:lang w:eastAsia="sk-SK"/>
        </w:rPr>
        <w:t xml:space="preserve">vládneho </w:t>
      </w:r>
      <w:r w:rsidRPr="00EC6247">
        <w:rPr>
          <w:rFonts w:ascii="Times New Roman" w:eastAsia="Times New Roman" w:hAnsi="Times New Roman" w:cs="Times New Roman"/>
          <w:bCs/>
          <w:sz w:val="24"/>
          <w:szCs w:val="24"/>
          <w:lang w:eastAsia="sk-SK"/>
        </w:rPr>
        <w:t xml:space="preserve">návrhu </w:t>
      </w:r>
      <w:r w:rsidR="007F0B38">
        <w:rPr>
          <w:rFonts w:ascii="Times New Roman" w:eastAsia="Times New Roman" w:hAnsi="Times New Roman" w:cs="Times New Roman"/>
          <w:bCs/>
          <w:sz w:val="24"/>
          <w:szCs w:val="24"/>
          <w:lang w:eastAsia="sk-SK"/>
        </w:rPr>
        <w:t>zákona</w:t>
      </w:r>
      <w:r w:rsidR="001200C9">
        <w:rPr>
          <w:rFonts w:ascii="Times New Roman" w:eastAsia="Times New Roman" w:hAnsi="Times New Roman" w:cs="Times New Roman"/>
          <w:bCs/>
          <w:sz w:val="24"/>
          <w:szCs w:val="24"/>
          <w:lang w:eastAsia="sk-SK"/>
        </w:rPr>
        <w:t xml:space="preserve">, ktorým sa mení a dopĺňa zákon č. 461/2003 Z. z. o sociálnom poistení </w:t>
      </w:r>
      <w:r w:rsidR="001200C9" w:rsidRPr="001200C9">
        <w:rPr>
          <w:rFonts w:ascii="Times New Roman" w:eastAsia="Times New Roman" w:hAnsi="Times New Roman" w:cs="Times New Roman"/>
          <w:bCs/>
          <w:sz w:val="24"/>
          <w:szCs w:val="24"/>
          <w:lang w:eastAsia="sk-SK"/>
        </w:rPr>
        <w:t>v znení neskorších predpisov a ktorým sa menia a dopĺňajú niektoré zákony (ďalej len „návrh zákona“)</w:t>
      </w:r>
      <w:r w:rsidR="007F0B38">
        <w:rPr>
          <w:rFonts w:ascii="Times New Roman" w:eastAsia="Times New Roman" w:hAnsi="Times New Roman" w:cs="Times New Roman"/>
          <w:bCs/>
          <w:sz w:val="24"/>
          <w:szCs w:val="24"/>
          <w:lang w:eastAsia="sk-SK"/>
        </w:rPr>
        <w:t xml:space="preserve"> </w:t>
      </w:r>
      <w:r w:rsidRPr="00EC6247">
        <w:rPr>
          <w:rFonts w:ascii="Times New Roman" w:eastAsia="Times New Roman" w:hAnsi="Times New Roman" w:cs="Times New Roman"/>
          <w:bCs/>
          <w:sz w:val="24"/>
          <w:szCs w:val="24"/>
          <w:lang w:eastAsia="sk-SK"/>
        </w:rPr>
        <w:t xml:space="preserve">je založený na zmene finančných tokov v rámci rozpočtu verejnej správy. Primárnym efektom je zrušenie povinnosti štátu platiť poistné na dôchodkové poistenie </w:t>
      </w:r>
      <w:r w:rsidR="007F0B38">
        <w:rPr>
          <w:rFonts w:ascii="Times New Roman" w:eastAsia="Times New Roman" w:hAnsi="Times New Roman" w:cs="Times New Roman"/>
          <w:bCs/>
          <w:sz w:val="24"/>
          <w:szCs w:val="24"/>
          <w:lang w:eastAsia="sk-SK"/>
        </w:rPr>
        <w:t xml:space="preserve">a do rezervného fondu solidarity </w:t>
      </w:r>
      <w:r w:rsidRPr="00EC6247">
        <w:rPr>
          <w:rFonts w:ascii="Times New Roman" w:eastAsia="Times New Roman" w:hAnsi="Times New Roman" w:cs="Times New Roman"/>
          <w:bCs/>
          <w:sz w:val="24"/>
          <w:szCs w:val="24"/>
          <w:lang w:eastAsia="sk-SK"/>
        </w:rPr>
        <w:t>za definované skupiny osôb, čo sa prejavuje ako úspora výdavkov v kapitole MPSVR SR</w:t>
      </w:r>
      <w:r w:rsidR="007F0B38">
        <w:rPr>
          <w:rFonts w:ascii="Times New Roman" w:eastAsia="Times New Roman" w:hAnsi="Times New Roman" w:cs="Times New Roman"/>
          <w:bCs/>
          <w:sz w:val="24"/>
          <w:szCs w:val="24"/>
          <w:lang w:eastAsia="sk-SK"/>
        </w:rPr>
        <w:t xml:space="preserve"> </w:t>
      </w:r>
      <w:r w:rsidRPr="007F0B38">
        <w:rPr>
          <w:rFonts w:ascii="Times New Roman" w:eastAsia="Times New Roman" w:hAnsi="Times New Roman" w:cs="Times New Roman"/>
          <w:bCs/>
          <w:sz w:val="24"/>
          <w:szCs w:val="24"/>
          <w:lang w:eastAsia="sk-SK"/>
        </w:rPr>
        <w:t xml:space="preserve">a súčasne ako výpadok príjmov v </w:t>
      </w:r>
      <w:r w:rsidR="00221E14">
        <w:rPr>
          <w:rFonts w:ascii="Times New Roman" w:eastAsia="Times New Roman" w:hAnsi="Times New Roman" w:cs="Times New Roman"/>
          <w:bCs/>
          <w:sz w:val="24"/>
          <w:szCs w:val="24"/>
          <w:lang w:eastAsia="sk-SK"/>
        </w:rPr>
        <w:t> </w:t>
      </w:r>
      <w:r w:rsidRPr="007F0B38">
        <w:rPr>
          <w:rFonts w:ascii="Times New Roman" w:eastAsia="Times New Roman" w:hAnsi="Times New Roman" w:cs="Times New Roman"/>
          <w:bCs/>
          <w:sz w:val="24"/>
          <w:szCs w:val="24"/>
          <w:lang w:eastAsia="sk-SK"/>
        </w:rPr>
        <w:t>Sociálnej poisťovni.</w:t>
      </w:r>
      <w:r w:rsidR="007F0B38" w:rsidRPr="007F0B38">
        <w:rPr>
          <w:rFonts w:ascii="Times New Roman" w:eastAsia="Times New Roman" w:hAnsi="Times New Roman" w:cs="Times New Roman"/>
          <w:bCs/>
          <w:sz w:val="24"/>
          <w:szCs w:val="24"/>
          <w:lang w:eastAsia="sk-SK"/>
        </w:rPr>
        <w:t xml:space="preserve"> </w:t>
      </w:r>
      <w:r w:rsidR="0008486C" w:rsidRPr="0008486C">
        <w:rPr>
          <w:rFonts w:ascii="Times New Roman" w:eastAsia="Times New Roman" w:hAnsi="Times New Roman" w:cs="Times New Roman"/>
          <w:bCs/>
          <w:sz w:val="24"/>
          <w:szCs w:val="24"/>
          <w:lang w:eastAsia="sk-SK"/>
        </w:rPr>
        <w:t>Kvantifikácia tohto vplyvu zahŕňa všetky kľúčové skupiny poistencov štátu, s výnimkou ohrozených a</w:t>
      </w:r>
      <w:r w:rsidR="00EA295A">
        <w:rPr>
          <w:rFonts w:ascii="Times New Roman" w:eastAsia="Times New Roman" w:hAnsi="Times New Roman" w:cs="Times New Roman"/>
          <w:bCs/>
          <w:sz w:val="24"/>
          <w:szCs w:val="24"/>
          <w:lang w:eastAsia="sk-SK"/>
        </w:rPr>
        <w:t>lebo</w:t>
      </w:r>
      <w:r w:rsidR="0008486C" w:rsidRPr="0008486C">
        <w:rPr>
          <w:rFonts w:ascii="Times New Roman" w:eastAsia="Times New Roman" w:hAnsi="Times New Roman" w:cs="Times New Roman"/>
          <w:bCs/>
          <w:sz w:val="24"/>
          <w:szCs w:val="24"/>
          <w:lang w:eastAsia="sk-SK"/>
        </w:rPr>
        <w:t xml:space="preserve"> chránených svedkov a vojakov dobrovoľnej vojenskej prípravy. Tieto dve skupiny neboli do výpočtov zahrnuté z dôvodu ich štatisticky zanedbateľného počtu (v roku 2024 v priemere </w:t>
      </w:r>
      <w:r w:rsidR="0008486C">
        <w:rPr>
          <w:rFonts w:ascii="Times New Roman" w:eastAsia="Times New Roman" w:hAnsi="Times New Roman" w:cs="Times New Roman"/>
          <w:bCs/>
          <w:sz w:val="24"/>
          <w:szCs w:val="24"/>
          <w:lang w:eastAsia="sk-SK"/>
        </w:rPr>
        <w:t>šesť</w:t>
      </w:r>
      <w:r w:rsidR="0008486C" w:rsidRPr="0008486C">
        <w:rPr>
          <w:rFonts w:ascii="Times New Roman" w:eastAsia="Times New Roman" w:hAnsi="Times New Roman" w:cs="Times New Roman"/>
          <w:bCs/>
          <w:sz w:val="24"/>
          <w:szCs w:val="24"/>
          <w:lang w:eastAsia="sk-SK"/>
        </w:rPr>
        <w:t xml:space="preserve"> osôb mesačne), ktorý by nemal vplyv na celkové </w:t>
      </w:r>
      <w:r w:rsidR="00EA295A">
        <w:rPr>
          <w:rFonts w:ascii="Times New Roman" w:eastAsia="Times New Roman" w:hAnsi="Times New Roman" w:cs="Times New Roman"/>
          <w:bCs/>
          <w:sz w:val="24"/>
          <w:szCs w:val="24"/>
          <w:lang w:eastAsia="sk-SK"/>
        </w:rPr>
        <w:t>kvantifikácie</w:t>
      </w:r>
      <w:r w:rsidR="0008486C" w:rsidRPr="0008486C">
        <w:rPr>
          <w:rFonts w:ascii="Times New Roman" w:eastAsia="Times New Roman" w:hAnsi="Times New Roman" w:cs="Times New Roman"/>
          <w:bCs/>
          <w:sz w:val="24"/>
          <w:szCs w:val="24"/>
          <w:lang w:eastAsia="sk-SK"/>
        </w:rPr>
        <w:t>.</w:t>
      </w:r>
      <w:r w:rsidR="00B02E66" w:rsidRPr="00B02E66">
        <w:rPr>
          <w:rFonts w:ascii="Times New Roman" w:hAnsi="Times New Roman" w:cs="Times New Roman"/>
          <w:color w:val="1F497D"/>
          <w:sz w:val="24"/>
          <w:szCs w:val="24"/>
        </w:rPr>
        <w:t xml:space="preserve"> </w:t>
      </w:r>
    </w:p>
    <w:p w:rsidR="00EA295A" w:rsidRDefault="00EA295A" w:rsidP="00B02E66">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color w:val="1F497D"/>
          <w:sz w:val="24"/>
          <w:szCs w:val="24"/>
        </w:rPr>
      </w:pPr>
    </w:p>
    <w:p w:rsidR="00EC6247" w:rsidRDefault="002A32E9"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BB2FB4">
        <w:rPr>
          <w:rFonts w:ascii="Times New Roman" w:hAnsi="Times New Roman" w:cs="Times New Roman"/>
          <w:sz w:val="24"/>
          <w:szCs w:val="24"/>
        </w:rPr>
        <w:t>Financovanie rozpočtovo nekrytých vplyvov na kapitolu MPSVR SR, ktoré môžu vzniknúť z</w:t>
      </w:r>
      <w:r w:rsidR="00C03002" w:rsidRPr="00BB2FB4">
        <w:rPr>
          <w:rFonts w:ascii="Times New Roman" w:hAnsi="Times New Roman" w:cs="Times New Roman"/>
          <w:sz w:val="24"/>
          <w:szCs w:val="24"/>
        </w:rPr>
        <w:t xml:space="preserve"> </w:t>
      </w:r>
      <w:r w:rsidR="00BB2FB4" w:rsidRPr="00BB2FB4">
        <w:rPr>
          <w:rFonts w:ascii="Times New Roman" w:hAnsi="Times New Roman" w:cs="Times New Roman"/>
          <w:sz w:val="24"/>
          <w:szCs w:val="24"/>
        </w:rPr>
        <w:t> </w:t>
      </w:r>
      <w:r w:rsidR="00C03002" w:rsidRPr="00BB2FB4">
        <w:rPr>
          <w:rFonts w:ascii="Times New Roman" w:hAnsi="Times New Roman" w:cs="Times New Roman"/>
          <w:sz w:val="24"/>
          <w:szCs w:val="24"/>
        </w:rPr>
        <w:t>dôvodu</w:t>
      </w:r>
      <w:r w:rsidRPr="00BB2FB4">
        <w:rPr>
          <w:rFonts w:ascii="Times New Roman" w:hAnsi="Times New Roman" w:cs="Times New Roman"/>
          <w:sz w:val="24"/>
          <w:szCs w:val="24"/>
        </w:rPr>
        <w:t xml:space="preserve"> dodatočného uplatnenia nárokov na platbu poistného štátom za obdobia pred 1. januárom 2026 (t. j. štátom platené poistné - doplatky), sa zabezpečí prostredníctvom rozpočtových opatrení v objeme kvantifikovanom podľa reálnych úhrad Sociálnej poisťovne</w:t>
      </w:r>
      <w:r w:rsidR="006334E4">
        <w:rPr>
          <w:rFonts w:ascii="Times New Roman" w:hAnsi="Times New Roman" w:cs="Times New Roman"/>
          <w:sz w:val="24"/>
          <w:szCs w:val="24"/>
        </w:rPr>
        <w:t>.</w:t>
      </w:r>
    </w:p>
    <w:p w:rsidR="00AF19C8" w:rsidRDefault="00AF19C8"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BA5E77" w:rsidRDefault="00BA5E77"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Zvýšené výdavky v roku 2025 spojené s úpravou informačných systémov Sociálnej poisťovne budú kryté</w:t>
      </w:r>
      <w:r w:rsidR="001F0CE1">
        <w:rPr>
          <w:rFonts w:ascii="Times New Roman" w:eastAsia="Times New Roman" w:hAnsi="Times New Roman" w:cs="Times New Roman"/>
          <w:bCs/>
          <w:sz w:val="24"/>
          <w:szCs w:val="24"/>
          <w:lang w:eastAsia="sk-SK"/>
        </w:rPr>
        <w:t xml:space="preserve"> zo správneho fondu. Zvýšené výdavky však z</w:t>
      </w:r>
      <w:r w:rsidR="00B02E66">
        <w:rPr>
          <w:rFonts w:ascii="Times New Roman" w:eastAsia="Times New Roman" w:hAnsi="Times New Roman" w:cs="Times New Roman"/>
          <w:bCs/>
          <w:sz w:val="24"/>
          <w:szCs w:val="24"/>
          <w:lang w:eastAsia="sk-SK"/>
        </w:rPr>
        <w:t> </w:t>
      </w:r>
      <w:r w:rsidR="001F0CE1">
        <w:rPr>
          <w:rFonts w:ascii="Times New Roman" w:eastAsia="Times New Roman" w:hAnsi="Times New Roman" w:cs="Times New Roman"/>
          <w:bCs/>
          <w:sz w:val="24"/>
          <w:szCs w:val="24"/>
          <w:lang w:eastAsia="sk-SK"/>
        </w:rPr>
        <w:t>dôvodu</w:t>
      </w:r>
      <w:r w:rsidR="00B02E66">
        <w:rPr>
          <w:rFonts w:ascii="Times New Roman" w:eastAsia="Times New Roman" w:hAnsi="Times New Roman" w:cs="Times New Roman"/>
          <w:bCs/>
          <w:sz w:val="24"/>
          <w:szCs w:val="24"/>
          <w:lang w:eastAsia="sk-SK"/>
        </w:rPr>
        <w:t xml:space="preserve"> predpokladaných</w:t>
      </w:r>
      <w:r w:rsidR="001F0CE1">
        <w:rPr>
          <w:rFonts w:ascii="Times New Roman" w:eastAsia="Times New Roman" w:hAnsi="Times New Roman" w:cs="Times New Roman"/>
          <w:bCs/>
          <w:sz w:val="24"/>
          <w:szCs w:val="24"/>
          <w:lang w:eastAsia="sk-SK"/>
        </w:rPr>
        <w:t xml:space="preserve"> úspor v základných fondoch Sociálnej poisťovne </w:t>
      </w:r>
      <w:r w:rsidR="001F0CE1" w:rsidRPr="001F0CE1">
        <w:rPr>
          <w:rFonts w:ascii="Times New Roman" w:eastAsia="Times New Roman" w:hAnsi="Times New Roman" w:cs="Times New Roman"/>
          <w:bCs/>
          <w:sz w:val="24"/>
          <w:szCs w:val="24"/>
          <w:lang w:eastAsia="sk-SK"/>
        </w:rPr>
        <w:t>nebudú mať vplyv na celkový schválený limit verejných výdavkov pre Sociálnu poisťovňu na rok</w:t>
      </w:r>
      <w:r w:rsidR="00B02E66">
        <w:rPr>
          <w:rFonts w:ascii="Times New Roman" w:eastAsia="Times New Roman" w:hAnsi="Times New Roman" w:cs="Times New Roman"/>
          <w:bCs/>
          <w:sz w:val="24"/>
          <w:szCs w:val="24"/>
          <w:lang w:eastAsia="sk-SK"/>
        </w:rPr>
        <w:t xml:space="preserve"> 2025</w:t>
      </w:r>
      <w:r w:rsidR="001F0CE1" w:rsidRPr="001F0CE1">
        <w:rPr>
          <w:rFonts w:ascii="Times New Roman" w:eastAsia="Times New Roman" w:hAnsi="Times New Roman" w:cs="Times New Roman"/>
          <w:bCs/>
          <w:sz w:val="24"/>
          <w:szCs w:val="24"/>
          <w:lang w:eastAsia="sk-SK"/>
        </w:rPr>
        <w:t>.</w:t>
      </w:r>
      <w:r w:rsidR="001F0CE1">
        <w:rPr>
          <w:rFonts w:ascii="Times New Roman" w:eastAsia="Times New Roman" w:hAnsi="Times New Roman" w:cs="Times New Roman"/>
          <w:bCs/>
          <w:sz w:val="24"/>
          <w:szCs w:val="24"/>
          <w:lang w:eastAsia="sk-SK"/>
        </w:rPr>
        <w:t xml:space="preserve"> B</w:t>
      </w:r>
      <w:r w:rsidR="001F0CE1" w:rsidRPr="001F0CE1">
        <w:rPr>
          <w:rFonts w:ascii="Times New Roman" w:eastAsia="Times New Roman" w:hAnsi="Times New Roman" w:cs="Times New Roman"/>
          <w:bCs/>
          <w:sz w:val="24"/>
          <w:szCs w:val="24"/>
          <w:lang w:eastAsia="sk-SK"/>
        </w:rPr>
        <w:t xml:space="preserve">udúce administratívne náklady spojené </w:t>
      </w:r>
      <w:r w:rsidR="00DD083D">
        <w:rPr>
          <w:rFonts w:ascii="Times New Roman" w:eastAsia="Times New Roman" w:hAnsi="Times New Roman" w:cs="Times New Roman"/>
          <w:bCs/>
          <w:sz w:val="24"/>
          <w:szCs w:val="24"/>
          <w:lang w:eastAsia="sk-SK"/>
        </w:rPr>
        <w:t xml:space="preserve">najmä </w:t>
      </w:r>
      <w:r w:rsidR="001F0CE1" w:rsidRPr="001F0CE1">
        <w:rPr>
          <w:rFonts w:ascii="Times New Roman" w:eastAsia="Times New Roman" w:hAnsi="Times New Roman" w:cs="Times New Roman"/>
          <w:bCs/>
          <w:sz w:val="24"/>
          <w:szCs w:val="24"/>
          <w:lang w:eastAsia="sk-SK"/>
        </w:rPr>
        <w:t xml:space="preserve">s distribúciou rozhodnutí o zmene </w:t>
      </w:r>
      <w:r w:rsidR="00B02E66">
        <w:rPr>
          <w:rFonts w:ascii="Times New Roman" w:eastAsia="Times New Roman" w:hAnsi="Times New Roman" w:cs="Times New Roman"/>
          <w:bCs/>
          <w:sz w:val="24"/>
          <w:szCs w:val="24"/>
          <w:lang w:eastAsia="sk-SK"/>
        </w:rPr>
        <w:t>sumy</w:t>
      </w:r>
      <w:r w:rsidR="001F0CE1" w:rsidRPr="001F0CE1">
        <w:rPr>
          <w:rFonts w:ascii="Times New Roman" w:eastAsia="Times New Roman" w:hAnsi="Times New Roman" w:cs="Times New Roman"/>
          <w:bCs/>
          <w:sz w:val="24"/>
          <w:szCs w:val="24"/>
          <w:lang w:eastAsia="sk-SK"/>
        </w:rPr>
        <w:t xml:space="preserve"> dávky, ktoré vyplynú z rozsiahleho ex </w:t>
      </w:r>
      <w:proofErr w:type="spellStart"/>
      <w:r w:rsidR="001F0CE1" w:rsidRPr="001F0CE1">
        <w:rPr>
          <w:rFonts w:ascii="Times New Roman" w:eastAsia="Times New Roman" w:hAnsi="Times New Roman" w:cs="Times New Roman"/>
          <w:bCs/>
          <w:sz w:val="24"/>
          <w:szCs w:val="24"/>
          <w:lang w:eastAsia="sk-SK"/>
        </w:rPr>
        <w:t>offo</w:t>
      </w:r>
      <w:proofErr w:type="spellEnd"/>
      <w:r w:rsidR="001F0CE1" w:rsidRPr="001F0CE1">
        <w:rPr>
          <w:rFonts w:ascii="Times New Roman" w:eastAsia="Times New Roman" w:hAnsi="Times New Roman" w:cs="Times New Roman"/>
          <w:bCs/>
          <w:sz w:val="24"/>
          <w:szCs w:val="24"/>
          <w:lang w:eastAsia="sk-SK"/>
        </w:rPr>
        <w:t xml:space="preserve"> prepočtu</w:t>
      </w:r>
      <w:r w:rsidR="00C073EF">
        <w:rPr>
          <w:rFonts w:ascii="Times New Roman" w:eastAsia="Times New Roman" w:hAnsi="Times New Roman" w:cs="Times New Roman"/>
          <w:bCs/>
          <w:sz w:val="24"/>
          <w:szCs w:val="24"/>
          <w:lang w:eastAsia="sk-SK"/>
        </w:rPr>
        <w:t xml:space="preserve"> budú kryté zo správneho fondu a nebudú mať vplyv na celkový schválený limit verejných výdavkov</w:t>
      </w:r>
      <w:r>
        <w:rPr>
          <w:rFonts w:ascii="Times New Roman" w:eastAsia="Times New Roman" w:hAnsi="Times New Roman" w:cs="Times New Roman"/>
          <w:bCs/>
          <w:sz w:val="24"/>
          <w:szCs w:val="24"/>
          <w:lang w:eastAsia="sk-SK"/>
        </w:rPr>
        <w:t xml:space="preserve"> </w:t>
      </w:r>
      <w:r w:rsidR="008D1853">
        <w:rPr>
          <w:rFonts w:ascii="Times New Roman" w:eastAsia="Times New Roman" w:hAnsi="Times New Roman" w:cs="Times New Roman"/>
          <w:bCs/>
          <w:sz w:val="24"/>
          <w:szCs w:val="24"/>
          <w:lang w:eastAsia="sk-SK"/>
        </w:rPr>
        <w:t>za predpokladu, že bude zachované použitie správneho fondu v rokoch 2027 a 2028 v takej výške aká bola uvedená v rozpočtom výhľade pre roky 2027 a 2028 z júla 2025.</w:t>
      </w:r>
    </w:p>
    <w:p w:rsidR="00BA5E77" w:rsidRPr="00EC6247" w:rsidRDefault="00BA5E77"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 </w:t>
      </w:r>
    </w:p>
    <w:p w:rsidR="00EC6247" w:rsidRDefault="00EC6247"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C6247">
        <w:rPr>
          <w:rFonts w:ascii="Times New Roman" w:eastAsia="Times New Roman" w:hAnsi="Times New Roman" w:cs="Times New Roman"/>
          <w:bCs/>
          <w:sz w:val="24"/>
          <w:szCs w:val="24"/>
          <w:lang w:eastAsia="sk-SK"/>
        </w:rPr>
        <w:t xml:space="preserve">V horizonte rokov 2026 až 2028 generuje navrhovaná zmena pozitívny vplyv na saldo rozpočtu verejnej správy. </w:t>
      </w:r>
      <w:r w:rsidR="008B55B8">
        <w:rPr>
          <w:rFonts w:ascii="Times New Roman" w:eastAsia="Times New Roman" w:hAnsi="Times New Roman" w:cs="Times New Roman"/>
          <w:bCs/>
          <w:sz w:val="24"/>
          <w:szCs w:val="24"/>
          <w:lang w:eastAsia="sk-SK"/>
        </w:rPr>
        <w:t>Bilancia</w:t>
      </w:r>
      <w:r w:rsidRPr="00EC6247">
        <w:rPr>
          <w:rFonts w:ascii="Times New Roman" w:eastAsia="Times New Roman" w:hAnsi="Times New Roman" w:cs="Times New Roman"/>
          <w:bCs/>
          <w:sz w:val="24"/>
          <w:szCs w:val="24"/>
          <w:lang w:eastAsia="sk-SK"/>
        </w:rPr>
        <w:t xml:space="preserve"> je najvyššia v prvom roku účinnost</w:t>
      </w:r>
      <w:r w:rsidR="00EC11DB">
        <w:rPr>
          <w:rFonts w:ascii="Times New Roman" w:eastAsia="Times New Roman" w:hAnsi="Times New Roman" w:cs="Times New Roman"/>
          <w:bCs/>
          <w:sz w:val="24"/>
          <w:szCs w:val="24"/>
          <w:lang w:eastAsia="sk-SK"/>
        </w:rPr>
        <w:t>i</w:t>
      </w:r>
      <w:r w:rsidR="00EA295A">
        <w:rPr>
          <w:rFonts w:ascii="Times New Roman" w:eastAsia="Times New Roman" w:hAnsi="Times New Roman" w:cs="Times New Roman"/>
          <w:bCs/>
          <w:sz w:val="24"/>
          <w:szCs w:val="24"/>
          <w:lang w:eastAsia="sk-SK"/>
        </w:rPr>
        <w:t xml:space="preserve"> návrhu zákona</w:t>
      </w:r>
      <w:r w:rsidR="00EC11DB">
        <w:rPr>
          <w:rFonts w:ascii="Times New Roman" w:eastAsia="Times New Roman" w:hAnsi="Times New Roman" w:cs="Times New Roman"/>
          <w:bCs/>
          <w:sz w:val="24"/>
          <w:szCs w:val="24"/>
          <w:lang w:eastAsia="sk-SK"/>
        </w:rPr>
        <w:t xml:space="preserve"> (</w:t>
      </w:r>
      <w:r w:rsidR="001331C0">
        <w:rPr>
          <w:rFonts w:ascii="Times New Roman" w:eastAsia="Times New Roman" w:hAnsi="Times New Roman" w:cs="Times New Roman"/>
          <w:bCs/>
          <w:sz w:val="24"/>
          <w:szCs w:val="24"/>
          <w:lang w:eastAsia="sk-SK"/>
        </w:rPr>
        <w:t xml:space="preserve">cca </w:t>
      </w:r>
      <w:r w:rsidR="00EC11DB">
        <w:rPr>
          <w:rFonts w:ascii="Times New Roman" w:eastAsia="Times New Roman" w:hAnsi="Times New Roman" w:cs="Times New Roman"/>
          <w:bCs/>
          <w:sz w:val="24"/>
          <w:szCs w:val="24"/>
          <w:lang w:eastAsia="sk-SK"/>
        </w:rPr>
        <w:t>48,</w:t>
      </w:r>
      <w:r w:rsidR="001331C0">
        <w:rPr>
          <w:rFonts w:ascii="Times New Roman" w:eastAsia="Times New Roman" w:hAnsi="Times New Roman" w:cs="Times New Roman"/>
          <w:bCs/>
          <w:sz w:val="24"/>
          <w:szCs w:val="24"/>
          <w:lang w:eastAsia="sk-SK"/>
        </w:rPr>
        <w:t>5</w:t>
      </w:r>
      <w:r w:rsidR="00EC11DB">
        <w:rPr>
          <w:rFonts w:ascii="Times New Roman" w:eastAsia="Times New Roman" w:hAnsi="Times New Roman" w:cs="Times New Roman"/>
          <w:bCs/>
          <w:sz w:val="24"/>
          <w:szCs w:val="24"/>
          <w:lang w:eastAsia="sk-SK"/>
        </w:rPr>
        <w:t xml:space="preserve"> mil. eur</w:t>
      </w:r>
      <w:r w:rsidRPr="00EC6247">
        <w:rPr>
          <w:rFonts w:ascii="Times New Roman" w:eastAsia="Times New Roman" w:hAnsi="Times New Roman" w:cs="Times New Roman"/>
          <w:bCs/>
          <w:sz w:val="24"/>
          <w:szCs w:val="24"/>
          <w:lang w:eastAsia="sk-SK"/>
        </w:rPr>
        <w:t>) a postupne klesá v nasledujúcich rokoch.</w:t>
      </w:r>
    </w:p>
    <w:p w:rsidR="00EC11DB" w:rsidRPr="00EC6247" w:rsidRDefault="00EC11DB"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EC6247" w:rsidRDefault="00EC6247"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C6247">
        <w:rPr>
          <w:rFonts w:ascii="Times New Roman" w:eastAsia="Times New Roman" w:hAnsi="Times New Roman" w:cs="Times New Roman"/>
          <w:bCs/>
          <w:sz w:val="24"/>
          <w:szCs w:val="24"/>
          <w:lang w:eastAsia="sk-SK"/>
        </w:rPr>
        <w:t xml:space="preserve">Tento krátkodobý pozitívny efekt je spôsobený tým, že úspora z neplatenia poistného štátom </w:t>
      </w:r>
      <w:r w:rsidR="007F0B38">
        <w:rPr>
          <w:rFonts w:ascii="Times New Roman" w:eastAsia="Times New Roman" w:hAnsi="Times New Roman" w:cs="Times New Roman"/>
          <w:bCs/>
          <w:sz w:val="24"/>
          <w:szCs w:val="24"/>
          <w:lang w:eastAsia="sk-SK"/>
        </w:rPr>
        <w:t xml:space="preserve">(vrátane príspevkov do II. piliera) </w:t>
      </w:r>
      <w:r w:rsidRPr="00EC6247">
        <w:rPr>
          <w:rFonts w:ascii="Times New Roman" w:eastAsia="Times New Roman" w:hAnsi="Times New Roman" w:cs="Times New Roman"/>
          <w:bCs/>
          <w:sz w:val="24"/>
          <w:szCs w:val="24"/>
          <w:lang w:eastAsia="sk-SK"/>
        </w:rPr>
        <w:t>sa prejaví okamžite a v plnej výške, zatiaľ čo zvýšené výdavky Sociálnej poisťovne na dôchodkové dávky (v dôsledku nového spôsobu výpočtu a</w:t>
      </w:r>
      <w:r w:rsidR="007F0B38">
        <w:rPr>
          <w:rFonts w:ascii="Times New Roman" w:eastAsia="Times New Roman" w:hAnsi="Times New Roman" w:cs="Times New Roman"/>
          <w:bCs/>
          <w:sz w:val="24"/>
          <w:szCs w:val="24"/>
          <w:lang w:eastAsia="sk-SK"/>
        </w:rPr>
        <w:t> </w:t>
      </w:r>
      <w:r w:rsidRPr="00EC6247">
        <w:rPr>
          <w:rFonts w:ascii="Times New Roman" w:eastAsia="Times New Roman" w:hAnsi="Times New Roman" w:cs="Times New Roman"/>
          <w:bCs/>
          <w:sz w:val="24"/>
          <w:szCs w:val="24"/>
          <w:lang w:eastAsia="sk-SK"/>
        </w:rPr>
        <w:t>prepočtov</w:t>
      </w:r>
      <w:r w:rsidR="007F0B38">
        <w:rPr>
          <w:rFonts w:ascii="Times New Roman" w:eastAsia="Times New Roman" w:hAnsi="Times New Roman" w:cs="Times New Roman"/>
          <w:bCs/>
          <w:sz w:val="24"/>
          <w:szCs w:val="24"/>
          <w:lang w:eastAsia="sk-SK"/>
        </w:rPr>
        <w:t xml:space="preserve"> už vyplácaných dôchodkov</w:t>
      </w:r>
      <w:r w:rsidRPr="00EC6247">
        <w:rPr>
          <w:rFonts w:ascii="Times New Roman" w:eastAsia="Times New Roman" w:hAnsi="Times New Roman" w:cs="Times New Roman"/>
          <w:bCs/>
          <w:sz w:val="24"/>
          <w:szCs w:val="24"/>
          <w:lang w:eastAsia="sk-SK"/>
        </w:rPr>
        <w:t>) budú nabiehať postupne a v plnej miere sa prejavia až v dlhodobom horizonte.</w:t>
      </w:r>
    </w:p>
    <w:p w:rsidR="00EC11DB" w:rsidRPr="00EC6247" w:rsidRDefault="00EC11DB"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EC6247" w:rsidRDefault="00EC6247" w:rsidP="00EC6247">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C6247">
        <w:rPr>
          <w:rFonts w:ascii="Times New Roman" w:eastAsia="Times New Roman" w:hAnsi="Times New Roman" w:cs="Times New Roman"/>
          <w:bCs/>
          <w:sz w:val="24"/>
          <w:szCs w:val="24"/>
          <w:lang w:eastAsia="sk-SK"/>
        </w:rPr>
        <w:t>Negatívne vplyvy na saldo verejnej správy sa tak prejavia až za horizontom doložky. Vplyv na dlhodobú udržateľnosť verejných financií, ktorý zohľadňuje plný nábeh zvýšených výdavkov na dôchodky v budúcnosti, je podrobne</w:t>
      </w:r>
      <w:r w:rsidR="00025858">
        <w:rPr>
          <w:rFonts w:ascii="Times New Roman" w:eastAsia="Times New Roman" w:hAnsi="Times New Roman" w:cs="Times New Roman"/>
          <w:bCs/>
          <w:sz w:val="24"/>
          <w:szCs w:val="24"/>
          <w:lang w:eastAsia="sk-SK"/>
        </w:rPr>
        <w:t xml:space="preserve">jšie kvantifikovaný a opísaný v </w:t>
      </w:r>
      <w:r w:rsidRPr="00EC6247">
        <w:rPr>
          <w:rFonts w:ascii="Times New Roman" w:eastAsia="Times New Roman" w:hAnsi="Times New Roman" w:cs="Times New Roman"/>
          <w:bCs/>
          <w:sz w:val="24"/>
          <w:szCs w:val="24"/>
          <w:lang w:eastAsia="sk-SK"/>
        </w:rPr>
        <w:t>časti 2.2.5.</w:t>
      </w:r>
    </w:p>
    <w:p w:rsidR="007D5748" w:rsidRPr="007B7470" w:rsidRDefault="007D5748"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025858" w:rsidRDefault="00025858" w:rsidP="007D5748">
      <w:pPr>
        <w:spacing w:after="0" w:line="240" w:lineRule="auto"/>
        <w:rPr>
          <w:rFonts w:ascii="Times New Roman" w:eastAsia="Times New Roman" w:hAnsi="Times New Roman" w:cs="Times New Roman"/>
          <w:b/>
          <w:bCs/>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Default="00AE7460" w:rsidP="00AE7460">
      <w:pPr>
        <w:spacing w:after="0" w:line="240" w:lineRule="auto"/>
        <w:jc w:val="both"/>
        <w:rPr>
          <w:rFonts w:ascii="Times New Roman" w:eastAsia="Times New Roman" w:hAnsi="Times New Roman" w:cs="Times New Roman"/>
          <w:sz w:val="24"/>
          <w:szCs w:val="24"/>
          <w:lang w:eastAsia="sk-SK"/>
        </w:rPr>
      </w:pPr>
      <w:r w:rsidRPr="00AE7460">
        <w:rPr>
          <w:rFonts w:ascii="Times New Roman" w:eastAsia="Times New Roman" w:hAnsi="Times New Roman" w:cs="Times New Roman"/>
          <w:sz w:val="24"/>
          <w:szCs w:val="24"/>
          <w:lang w:eastAsia="sk-SK"/>
        </w:rPr>
        <w:lastRenderedPageBreak/>
        <w:t>Predmetom návrhu</w:t>
      </w:r>
      <w:r w:rsidR="007F0B38">
        <w:rPr>
          <w:rFonts w:ascii="Times New Roman" w:eastAsia="Times New Roman" w:hAnsi="Times New Roman" w:cs="Times New Roman"/>
          <w:sz w:val="24"/>
          <w:szCs w:val="24"/>
          <w:lang w:eastAsia="sk-SK"/>
        </w:rPr>
        <w:t xml:space="preserve"> zákona</w:t>
      </w:r>
      <w:r w:rsidRPr="00AE7460">
        <w:rPr>
          <w:rFonts w:ascii="Times New Roman" w:eastAsia="Times New Roman" w:hAnsi="Times New Roman" w:cs="Times New Roman"/>
          <w:sz w:val="24"/>
          <w:szCs w:val="24"/>
          <w:lang w:eastAsia="sk-SK"/>
        </w:rPr>
        <w:t xml:space="preserve"> je modifikácia výpočtového mechanizmu dôchodkových dávok s cieľom neutralizovať vplyv období, počas ktorých je fyzická osoba poistencom štátu (najmä z dôvodu starostlivosti o dieťa), na ich výslednú sumu</w:t>
      </w:r>
      <w:r w:rsidR="00025858">
        <w:rPr>
          <w:rFonts w:ascii="Times New Roman" w:eastAsia="Times New Roman" w:hAnsi="Times New Roman" w:cs="Times New Roman"/>
          <w:sz w:val="24"/>
          <w:szCs w:val="24"/>
          <w:lang w:eastAsia="sk-SK"/>
        </w:rPr>
        <w:t xml:space="preserve"> dôchodku</w:t>
      </w:r>
      <w:r w:rsidRPr="00AE7460">
        <w:rPr>
          <w:rFonts w:ascii="Times New Roman" w:eastAsia="Times New Roman" w:hAnsi="Times New Roman" w:cs="Times New Roman"/>
          <w:sz w:val="24"/>
          <w:szCs w:val="24"/>
          <w:lang w:eastAsia="sk-SK"/>
        </w:rPr>
        <w:t>. Navrhovaná zmena je založená na</w:t>
      </w:r>
      <w:r w:rsidR="00F140E5">
        <w:rPr>
          <w:rFonts w:ascii="Times New Roman" w:eastAsia="Times New Roman" w:hAnsi="Times New Roman" w:cs="Times New Roman"/>
          <w:sz w:val="24"/>
          <w:szCs w:val="24"/>
          <w:lang w:eastAsia="sk-SK"/>
        </w:rPr>
        <w:t>jmä na</w:t>
      </w:r>
      <w:r w:rsidRPr="00AE7460">
        <w:rPr>
          <w:rFonts w:ascii="Times New Roman" w:eastAsia="Times New Roman" w:hAnsi="Times New Roman" w:cs="Times New Roman"/>
          <w:sz w:val="24"/>
          <w:szCs w:val="24"/>
          <w:lang w:eastAsia="sk-SK"/>
        </w:rPr>
        <w:t xml:space="preserve"> princípe vylúčenia období</w:t>
      </w:r>
      <w:r w:rsidR="007F0B38">
        <w:rPr>
          <w:rFonts w:ascii="Times New Roman" w:eastAsia="Times New Roman" w:hAnsi="Times New Roman" w:cs="Times New Roman"/>
          <w:sz w:val="24"/>
          <w:szCs w:val="24"/>
          <w:lang w:eastAsia="sk-SK"/>
        </w:rPr>
        <w:t xml:space="preserve"> starostlivosti o dieťa</w:t>
      </w:r>
      <w:r w:rsidRPr="00AE7460">
        <w:rPr>
          <w:rFonts w:ascii="Times New Roman" w:eastAsia="Times New Roman" w:hAnsi="Times New Roman" w:cs="Times New Roman"/>
          <w:sz w:val="24"/>
          <w:szCs w:val="24"/>
          <w:lang w:eastAsia="sk-SK"/>
        </w:rPr>
        <w:t xml:space="preserve"> z rozhodujúceho obdobia pre určenie priemerného osobného mzdového bodu a na umožnení súbehu poistenia</w:t>
      </w:r>
      <w:r w:rsidR="007F0B38">
        <w:rPr>
          <w:rFonts w:ascii="Times New Roman" w:eastAsia="Times New Roman" w:hAnsi="Times New Roman" w:cs="Times New Roman"/>
          <w:sz w:val="24"/>
          <w:szCs w:val="24"/>
          <w:lang w:eastAsia="sk-SK"/>
        </w:rPr>
        <w:t xml:space="preserve"> štátu</w:t>
      </w:r>
      <w:r w:rsidRPr="00AE7460">
        <w:rPr>
          <w:rFonts w:ascii="Times New Roman" w:eastAsia="Times New Roman" w:hAnsi="Times New Roman" w:cs="Times New Roman"/>
          <w:sz w:val="24"/>
          <w:szCs w:val="24"/>
          <w:lang w:eastAsia="sk-SK"/>
        </w:rPr>
        <w:t xml:space="preserve"> s</w:t>
      </w:r>
      <w:r w:rsidR="007F0B38">
        <w:rPr>
          <w:rFonts w:ascii="Times New Roman" w:eastAsia="Times New Roman" w:hAnsi="Times New Roman" w:cs="Times New Roman"/>
          <w:sz w:val="24"/>
          <w:szCs w:val="24"/>
          <w:lang w:eastAsia="sk-SK"/>
        </w:rPr>
        <w:t> dôchodkovým poistením z výkonu</w:t>
      </w:r>
      <w:r w:rsidRPr="00AE7460">
        <w:rPr>
          <w:rFonts w:ascii="Times New Roman" w:eastAsia="Times New Roman" w:hAnsi="Times New Roman" w:cs="Times New Roman"/>
          <w:sz w:val="24"/>
          <w:szCs w:val="24"/>
          <w:lang w:eastAsia="sk-SK"/>
        </w:rPr>
        <w:t xml:space="preserve"> zárobkov</w:t>
      </w:r>
      <w:r w:rsidR="007F0B38">
        <w:rPr>
          <w:rFonts w:ascii="Times New Roman" w:eastAsia="Times New Roman" w:hAnsi="Times New Roman" w:cs="Times New Roman"/>
          <w:sz w:val="24"/>
          <w:szCs w:val="24"/>
          <w:lang w:eastAsia="sk-SK"/>
        </w:rPr>
        <w:t>ej</w:t>
      </w:r>
      <w:r w:rsidRPr="00AE7460">
        <w:rPr>
          <w:rFonts w:ascii="Times New Roman" w:eastAsia="Times New Roman" w:hAnsi="Times New Roman" w:cs="Times New Roman"/>
          <w:sz w:val="24"/>
          <w:szCs w:val="24"/>
          <w:lang w:eastAsia="sk-SK"/>
        </w:rPr>
        <w:t xml:space="preserve"> činnos</w:t>
      </w:r>
      <w:r w:rsidR="007F0B38">
        <w:rPr>
          <w:rFonts w:ascii="Times New Roman" w:eastAsia="Times New Roman" w:hAnsi="Times New Roman" w:cs="Times New Roman"/>
          <w:sz w:val="24"/>
          <w:szCs w:val="24"/>
          <w:lang w:eastAsia="sk-SK"/>
        </w:rPr>
        <w:t>ti</w:t>
      </w:r>
      <w:r w:rsidRPr="00AE7460">
        <w:rPr>
          <w:rFonts w:ascii="Times New Roman" w:eastAsia="Times New Roman" w:hAnsi="Times New Roman" w:cs="Times New Roman"/>
          <w:sz w:val="24"/>
          <w:szCs w:val="24"/>
          <w:lang w:eastAsia="sk-SK"/>
        </w:rPr>
        <w:t>.</w:t>
      </w:r>
    </w:p>
    <w:p w:rsidR="00025858" w:rsidRDefault="00025858" w:rsidP="00AE7460">
      <w:pPr>
        <w:spacing w:after="0" w:line="240" w:lineRule="auto"/>
        <w:jc w:val="both"/>
        <w:rPr>
          <w:rFonts w:ascii="Times New Roman" w:eastAsia="Times New Roman" w:hAnsi="Times New Roman" w:cs="Times New Roman"/>
          <w:sz w:val="24"/>
          <w:szCs w:val="24"/>
          <w:lang w:eastAsia="sk-SK"/>
        </w:rPr>
      </w:pPr>
    </w:p>
    <w:p w:rsidR="00025858" w:rsidRPr="00025858" w:rsidRDefault="00025858" w:rsidP="00025858">
      <w:pPr>
        <w:spacing w:after="0" w:line="240" w:lineRule="auto"/>
        <w:jc w:val="both"/>
        <w:rPr>
          <w:rFonts w:ascii="Times New Roman" w:eastAsia="Times New Roman" w:hAnsi="Times New Roman" w:cs="Times New Roman"/>
          <w:sz w:val="24"/>
          <w:szCs w:val="24"/>
          <w:lang w:eastAsia="sk-SK"/>
        </w:rPr>
      </w:pPr>
      <w:r w:rsidRPr="00025858">
        <w:rPr>
          <w:rFonts w:ascii="Times New Roman" w:eastAsia="Times New Roman" w:hAnsi="Times New Roman" w:cs="Times New Roman"/>
          <w:sz w:val="24"/>
          <w:szCs w:val="24"/>
          <w:lang w:eastAsia="sk-SK"/>
        </w:rPr>
        <w:t>Implementáciu navrhovaných zmien bude zabezpečovať </w:t>
      </w:r>
      <w:r w:rsidRPr="00025858">
        <w:rPr>
          <w:rFonts w:ascii="Times New Roman" w:eastAsia="Times New Roman" w:hAnsi="Times New Roman" w:cs="Times New Roman"/>
          <w:bCs/>
          <w:sz w:val="24"/>
          <w:szCs w:val="24"/>
          <w:lang w:eastAsia="sk-SK"/>
        </w:rPr>
        <w:t>Sociálna poisťovňa</w:t>
      </w:r>
      <w:r w:rsidRPr="00025858">
        <w:rPr>
          <w:rFonts w:ascii="Times New Roman" w:eastAsia="Times New Roman" w:hAnsi="Times New Roman" w:cs="Times New Roman"/>
          <w:sz w:val="24"/>
          <w:szCs w:val="24"/>
          <w:lang w:eastAsia="sk-SK"/>
        </w:rPr>
        <w:t>. Jej úlohou bude prispôsobiť svoje informačné systémy a metodické postupy tak, aby umožňovali:</w:t>
      </w:r>
    </w:p>
    <w:p w:rsidR="00025858" w:rsidRPr="00025858" w:rsidRDefault="00025858" w:rsidP="00025858">
      <w:pPr>
        <w:numPr>
          <w:ilvl w:val="0"/>
          <w:numId w:val="7"/>
        </w:numPr>
        <w:spacing w:after="0" w:line="240" w:lineRule="auto"/>
        <w:jc w:val="both"/>
        <w:rPr>
          <w:rFonts w:ascii="Times New Roman" w:eastAsia="Times New Roman" w:hAnsi="Times New Roman" w:cs="Times New Roman"/>
          <w:sz w:val="24"/>
          <w:szCs w:val="24"/>
          <w:lang w:eastAsia="sk-SK"/>
        </w:rPr>
      </w:pPr>
      <w:r w:rsidRPr="00025858">
        <w:rPr>
          <w:rFonts w:ascii="Times New Roman" w:eastAsia="Times New Roman" w:hAnsi="Times New Roman" w:cs="Times New Roman"/>
          <w:sz w:val="24"/>
          <w:szCs w:val="24"/>
          <w:lang w:eastAsia="sk-SK"/>
        </w:rPr>
        <w:t>vykonávať porovnávací výpočet dôchodku podľa nového a súčasného mechanizmu a priznať dôchodok vo vyššej sume,</w:t>
      </w:r>
    </w:p>
    <w:p w:rsidR="00025858" w:rsidRPr="00025858" w:rsidRDefault="00025858" w:rsidP="00025858">
      <w:pPr>
        <w:numPr>
          <w:ilvl w:val="0"/>
          <w:numId w:val="7"/>
        </w:numPr>
        <w:spacing w:after="0" w:line="240" w:lineRule="auto"/>
        <w:jc w:val="both"/>
        <w:rPr>
          <w:rFonts w:ascii="Times New Roman" w:eastAsia="Times New Roman" w:hAnsi="Times New Roman" w:cs="Times New Roman"/>
          <w:sz w:val="24"/>
          <w:szCs w:val="24"/>
          <w:lang w:eastAsia="sk-SK"/>
        </w:rPr>
      </w:pPr>
      <w:r w:rsidRPr="00025858">
        <w:rPr>
          <w:rFonts w:ascii="Times New Roman" w:eastAsia="Times New Roman" w:hAnsi="Times New Roman" w:cs="Times New Roman"/>
          <w:sz w:val="24"/>
          <w:szCs w:val="24"/>
          <w:lang w:eastAsia="sk-SK"/>
        </w:rPr>
        <w:t>spravovať súbeh povinného dôchodkového poistenia</w:t>
      </w:r>
      <w:r w:rsidR="00F140E5">
        <w:rPr>
          <w:rFonts w:ascii="Times New Roman" w:eastAsia="Times New Roman" w:hAnsi="Times New Roman" w:cs="Times New Roman"/>
          <w:sz w:val="24"/>
          <w:szCs w:val="24"/>
          <w:lang w:eastAsia="sk-SK"/>
        </w:rPr>
        <w:t xml:space="preserve"> </w:t>
      </w:r>
      <w:r w:rsidR="00EB0337">
        <w:rPr>
          <w:rFonts w:ascii="Times New Roman" w:eastAsia="Times New Roman" w:hAnsi="Times New Roman" w:cs="Times New Roman"/>
          <w:sz w:val="24"/>
          <w:szCs w:val="24"/>
          <w:lang w:eastAsia="sk-SK"/>
        </w:rPr>
        <w:t>z</w:t>
      </w:r>
      <w:r w:rsidR="00F140E5">
        <w:rPr>
          <w:rFonts w:ascii="Times New Roman" w:eastAsia="Times New Roman" w:hAnsi="Times New Roman" w:cs="Times New Roman"/>
          <w:sz w:val="24"/>
          <w:szCs w:val="24"/>
          <w:lang w:eastAsia="sk-SK"/>
        </w:rPr>
        <w:t> výkon</w:t>
      </w:r>
      <w:r w:rsidR="00EB0337">
        <w:rPr>
          <w:rFonts w:ascii="Times New Roman" w:eastAsia="Times New Roman" w:hAnsi="Times New Roman" w:cs="Times New Roman"/>
          <w:sz w:val="24"/>
          <w:szCs w:val="24"/>
          <w:lang w:eastAsia="sk-SK"/>
        </w:rPr>
        <w:t>u</w:t>
      </w:r>
      <w:r w:rsidR="00F140E5">
        <w:rPr>
          <w:rFonts w:ascii="Times New Roman" w:eastAsia="Times New Roman" w:hAnsi="Times New Roman" w:cs="Times New Roman"/>
          <w:sz w:val="24"/>
          <w:szCs w:val="24"/>
          <w:lang w:eastAsia="sk-SK"/>
        </w:rPr>
        <w:t xml:space="preserve"> zárobkovej činnosti</w:t>
      </w:r>
      <w:r w:rsidR="00EB0337">
        <w:rPr>
          <w:rFonts w:ascii="Times New Roman" w:eastAsia="Times New Roman" w:hAnsi="Times New Roman" w:cs="Times New Roman"/>
          <w:sz w:val="24"/>
          <w:szCs w:val="24"/>
          <w:lang w:eastAsia="sk-SK"/>
        </w:rPr>
        <w:t xml:space="preserve"> s dôchodkovým poistením štátu</w:t>
      </w:r>
      <w:r w:rsidRPr="00025858">
        <w:rPr>
          <w:rFonts w:ascii="Times New Roman" w:eastAsia="Times New Roman" w:hAnsi="Times New Roman" w:cs="Times New Roman"/>
          <w:sz w:val="24"/>
          <w:szCs w:val="24"/>
          <w:lang w:eastAsia="sk-SK"/>
        </w:rPr>
        <w:t>,</w:t>
      </w:r>
    </w:p>
    <w:p w:rsidR="00F140E5" w:rsidRDefault="00025858" w:rsidP="00025858">
      <w:pPr>
        <w:numPr>
          <w:ilvl w:val="0"/>
          <w:numId w:val="7"/>
        </w:numPr>
        <w:spacing w:after="0" w:line="240" w:lineRule="auto"/>
        <w:jc w:val="both"/>
        <w:rPr>
          <w:rFonts w:ascii="Times New Roman" w:eastAsia="Times New Roman" w:hAnsi="Times New Roman" w:cs="Times New Roman"/>
          <w:sz w:val="24"/>
          <w:szCs w:val="24"/>
          <w:lang w:eastAsia="sk-SK"/>
        </w:rPr>
      </w:pPr>
      <w:r w:rsidRPr="00025858">
        <w:rPr>
          <w:rFonts w:ascii="Times New Roman" w:eastAsia="Times New Roman" w:hAnsi="Times New Roman" w:cs="Times New Roman"/>
          <w:sz w:val="24"/>
          <w:szCs w:val="24"/>
          <w:lang w:eastAsia="sk-SK"/>
        </w:rPr>
        <w:t xml:space="preserve">realizovať ex </w:t>
      </w:r>
      <w:proofErr w:type="spellStart"/>
      <w:r w:rsidRPr="00025858">
        <w:rPr>
          <w:rFonts w:ascii="Times New Roman" w:eastAsia="Times New Roman" w:hAnsi="Times New Roman" w:cs="Times New Roman"/>
          <w:sz w:val="24"/>
          <w:szCs w:val="24"/>
          <w:lang w:eastAsia="sk-SK"/>
        </w:rPr>
        <w:t>offo</w:t>
      </w:r>
      <w:proofErr w:type="spellEnd"/>
      <w:r w:rsidRPr="00025858">
        <w:rPr>
          <w:rFonts w:ascii="Times New Roman" w:eastAsia="Times New Roman" w:hAnsi="Times New Roman" w:cs="Times New Roman"/>
          <w:sz w:val="24"/>
          <w:szCs w:val="24"/>
          <w:lang w:eastAsia="sk-SK"/>
        </w:rPr>
        <w:t xml:space="preserve"> prepočet všetkých relevantných dôchodkov priznaných od 1. januára 2004 v zákonom stanovenej lehote </w:t>
      </w:r>
      <w:r w:rsidR="00F140E5">
        <w:rPr>
          <w:rFonts w:ascii="Times New Roman" w:eastAsia="Times New Roman" w:hAnsi="Times New Roman" w:cs="Times New Roman"/>
          <w:sz w:val="24"/>
          <w:szCs w:val="24"/>
          <w:lang w:eastAsia="sk-SK"/>
        </w:rPr>
        <w:t xml:space="preserve">najneskôr </w:t>
      </w:r>
      <w:r w:rsidRPr="00025858">
        <w:rPr>
          <w:rFonts w:ascii="Times New Roman" w:eastAsia="Times New Roman" w:hAnsi="Times New Roman" w:cs="Times New Roman"/>
          <w:sz w:val="24"/>
          <w:szCs w:val="24"/>
          <w:lang w:eastAsia="sk-SK"/>
        </w:rPr>
        <w:t>do 31. decembra 2031</w:t>
      </w:r>
      <w:r w:rsidR="00F140E5">
        <w:rPr>
          <w:rFonts w:ascii="Times New Roman" w:eastAsia="Times New Roman" w:hAnsi="Times New Roman" w:cs="Times New Roman"/>
          <w:sz w:val="24"/>
          <w:szCs w:val="24"/>
          <w:lang w:eastAsia="sk-SK"/>
        </w:rPr>
        <w:t>,</w:t>
      </w:r>
    </w:p>
    <w:p w:rsidR="00025858" w:rsidRDefault="00F140E5" w:rsidP="00B8123C">
      <w:pPr>
        <w:numPr>
          <w:ilvl w:val="0"/>
          <w:numId w:val="7"/>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zabezpečiť garanciu osobného mzdového bodu na úrovni najmenej 60 % všeobecného vymeriavacieho základu</w:t>
      </w:r>
      <w:r w:rsidR="0094729F">
        <w:rPr>
          <w:rFonts w:ascii="Times New Roman" w:eastAsia="Times New Roman" w:hAnsi="Times New Roman" w:cs="Times New Roman"/>
          <w:sz w:val="24"/>
          <w:szCs w:val="24"/>
          <w:lang w:eastAsia="sk-SK"/>
        </w:rPr>
        <w:t xml:space="preserve"> spred dvoch rokov</w:t>
      </w:r>
      <w:r>
        <w:rPr>
          <w:rFonts w:ascii="Times New Roman" w:eastAsia="Times New Roman" w:hAnsi="Times New Roman" w:cs="Times New Roman"/>
          <w:sz w:val="24"/>
          <w:szCs w:val="24"/>
          <w:lang w:eastAsia="sk-SK"/>
        </w:rPr>
        <w:t xml:space="preserve"> počas období starostlivosti o</w:t>
      </w:r>
      <w:r w:rsidR="00D863E0">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dieťa</w:t>
      </w:r>
      <w:r w:rsidR="00D863E0">
        <w:rPr>
          <w:rFonts w:ascii="Times New Roman" w:eastAsia="Times New Roman" w:hAnsi="Times New Roman" w:cs="Times New Roman"/>
          <w:sz w:val="24"/>
          <w:szCs w:val="24"/>
          <w:lang w:eastAsia="sk-SK"/>
        </w:rPr>
        <w:t xml:space="preserve"> (za obdobia pred 1.1.2026 aj po 1.1.2026)</w:t>
      </w:r>
      <w:r>
        <w:rPr>
          <w:rFonts w:ascii="Times New Roman" w:eastAsia="Times New Roman" w:hAnsi="Times New Roman" w:cs="Times New Roman"/>
          <w:sz w:val="24"/>
          <w:szCs w:val="24"/>
          <w:lang w:eastAsia="sk-SK"/>
        </w:rPr>
        <w:t>, poberania peňažného príspevku na opatrovanie</w:t>
      </w:r>
      <w:r w:rsidR="00B8123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výkonu osobnej asistencie v rozsahu aspoň 140 hodín mesačne</w:t>
      </w:r>
      <w:r w:rsidR="00B8123C" w:rsidRPr="00B8123C">
        <w:t xml:space="preserve"> </w:t>
      </w:r>
      <w:r w:rsidR="00B8123C" w:rsidRPr="00B8123C">
        <w:rPr>
          <w:rFonts w:ascii="Times New Roman" w:eastAsia="Times New Roman" w:hAnsi="Times New Roman" w:cs="Times New Roman"/>
          <w:sz w:val="24"/>
          <w:szCs w:val="24"/>
          <w:lang w:eastAsia="sk-SK"/>
        </w:rPr>
        <w:t>a obdobia poberania kompenzačného príspevku baníkom</w:t>
      </w:r>
      <w:r w:rsidR="00B8123C">
        <w:rPr>
          <w:rFonts w:ascii="Times New Roman" w:eastAsia="Times New Roman" w:hAnsi="Times New Roman" w:cs="Times New Roman"/>
          <w:sz w:val="24"/>
          <w:szCs w:val="24"/>
          <w:lang w:eastAsia="sk-SK"/>
        </w:rPr>
        <w:t xml:space="preserve"> </w:t>
      </w:r>
      <w:r w:rsidR="00D863E0">
        <w:rPr>
          <w:rFonts w:ascii="Times New Roman" w:eastAsia="Times New Roman" w:hAnsi="Times New Roman" w:cs="Times New Roman"/>
          <w:sz w:val="24"/>
          <w:szCs w:val="24"/>
          <w:lang w:eastAsia="sk-SK"/>
        </w:rPr>
        <w:t xml:space="preserve"> (za obdobia od 1.1.2026)</w:t>
      </w:r>
      <w:r w:rsidR="00025858" w:rsidRPr="00025858">
        <w:rPr>
          <w:rFonts w:ascii="Times New Roman" w:eastAsia="Times New Roman" w:hAnsi="Times New Roman" w:cs="Times New Roman"/>
          <w:sz w:val="24"/>
          <w:szCs w:val="24"/>
          <w:lang w:eastAsia="sk-SK"/>
        </w:rPr>
        <w:t>.</w:t>
      </w:r>
    </w:p>
    <w:p w:rsidR="002A5C4E" w:rsidRPr="00025858" w:rsidRDefault="002A5C4E" w:rsidP="002A5C4E">
      <w:pPr>
        <w:spacing w:after="0" w:line="240" w:lineRule="auto"/>
        <w:ind w:left="720"/>
        <w:jc w:val="both"/>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7D5748" w:rsidRPr="007B7470" w:rsidRDefault="002F331E"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X</w:t>
      </w:r>
      <w:r w:rsidR="007D5748" w:rsidRPr="007B7470">
        <w:rPr>
          <w:rFonts w:ascii="Times New Roman" w:eastAsia="Times New Roman" w:hAnsi="Times New Roman" w:cs="Times New Roman"/>
          <w:sz w:val="24"/>
          <w:szCs w:val="24"/>
          <w:bdr w:val="single" w:sz="4" w:space="0" w:color="auto"/>
          <w:lang w:eastAsia="sk-SK"/>
        </w:rPr>
        <w:t xml:space="preserve"> </w:t>
      </w:r>
      <w:r w:rsidR="007D5748" w:rsidRPr="007B7470">
        <w:rPr>
          <w:rFonts w:ascii="Times New Roman" w:eastAsia="Times New Roman" w:hAnsi="Times New Roman" w:cs="Times New Roman"/>
          <w:sz w:val="24"/>
          <w:szCs w:val="24"/>
          <w:lang w:eastAsia="sk-SK"/>
        </w:rPr>
        <w:t xml:space="preserve">  kombinovaný návrh</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C64BDB" w:rsidRDefault="00C64BDB" w:rsidP="007D5748">
      <w:pPr>
        <w:spacing w:after="0" w:line="240" w:lineRule="auto"/>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rsidR="007D5748" w:rsidRPr="007B7470" w:rsidRDefault="007D5748" w:rsidP="00DB700D">
      <w:pPr>
        <w:spacing w:after="0" w:line="240" w:lineRule="auto"/>
        <w:jc w:val="both"/>
        <w:rPr>
          <w:rFonts w:ascii="Times New Roman" w:eastAsia="Times New Roman" w:hAnsi="Times New Roman" w:cs="Times New Roman"/>
          <w:sz w:val="24"/>
          <w:szCs w:val="24"/>
          <w:lang w:eastAsia="sk-SK"/>
        </w:rPr>
      </w:pPr>
    </w:p>
    <w:p w:rsidR="00DB700D" w:rsidRDefault="00DB700D" w:rsidP="00DB700D">
      <w:pPr>
        <w:spacing w:after="0" w:line="240" w:lineRule="auto"/>
        <w:jc w:val="both"/>
        <w:rPr>
          <w:rFonts w:ascii="Times New Roman" w:eastAsia="Times New Roman" w:hAnsi="Times New Roman" w:cs="Times New Roman"/>
          <w:sz w:val="24"/>
          <w:szCs w:val="24"/>
          <w:lang w:eastAsia="sk-SK"/>
        </w:rPr>
      </w:pPr>
      <w:r w:rsidRPr="00DB700D">
        <w:rPr>
          <w:rFonts w:ascii="Times New Roman" w:eastAsia="Times New Roman" w:hAnsi="Times New Roman" w:cs="Times New Roman"/>
          <w:sz w:val="24"/>
          <w:szCs w:val="24"/>
          <w:lang w:eastAsia="sk-SK"/>
        </w:rPr>
        <w:t>Objem aktivít ovplyvnených návrhom zákona možno rozdeliť do dvoch hlavných kategórií.</w:t>
      </w:r>
    </w:p>
    <w:p w:rsidR="0094729F" w:rsidRPr="00DB700D" w:rsidRDefault="0094729F" w:rsidP="00DB700D">
      <w:pPr>
        <w:spacing w:after="0" w:line="240" w:lineRule="auto"/>
        <w:jc w:val="both"/>
        <w:rPr>
          <w:rFonts w:ascii="Times New Roman" w:eastAsia="Times New Roman" w:hAnsi="Times New Roman" w:cs="Times New Roman"/>
          <w:sz w:val="24"/>
          <w:szCs w:val="24"/>
          <w:lang w:eastAsia="sk-SK"/>
        </w:rPr>
      </w:pPr>
    </w:p>
    <w:p w:rsidR="00DB700D" w:rsidRDefault="00DB700D" w:rsidP="00DB700D">
      <w:pPr>
        <w:spacing w:after="0" w:line="240" w:lineRule="auto"/>
        <w:jc w:val="both"/>
        <w:rPr>
          <w:rFonts w:ascii="Times New Roman" w:eastAsia="Times New Roman" w:hAnsi="Times New Roman" w:cs="Times New Roman"/>
          <w:sz w:val="24"/>
          <w:szCs w:val="24"/>
          <w:lang w:eastAsia="sk-SK"/>
        </w:rPr>
      </w:pPr>
      <w:r w:rsidRPr="00DB700D">
        <w:rPr>
          <w:rFonts w:ascii="Times New Roman" w:eastAsia="Times New Roman" w:hAnsi="Times New Roman" w:cs="Times New Roman"/>
          <w:sz w:val="24"/>
          <w:szCs w:val="24"/>
          <w:lang w:eastAsia="sk-SK"/>
        </w:rPr>
        <w:t>Prvá kategória aktivít sa týka zmeny v poistnom vzťahu dotknutých osôb. Táto zmena spočíva v zániku povinnosti štátu platiť poistné na dôchodkové poistenie</w:t>
      </w:r>
      <w:r w:rsidR="005F1784">
        <w:rPr>
          <w:rFonts w:ascii="Times New Roman" w:eastAsia="Times New Roman" w:hAnsi="Times New Roman" w:cs="Times New Roman"/>
          <w:sz w:val="24"/>
          <w:szCs w:val="24"/>
          <w:lang w:eastAsia="sk-SK"/>
        </w:rPr>
        <w:t xml:space="preserve"> a do rezervného fondu solidarity</w:t>
      </w:r>
      <w:r w:rsidRPr="00DB700D">
        <w:rPr>
          <w:rFonts w:ascii="Times New Roman" w:eastAsia="Times New Roman" w:hAnsi="Times New Roman" w:cs="Times New Roman"/>
          <w:sz w:val="24"/>
          <w:szCs w:val="24"/>
          <w:lang w:eastAsia="sk-SK"/>
        </w:rPr>
        <w:t xml:space="preserve"> za definované skupiny osôb.</w:t>
      </w:r>
    </w:p>
    <w:p w:rsidR="0094729F" w:rsidRDefault="0094729F" w:rsidP="00DB700D">
      <w:pPr>
        <w:spacing w:after="0" w:line="240" w:lineRule="auto"/>
        <w:jc w:val="both"/>
        <w:rPr>
          <w:rFonts w:ascii="Times New Roman" w:eastAsia="Times New Roman" w:hAnsi="Times New Roman" w:cs="Times New Roman"/>
          <w:sz w:val="24"/>
          <w:szCs w:val="24"/>
          <w:lang w:eastAsia="sk-SK"/>
        </w:rPr>
      </w:pPr>
    </w:p>
    <w:p w:rsidR="00DB700D" w:rsidRDefault="00DB700D" w:rsidP="00DB700D">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Tabuľka 2/A: P</w:t>
      </w:r>
      <w:r w:rsidR="006E2756">
        <w:rPr>
          <w:rFonts w:ascii="Times New Roman" w:eastAsia="Times New Roman" w:hAnsi="Times New Roman" w:cs="Times New Roman"/>
          <w:b/>
          <w:sz w:val="24"/>
          <w:szCs w:val="24"/>
          <w:lang w:eastAsia="sk-SK"/>
        </w:rPr>
        <w:t xml:space="preserve">riemerný </w:t>
      </w:r>
      <w:r w:rsidR="00DC0BB8">
        <w:rPr>
          <w:rFonts w:ascii="Times New Roman" w:eastAsia="Times New Roman" w:hAnsi="Times New Roman" w:cs="Times New Roman"/>
          <w:b/>
          <w:sz w:val="24"/>
          <w:szCs w:val="24"/>
          <w:lang w:eastAsia="sk-SK"/>
        </w:rPr>
        <w:t xml:space="preserve">odhadovaný </w:t>
      </w:r>
      <w:r w:rsidR="006E2756">
        <w:rPr>
          <w:rFonts w:ascii="Times New Roman" w:eastAsia="Times New Roman" w:hAnsi="Times New Roman" w:cs="Times New Roman"/>
          <w:b/>
          <w:sz w:val="24"/>
          <w:szCs w:val="24"/>
          <w:lang w:eastAsia="sk-SK"/>
        </w:rPr>
        <w:t>mesačný</w:t>
      </w:r>
      <w:r>
        <w:rPr>
          <w:rFonts w:ascii="Times New Roman" w:eastAsia="Times New Roman" w:hAnsi="Times New Roman" w:cs="Times New Roman"/>
          <w:b/>
          <w:sz w:val="24"/>
          <w:szCs w:val="24"/>
          <w:lang w:eastAsia="sk-SK"/>
        </w:rPr>
        <w:t xml:space="preserve"> p</w:t>
      </w:r>
      <w:r w:rsidR="006E2756">
        <w:rPr>
          <w:rFonts w:ascii="Times New Roman" w:eastAsia="Times New Roman" w:hAnsi="Times New Roman" w:cs="Times New Roman"/>
          <w:b/>
          <w:sz w:val="24"/>
          <w:szCs w:val="24"/>
          <w:lang w:eastAsia="sk-SK"/>
        </w:rPr>
        <w:t>očet</w:t>
      </w:r>
      <w:r>
        <w:rPr>
          <w:rFonts w:ascii="Times New Roman" w:eastAsia="Times New Roman" w:hAnsi="Times New Roman" w:cs="Times New Roman"/>
          <w:b/>
          <w:sz w:val="24"/>
          <w:szCs w:val="24"/>
          <w:lang w:eastAsia="sk-SK"/>
        </w:rPr>
        <w:t xml:space="preserve"> dotknutých poistencov štátu </w:t>
      </w:r>
    </w:p>
    <w:tbl>
      <w:tblPr>
        <w:tblW w:w="9133" w:type="dxa"/>
        <w:tblLayout w:type="fixed"/>
        <w:tblCellMar>
          <w:left w:w="70" w:type="dxa"/>
          <w:right w:w="70" w:type="dxa"/>
        </w:tblCellMar>
        <w:tblLook w:val="04A0" w:firstRow="1" w:lastRow="0" w:firstColumn="1" w:lastColumn="0" w:noHBand="0" w:noVBand="1"/>
      </w:tblPr>
      <w:tblGrid>
        <w:gridCol w:w="4375"/>
        <w:gridCol w:w="1586"/>
        <w:gridCol w:w="1586"/>
        <w:gridCol w:w="1586"/>
      </w:tblGrid>
      <w:tr w:rsidR="00DB700D" w:rsidRPr="00DB700D" w:rsidTr="00DB700D">
        <w:trPr>
          <w:trHeight w:val="261"/>
        </w:trPr>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Typ poistného vzťahu</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2026</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2027</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2028</w:t>
            </w:r>
          </w:p>
        </w:tc>
      </w:tr>
      <w:tr w:rsidR="00DB700D" w:rsidRPr="00DB700D" w:rsidTr="00DB700D">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Starostlivosť</w:t>
            </w:r>
            <w:r>
              <w:rPr>
                <w:rFonts w:ascii="Times New Roman" w:eastAsia="Times New Roman" w:hAnsi="Times New Roman" w:cs="Times New Roman"/>
                <w:sz w:val="20"/>
                <w:szCs w:val="20"/>
                <w:lang w:eastAsia="sk-SK"/>
              </w:rPr>
              <w:t xml:space="preserve"> o dieťa</w:t>
            </w:r>
            <w:r w:rsidRPr="00DB700D">
              <w:rPr>
                <w:rFonts w:ascii="Times New Roman" w:eastAsia="Times New Roman" w:hAnsi="Times New Roman" w:cs="Times New Roman"/>
                <w:sz w:val="20"/>
                <w:szCs w:val="20"/>
                <w:lang w:eastAsia="sk-SK"/>
              </w:rPr>
              <w:t xml:space="preserve"> do 18 rokov</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2 439</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2 441</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2 444</w:t>
            </w:r>
          </w:p>
        </w:tc>
      </w:tr>
      <w:tr w:rsidR="00DB700D" w:rsidRPr="00DB700D" w:rsidTr="00DB700D">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Starostlivosť</w:t>
            </w:r>
            <w:r>
              <w:rPr>
                <w:rFonts w:ascii="Times New Roman" w:eastAsia="Times New Roman" w:hAnsi="Times New Roman" w:cs="Times New Roman"/>
                <w:sz w:val="20"/>
                <w:szCs w:val="20"/>
                <w:lang w:eastAsia="sk-SK"/>
              </w:rPr>
              <w:t xml:space="preserve"> o dieťa</w:t>
            </w:r>
            <w:r w:rsidRPr="00DB700D">
              <w:rPr>
                <w:rFonts w:ascii="Times New Roman" w:eastAsia="Times New Roman" w:hAnsi="Times New Roman" w:cs="Times New Roman"/>
                <w:sz w:val="20"/>
                <w:szCs w:val="20"/>
                <w:lang w:eastAsia="sk-SK"/>
              </w:rPr>
              <w:t xml:space="preserve"> do 6 rokov</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136 627</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136 748</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136 868</w:t>
            </w:r>
          </w:p>
        </w:tc>
      </w:tr>
      <w:tr w:rsidR="00DB700D" w:rsidRPr="00DB700D" w:rsidTr="00DB700D">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Fyzická osoba poberajúca materské</w:t>
            </w:r>
            <w:r w:rsidRPr="00DB700D">
              <w:rPr>
                <w:rFonts w:ascii="Times New Roman" w:eastAsia="Times New Roman" w:hAnsi="Times New Roman" w:cs="Times New Roman"/>
                <w:sz w:val="20"/>
                <w:szCs w:val="20"/>
                <w:lang w:eastAsia="sk-SK"/>
              </w:rPr>
              <w:t xml:space="preserve"> </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23 689</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23 710</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23 731</w:t>
            </w:r>
          </w:p>
        </w:tc>
      </w:tr>
      <w:tr w:rsidR="00DB700D" w:rsidRPr="00DB700D" w:rsidTr="00DB700D">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5F1784">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 xml:space="preserve">Poberatelia </w:t>
            </w:r>
            <w:r w:rsidR="005F1784">
              <w:rPr>
                <w:rFonts w:ascii="Times New Roman" w:eastAsia="Times New Roman" w:hAnsi="Times New Roman" w:cs="Times New Roman"/>
                <w:sz w:val="20"/>
                <w:szCs w:val="20"/>
                <w:lang w:eastAsia="sk-SK"/>
              </w:rPr>
              <w:t xml:space="preserve">peňažného príspevku na </w:t>
            </w:r>
            <w:r w:rsidRPr="00DB700D">
              <w:rPr>
                <w:rFonts w:ascii="Times New Roman" w:eastAsia="Times New Roman" w:hAnsi="Times New Roman" w:cs="Times New Roman"/>
                <w:sz w:val="20"/>
                <w:szCs w:val="20"/>
                <w:lang w:eastAsia="sk-SK"/>
              </w:rPr>
              <w:t>opatrova</w:t>
            </w:r>
            <w:r w:rsidR="005F1784">
              <w:rPr>
                <w:rFonts w:ascii="Times New Roman" w:eastAsia="Times New Roman" w:hAnsi="Times New Roman" w:cs="Times New Roman"/>
                <w:sz w:val="20"/>
                <w:szCs w:val="20"/>
                <w:lang w:eastAsia="sk-SK"/>
              </w:rPr>
              <w:t>nie</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31 466</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32 095</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32 737</w:t>
            </w:r>
          </w:p>
        </w:tc>
      </w:tr>
      <w:tr w:rsidR="00DB700D" w:rsidRPr="00DB700D" w:rsidTr="00DB700D">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Osobní asistenti</w:t>
            </w:r>
            <w:r w:rsidR="005F1784">
              <w:rPr>
                <w:rFonts w:ascii="Times New Roman" w:eastAsia="Times New Roman" w:hAnsi="Times New Roman" w:cs="Times New Roman"/>
                <w:sz w:val="20"/>
                <w:szCs w:val="20"/>
                <w:lang w:eastAsia="sk-SK"/>
              </w:rPr>
              <w:t xml:space="preserve"> aspoň 140 hodín mesačne</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1 627</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1 659</w:t>
            </w:r>
          </w:p>
        </w:tc>
        <w:tc>
          <w:tcPr>
            <w:tcW w:w="1586" w:type="dxa"/>
            <w:tcBorders>
              <w:top w:val="nil"/>
              <w:left w:val="nil"/>
              <w:bottom w:val="single" w:sz="4" w:space="0" w:color="auto"/>
              <w:right w:val="single" w:sz="4" w:space="0" w:color="auto"/>
            </w:tcBorders>
            <w:shd w:val="clear" w:color="auto" w:fill="auto"/>
            <w:noWrap/>
            <w:vAlign w:val="bottom"/>
            <w:hideMark/>
          </w:tcPr>
          <w:p w:rsidR="00DB700D" w:rsidRPr="00DB700D" w:rsidRDefault="00DB700D" w:rsidP="00DB700D">
            <w:pPr>
              <w:spacing w:after="0" w:line="240" w:lineRule="auto"/>
              <w:jc w:val="right"/>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1 693</w:t>
            </w:r>
          </w:p>
        </w:tc>
      </w:tr>
      <w:tr w:rsidR="002D7683" w:rsidRPr="00DB700D" w:rsidTr="002D7683">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tcPr>
          <w:p w:rsidR="002D7683" w:rsidRPr="00DB700D" w:rsidRDefault="002D7683" w:rsidP="002D7683">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Fyzická osoba s kompenzačným príspevkom</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7683" w:rsidRPr="00DB700D" w:rsidRDefault="002D7683" w:rsidP="002D7683">
            <w:pPr>
              <w:spacing w:after="0" w:line="240" w:lineRule="auto"/>
              <w:jc w:val="right"/>
              <w:rPr>
                <w:rFonts w:ascii="Times New Roman" w:eastAsia="Times New Roman" w:hAnsi="Times New Roman" w:cs="Times New Roman"/>
                <w:sz w:val="20"/>
                <w:szCs w:val="20"/>
                <w:lang w:eastAsia="sk-SK"/>
              </w:rPr>
            </w:pPr>
            <w:r w:rsidRPr="002D7683">
              <w:rPr>
                <w:rFonts w:ascii="Times New Roman" w:eastAsia="Times New Roman" w:hAnsi="Times New Roman" w:cs="Times New Roman"/>
                <w:sz w:val="20"/>
                <w:szCs w:val="20"/>
                <w:lang w:eastAsia="sk-SK"/>
              </w:rPr>
              <w:t>488</w:t>
            </w:r>
          </w:p>
        </w:tc>
        <w:tc>
          <w:tcPr>
            <w:tcW w:w="1586" w:type="dxa"/>
            <w:tcBorders>
              <w:top w:val="single" w:sz="4" w:space="0" w:color="auto"/>
              <w:left w:val="nil"/>
              <w:bottom w:val="single" w:sz="4" w:space="0" w:color="auto"/>
              <w:right w:val="single" w:sz="4" w:space="0" w:color="auto"/>
            </w:tcBorders>
            <w:shd w:val="clear" w:color="auto" w:fill="auto"/>
            <w:noWrap/>
            <w:vAlign w:val="bottom"/>
          </w:tcPr>
          <w:p w:rsidR="002D7683" w:rsidRPr="00DB700D" w:rsidRDefault="002D7683" w:rsidP="002D7683">
            <w:pPr>
              <w:spacing w:after="0" w:line="240" w:lineRule="auto"/>
              <w:jc w:val="right"/>
              <w:rPr>
                <w:rFonts w:ascii="Times New Roman" w:eastAsia="Times New Roman" w:hAnsi="Times New Roman" w:cs="Times New Roman"/>
                <w:sz w:val="20"/>
                <w:szCs w:val="20"/>
                <w:lang w:eastAsia="sk-SK"/>
              </w:rPr>
            </w:pPr>
            <w:r w:rsidRPr="002D7683">
              <w:rPr>
                <w:rFonts w:ascii="Times New Roman" w:eastAsia="Times New Roman" w:hAnsi="Times New Roman" w:cs="Times New Roman"/>
                <w:sz w:val="20"/>
                <w:szCs w:val="20"/>
                <w:lang w:eastAsia="sk-SK"/>
              </w:rPr>
              <w:t>497</w:t>
            </w:r>
          </w:p>
        </w:tc>
        <w:tc>
          <w:tcPr>
            <w:tcW w:w="1586" w:type="dxa"/>
            <w:tcBorders>
              <w:top w:val="single" w:sz="4" w:space="0" w:color="auto"/>
              <w:left w:val="nil"/>
              <w:bottom w:val="single" w:sz="4" w:space="0" w:color="auto"/>
              <w:right w:val="single" w:sz="4" w:space="0" w:color="auto"/>
            </w:tcBorders>
            <w:shd w:val="clear" w:color="auto" w:fill="auto"/>
            <w:noWrap/>
            <w:vAlign w:val="bottom"/>
          </w:tcPr>
          <w:p w:rsidR="002D7683" w:rsidRPr="00DB700D" w:rsidRDefault="002D7683" w:rsidP="002D7683">
            <w:pPr>
              <w:spacing w:after="0" w:line="240" w:lineRule="auto"/>
              <w:jc w:val="right"/>
              <w:rPr>
                <w:rFonts w:ascii="Times New Roman" w:eastAsia="Times New Roman" w:hAnsi="Times New Roman" w:cs="Times New Roman"/>
                <w:sz w:val="20"/>
                <w:szCs w:val="20"/>
                <w:lang w:eastAsia="sk-SK"/>
              </w:rPr>
            </w:pPr>
            <w:r w:rsidRPr="002D7683">
              <w:rPr>
                <w:rFonts w:ascii="Times New Roman" w:eastAsia="Times New Roman" w:hAnsi="Times New Roman" w:cs="Times New Roman"/>
                <w:sz w:val="20"/>
                <w:szCs w:val="20"/>
                <w:lang w:eastAsia="sk-SK"/>
              </w:rPr>
              <w:t>507</w:t>
            </w:r>
          </w:p>
        </w:tc>
      </w:tr>
      <w:tr w:rsidR="002D7683" w:rsidRPr="00DB700D" w:rsidTr="002D7683">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2D7683" w:rsidRPr="00DB700D" w:rsidRDefault="002D7683" w:rsidP="002D7683">
            <w:pPr>
              <w:spacing w:after="0" w:line="240" w:lineRule="auto"/>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Spolu</w:t>
            </w:r>
          </w:p>
        </w:tc>
        <w:tc>
          <w:tcPr>
            <w:tcW w:w="1586" w:type="dxa"/>
            <w:tcBorders>
              <w:top w:val="nil"/>
              <w:left w:val="nil"/>
              <w:bottom w:val="single" w:sz="4" w:space="0" w:color="auto"/>
              <w:right w:val="single" w:sz="4" w:space="0" w:color="auto"/>
            </w:tcBorders>
            <w:shd w:val="clear" w:color="auto" w:fill="auto"/>
            <w:noWrap/>
            <w:hideMark/>
          </w:tcPr>
          <w:p w:rsidR="002D7683" w:rsidRPr="002D7683" w:rsidRDefault="002D7683" w:rsidP="002D7683">
            <w:pPr>
              <w:spacing w:after="0" w:line="240" w:lineRule="auto"/>
              <w:jc w:val="right"/>
              <w:rPr>
                <w:rFonts w:ascii="Times New Roman" w:eastAsia="Times New Roman" w:hAnsi="Times New Roman" w:cs="Times New Roman"/>
                <w:b/>
                <w:sz w:val="20"/>
                <w:szCs w:val="20"/>
                <w:lang w:eastAsia="sk-SK"/>
              </w:rPr>
            </w:pPr>
            <w:r w:rsidRPr="002D7683">
              <w:rPr>
                <w:rFonts w:ascii="Times New Roman" w:hAnsi="Times New Roman" w:cs="Times New Roman"/>
                <w:b/>
                <w:sz w:val="20"/>
                <w:szCs w:val="20"/>
              </w:rPr>
              <w:t>196 336</w:t>
            </w:r>
          </w:p>
        </w:tc>
        <w:tc>
          <w:tcPr>
            <w:tcW w:w="1586" w:type="dxa"/>
            <w:tcBorders>
              <w:top w:val="nil"/>
              <w:left w:val="nil"/>
              <w:bottom w:val="single" w:sz="4" w:space="0" w:color="auto"/>
              <w:right w:val="single" w:sz="4" w:space="0" w:color="auto"/>
            </w:tcBorders>
            <w:shd w:val="clear" w:color="auto" w:fill="auto"/>
            <w:noWrap/>
            <w:hideMark/>
          </w:tcPr>
          <w:p w:rsidR="002D7683" w:rsidRPr="002D7683" w:rsidRDefault="00410734" w:rsidP="002D7683">
            <w:pPr>
              <w:spacing w:after="0" w:line="240" w:lineRule="auto"/>
              <w:jc w:val="right"/>
              <w:rPr>
                <w:rFonts w:ascii="Times New Roman" w:eastAsia="Times New Roman" w:hAnsi="Times New Roman" w:cs="Times New Roman"/>
                <w:b/>
                <w:sz w:val="20"/>
                <w:szCs w:val="20"/>
                <w:lang w:eastAsia="sk-SK"/>
              </w:rPr>
            </w:pPr>
            <w:r>
              <w:rPr>
                <w:rFonts w:ascii="Times New Roman" w:hAnsi="Times New Roman" w:cs="Times New Roman"/>
                <w:b/>
                <w:sz w:val="20"/>
                <w:szCs w:val="20"/>
              </w:rPr>
              <w:t>197 150</w:t>
            </w:r>
          </w:p>
        </w:tc>
        <w:tc>
          <w:tcPr>
            <w:tcW w:w="1586" w:type="dxa"/>
            <w:tcBorders>
              <w:top w:val="nil"/>
              <w:left w:val="nil"/>
              <w:bottom w:val="single" w:sz="4" w:space="0" w:color="auto"/>
              <w:right w:val="single" w:sz="4" w:space="0" w:color="auto"/>
            </w:tcBorders>
            <w:shd w:val="clear" w:color="auto" w:fill="auto"/>
            <w:noWrap/>
            <w:hideMark/>
          </w:tcPr>
          <w:p w:rsidR="002D7683" w:rsidRPr="002D7683" w:rsidRDefault="00410734" w:rsidP="002D7683">
            <w:pPr>
              <w:spacing w:after="0" w:line="240" w:lineRule="auto"/>
              <w:jc w:val="right"/>
              <w:rPr>
                <w:rFonts w:ascii="Times New Roman" w:eastAsia="Times New Roman" w:hAnsi="Times New Roman" w:cs="Times New Roman"/>
                <w:b/>
                <w:sz w:val="20"/>
                <w:szCs w:val="20"/>
                <w:lang w:eastAsia="sk-SK"/>
              </w:rPr>
            </w:pPr>
            <w:r>
              <w:rPr>
                <w:rFonts w:ascii="Times New Roman" w:hAnsi="Times New Roman" w:cs="Times New Roman"/>
                <w:b/>
                <w:sz w:val="20"/>
                <w:szCs w:val="20"/>
              </w:rPr>
              <w:t>197 980</w:t>
            </w:r>
          </w:p>
        </w:tc>
      </w:tr>
    </w:tbl>
    <w:p w:rsidR="00DB700D" w:rsidRPr="00DB700D" w:rsidRDefault="00DB700D" w:rsidP="00DB700D">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Zdroj: </w:t>
      </w:r>
      <w:proofErr w:type="spellStart"/>
      <w:r>
        <w:rPr>
          <w:rFonts w:ascii="Times New Roman" w:eastAsia="Times New Roman" w:hAnsi="Times New Roman" w:cs="Times New Roman"/>
          <w:i/>
          <w:sz w:val="20"/>
          <w:szCs w:val="20"/>
          <w:lang w:eastAsia="sk-SK"/>
        </w:rPr>
        <w:t>Mikroúdaje</w:t>
      </w:r>
      <w:proofErr w:type="spellEnd"/>
      <w:r>
        <w:rPr>
          <w:rFonts w:ascii="Times New Roman" w:eastAsia="Times New Roman" w:hAnsi="Times New Roman" w:cs="Times New Roman"/>
          <w:i/>
          <w:sz w:val="20"/>
          <w:szCs w:val="20"/>
          <w:lang w:eastAsia="sk-SK"/>
        </w:rPr>
        <w:t xml:space="preserve"> Sociálnej poisťovne</w:t>
      </w:r>
    </w:p>
    <w:p w:rsidR="00DB700D" w:rsidRDefault="00DB700D" w:rsidP="00DB700D">
      <w:pPr>
        <w:spacing w:after="0" w:line="240" w:lineRule="auto"/>
        <w:jc w:val="both"/>
        <w:rPr>
          <w:rFonts w:ascii="Times New Roman" w:eastAsia="Times New Roman" w:hAnsi="Times New Roman" w:cs="Times New Roman"/>
          <w:sz w:val="24"/>
          <w:szCs w:val="24"/>
          <w:lang w:eastAsia="sk-SK"/>
        </w:rPr>
      </w:pPr>
    </w:p>
    <w:p w:rsidR="00DB700D" w:rsidRDefault="00DB700D" w:rsidP="00DB700D">
      <w:pPr>
        <w:spacing w:after="0" w:line="240" w:lineRule="auto"/>
        <w:jc w:val="both"/>
        <w:rPr>
          <w:rFonts w:ascii="Times New Roman" w:eastAsia="Times New Roman" w:hAnsi="Times New Roman" w:cs="Times New Roman"/>
          <w:sz w:val="24"/>
          <w:szCs w:val="24"/>
          <w:lang w:eastAsia="sk-SK"/>
        </w:rPr>
      </w:pPr>
      <w:r w:rsidRPr="00DB700D">
        <w:rPr>
          <w:rFonts w:ascii="Times New Roman" w:eastAsia="Times New Roman" w:hAnsi="Times New Roman" w:cs="Times New Roman"/>
          <w:sz w:val="24"/>
          <w:szCs w:val="24"/>
          <w:lang w:eastAsia="sk-SK"/>
        </w:rPr>
        <w:t xml:space="preserve">Keďže štát prestáva platiť poistné do Sociálnej poisťovne, zaniká aj právny základ pre postúpenie časti tohto poistného </w:t>
      </w:r>
      <w:r w:rsidR="00D863E0">
        <w:rPr>
          <w:rFonts w:ascii="Times New Roman" w:eastAsia="Times New Roman" w:hAnsi="Times New Roman" w:cs="Times New Roman"/>
          <w:sz w:val="24"/>
          <w:szCs w:val="24"/>
          <w:lang w:eastAsia="sk-SK"/>
        </w:rPr>
        <w:t xml:space="preserve">(povinné príspevky na SDS) </w:t>
      </w:r>
      <w:r w:rsidRPr="00DB700D">
        <w:rPr>
          <w:rFonts w:ascii="Times New Roman" w:eastAsia="Times New Roman" w:hAnsi="Times New Roman" w:cs="Times New Roman"/>
          <w:sz w:val="24"/>
          <w:szCs w:val="24"/>
          <w:lang w:eastAsia="sk-SK"/>
        </w:rPr>
        <w:t xml:space="preserve">do dôchodkových správcovských </w:t>
      </w:r>
      <w:r w:rsidRPr="00DB700D">
        <w:rPr>
          <w:rFonts w:ascii="Times New Roman" w:eastAsia="Times New Roman" w:hAnsi="Times New Roman" w:cs="Times New Roman"/>
          <w:sz w:val="24"/>
          <w:szCs w:val="24"/>
          <w:lang w:eastAsia="sk-SK"/>
        </w:rPr>
        <w:lastRenderedPageBreak/>
        <w:t>spoločností. Podmnožinou prvej skupiny sú</w:t>
      </w:r>
      <w:r w:rsidR="006E2756">
        <w:rPr>
          <w:rFonts w:ascii="Times New Roman" w:eastAsia="Times New Roman" w:hAnsi="Times New Roman" w:cs="Times New Roman"/>
          <w:sz w:val="24"/>
          <w:szCs w:val="24"/>
          <w:lang w:eastAsia="sk-SK"/>
        </w:rPr>
        <w:t xml:space="preserve"> preto</w:t>
      </w:r>
      <w:r w:rsidRPr="00DB700D">
        <w:rPr>
          <w:rFonts w:ascii="Times New Roman" w:eastAsia="Times New Roman" w:hAnsi="Times New Roman" w:cs="Times New Roman"/>
          <w:sz w:val="24"/>
          <w:szCs w:val="24"/>
          <w:lang w:eastAsia="sk-SK"/>
        </w:rPr>
        <w:t xml:space="preserve"> </w:t>
      </w:r>
      <w:r w:rsidR="005F1784">
        <w:rPr>
          <w:rFonts w:ascii="Times New Roman" w:eastAsia="Times New Roman" w:hAnsi="Times New Roman" w:cs="Times New Roman"/>
          <w:sz w:val="24"/>
          <w:szCs w:val="24"/>
          <w:lang w:eastAsia="sk-SK"/>
        </w:rPr>
        <w:t xml:space="preserve">aj </w:t>
      </w:r>
      <w:r w:rsidRPr="00DB700D">
        <w:rPr>
          <w:rFonts w:ascii="Times New Roman" w:eastAsia="Times New Roman" w:hAnsi="Times New Roman" w:cs="Times New Roman"/>
          <w:sz w:val="24"/>
          <w:szCs w:val="24"/>
          <w:lang w:eastAsia="sk-SK"/>
        </w:rPr>
        <w:t>sporitelia v II. pilieri</w:t>
      </w:r>
      <w:r w:rsidR="006E2756">
        <w:rPr>
          <w:rFonts w:ascii="Times New Roman" w:eastAsia="Times New Roman" w:hAnsi="Times New Roman" w:cs="Times New Roman"/>
          <w:sz w:val="24"/>
          <w:szCs w:val="24"/>
          <w:lang w:eastAsia="sk-SK"/>
        </w:rPr>
        <w:t xml:space="preserve">, za ktorých už nebudú postupované </w:t>
      </w:r>
      <w:r w:rsidR="00D863E0">
        <w:rPr>
          <w:rFonts w:ascii="Times New Roman" w:eastAsia="Times New Roman" w:hAnsi="Times New Roman" w:cs="Times New Roman"/>
          <w:sz w:val="24"/>
          <w:szCs w:val="24"/>
          <w:lang w:eastAsia="sk-SK"/>
        </w:rPr>
        <w:t xml:space="preserve">povinné </w:t>
      </w:r>
      <w:r w:rsidR="006E2756">
        <w:rPr>
          <w:rFonts w:ascii="Times New Roman" w:eastAsia="Times New Roman" w:hAnsi="Times New Roman" w:cs="Times New Roman"/>
          <w:sz w:val="24"/>
          <w:szCs w:val="24"/>
          <w:lang w:eastAsia="sk-SK"/>
        </w:rPr>
        <w:t>príspevky na starobné dôchodkové sporenie</w:t>
      </w:r>
      <w:r w:rsidR="005F1784">
        <w:rPr>
          <w:rFonts w:ascii="Times New Roman" w:eastAsia="Times New Roman" w:hAnsi="Times New Roman" w:cs="Times New Roman"/>
          <w:sz w:val="24"/>
          <w:szCs w:val="24"/>
          <w:lang w:eastAsia="sk-SK"/>
        </w:rPr>
        <w:t xml:space="preserve"> od 1. januára 2026</w:t>
      </w:r>
      <w:r w:rsidR="006E2756">
        <w:rPr>
          <w:rFonts w:ascii="Times New Roman" w:eastAsia="Times New Roman" w:hAnsi="Times New Roman" w:cs="Times New Roman"/>
          <w:sz w:val="24"/>
          <w:szCs w:val="24"/>
          <w:lang w:eastAsia="sk-SK"/>
        </w:rPr>
        <w:t xml:space="preserve">. </w:t>
      </w:r>
    </w:p>
    <w:p w:rsidR="006E2756" w:rsidRDefault="006E2756" w:rsidP="00DB700D">
      <w:pPr>
        <w:spacing w:after="0" w:line="240" w:lineRule="auto"/>
        <w:jc w:val="both"/>
        <w:rPr>
          <w:rFonts w:ascii="Times New Roman" w:eastAsia="Times New Roman" w:hAnsi="Times New Roman" w:cs="Times New Roman"/>
          <w:sz w:val="24"/>
          <w:szCs w:val="24"/>
          <w:lang w:eastAsia="sk-SK"/>
        </w:rPr>
      </w:pPr>
    </w:p>
    <w:p w:rsidR="00575272" w:rsidRDefault="00575272" w:rsidP="00DB700D">
      <w:pPr>
        <w:spacing w:after="0" w:line="240" w:lineRule="auto"/>
        <w:jc w:val="both"/>
        <w:rPr>
          <w:rFonts w:ascii="Times New Roman" w:eastAsia="Times New Roman" w:hAnsi="Times New Roman" w:cs="Times New Roman"/>
          <w:sz w:val="24"/>
          <w:szCs w:val="24"/>
          <w:lang w:eastAsia="sk-SK"/>
        </w:rPr>
      </w:pPr>
    </w:p>
    <w:p w:rsidR="00881B9F" w:rsidRDefault="00881B9F" w:rsidP="00DB700D">
      <w:pPr>
        <w:spacing w:after="0" w:line="240" w:lineRule="auto"/>
        <w:jc w:val="both"/>
        <w:rPr>
          <w:rFonts w:ascii="Times New Roman" w:eastAsia="Times New Roman" w:hAnsi="Times New Roman" w:cs="Times New Roman"/>
          <w:sz w:val="24"/>
          <w:szCs w:val="24"/>
          <w:lang w:eastAsia="sk-SK"/>
        </w:rPr>
      </w:pPr>
    </w:p>
    <w:p w:rsidR="006E2756" w:rsidRPr="006E2756" w:rsidRDefault="006E2756" w:rsidP="006E2756">
      <w:pPr>
        <w:spacing w:after="0" w:line="240" w:lineRule="auto"/>
        <w:jc w:val="both"/>
        <w:rPr>
          <w:rFonts w:ascii="Times New Roman" w:eastAsia="Times New Roman" w:hAnsi="Times New Roman" w:cs="Times New Roman"/>
          <w:b/>
          <w:sz w:val="24"/>
          <w:szCs w:val="24"/>
          <w:lang w:eastAsia="sk-SK"/>
        </w:rPr>
      </w:pPr>
      <w:r w:rsidRPr="006E2756">
        <w:rPr>
          <w:rFonts w:ascii="Times New Roman" w:eastAsia="Times New Roman" w:hAnsi="Times New Roman" w:cs="Times New Roman"/>
          <w:b/>
          <w:sz w:val="24"/>
          <w:szCs w:val="24"/>
          <w:lang w:eastAsia="sk-SK"/>
        </w:rPr>
        <w:t>Tabuľka 2/</w:t>
      </w:r>
      <w:r>
        <w:rPr>
          <w:rFonts w:ascii="Times New Roman" w:eastAsia="Times New Roman" w:hAnsi="Times New Roman" w:cs="Times New Roman"/>
          <w:b/>
          <w:sz w:val="24"/>
          <w:szCs w:val="24"/>
          <w:lang w:eastAsia="sk-SK"/>
        </w:rPr>
        <w:t>B</w:t>
      </w:r>
      <w:r w:rsidRPr="006E2756">
        <w:rPr>
          <w:rFonts w:ascii="Times New Roman" w:eastAsia="Times New Roman" w:hAnsi="Times New Roman" w:cs="Times New Roman"/>
          <w:b/>
          <w:sz w:val="24"/>
          <w:szCs w:val="24"/>
          <w:lang w:eastAsia="sk-SK"/>
        </w:rPr>
        <w:t>: P</w:t>
      </w:r>
      <w:r>
        <w:rPr>
          <w:rFonts w:ascii="Times New Roman" w:eastAsia="Times New Roman" w:hAnsi="Times New Roman" w:cs="Times New Roman"/>
          <w:b/>
          <w:sz w:val="24"/>
          <w:szCs w:val="24"/>
          <w:lang w:eastAsia="sk-SK"/>
        </w:rPr>
        <w:t>riemerný</w:t>
      </w:r>
      <w:r w:rsidR="00DC0BB8">
        <w:rPr>
          <w:rFonts w:ascii="Times New Roman" w:eastAsia="Times New Roman" w:hAnsi="Times New Roman" w:cs="Times New Roman"/>
          <w:b/>
          <w:sz w:val="24"/>
          <w:szCs w:val="24"/>
          <w:lang w:eastAsia="sk-SK"/>
        </w:rPr>
        <w:t xml:space="preserve"> odhadovaný</w:t>
      </w:r>
      <w:r>
        <w:rPr>
          <w:rFonts w:ascii="Times New Roman" w:eastAsia="Times New Roman" w:hAnsi="Times New Roman" w:cs="Times New Roman"/>
          <w:b/>
          <w:sz w:val="24"/>
          <w:szCs w:val="24"/>
          <w:lang w:eastAsia="sk-SK"/>
        </w:rPr>
        <w:t xml:space="preserve"> mesačný</w:t>
      </w:r>
      <w:r w:rsidRPr="006E2756">
        <w:rPr>
          <w:rFonts w:ascii="Times New Roman" w:eastAsia="Times New Roman" w:hAnsi="Times New Roman" w:cs="Times New Roman"/>
          <w:b/>
          <w:sz w:val="24"/>
          <w:szCs w:val="24"/>
          <w:lang w:eastAsia="sk-SK"/>
        </w:rPr>
        <w:t xml:space="preserve"> p</w:t>
      </w:r>
      <w:r>
        <w:rPr>
          <w:rFonts w:ascii="Times New Roman" w:eastAsia="Times New Roman" w:hAnsi="Times New Roman" w:cs="Times New Roman"/>
          <w:b/>
          <w:sz w:val="24"/>
          <w:szCs w:val="24"/>
          <w:lang w:eastAsia="sk-SK"/>
        </w:rPr>
        <w:t>očet dotknutých sporiteľov</w:t>
      </w:r>
      <w:r w:rsidRPr="006E2756">
        <w:rPr>
          <w:rFonts w:ascii="Times New Roman" w:eastAsia="Times New Roman" w:hAnsi="Times New Roman" w:cs="Times New Roman"/>
          <w:b/>
          <w:sz w:val="24"/>
          <w:szCs w:val="24"/>
          <w:lang w:eastAsia="sk-SK"/>
        </w:rPr>
        <w:t xml:space="preserve"> </w:t>
      </w:r>
    </w:p>
    <w:tbl>
      <w:tblPr>
        <w:tblW w:w="9133" w:type="dxa"/>
        <w:tblLayout w:type="fixed"/>
        <w:tblCellMar>
          <w:left w:w="70" w:type="dxa"/>
          <w:right w:w="70" w:type="dxa"/>
        </w:tblCellMar>
        <w:tblLook w:val="04A0" w:firstRow="1" w:lastRow="0" w:firstColumn="1" w:lastColumn="0" w:noHBand="0" w:noVBand="1"/>
      </w:tblPr>
      <w:tblGrid>
        <w:gridCol w:w="4375"/>
        <w:gridCol w:w="1586"/>
        <w:gridCol w:w="1586"/>
        <w:gridCol w:w="1586"/>
      </w:tblGrid>
      <w:tr w:rsidR="006E2756" w:rsidRPr="006E2756" w:rsidTr="009473C0">
        <w:trPr>
          <w:trHeight w:val="261"/>
        </w:trPr>
        <w:tc>
          <w:tcPr>
            <w:tcW w:w="4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rPr>
                <w:rFonts w:ascii="Times New Roman" w:eastAsia="Times New Roman" w:hAnsi="Times New Roman" w:cs="Times New Roman"/>
                <w:b/>
                <w:sz w:val="20"/>
                <w:szCs w:val="20"/>
                <w:lang w:eastAsia="sk-SK"/>
              </w:rPr>
            </w:pPr>
            <w:r w:rsidRPr="006E2756">
              <w:rPr>
                <w:rFonts w:ascii="Times New Roman" w:eastAsia="Times New Roman" w:hAnsi="Times New Roman" w:cs="Times New Roman"/>
                <w:b/>
                <w:sz w:val="20"/>
                <w:szCs w:val="20"/>
                <w:lang w:eastAsia="sk-SK"/>
              </w:rPr>
              <w:t>Typ poistného vzťahu</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jc w:val="right"/>
              <w:rPr>
                <w:rFonts w:ascii="Times New Roman" w:eastAsia="Times New Roman" w:hAnsi="Times New Roman" w:cs="Times New Roman"/>
                <w:b/>
                <w:sz w:val="20"/>
                <w:szCs w:val="20"/>
                <w:lang w:eastAsia="sk-SK"/>
              </w:rPr>
            </w:pPr>
            <w:r w:rsidRPr="006E2756">
              <w:rPr>
                <w:rFonts w:ascii="Times New Roman" w:eastAsia="Times New Roman" w:hAnsi="Times New Roman" w:cs="Times New Roman"/>
                <w:b/>
                <w:sz w:val="20"/>
                <w:szCs w:val="20"/>
                <w:lang w:eastAsia="sk-SK"/>
              </w:rPr>
              <w:t>2026</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jc w:val="right"/>
              <w:rPr>
                <w:rFonts w:ascii="Times New Roman" w:eastAsia="Times New Roman" w:hAnsi="Times New Roman" w:cs="Times New Roman"/>
                <w:b/>
                <w:sz w:val="20"/>
                <w:szCs w:val="20"/>
                <w:lang w:eastAsia="sk-SK"/>
              </w:rPr>
            </w:pPr>
            <w:r w:rsidRPr="006E2756">
              <w:rPr>
                <w:rFonts w:ascii="Times New Roman" w:eastAsia="Times New Roman" w:hAnsi="Times New Roman" w:cs="Times New Roman"/>
                <w:b/>
                <w:sz w:val="20"/>
                <w:szCs w:val="20"/>
                <w:lang w:eastAsia="sk-SK"/>
              </w:rPr>
              <w:t>2027</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jc w:val="right"/>
              <w:rPr>
                <w:rFonts w:ascii="Times New Roman" w:eastAsia="Times New Roman" w:hAnsi="Times New Roman" w:cs="Times New Roman"/>
                <w:b/>
                <w:sz w:val="20"/>
                <w:szCs w:val="20"/>
                <w:lang w:eastAsia="sk-SK"/>
              </w:rPr>
            </w:pPr>
            <w:r w:rsidRPr="006E2756">
              <w:rPr>
                <w:rFonts w:ascii="Times New Roman" w:eastAsia="Times New Roman" w:hAnsi="Times New Roman" w:cs="Times New Roman"/>
                <w:b/>
                <w:sz w:val="20"/>
                <w:szCs w:val="20"/>
                <w:lang w:eastAsia="sk-SK"/>
              </w:rPr>
              <w:t>2028</w:t>
            </w:r>
          </w:p>
        </w:tc>
      </w:tr>
      <w:tr w:rsidR="006E2756" w:rsidRPr="006E2756" w:rsidTr="009473C0">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rPr>
                <w:rFonts w:ascii="Times New Roman" w:eastAsia="Times New Roman" w:hAnsi="Times New Roman" w:cs="Times New Roman"/>
                <w:sz w:val="20"/>
                <w:szCs w:val="20"/>
                <w:lang w:eastAsia="sk-SK"/>
              </w:rPr>
            </w:pPr>
            <w:r w:rsidRPr="006E2756">
              <w:rPr>
                <w:rFonts w:ascii="Times New Roman" w:eastAsia="Times New Roman" w:hAnsi="Times New Roman" w:cs="Times New Roman"/>
                <w:sz w:val="20"/>
                <w:szCs w:val="20"/>
                <w:lang w:eastAsia="sk-SK"/>
              </w:rPr>
              <w:t>Starostlivosť o dieťa do 18 rokov</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1 450</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1 452</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1 453</w:t>
            </w:r>
          </w:p>
        </w:tc>
      </w:tr>
      <w:tr w:rsidR="006E2756" w:rsidRPr="006E2756" w:rsidTr="009473C0">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rPr>
                <w:rFonts w:ascii="Times New Roman" w:eastAsia="Times New Roman" w:hAnsi="Times New Roman" w:cs="Times New Roman"/>
                <w:sz w:val="20"/>
                <w:szCs w:val="20"/>
                <w:lang w:eastAsia="sk-SK"/>
              </w:rPr>
            </w:pPr>
            <w:r w:rsidRPr="006E2756">
              <w:rPr>
                <w:rFonts w:ascii="Times New Roman" w:eastAsia="Times New Roman" w:hAnsi="Times New Roman" w:cs="Times New Roman"/>
                <w:sz w:val="20"/>
                <w:szCs w:val="20"/>
                <w:lang w:eastAsia="sk-SK"/>
              </w:rPr>
              <w:t>Starostlivosť o dieťa do 6 rokov</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89 056</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89 134</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89 213</w:t>
            </w:r>
          </w:p>
        </w:tc>
      </w:tr>
      <w:tr w:rsidR="006E2756" w:rsidRPr="006E2756" w:rsidTr="009473C0">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rPr>
                <w:rFonts w:ascii="Times New Roman" w:eastAsia="Times New Roman" w:hAnsi="Times New Roman" w:cs="Times New Roman"/>
                <w:sz w:val="20"/>
                <w:szCs w:val="20"/>
                <w:lang w:eastAsia="sk-SK"/>
              </w:rPr>
            </w:pPr>
            <w:r w:rsidRPr="006E2756">
              <w:rPr>
                <w:rFonts w:ascii="Times New Roman" w:eastAsia="Times New Roman" w:hAnsi="Times New Roman" w:cs="Times New Roman"/>
                <w:sz w:val="20"/>
                <w:szCs w:val="20"/>
                <w:lang w:eastAsia="sk-SK"/>
              </w:rPr>
              <w:t xml:space="preserve">Fyzická osoba poberajúca materské </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12 960</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12 971</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12 983</w:t>
            </w:r>
          </w:p>
        </w:tc>
      </w:tr>
      <w:tr w:rsidR="006E2756" w:rsidRPr="006E2756" w:rsidTr="009473C0">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5F1784">
            <w:pPr>
              <w:spacing w:after="0" w:line="240" w:lineRule="auto"/>
              <w:rPr>
                <w:rFonts w:ascii="Times New Roman" w:eastAsia="Times New Roman" w:hAnsi="Times New Roman" w:cs="Times New Roman"/>
                <w:sz w:val="20"/>
                <w:szCs w:val="20"/>
                <w:lang w:eastAsia="sk-SK"/>
              </w:rPr>
            </w:pPr>
            <w:r w:rsidRPr="006E2756">
              <w:rPr>
                <w:rFonts w:ascii="Times New Roman" w:eastAsia="Times New Roman" w:hAnsi="Times New Roman" w:cs="Times New Roman"/>
                <w:sz w:val="20"/>
                <w:szCs w:val="20"/>
                <w:lang w:eastAsia="sk-SK"/>
              </w:rPr>
              <w:t>Poberatelia</w:t>
            </w:r>
            <w:r w:rsidR="005F1784">
              <w:rPr>
                <w:rFonts w:ascii="Times New Roman" w:eastAsia="Times New Roman" w:hAnsi="Times New Roman" w:cs="Times New Roman"/>
                <w:sz w:val="20"/>
                <w:szCs w:val="20"/>
                <w:lang w:eastAsia="sk-SK"/>
              </w:rPr>
              <w:t xml:space="preserve"> peňažného príspevku na opatrovanie</w:t>
            </w:r>
            <w:r w:rsidRPr="006E2756">
              <w:rPr>
                <w:rFonts w:ascii="Times New Roman" w:eastAsia="Times New Roman" w:hAnsi="Times New Roman" w:cs="Times New Roman"/>
                <w:sz w:val="20"/>
                <w:szCs w:val="20"/>
                <w:lang w:eastAsia="sk-SK"/>
              </w:rPr>
              <w:t xml:space="preserve"> </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13 750</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14 025</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14 305</w:t>
            </w:r>
          </w:p>
        </w:tc>
      </w:tr>
      <w:tr w:rsidR="006E2756" w:rsidRPr="006E2756" w:rsidTr="009473C0">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6E2756" w:rsidRPr="006E2756" w:rsidRDefault="006E2756" w:rsidP="006E2756">
            <w:pPr>
              <w:spacing w:after="0" w:line="240" w:lineRule="auto"/>
              <w:rPr>
                <w:rFonts w:ascii="Times New Roman" w:eastAsia="Times New Roman" w:hAnsi="Times New Roman" w:cs="Times New Roman"/>
                <w:sz w:val="20"/>
                <w:szCs w:val="20"/>
                <w:lang w:eastAsia="sk-SK"/>
              </w:rPr>
            </w:pPr>
            <w:r w:rsidRPr="006E2756">
              <w:rPr>
                <w:rFonts w:ascii="Times New Roman" w:eastAsia="Times New Roman" w:hAnsi="Times New Roman" w:cs="Times New Roman"/>
                <w:sz w:val="20"/>
                <w:szCs w:val="20"/>
                <w:lang w:eastAsia="sk-SK"/>
              </w:rPr>
              <w:t>Osobní asistenti</w:t>
            </w:r>
            <w:r w:rsidR="005F1784">
              <w:rPr>
                <w:rFonts w:ascii="Times New Roman" w:eastAsia="Times New Roman" w:hAnsi="Times New Roman" w:cs="Times New Roman"/>
                <w:sz w:val="20"/>
                <w:szCs w:val="20"/>
                <w:lang w:eastAsia="sk-SK"/>
              </w:rPr>
              <w:t xml:space="preserve"> aspoň 140 hodín mesačne</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755</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770</w:t>
            </w:r>
          </w:p>
        </w:tc>
        <w:tc>
          <w:tcPr>
            <w:tcW w:w="1586" w:type="dxa"/>
            <w:tcBorders>
              <w:top w:val="nil"/>
              <w:left w:val="nil"/>
              <w:bottom w:val="single" w:sz="4" w:space="0" w:color="auto"/>
              <w:right w:val="single" w:sz="4" w:space="0" w:color="auto"/>
            </w:tcBorders>
            <w:shd w:val="clear" w:color="auto" w:fill="auto"/>
            <w:noWrap/>
            <w:vAlign w:val="bottom"/>
            <w:hideMark/>
          </w:tcPr>
          <w:p w:rsidR="006E2756" w:rsidRPr="001B7467" w:rsidRDefault="006E2756" w:rsidP="006E2756">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785</w:t>
            </w:r>
          </w:p>
        </w:tc>
      </w:tr>
      <w:tr w:rsidR="004B0E06" w:rsidRPr="006E2756" w:rsidTr="004B0E06">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tcPr>
          <w:p w:rsidR="004B0E06" w:rsidRPr="006E2756" w:rsidRDefault="004B0E06" w:rsidP="004B0E06">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Fyzická osoba s kompenzačným príspevkom</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239</w:t>
            </w:r>
          </w:p>
        </w:tc>
        <w:tc>
          <w:tcPr>
            <w:tcW w:w="1586" w:type="dxa"/>
            <w:tcBorders>
              <w:top w:val="single" w:sz="4" w:space="0" w:color="auto"/>
              <w:left w:val="nil"/>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243</w:t>
            </w:r>
          </w:p>
        </w:tc>
        <w:tc>
          <w:tcPr>
            <w:tcW w:w="1586" w:type="dxa"/>
            <w:tcBorders>
              <w:top w:val="single" w:sz="4" w:space="0" w:color="auto"/>
              <w:left w:val="nil"/>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248</w:t>
            </w:r>
          </w:p>
        </w:tc>
      </w:tr>
      <w:tr w:rsidR="004B0E06" w:rsidRPr="006E2756" w:rsidTr="004B0E06">
        <w:trPr>
          <w:trHeight w:val="261"/>
        </w:trPr>
        <w:tc>
          <w:tcPr>
            <w:tcW w:w="4375" w:type="dxa"/>
            <w:tcBorders>
              <w:top w:val="nil"/>
              <w:left w:val="single" w:sz="4" w:space="0" w:color="auto"/>
              <w:bottom w:val="single" w:sz="4" w:space="0" w:color="auto"/>
              <w:right w:val="single" w:sz="4" w:space="0" w:color="auto"/>
            </w:tcBorders>
            <w:shd w:val="clear" w:color="auto" w:fill="auto"/>
            <w:noWrap/>
            <w:vAlign w:val="bottom"/>
            <w:hideMark/>
          </w:tcPr>
          <w:p w:rsidR="004B0E06" w:rsidRPr="006E2756" w:rsidRDefault="004B0E06" w:rsidP="004B0E06">
            <w:pPr>
              <w:spacing w:after="0" w:line="240" w:lineRule="auto"/>
              <w:rPr>
                <w:rFonts w:ascii="Times New Roman" w:eastAsia="Times New Roman" w:hAnsi="Times New Roman" w:cs="Times New Roman"/>
                <w:b/>
                <w:sz w:val="20"/>
                <w:szCs w:val="20"/>
                <w:lang w:eastAsia="sk-SK"/>
              </w:rPr>
            </w:pPr>
            <w:r w:rsidRPr="006E2756">
              <w:rPr>
                <w:rFonts w:ascii="Times New Roman" w:eastAsia="Times New Roman" w:hAnsi="Times New Roman" w:cs="Times New Roman"/>
                <w:b/>
                <w:sz w:val="20"/>
                <w:szCs w:val="20"/>
                <w:lang w:eastAsia="sk-SK"/>
              </w:rPr>
              <w:t>Spolu</w:t>
            </w:r>
          </w:p>
        </w:tc>
        <w:tc>
          <w:tcPr>
            <w:tcW w:w="1586" w:type="dxa"/>
            <w:tcBorders>
              <w:top w:val="nil"/>
              <w:left w:val="nil"/>
              <w:bottom w:val="single" w:sz="4" w:space="0" w:color="auto"/>
              <w:right w:val="single" w:sz="4" w:space="0" w:color="auto"/>
            </w:tcBorders>
            <w:shd w:val="clear" w:color="auto" w:fill="auto"/>
            <w:noWrap/>
            <w:hideMark/>
          </w:tcPr>
          <w:p w:rsidR="004B0E06" w:rsidRPr="004B0E06" w:rsidRDefault="00410734" w:rsidP="004B0E0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118 210</w:t>
            </w:r>
          </w:p>
        </w:tc>
        <w:tc>
          <w:tcPr>
            <w:tcW w:w="1586" w:type="dxa"/>
            <w:tcBorders>
              <w:top w:val="nil"/>
              <w:left w:val="nil"/>
              <w:bottom w:val="single" w:sz="4" w:space="0" w:color="auto"/>
              <w:right w:val="single" w:sz="4" w:space="0" w:color="auto"/>
            </w:tcBorders>
            <w:shd w:val="clear" w:color="auto" w:fill="auto"/>
            <w:noWrap/>
            <w:hideMark/>
          </w:tcPr>
          <w:p w:rsidR="004B0E06" w:rsidRPr="004B0E06" w:rsidRDefault="004B0E06" w:rsidP="004B0E06">
            <w:pPr>
              <w:spacing w:after="0" w:line="240" w:lineRule="auto"/>
              <w:jc w:val="right"/>
              <w:rPr>
                <w:rFonts w:ascii="Times New Roman" w:hAnsi="Times New Roman" w:cs="Times New Roman"/>
                <w:b/>
                <w:sz w:val="20"/>
                <w:szCs w:val="20"/>
              </w:rPr>
            </w:pPr>
            <w:r w:rsidRPr="004B0E06">
              <w:rPr>
                <w:rFonts w:ascii="Times New Roman" w:hAnsi="Times New Roman" w:cs="Times New Roman"/>
                <w:b/>
                <w:sz w:val="20"/>
                <w:szCs w:val="20"/>
              </w:rPr>
              <w:t>118 595</w:t>
            </w:r>
          </w:p>
        </w:tc>
        <w:tc>
          <w:tcPr>
            <w:tcW w:w="1586" w:type="dxa"/>
            <w:tcBorders>
              <w:top w:val="nil"/>
              <w:left w:val="nil"/>
              <w:bottom w:val="single" w:sz="4" w:space="0" w:color="auto"/>
              <w:right w:val="single" w:sz="4" w:space="0" w:color="auto"/>
            </w:tcBorders>
            <w:shd w:val="clear" w:color="auto" w:fill="auto"/>
            <w:noWrap/>
            <w:hideMark/>
          </w:tcPr>
          <w:p w:rsidR="004B0E06" w:rsidRPr="004B0E06" w:rsidRDefault="004B0E06" w:rsidP="004B0E06">
            <w:pPr>
              <w:spacing w:after="0" w:line="240" w:lineRule="auto"/>
              <w:jc w:val="right"/>
              <w:rPr>
                <w:rFonts w:ascii="Times New Roman" w:hAnsi="Times New Roman" w:cs="Times New Roman"/>
                <w:b/>
                <w:sz w:val="20"/>
                <w:szCs w:val="20"/>
              </w:rPr>
            </w:pPr>
            <w:r w:rsidRPr="004B0E06">
              <w:rPr>
                <w:rFonts w:ascii="Times New Roman" w:hAnsi="Times New Roman" w:cs="Times New Roman"/>
                <w:b/>
                <w:sz w:val="20"/>
                <w:szCs w:val="20"/>
              </w:rPr>
              <w:t>118 987</w:t>
            </w:r>
          </w:p>
        </w:tc>
      </w:tr>
    </w:tbl>
    <w:p w:rsidR="006E2756" w:rsidRPr="00DB700D" w:rsidRDefault="006E2756" w:rsidP="006E2756">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Zdroj: </w:t>
      </w:r>
      <w:proofErr w:type="spellStart"/>
      <w:r>
        <w:rPr>
          <w:rFonts w:ascii="Times New Roman" w:eastAsia="Times New Roman" w:hAnsi="Times New Roman" w:cs="Times New Roman"/>
          <w:i/>
          <w:sz w:val="20"/>
          <w:szCs w:val="20"/>
          <w:lang w:eastAsia="sk-SK"/>
        </w:rPr>
        <w:t>Mikroúdaje</w:t>
      </w:r>
      <w:proofErr w:type="spellEnd"/>
      <w:r>
        <w:rPr>
          <w:rFonts w:ascii="Times New Roman" w:eastAsia="Times New Roman" w:hAnsi="Times New Roman" w:cs="Times New Roman"/>
          <w:i/>
          <w:sz w:val="20"/>
          <w:szCs w:val="20"/>
          <w:lang w:eastAsia="sk-SK"/>
        </w:rPr>
        <w:t xml:space="preserve"> Sociálnej poisťovne</w:t>
      </w:r>
    </w:p>
    <w:p w:rsidR="006E2756" w:rsidRDefault="006E2756" w:rsidP="00DB700D">
      <w:pPr>
        <w:spacing w:after="0" w:line="240" w:lineRule="auto"/>
        <w:jc w:val="both"/>
        <w:rPr>
          <w:rFonts w:ascii="Times New Roman" w:eastAsia="Times New Roman" w:hAnsi="Times New Roman" w:cs="Times New Roman"/>
          <w:sz w:val="24"/>
          <w:szCs w:val="24"/>
          <w:lang w:eastAsia="sk-SK"/>
        </w:rPr>
      </w:pPr>
    </w:p>
    <w:p w:rsidR="006E2756" w:rsidRDefault="006E2756" w:rsidP="006E2756">
      <w:pPr>
        <w:spacing w:after="0" w:line="240" w:lineRule="auto"/>
        <w:jc w:val="both"/>
        <w:rPr>
          <w:rFonts w:ascii="Times New Roman" w:eastAsia="Times New Roman" w:hAnsi="Times New Roman" w:cs="Times New Roman"/>
          <w:sz w:val="24"/>
          <w:szCs w:val="24"/>
          <w:lang w:eastAsia="sk-SK"/>
        </w:rPr>
      </w:pPr>
      <w:r w:rsidRPr="006E2756">
        <w:rPr>
          <w:rFonts w:ascii="Times New Roman" w:eastAsia="Times New Roman" w:hAnsi="Times New Roman" w:cs="Times New Roman"/>
          <w:sz w:val="24"/>
          <w:szCs w:val="24"/>
          <w:lang w:eastAsia="sk-SK"/>
        </w:rPr>
        <w:t>Druhá kategória aktivít sa viaže na </w:t>
      </w:r>
      <w:r w:rsidRPr="006E2756">
        <w:rPr>
          <w:rFonts w:ascii="Times New Roman" w:eastAsia="Times New Roman" w:hAnsi="Times New Roman" w:cs="Times New Roman"/>
          <w:bCs/>
          <w:sz w:val="24"/>
          <w:szCs w:val="24"/>
          <w:lang w:eastAsia="sk-SK"/>
        </w:rPr>
        <w:t>aplikačnú fázu</w:t>
      </w:r>
      <w:r w:rsidRPr="006E2756">
        <w:rPr>
          <w:rFonts w:ascii="Times New Roman" w:eastAsia="Times New Roman" w:hAnsi="Times New Roman" w:cs="Times New Roman"/>
          <w:sz w:val="24"/>
          <w:szCs w:val="24"/>
          <w:lang w:eastAsia="sk-SK"/>
        </w:rPr>
        <w:t>, teda na proces výpočtu a prepočtu dôchodkových dávok.</w:t>
      </w:r>
      <w:r>
        <w:rPr>
          <w:rFonts w:ascii="Times New Roman" w:eastAsia="Times New Roman" w:hAnsi="Times New Roman" w:cs="Times New Roman"/>
          <w:sz w:val="24"/>
          <w:szCs w:val="24"/>
          <w:lang w:eastAsia="sk-SK"/>
        </w:rPr>
        <w:t xml:space="preserve"> </w:t>
      </w:r>
      <w:r w:rsidRPr="006E2756">
        <w:rPr>
          <w:rFonts w:ascii="Times New Roman" w:eastAsia="Times New Roman" w:hAnsi="Times New Roman" w:cs="Times New Roman"/>
          <w:sz w:val="24"/>
          <w:szCs w:val="24"/>
          <w:lang w:eastAsia="sk-SK"/>
        </w:rPr>
        <w:t xml:space="preserve">Tento ukazovateľ zahŕňa novopriznané dôchodkové dávky po účinnosti zákona a zároveň existujúce starobné, predčasné starobné a invalidné dôchodky priznané od 1. januára 2004, ktoré </w:t>
      </w:r>
      <w:r w:rsidR="005F5834">
        <w:rPr>
          <w:rFonts w:ascii="Times New Roman" w:eastAsia="Times New Roman" w:hAnsi="Times New Roman" w:cs="Times New Roman"/>
          <w:sz w:val="24"/>
          <w:szCs w:val="24"/>
          <w:lang w:eastAsia="sk-SK"/>
        </w:rPr>
        <w:t>budú</w:t>
      </w:r>
      <w:r w:rsidR="005F5834" w:rsidRPr="006E2756">
        <w:rPr>
          <w:rFonts w:ascii="Times New Roman" w:eastAsia="Times New Roman" w:hAnsi="Times New Roman" w:cs="Times New Roman"/>
          <w:sz w:val="24"/>
          <w:szCs w:val="24"/>
          <w:lang w:eastAsia="sk-SK"/>
        </w:rPr>
        <w:t xml:space="preserve"> </w:t>
      </w:r>
      <w:r w:rsidRPr="006E2756">
        <w:rPr>
          <w:rFonts w:ascii="Times New Roman" w:eastAsia="Times New Roman" w:hAnsi="Times New Roman" w:cs="Times New Roman"/>
          <w:sz w:val="24"/>
          <w:szCs w:val="24"/>
          <w:lang w:eastAsia="sk-SK"/>
        </w:rPr>
        <w:t>prepoč</w:t>
      </w:r>
      <w:r w:rsidR="005F5834">
        <w:rPr>
          <w:rFonts w:ascii="Times New Roman" w:eastAsia="Times New Roman" w:hAnsi="Times New Roman" w:cs="Times New Roman"/>
          <w:sz w:val="24"/>
          <w:szCs w:val="24"/>
          <w:lang w:eastAsia="sk-SK"/>
        </w:rPr>
        <w:t>í</w:t>
      </w:r>
      <w:r w:rsidRPr="006E2756">
        <w:rPr>
          <w:rFonts w:ascii="Times New Roman" w:eastAsia="Times New Roman" w:hAnsi="Times New Roman" w:cs="Times New Roman"/>
          <w:sz w:val="24"/>
          <w:szCs w:val="24"/>
          <w:lang w:eastAsia="sk-SK"/>
        </w:rPr>
        <w:t>t</w:t>
      </w:r>
      <w:r w:rsidR="005F5834">
        <w:rPr>
          <w:rFonts w:ascii="Times New Roman" w:eastAsia="Times New Roman" w:hAnsi="Times New Roman" w:cs="Times New Roman"/>
          <w:sz w:val="24"/>
          <w:szCs w:val="24"/>
          <w:lang w:eastAsia="sk-SK"/>
        </w:rPr>
        <w:t>ané</w:t>
      </w:r>
      <w:r w:rsidRPr="006E275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V tejto súvislosti je však potrebné zdôrazniť</w:t>
      </w:r>
      <w:r w:rsidRPr="006E2756">
        <w:rPr>
          <w:rFonts w:ascii="Times New Roman" w:eastAsia="Times New Roman" w:hAnsi="Times New Roman" w:cs="Times New Roman"/>
          <w:sz w:val="24"/>
          <w:szCs w:val="24"/>
          <w:lang w:eastAsia="sk-SK"/>
        </w:rPr>
        <w:t>, že uvedený počet predstavuje celkový</w:t>
      </w:r>
      <w:r w:rsidR="00DC0BB8">
        <w:rPr>
          <w:rFonts w:ascii="Times New Roman" w:eastAsia="Times New Roman" w:hAnsi="Times New Roman" w:cs="Times New Roman"/>
          <w:sz w:val="24"/>
          <w:szCs w:val="24"/>
          <w:lang w:eastAsia="sk-SK"/>
        </w:rPr>
        <w:t xml:space="preserve"> odhadovaný</w:t>
      </w:r>
      <w:r w:rsidRPr="006E2756">
        <w:rPr>
          <w:rFonts w:ascii="Times New Roman" w:eastAsia="Times New Roman" w:hAnsi="Times New Roman" w:cs="Times New Roman"/>
          <w:sz w:val="24"/>
          <w:szCs w:val="24"/>
          <w:lang w:eastAsia="sk-SK"/>
        </w:rPr>
        <w:t xml:space="preserve"> objem dávok, ktoré sú </w:t>
      </w:r>
      <w:r w:rsidRPr="006E2756">
        <w:rPr>
          <w:rFonts w:ascii="Times New Roman" w:eastAsia="Times New Roman" w:hAnsi="Times New Roman" w:cs="Times New Roman"/>
          <w:iCs/>
          <w:sz w:val="24"/>
          <w:szCs w:val="24"/>
          <w:lang w:eastAsia="sk-SK"/>
        </w:rPr>
        <w:t>predmetom</w:t>
      </w:r>
      <w:r w:rsidRPr="006E2756">
        <w:rPr>
          <w:rFonts w:ascii="Times New Roman" w:eastAsia="Times New Roman" w:hAnsi="Times New Roman" w:cs="Times New Roman"/>
          <w:sz w:val="24"/>
          <w:szCs w:val="24"/>
          <w:lang w:eastAsia="sk-SK"/>
        </w:rPr>
        <w:t> nového výpočtu a</w:t>
      </w:r>
      <w:r w:rsidR="00CF059F">
        <w:rPr>
          <w:rFonts w:ascii="Times New Roman" w:eastAsia="Times New Roman" w:hAnsi="Times New Roman" w:cs="Times New Roman"/>
          <w:sz w:val="24"/>
          <w:szCs w:val="24"/>
          <w:lang w:eastAsia="sk-SK"/>
        </w:rPr>
        <w:t> </w:t>
      </w:r>
      <w:r w:rsidRPr="006E2756">
        <w:rPr>
          <w:rFonts w:ascii="Times New Roman" w:eastAsia="Times New Roman" w:hAnsi="Times New Roman" w:cs="Times New Roman"/>
          <w:sz w:val="24"/>
          <w:szCs w:val="24"/>
          <w:lang w:eastAsia="sk-SK"/>
        </w:rPr>
        <w:t>prepočtu</w:t>
      </w:r>
      <w:r w:rsidR="00CF059F">
        <w:rPr>
          <w:rFonts w:ascii="Times New Roman" w:eastAsia="Times New Roman" w:hAnsi="Times New Roman" w:cs="Times New Roman"/>
          <w:sz w:val="24"/>
          <w:szCs w:val="24"/>
          <w:lang w:eastAsia="sk-SK"/>
        </w:rPr>
        <w:t xml:space="preserve"> s pozitívnym vplyvom</w:t>
      </w:r>
      <w:r w:rsidRPr="006E2756">
        <w:rPr>
          <w:rFonts w:ascii="Times New Roman" w:eastAsia="Times New Roman" w:hAnsi="Times New Roman" w:cs="Times New Roman"/>
          <w:sz w:val="24"/>
          <w:szCs w:val="24"/>
          <w:lang w:eastAsia="sk-SK"/>
        </w:rPr>
        <w:t xml:space="preserve">. Vzhľadom na legislatívou stanovenú lehotu na vykonanie prepočtov </w:t>
      </w:r>
      <w:r w:rsidR="005F5834">
        <w:rPr>
          <w:rFonts w:ascii="Times New Roman" w:eastAsia="Times New Roman" w:hAnsi="Times New Roman" w:cs="Times New Roman"/>
          <w:sz w:val="24"/>
          <w:szCs w:val="24"/>
          <w:lang w:eastAsia="sk-SK"/>
        </w:rPr>
        <w:t xml:space="preserve">najneskôr </w:t>
      </w:r>
      <w:r w:rsidRPr="006E2756">
        <w:rPr>
          <w:rFonts w:ascii="Times New Roman" w:eastAsia="Times New Roman" w:hAnsi="Times New Roman" w:cs="Times New Roman"/>
          <w:sz w:val="24"/>
          <w:szCs w:val="24"/>
          <w:lang w:eastAsia="sk-SK"/>
        </w:rPr>
        <w:t xml:space="preserve">do konca roka 2031 sa finančný efekt u väčšiny poberateľov existujúcich dôchodkov prejaví s </w:t>
      </w:r>
      <w:r w:rsidR="00DC0BB8">
        <w:rPr>
          <w:rFonts w:ascii="Times New Roman" w:eastAsia="Times New Roman" w:hAnsi="Times New Roman" w:cs="Times New Roman"/>
          <w:sz w:val="24"/>
          <w:szCs w:val="24"/>
          <w:lang w:eastAsia="sk-SK"/>
        </w:rPr>
        <w:t> </w:t>
      </w:r>
      <w:r w:rsidRPr="006E2756">
        <w:rPr>
          <w:rFonts w:ascii="Times New Roman" w:eastAsia="Times New Roman" w:hAnsi="Times New Roman" w:cs="Times New Roman"/>
          <w:sz w:val="24"/>
          <w:szCs w:val="24"/>
          <w:lang w:eastAsia="sk-SK"/>
        </w:rPr>
        <w:t>časovým oneskorením, nie okamžite v uvedených rokoch.</w:t>
      </w:r>
    </w:p>
    <w:p w:rsidR="006E2756" w:rsidRDefault="006E2756" w:rsidP="006E2756">
      <w:pPr>
        <w:spacing w:after="0" w:line="240" w:lineRule="auto"/>
        <w:jc w:val="both"/>
        <w:rPr>
          <w:rFonts w:ascii="Times New Roman" w:eastAsia="Times New Roman" w:hAnsi="Times New Roman" w:cs="Times New Roman"/>
          <w:sz w:val="24"/>
          <w:szCs w:val="24"/>
          <w:lang w:eastAsia="sk-SK"/>
        </w:rPr>
      </w:pPr>
      <w:r w:rsidRPr="006E2756">
        <w:rPr>
          <w:rFonts w:ascii="Times New Roman" w:eastAsia="Times New Roman" w:hAnsi="Times New Roman" w:cs="Times New Roman"/>
          <w:sz w:val="24"/>
          <w:szCs w:val="24"/>
          <w:lang w:eastAsia="sk-SK"/>
        </w:rPr>
        <w:t xml:space="preserve">Súčasťou predpokladov je aj odhad, že približne 5 % dotknutých poistencov nesplní podmienku pre uplatnenie </w:t>
      </w:r>
      <w:r w:rsidR="00DC0BB8">
        <w:rPr>
          <w:rFonts w:ascii="Times New Roman" w:eastAsia="Times New Roman" w:hAnsi="Times New Roman" w:cs="Times New Roman"/>
          <w:sz w:val="24"/>
          <w:szCs w:val="24"/>
          <w:lang w:eastAsia="sk-SK"/>
        </w:rPr>
        <w:t>výhodnejšieho výpočtu</w:t>
      </w:r>
      <w:r w:rsidRPr="006E2756">
        <w:rPr>
          <w:rFonts w:ascii="Times New Roman" w:eastAsia="Times New Roman" w:hAnsi="Times New Roman" w:cs="Times New Roman"/>
          <w:sz w:val="24"/>
          <w:szCs w:val="24"/>
          <w:lang w:eastAsia="sk-SK"/>
        </w:rPr>
        <w:t>. Táto podmienka vyžaduje, aby poistenec získal obdobie dôchodkového poistenia z</w:t>
      </w:r>
      <w:r w:rsidR="005F5834">
        <w:rPr>
          <w:rFonts w:ascii="Times New Roman" w:eastAsia="Times New Roman" w:hAnsi="Times New Roman" w:cs="Times New Roman"/>
          <w:sz w:val="24"/>
          <w:szCs w:val="24"/>
          <w:lang w:eastAsia="sk-SK"/>
        </w:rPr>
        <w:t xml:space="preserve"> výkonu</w:t>
      </w:r>
      <w:r w:rsidRPr="006E2756">
        <w:rPr>
          <w:rFonts w:ascii="Times New Roman" w:eastAsia="Times New Roman" w:hAnsi="Times New Roman" w:cs="Times New Roman"/>
          <w:sz w:val="24"/>
          <w:szCs w:val="24"/>
          <w:lang w:eastAsia="sk-SK"/>
        </w:rPr>
        <w:t xml:space="preserve"> zárobkovej činnosti v rozsahu, ktorý je minimálne rovnaký ako obdobie dôchodkového poistenia získané z dôvodu starostlivosti o dieťa. V prípadoch nesplnenia tejto podmienky sa pri výpočte dôchodku postupuje podľa pravidiel stanovených návrhom zákona (použitie osobného mzdového bodu najmenej vo výške zodpovedajúcej 60 % všeobecného vymeriavacieho základu</w:t>
      </w:r>
      <w:r w:rsidR="0094729F">
        <w:rPr>
          <w:rFonts w:ascii="Times New Roman" w:eastAsia="Times New Roman" w:hAnsi="Times New Roman" w:cs="Times New Roman"/>
          <w:sz w:val="24"/>
          <w:szCs w:val="24"/>
          <w:lang w:eastAsia="sk-SK"/>
        </w:rPr>
        <w:t xml:space="preserve"> spred dvoch rokov</w:t>
      </w:r>
      <w:r w:rsidRPr="006E2756">
        <w:rPr>
          <w:rFonts w:ascii="Times New Roman" w:eastAsia="Times New Roman" w:hAnsi="Times New Roman" w:cs="Times New Roman"/>
          <w:sz w:val="24"/>
          <w:szCs w:val="24"/>
          <w:lang w:eastAsia="sk-SK"/>
        </w:rPr>
        <w:t>)</w:t>
      </w:r>
      <w:r w:rsidR="00DC0BB8">
        <w:rPr>
          <w:rFonts w:ascii="Times New Roman" w:eastAsia="Times New Roman" w:hAnsi="Times New Roman" w:cs="Times New Roman"/>
          <w:sz w:val="24"/>
          <w:szCs w:val="24"/>
          <w:lang w:eastAsia="sk-SK"/>
        </w:rPr>
        <w:t xml:space="preserve">. </w:t>
      </w:r>
      <w:r w:rsidR="00DC0BB8" w:rsidRPr="00DC0BB8">
        <w:rPr>
          <w:rFonts w:ascii="Times New Roman" w:eastAsia="Times New Roman" w:hAnsi="Times New Roman" w:cs="Times New Roman"/>
          <w:sz w:val="24"/>
          <w:szCs w:val="24"/>
          <w:lang w:eastAsia="sk-SK"/>
        </w:rPr>
        <w:t>Pre účely určenia sumy invalidného dôchodku</w:t>
      </w:r>
      <w:r w:rsidR="005F5834">
        <w:rPr>
          <w:rFonts w:ascii="Times New Roman" w:eastAsia="Times New Roman" w:hAnsi="Times New Roman" w:cs="Times New Roman"/>
          <w:sz w:val="24"/>
          <w:szCs w:val="24"/>
          <w:lang w:eastAsia="sk-SK"/>
        </w:rPr>
        <w:t xml:space="preserve"> a starostlivosti o dieťa s dlhodobo nepriaznivým zdravotným stavom</w:t>
      </w:r>
      <w:r w:rsidR="00DC0BB8" w:rsidRPr="00DC0BB8">
        <w:rPr>
          <w:rFonts w:ascii="Times New Roman" w:eastAsia="Times New Roman" w:hAnsi="Times New Roman" w:cs="Times New Roman"/>
          <w:sz w:val="24"/>
          <w:szCs w:val="24"/>
          <w:lang w:eastAsia="sk-SK"/>
        </w:rPr>
        <w:t xml:space="preserve"> sa splnenie tejto podmienky nevyžaduje.</w:t>
      </w:r>
    </w:p>
    <w:p w:rsidR="00DC0BB8" w:rsidRDefault="00DC0BB8" w:rsidP="006E2756">
      <w:pPr>
        <w:spacing w:after="0" w:line="240" w:lineRule="auto"/>
        <w:jc w:val="both"/>
        <w:rPr>
          <w:rFonts w:ascii="Times New Roman" w:eastAsia="Times New Roman" w:hAnsi="Times New Roman" w:cs="Times New Roman"/>
          <w:sz w:val="24"/>
          <w:szCs w:val="24"/>
          <w:lang w:eastAsia="sk-SK"/>
        </w:rPr>
      </w:pPr>
    </w:p>
    <w:p w:rsidR="00DC0BB8" w:rsidRPr="00DC0BB8" w:rsidRDefault="00DC0BB8" w:rsidP="006E2756">
      <w:pPr>
        <w:spacing w:after="0" w:line="240" w:lineRule="auto"/>
        <w:jc w:val="both"/>
        <w:rPr>
          <w:rFonts w:ascii="Times New Roman" w:eastAsia="Times New Roman" w:hAnsi="Times New Roman" w:cs="Times New Roman"/>
          <w:b/>
          <w:sz w:val="24"/>
          <w:szCs w:val="24"/>
          <w:lang w:eastAsia="sk-SK"/>
        </w:rPr>
      </w:pPr>
      <w:r w:rsidRPr="00DC0BB8">
        <w:rPr>
          <w:rFonts w:ascii="Times New Roman" w:eastAsia="Times New Roman" w:hAnsi="Times New Roman" w:cs="Times New Roman"/>
          <w:b/>
          <w:sz w:val="24"/>
          <w:szCs w:val="24"/>
          <w:lang w:eastAsia="sk-SK"/>
        </w:rPr>
        <w:t xml:space="preserve">Tabuľka 2/C: Priemerný odhadovaný počet dotknutých poberateľov dôchodkových dávok  </w:t>
      </w:r>
    </w:p>
    <w:tbl>
      <w:tblPr>
        <w:tblStyle w:val="Mriekatabuky"/>
        <w:tblW w:w="9118" w:type="dxa"/>
        <w:tblLayout w:type="fixed"/>
        <w:tblLook w:val="04A0" w:firstRow="1" w:lastRow="0" w:firstColumn="1" w:lastColumn="0" w:noHBand="0" w:noVBand="1"/>
      </w:tblPr>
      <w:tblGrid>
        <w:gridCol w:w="4390"/>
        <w:gridCol w:w="1576"/>
        <w:gridCol w:w="1576"/>
        <w:gridCol w:w="1576"/>
      </w:tblGrid>
      <w:tr w:rsidR="00DC0BB8" w:rsidRPr="00DC0BB8" w:rsidTr="0021218F">
        <w:trPr>
          <w:trHeight w:val="245"/>
        </w:trPr>
        <w:tc>
          <w:tcPr>
            <w:tcW w:w="4390" w:type="dxa"/>
            <w:noWrap/>
            <w:hideMark/>
          </w:tcPr>
          <w:p w:rsidR="00DC0BB8" w:rsidRPr="00DC0BB8" w:rsidRDefault="00DC0BB8" w:rsidP="009473C0">
            <w:pPr>
              <w:rPr>
                <w:rFonts w:ascii="Times New Roman" w:hAnsi="Times New Roman" w:cs="Times New Roman"/>
                <w:b/>
                <w:sz w:val="20"/>
                <w:szCs w:val="20"/>
              </w:rPr>
            </w:pPr>
            <w:r w:rsidRPr="00DC0BB8">
              <w:rPr>
                <w:rFonts w:ascii="Times New Roman" w:hAnsi="Times New Roman" w:cs="Times New Roman"/>
                <w:b/>
                <w:sz w:val="20"/>
                <w:szCs w:val="20"/>
              </w:rPr>
              <w:t>Dôchodková dávka</w:t>
            </w:r>
          </w:p>
        </w:tc>
        <w:tc>
          <w:tcPr>
            <w:tcW w:w="1576" w:type="dxa"/>
            <w:noWrap/>
            <w:hideMark/>
          </w:tcPr>
          <w:p w:rsidR="00DC0BB8" w:rsidRPr="00DC0BB8" w:rsidRDefault="00DC0BB8" w:rsidP="00DC0BB8">
            <w:pPr>
              <w:jc w:val="right"/>
              <w:rPr>
                <w:rFonts w:ascii="Times New Roman" w:hAnsi="Times New Roman" w:cs="Times New Roman"/>
                <w:b/>
                <w:sz w:val="20"/>
                <w:szCs w:val="20"/>
              </w:rPr>
            </w:pPr>
            <w:r w:rsidRPr="00DC0BB8">
              <w:rPr>
                <w:rFonts w:ascii="Times New Roman" w:hAnsi="Times New Roman" w:cs="Times New Roman"/>
                <w:b/>
                <w:sz w:val="20"/>
                <w:szCs w:val="20"/>
              </w:rPr>
              <w:t>2026</w:t>
            </w:r>
          </w:p>
        </w:tc>
        <w:tc>
          <w:tcPr>
            <w:tcW w:w="1576" w:type="dxa"/>
            <w:noWrap/>
            <w:hideMark/>
          </w:tcPr>
          <w:p w:rsidR="00DC0BB8" w:rsidRPr="00DC0BB8" w:rsidRDefault="00DC0BB8" w:rsidP="00DC0BB8">
            <w:pPr>
              <w:jc w:val="right"/>
              <w:rPr>
                <w:rFonts w:ascii="Times New Roman" w:hAnsi="Times New Roman" w:cs="Times New Roman"/>
                <w:b/>
                <w:sz w:val="20"/>
                <w:szCs w:val="20"/>
              </w:rPr>
            </w:pPr>
            <w:r w:rsidRPr="00DC0BB8">
              <w:rPr>
                <w:rFonts w:ascii="Times New Roman" w:hAnsi="Times New Roman" w:cs="Times New Roman"/>
                <w:b/>
                <w:sz w:val="20"/>
                <w:szCs w:val="20"/>
              </w:rPr>
              <w:t>2027</w:t>
            </w:r>
          </w:p>
        </w:tc>
        <w:tc>
          <w:tcPr>
            <w:tcW w:w="1576" w:type="dxa"/>
            <w:noWrap/>
            <w:hideMark/>
          </w:tcPr>
          <w:p w:rsidR="00DC0BB8" w:rsidRPr="00DC0BB8" w:rsidRDefault="00DC0BB8" w:rsidP="00DC0BB8">
            <w:pPr>
              <w:jc w:val="right"/>
              <w:rPr>
                <w:rFonts w:ascii="Times New Roman" w:hAnsi="Times New Roman" w:cs="Times New Roman"/>
                <w:b/>
                <w:sz w:val="20"/>
                <w:szCs w:val="20"/>
              </w:rPr>
            </w:pPr>
            <w:r w:rsidRPr="00DC0BB8">
              <w:rPr>
                <w:rFonts w:ascii="Times New Roman" w:hAnsi="Times New Roman" w:cs="Times New Roman"/>
                <w:b/>
                <w:sz w:val="20"/>
                <w:szCs w:val="20"/>
              </w:rPr>
              <w:t>2028</w:t>
            </w:r>
          </w:p>
        </w:tc>
      </w:tr>
      <w:tr w:rsidR="00DC0BB8" w:rsidRPr="00DC0BB8" w:rsidTr="0021218F">
        <w:trPr>
          <w:trHeight w:val="245"/>
        </w:trPr>
        <w:tc>
          <w:tcPr>
            <w:tcW w:w="4390" w:type="dxa"/>
            <w:noWrap/>
            <w:hideMark/>
          </w:tcPr>
          <w:p w:rsidR="00DC0BB8" w:rsidRPr="00DC0BB8" w:rsidRDefault="00DC0BB8" w:rsidP="009473C0">
            <w:pPr>
              <w:rPr>
                <w:rFonts w:ascii="Times New Roman" w:hAnsi="Times New Roman" w:cs="Times New Roman"/>
                <w:sz w:val="20"/>
                <w:szCs w:val="20"/>
              </w:rPr>
            </w:pPr>
            <w:r w:rsidRPr="00DC0BB8">
              <w:rPr>
                <w:rFonts w:ascii="Times New Roman" w:hAnsi="Times New Roman" w:cs="Times New Roman"/>
                <w:sz w:val="20"/>
                <w:szCs w:val="20"/>
              </w:rPr>
              <w:t xml:space="preserve">Starobný a predčasný starobný dôchodok </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339 319</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358 127</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375 511</w:t>
            </w:r>
          </w:p>
        </w:tc>
      </w:tr>
      <w:tr w:rsidR="00DC0BB8" w:rsidRPr="00DC0BB8" w:rsidTr="0021218F">
        <w:trPr>
          <w:trHeight w:val="245"/>
        </w:trPr>
        <w:tc>
          <w:tcPr>
            <w:tcW w:w="4390" w:type="dxa"/>
            <w:noWrap/>
            <w:hideMark/>
          </w:tcPr>
          <w:p w:rsidR="00DC0BB8" w:rsidRPr="00DC0BB8" w:rsidRDefault="00DC0BB8" w:rsidP="009473C0">
            <w:pPr>
              <w:rPr>
                <w:rFonts w:ascii="Times New Roman" w:hAnsi="Times New Roman" w:cs="Times New Roman"/>
                <w:sz w:val="20"/>
                <w:szCs w:val="20"/>
              </w:rPr>
            </w:pPr>
            <w:r w:rsidRPr="00DC0BB8">
              <w:rPr>
                <w:rFonts w:ascii="Times New Roman" w:hAnsi="Times New Roman" w:cs="Times New Roman"/>
                <w:sz w:val="20"/>
                <w:szCs w:val="20"/>
              </w:rPr>
              <w:t>Invalidný dôchodok do 70 %</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69 091</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72 142</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75 051</w:t>
            </w:r>
          </w:p>
        </w:tc>
      </w:tr>
      <w:tr w:rsidR="00DC0BB8" w:rsidRPr="00DC0BB8" w:rsidTr="0021218F">
        <w:trPr>
          <w:trHeight w:val="245"/>
        </w:trPr>
        <w:tc>
          <w:tcPr>
            <w:tcW w:w="4390" w:type="dxa"/>
            <w:noWrap/>
            <w:hideMark/>
          </w:tcPr>
          <w:p w:rsidR="00DC0BB8" w:rsidRPr="00DC0BB8" w:rsidRDefault="00DC0BB8" w:rsidP="009473C0">
            <w:pPr>
              <w:rPr>
                <w:rFonts w:ascii="Times New Roman" w:hAnsi="Times New Roman" w:cs="Times New Roman"/>
                <w:sz w:val="20"/>
                <w:szCs w:val="20"/>
              </w:rPr>
            </w:pPr>
            <w:r w:rsidRPr="00DC0BB8">
              <w:rPr>
                <w:rFonts w:ascii="Times New Roman" w:hAnsi="Times New Roman" w:cs="Times New Roman"/>
                <w:sz w:val="20"/>
                <w:szCs w:val="20"/>
              </w:rPr>
              <w:t>Invalidný dôchodok nad 70 %</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31 374</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32 289</w:t>
            </w:r>
          </w:p>
        </w:tc>
        <w:tc>
          <w:tcPr>
            <w:tcW w:w="1576" w:type="dxa"/>
            <w:noWrap/>
            <w:hideMark/>
          </w:tcPr>
          <w:p w:rsidR="00DC0BB8" w:rsidRPr="00DC0BB8" w:rsidRDefault="00DC0BB8" w:rsidP="00DC0BB8">
            <w:pPr>
              <w:jc w:val="right"/>
              <w:rPr>
                <w:rFonts w:ascii="Times New Roman" w:hAnsi="Times New Roman" w:cs="Times New Roman"/>
                <w:sz w:val="20"/>
                <w:szCs w:val="20"/>
              </w:rPr>
            </w:pPr>
            <w:r w:rsidRPr="00DC0BB8">
              <w:rPr>
                <w:rFonts w:ascii="Times New Roman" w:hAnsi="Times New Roman" w:cs="Times New Roman"/>
                <w:sz w:val="20"/>
                <w:szCs w:val="20"/>
              </w:rPr>
              <w:t>33 145</w:t>
            </w:r>
          </w:p>
        </w:tc>
      </w:tr>
      <w:tr w:rsidR="00DC0BB8" w:rsidRPr="00DC0BB8" w:rsidTr="0021218F">
        <w:trPr>
          <w:trHeight w:val="245"/>
        </w:trPr>
        <w:tc>
          <w:tcPr>
            <w:tcW w:w="4390" w:type="dxa"/>
            <w:noWrap/>
            <w:hideMark/>
          </w:tcPr>
          <w:p w:rsidR="00DC0BB8" w:rsidRPr="00DC0BB8" w:rsidRDefault="00DC0BB8" w:rsidP="009473C0">
            <w:pPr>
              <w:rPr>
                <w:rFonts w:ascii="Times New Roman" w:hAnsi="Times New Roman" w:cs="Times New Roman"/>
                <w:b/>
                <w:bCs/>
                <w:sz w:val="20"/>
                <w:szCs w:val="20"/>
              </w:rPr>
            </w:pPr>
            <w:r w:rsidRPr="00DC0BB8">
              <w:rPr>
                <w:rFonts w:ascii="Times New Roman" w:hAnsi="Times New Roman" w:cs="Times New Roman"/>
                <w:b/>
                <w:bCs/>
                <w:sz w:val="20"/>
                <w:szCs w:val="20"/>
              </w:rPr>
              <w:t>Spolu</w:t>
            </w:r>
          </w:p>
        </w:tc>
        <w:tc>
          <w:tcPr>
            <w:tcW w:w="1576" w:type="dxa"/>
            <w:noWrap/>
            <w:hideMark/>
          </w:tcPr>
          <w:p w:rsidR="00DC0BB8" w:rsidRPr="00DC0BB8" w:rsidRDefault="00DC0BB8" w:rsidP="00DC0BB8">
            <w:pPr>
              <w:jc w:val="right"/>
              <w:rPr>
                <w:rFonts w:ascii="Times New Roman" w:hAnsi="Times New Roman" w:cs="Times New Roman"/>
                <w:b/>
                <w:bCs/>
                <w:sz w:val="20"/>
                <w:szCs w:val="20"/>
              </w:rPr>
            </w:pPr>
            <w:r w:rsidRPr="00DC0BB8">
              <w:rPr>
                <w:rFonts w:ascii="Times New Roman" w:hAnsi="Times New Roman" w:cs="Times New Roman"/>
                <w:b/>
                <w:bCs/>
                <w:sz w:val="20"/>
                <w:szCs w:val="20"/>
              </w:rPr>
              <w:t>439 78</w:t>
            </w:r>
            <w:r w:rsidR="00410734">
              <w:rPr>
                <w:rFonts w:ascii="Times New Roman" w:hAnsi="Times New Roman" w:cs="Times New Roman"/>
                <w:b/>
                <w:bCs/>
                <w:sz w:val="20"/>
                <w:szCs w:val="20"/>
              </w:rPr>
              <w:t>4</w:t>
            </w:r>
          </w:p>
        </w:tc>
        <w:tc>
          <w:tcPr>
            <w:tcW w:w="1576" w:type="dxa"/>
            <w:noWrap/>
            <w:hideMark/>
          </w:tcPr>
          <w:p w:rsidR="00DC0BB8" w:rsidRPr="00DC0BB8" w:rsidRDefault="00DC0BB8" w:rsidP="00DC0BB8">
            <w:pPr>
              <w:jc w:val="right"/>
              <w:rPr>
                <w:rFonts w:ascii="Times New Roman" w:hAnsi="Times New Roman" w:cs="Times New Roman"/>
                <w:b/>
                <w:bCs/>
                <w:sz w:val="20"/>
                <w:szCs w:val="20"/>
              </w:rPr>
            </w:pPr>
            <w:r w:rsidRPr="00DC0BB8">
              <w:rPr>
                <w:rFonts w:ascii="Times New Roman" w:hAnsi="Times New Roman" w:cs="Times New Roman"/>
                <w:b/>
                <w:bCs/>
                <w:sz w:val="20"/>
                <w:szCs w:val="20"/>
              </w:rPr>
              <w:t>462 558</w:t>
            </w:r>
          </w:p>
        </w:tc>
        <w:tc>
          <w:tcPr>
            <w:tcW w:w="1576" w:type="dxa"/>
            <w:noWrap/>
            <w:hideMark/>
          </w:tcPr>
          <w:p w:rsidR="00DC0BB8" w:rsidRPr="00DC0BB8" w:rsidRDefault="00DC0BB8" w:rsidP="00DC0BB8">
            <w:pPr>
              <w:jc w:val="right"/>
              <w:rPr>
                <w:rFonts w:ascii="Times New Roman" w:hAnsi="Times New Roman" w:cs="Times New Roman"/>
                <w:b/>
                <w:bCs/>
                <w:sz w:val="20"/>
                <w:szCs w:val="20"/>
              </w:rPr>
            </w:pPr>
            <w:r w:rsidRPr="00DC0BB8">
              <w:rPr>
                <w:rFonts w:ascii="Times New Roman" w:hAnsi="Times New Roman" w:cs="Times New Roman"/>
                <w:b/>
                <w:bCs/>
                <w:sz w:val="20"/>
                <w:szCs w:val="20"/>
              </w:rPr>
              <w:t>483 707</w:t>
            </w:r>
          </w:p>
        </w:tc>
      </w:tr>
    </w:tbl>
    <w:p w:rsidR="006E2756" w:rsidRPr="00DC0BB8" w:rsidRDefault="00DC0BB8" w:rsidP="00DB700D">
      <w:pPr>
        <w:spacing w:after="0" w:line="240" w:lineRule="auto"/>
        <w:jc w:val="both"/>
        <w:rPr>
          <w:rFonts w:ascii="Times New Roman" w:eastAsia="Times New Roman" w:hAnsi="Times New Roman" w:cs="Times New Roman"/>
          <w:i/>
          <w:sz w:val="20"/>
          <w:szCs w:val="20"/>
          <w:lang w:eastAsia="sk-SK"/>
        </w:rPr>
      </w:pPr>
      <w:r w:rsidRPr="00DC0BB8">
        <w:rPr>
          <w:rFonts w:ascii="Times New Roman" w:eastAsia="Times New Roman" w:hAnsi="Times New Roman" w:cs="Times New Roman"/>
          <w:i/>
          <w:sz w:val="20"/>
          <w:szCs w:val="20"/>
          <w:lang w:eastAsia="sk-SK"/>
        </w:rPr>
        <w:t xml:space="preserve">Zdroj: MPSVR SR </w:t>
      </w:r>
    </w:p>
    <w:p w:rsidR="006E2756" w:rsidRPr="007B7470" w:rsidRDefault="006E2756" w:rsidP="00DB700D">
      <w:pPr>
        <w:spacing w:after="0" w:line="240" w:lineRule="auto"/>
        <w:jc w:val="both"/>
        <w:rPr>
          <w:rFonts w:ascii="Times New Roman" w:eastAsia="Times New Roman" w:hAnsi="Times New Roman" w:cs="Times New Roman"/>
          <w:sz w:val="24"/>
          <w:szCs w:val="24"/>
          <w:lang w:eastAsia="sk-SK"/>
        </w:rPr>
      </w:pPr>
    </w:p>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p>
    <w:p w:rsidR="00226548" w:rsidRDefault="00226548" w:rsidP="00226548">
      <w:pPr>
        <w:spacing w:after="0" w:line="240" w:lineRule="auto"/>
        <w:jc w:val="both"/>
        <w:rPr>
          <w:rFonts w:ascii="Times New Roman" w:eastAsia="Times New Roman" w:hAnsi="Times New Roman" w:cs="Times New Roman"/>
          <w:sz w:val="24"/>
          <w:szCs w:val="24"/>
          <w:lang w:eastAsia="sk-SK"/>
        </w:rPr>
      </w:pPr>
      <w:r w:rsidRPr="00226548">
        <w:rPr>
          <w:rFonts w:ascii="Times New Roman" w:eastAsia="Times New Roman" w:hAnsi="Times New Roman" w:cs="Times New Roman"/>
          <w:sz w:val="24"/>
          <w:szCs w:val="24"/>
          <w:lang w:eastAsia="sk-SK"/>
        </w:rPr>
        <w:t>Výpočty vplyvov na príjmy a výdavky verejnej správy sú založené na objemoch aktivít špecifikovaných v časti 2.2.3 a na makroekonomickej prognóze Ministerstva financií S</w:t>
      </w:r>
      <w:r w:rsidR="00983327">
        <w:rPr>
          <w:rFonts w:ascii="Times New Roman" w:eastAsia="Times New Roman" w:hAnsi="Times New Roman" w:cs="Times New Roman"/>
          <w:sz w:val="24"/>
          <w:szCs w:val="24"/>
          <w:lang w:eastAsia="sk-SK"/>
        </w:rPr>
        <w:t>lovenskej republiky</w:t>
      </w:r>
      <w:r w:rsidRPr="00226548">
        <w:rPr>
          <w:rFonts w:ascii="Times New Roman" w:eastAsia="Times New Roman" w:hAnsi="Times New Roman" w:cs="Times New Roman"/>
          <w:sz w:val="24"/>
          <w:szCs w:val="24"/>
          <w:lang w:eastAsia="sk-SK"/>
        </w:rPr>
        <w:t xml:space="preserve"> (jún 2025).</w:t>
      </w:r>
    </w:p>
    <w:p w:rsidR="00226548" w:rsidRPr="00226548" w:rsidRDefault="00226548" w:rsidP="00226548">
      <w:pPr>
        <w:spacing w:after="0" w:line="240" w:lineRule="auto"/>
        <w:jc w:val="both"/>
        <w:rPr>
          <w:rFonts w:ascii="Times New Roman" w:eastAsia="Times New Roman" w:hAnsi="Times New Roman" w:cs="Times New Roman"/>
          <w:sz w:val="24"/>
          <w:szCs w:val="24"/>
          <w:lang w:eastAsia="sk-SK"/>
        </w:rPr>
      </w:pPr>
    </w:p>
    <w:p w:rsidR="002E16D2" w:rsidRDefault="00226548" w:rsidP="00226548">
      <w:pPr>
        <w:spacing w:after="0" w:line="240" w:lineRule="auto"/>
        <w:jc w:val="both"/>
        <w:rPr>
          <w:rFonts w:ascii="Times New Roman" w:eastAsia="Times New Roman" w:hAnsi="Times New Roman" w:cs="Times New Roman"/>
          <w:bCs/>
          <w:sz w:val="24"/>
          <w:szCs w:val="24"/>
          <w:lang w:eastAsia="sk-SK"/>
        </w:rPr>
      </w:pPr>
      <w:r w:rsidRPr="002E16D2">
        <w:rPr>
          <w:rFonts w:ascii="Times New Roman" w:eastAsia="Times New Roman" w:hAnsi="Times New Roman" w:cs="Times New Roman"/>
          <w:b/>
          <w:bCs/>
          <w:sz w:val="24"/>
          <w:szCs w:val="24"/>
          <w:lang w:eastAsia="sk-SK"/>
        </w:rPr>
        <w:t>1.</w:t>
      </w:r>
      <w:r w:rsidR="00983327">
        <w:rPr>
          <w:rFonts w:ascii="Times New Roman" w:eastAsia="Times New Roman" w:hAnsi="Times New Roman" w:cs="Times New Roman"/>
          <w:b/>
          <w:bCs/>
          <w:sz w:val="24"/>
          <w:szCs w:val="24"/>
          <w:lang w:eastAsia="sk-SK"/>
        </w:rPr>
        <w:t>1.</w:t>
      </w:r>
      <w:r w:rsidRPr="002E16D2">
        <w:rPr>
          <w:rFonts w:ascii="Times New Roman" w:eastAsia="Times New Roman" w:hAnsi="Times New Roman" w:cs="Times New Roman"/>
          <w:b/>
          <w:bCs/>
          <w:sz w:val="24"/>
          <w:szCs w:val="24"/>
          <w:lang w:eastAsia="sk-SK"/>
        </w:rPr>
        <w:t xml:space="preserve"> Výpočet úspory na výdavkoch </w:t>
      </w:r>
      <w:r w:rsidR="00983327">
        <w:rPr>
          <w:rFonts w:ascii="Times New Roman" w:eastAsia="Times New Roman" w:hAnsi="Times New Roman" w:cs="Times New Roman"/>
          <w:b/>
          <w:bCs/>
          <w:sz w:val="24"/>
          <w:szCs w:val="24"/>
          <w:lang w:eastAsia="sk-SK"/>
        </w:rPr>
        <w:t>kapitoly MPSVR SR</w:t>
      </w:r>
      <w:r w:rsidR="009C7D97">
        <w:rPr>
          <w:rFonts w:ascii="Times New Roman" w:eastAsia="Times New Roman" w:hAnsi="Times New Roman" w:cs="Times New Roman"/>
          <w:b/>
          <w:bCs/>
          <w:sz w:val="24"/>
          <w:szCs w:val="24"/>
          <w:lang w:eastAsia="sk-SK"/>
        </w:rPr>
        <w:t xml:space="preserve"> z pohľadu</w:t>
      </w:r>
      <w:r w:rsidR="00983327" w:rsidRPr="002E16D2">
        <w:rPr>
          <w:rFonts w:ascii="Times New Roman" w:eastAsia="Times New Roman" w:hAnsi="Times New Roman" w:cs="Times New Roman"/>
          <w:b/>
          <w:bCs/>
          <w:sz w:val="24"/>
          <w:szCs w:val="24"/>
          <w:lang w:eastAsia="sk-SK"/>
        </w:rPr>
        <w:t xml:space="preserve"> </w:t>
      </w:r>
      <w:r w:rsidR="00983327">
        <w:rPr>
          <w:rFonts w:ascii="Times New Roman" w:eastAsia="Times New Roman" w:hAnsi="Times New Roman" w:cs="Times New Roman"/>
          <w:b/>
          <w:bCs/>
          <w:sz w:val="24"/>
          <w:szCs w:val="24"/>
          <w:lang w:eastAsia="sk-SK"/>
        </w:rPr>
        <w:t xml:space="preserve"> </w:t>
      </w:r>
      <w:r w:rsidR="00311FC2">
        <w:rPr>
          <w:rFonts w:ascii="Times New Roman" w:eastAsia="Times New Roman" w:hAnsi="Times New Roman" w:cs="Times New Roman"/>
          <w:b/>
          <w:bCs/>
          <w:sz w:val="24"/>
          <w:szCs w:val="24"/>
          <w:lang w:eastAsia="sk-SK"/>
        </w:rPr>
        <w:t>zrušenia poistného platného štátom</w:t>
      </w:r>
      <w:r w:rsidR="00983327">
        <w:rPr>
          <w:rFonts w:ascii="Times New Roman" w:eastAsia="Times New Roman" w:hAnsi="Times New Roman" w:cs="Times New Roman"/>
          <w:b/>
          <w:bCs/>
          <w:sz w:val="24"/>
          <w:szCs w:val="24"/>
          <w:lang w:eastAsia="sk-SK"/>
        </w:rPr>
        <w:t xml:space="preserve"> </w:t>
      </w:r>
    </w:p>
    <w:p w:rsidR="002E16D2" w:rsidRDefault="00226548" w:rsidP="00226548">
      <w:pPr>
        <w:spacing w:after="0" w:line="240" w:lineRule="auto"/>
        <w:jc w:val="both"/>
        <w:rPr>
          <w:rFonts w:ascii="Times New Roman" w:eastAsia="Times New Roman" w:hAnsi="Times New Roman" w:cs="Times New Roman"/>
          <w:bCs/>
          <w:sz w:val="24"/>
          <w:szCs w:val="24"/>
          <w:lang w:eastAsia="sk-SK"/>
        </w:rPr>
      </w:pPr>
      <w:r w:rsidRPr="00226548">
        <w:rPr>
          <w:rFonts w:ascii="Times New Roman" w:eastAsia="Times New Roman" w:hAnsi="Times New Roman" w:cs="Times New Roman"/>
          <w:bCs/>
          <w:sz w:val="24"/>
          <w:szCs w:val="24"/>
          <w:lang w:eastAsia="sk-SK"/>
        </w:rPr>
        <w:lastRenderedPageBreak/>
        <w:br/>
        <w:t xml:space="preserve">Hodnota tejto položky bola kvantifikovaná ako súčet poistného, ktoré by štát podľa súčasných pravidiel odviedol za všetky kategórie dotknutých osôb. Výpočet vychádzal z násobenia počtu poistencov v každej kategórii ich príslušným vymeriavacím základom a platnými sadzbami poistného </w:t>
      </w:r>
      <w:r w:rsidR="002E16D2">
        <w:rPr>
          <w:rFonts w:ascii="Times New Roman" w:eastAsia="Times New Roman" w:hAnsi="Times New Roman" w:cs="Times New Roman"/>
          <w:bCs/>
          <w:sz w:val="24"/>
          <w:szCs w:val="24"/>
          <w:lang w:eastAsia="sk-SK"/>
        </w:rPr>
        <w:t>plateného štátom</w:t>
      </w:r>
      <w:r w:rsidRPr="00226548">
        <w:rPr>
          <w:rFonts w:ascii="Times New Roman" w:eastAsia="Times New Roman" w:hAnsi="Times New Roman" w:cs="Times New Roman"/>
          <w:bCs/>
          <w:sz w:val="24"/>
          <w:szCs w:val="24"/>
          <w:lang w:eastAsia="sk-SK"/>
        </w:rPr>
        <w:t xml:space="preserve">. Priemerný vymeriavací základ pre jednotlivé skupiny bol stanovený na základe </w:t>
      </w:r>
      <w:r w:rsidRPr="009C7D97">
        <w:rPr>
          <w:rFonts w:ascii="Times New Roman" w:eastAsia="Times New Roman" w:hAnsi="Times New Roman" w:cs="Times New Roman"/>
          <w:bCs/>
          <w:sz w:val="24"/>
          <w:szCs w:val="24"/>
          <w:lang w:eastAsia="sk-SK"/>
        </w:rPr>
        <w:t xml:space="preserve">analýzy </w:t>
      </w:r>
      <w:proofErr w:type="spellStart"/>
      <w:r w:rsidRPr="009C7D97">
        <w:rPr>
          <w:rFonts w:ascii="Times New Roman" w:eastAsia="Times New Roman" w:hAnsi="Times New Roman" w:cs="Times New Roman"/>
          <w:bCs/>
          <w:sz w:val="24"/>
          <w:szCs w:val="24"/>
          <w:lang w:eastAsia="sk-SK"/>
        </w:rPr>
        <w:t>mikroúdajov</w:t>
      </w:r>
      <w:proofErr w:type="spellEnd"/>
      <w:r w:rsidRPr="009C7D97">
        <w:rPr>
          <w:rFonts w:ascii="Times New Roman" w:eastAsia="Times New Roman" w:hAnsi="Times New Roman" w:cs="Times New Roman"/>
          <w:bCs/>
          <w:sz w:val="24"/>
          <w:szCs w:val="24"/>
          <w:lang w:eastAsia="sk-SK"/>
        </w:rPr>
        <w:t xml:space="preserve"> Sociálnej poisťovne</w:t>
      </w:r>
      <w:r w:rsidR="002E16D2">
        <w:rPr>
          <w:rFonts w:ascii="Times New Roman" w:eastAsia="Times New Roman" w:hAnsi="Times New Roman" w:cs="Times New Roman"/>
          <w:bCs/>
          <w:sz w:val="24"/>
          <w:szCs w:val="24"/>
          <w:lang w:eastAsia="sk-SK"/>
        </w:rPr>
        <w:t>.</w:t>
      </w:r>
      <w:r w:rsidRPr="00226548">
        <w:rPr>
          <w:rFonts w:ascii="Times New Roman" w:eastAsia="Times New Roman" w:hAnsi="Times New Roman" w:cs="Times New Roman"/>
          <w:bCs/>
          <w:sz w:val="24"/>
          <w:szCs w:val="24"/>
          <w:lang w:eastAsia="sk-SK"/>
        </w:rPr>
        <w:t xml:space="preserve"> </w:t>
      </w:r>
      <w:r w:rsidR="002E16D2">
        <w:rPr>
          <w:rFonts w:ascii="Times New Roman" w:eastAsia="Times New Roman" w:hAnsi="Times New Roman" w:cs="Times New Roman"/>
          <w:bCs/>
          <w:sz w:val="24"/>
          <w:szCs w:val="24"/>
          <w:lang w:eastAsia="sk-SK"/>
        </w:rPr>
        <w:t xml:space="preserve"> </w:t>
      </w:r>
    </w:p>
    <w:p w:rsidR="002E16D2" w:rsidRPr="002E16D2" w:rsidRDefault="002E16D2" w:rsidP="00226548">
      <w:pPr>
        <w:spacing w:after="0" w:line="240" w:lineRule="auto"/>
        <w:jc w:val="both"/>
        <w:rPr>
          <w:rFonts w:ascii="Times New Roman" w:eastAsia="Times New Roman" w:hAnsi="Times New Roman" w:cs="Times New Roman"/>
          <w:b/>
          <w:bCs/>
          <w:sz w:val="24"/>
          <w:szCs w:val="24"/>
          <w:lang w:eastAsia="sk-SK"/>
        </w:rPr>
      </w:pPr>
      <w:r w:rsidRPr="002E16D2">
        <w:rPr>
          <w:rFonts w:ascii="Times New Roman" w:eastAsia="Times New Roman" w:hAnsi="Times New Roman" w:cs="Times New Roman"/>
          <w:b/>
          <w:bCs/>
          <w:sz w:val="24"/>
          <w:szCs w:val="24"/>
          <w:lang w:eastAsia="sk-SK"/>
        </w:rPr>
        <w:t xml:space="preserve">Tabuľka 2/D: Poistné platené štátom pre jednotlivé kategórie dotknutých poistencov </w:t>
      </w:r>
      <w:r>
        <w:rPr>
          <w:rFonts w:ascii="Times New Roman" w:eastAsia="Times New Roman" w:hAnsi="Times New Roman" w:cs="Times New Roman"/>
          <w:b/>
          <w:bCs/>
          <w:sz w:val="24"/>
          <w:szCs w:val="24"/>
          <w:lang w:eastAsia="sk-SK"/>
        </w:rPr>
        <w:t xml:space="preserve">v </w:t>
      </w:r>
      <w:r w:rsidR="00525EF2">
        <w:rPr>
          <w:rFonts w:ascii="Times New Roman" w:eastAsia="Times New Roman" w:hAnsi="Times New Roman" w:cs="Times New Roman"/>
          <w:b/>
          <w:bCs/>
          <w:sz w:val="24"/>
          <w:szCs w:val="24"/>
          <w:lang w:eastAsia="sk-SK"/>
        </w:rPr>
        <w:t> </w:t>
      </w:r>
      <w:r>
        <w:rPr>
          <w:rFonts w:ascii="Times New Roman" w:eastAsia="Times New Roman" w:hAnsi="Times New Roman" w:cs="Times New Roman"/>
          <w:b/>
          <w:bCs/>
          <w:sz w:val="24"/>
          <w:szCs w:val="24"/>
          <w:lang w:eastAsia="sk-SK"/>
        </w:rPr>
        <w:t>eur</w:t>
      </w:r>
    </w:p>
    <w:tbl>
      <w:tblPr>
        <w:tblW w:w="9183" w:type="dxa"/>
        <w:tblCellMar>
          <w:left w:w="70" w:type="dxa"/>
          <w:right w:w="70" w:type="dxa"/>
        </w:tblCellMar>
        <w:tblLook w:val="04A0" w:firstRow="1" w:lastRow="0" w:firstColumn="1" w:lastColumn="0" w:noHBand="0" w:noVBand="1"/>
      </w:tblPr>
      <w:tblGrid>
        <w:gridCol w:w="4035"/>
        <w:gridCol w:w="1287"/>
        <w:gridCol w:w="1287"/>
        <w:gridCol w:w="1287"/>
        <w:gridCol w:w="1287"/>
      </w:tblGrid>
      <w:tr w:rsidR="002E16D2" w:rsidRPr="002E16D2" w:rsidTr="002E16D2">
        <w:trPr>
          <w:trHeight w:val="255"/>
        </w:trPr>
        <w:tc>
          <w:tcPr>
            <w:tcW w:w="4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Typ poistného vzťahu</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b/>
                <w:sz w:val="20"/>
                <w:szCs w:val="20"/>
                <w:lang w:eastAsia="sk-SK"/>
              </w:rPr>
            </w:pPr>
            <w:r w:rsidRPr="002E16D2">
              <w:rPr>
                <w:rFonts w:ascii="Times New Roman" w:eastAsia="Times New Roman" w:hAnsi="Times New Roman" w:cs="Times New Roman"/>
                <w:b/>
                <w:sz w:val="20"/>
                <w:szCs w:val="20"/>
                <w:lang w:eastAsia="sk-SK"/>
              </w:rPr>
              <w:t>2025</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b/>
                <w:sz w:val="20"/>
                <w:szCs w:val="20"/>
                <w:lang w:eastAsia="sk-SK"/>
              </w:rPr>
            </w:pPr>
            <w:r w:rsidRPr="002E16D2">
              <w:rPr>
                <w:rFonts w:ascii="Times New Roman" w:eastAsia="Times New Roman" w:hAnsi="Times New Roman" w:cs="Times New Roman"/>
                <w:b/>
                <w:sz w:val="20"/>
                <w:szCs w:val="20"/>
                <w:lang w:eastAsia="sk-SK"/>
              </w:rPr>
              <w:t>2026</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b/>
                <w:sz w:val="20"/>
                <w:szCs w:val="20"/>
                <w:lang w:eastAsia="sk-SK"/>
              </w:rPr>
            </w:pPr>
            <w:r w:rsidRPr="002E16D2">
              <w:rPr>
                <w:rFonts w:ascii="Times New Roman" w:eastAsia="Times New Roman" w:hAnsi="Times New Roman" w:cs="Times New Roman"/>
                <w:b/>
                <w:sz w:val="20"/>
                <w:szCs w:val="20"/>
                <w:lang w:eastAsia="sk-SK"/>
              </w:rPr>
              <w:t>2027</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b/>
                <w:sz w:val="20"/>
                <w:szCs w:val="20"/>
                <w:lang w:eastAsia="sk-SK"/>
              </w:rPr>
            </w:pPr>
            <w:r w:rsidRPr="002E16D2">
              <w:rPr>
                <w:rFonts w:ascii="Times New Roman" w:eastAsia="Times New Roman" w:hAnsi="Times New Roman" w:cs="Times New Roman"/>
                <w:b/>
                <w:sz w:val="20"/>
                <w:szCs w:val="20"/>
                <w:lang w:eastAsia="sk-SK"/>
              </w:rPr>
              <w:t>2028</w:t>
            </w:r>
          </w:p>
        </w:tc>
      </w:tr>
      <w:tr w:rsidR="002E16D2" w:rsidRPr="002E16D2" w:rsidTr="002E16D2">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2E16D2" w:rsidRPr="00DB700D" w:rsidRDefault="002E16D2" w:rsidP="002E16D2">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Starostlivosť</w:t>
            </w:r>
            <w:r w:rsidRPr="002E16D2">
              <w:rPr>
                <w:rFonts w:ascii="Times New Roman" w:eastAsia="Times New Roman" w:hAnsi="Times New Roman" w:cs="Times New Roman"/>
                <w:sz w:val="20"/>
                <w:szCs w:val="20"/>
                <w:lang w:eastAsia="sk-SK"/>
              </w:rPr>
              <w:t xml:space="preserve"> o dieťa</w:t>
            </w:r>
            <w:r w:rsidRPr="00DB700D">
              <w:rPr>
                <w:rFonts w:ascii="Times New Roman" w:eastAsia="Times New Roman" w:hAnsi="Times New Roman" w:cs="Times New Roman"/>
                <w:sz w:val="20"/>
                <w:szCs w:val="20"/>
                <w:lang w:eastAsia="sk-SK"/>
              </w:rPr>
              <w:t xml:space="preserve"> do 18 rokov</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6 872 881</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7 221 734</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7 580 295</w:t>
            </w:r>
          </w:p>
        </w:tc>
      </w:tr>
      <w:tr w:rsidR="002E16D2" w:rsidRPr="002E16D2" w:rsidTr="002E16D2">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2E16D2" w:rsidRPr="00DB700D" w:rsidRDefault="002E16D2" w:rsidP="002E16D2">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Starostlivosť</w:t>
            </w:r>
            <w:r w:rsidRPr="002E16D2">
              <w:rPr>
                <w:rFonts w:ascii="Times New Roman" w:eastAsia="Times New Roman" w:hAnsi="Times New Roman" w:cs="Times New Roman"/>
                <w:sz w:val="20"/>
                <w:szCs w:val="20"/>
                <w:lang w:eastAsia="sk-SK"/>
              </w:rPr>
              <w:t xml:space="preserve"> o dieťa</w:t>
            </w:r>
            <w:r w:rsidRPr="00DB700D">
              <w:rPr>
                <w:rFonts w:ascii="Times New Roman" w:eastAsia="Times New Roman" w:hAnsi="Times New Roman" w:cs="Times New Roman"/>
                <w:sz w:val="20"/>
                <w:szCs w:val="20"/>
                <w:lang w:eastAsia="sk-SK"/>
              </w:rPr>
              <w:t xml:space="preserve"> do 6 rokov</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376 954 790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396 103 931</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415 796 211</w:t>
            </w:r>
          </w:p>
        </w:tc>
      </w:tr>
      <w:tr w:rsidR="002E16D2" w:rsidRPr="002E16D2" w:rsidTr="002E16D2">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2E16D2" w:rsidRPr="00DB700D" w:rsidRDefault="002E16D2" w:rsidP="002E16D2">
            <w:pPr>
              <w:spacing w:after="0" w:line="240" w:lineRule="auto"/>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Fyzická osoba poberajúca materské</w:t>
            </w:r>
            <w:r w:rsidRPr="00DB700D">
              <w:rPr>
                <w:rFonts w:ascii="Times New Roman" w:eastAsia="Times New Roman" w:hAnsi="Times New Roman" w:cs="Times New Roman"/>
                <w:sz w:val="20"/>
                <w:szCs w:val="20"/>
                <w:lang w:eastAsia="sk-SK"/>
              </w:rPr>
              <w:t xml:space="preserve"> </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57 901 868</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60 845 616</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63 868 126</w:t>
            </w:r>
          </w:p>
        </w:tc>
      </w:tr>
      <w:tr w:rsidR="002E16D2" w:rsidRPr="002E16D2" w:rsidTr="002E16D2">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2E16D2" w:rsidRPr="00DB700D" w:rsidRDefault="002E16D2" w:rsidP="00983327">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 xml:space="preserve">Poberatelia </w:t>
            </w:r>
            <w:r w:rsidR="00983327">
              <w:rPr>
                <w:rFonts w:ascii="Times New Roman" w:eastAsia="Times New Roman" w:hAnsi="Times New Roman" w:cs="Times New Roman"/>
                <w:sz w:val="20"/>
                <w:szCs w:val="20"/>
                <w:lang w:eastAsia="sk-SK"/>
              </w:rPr>
              <w:t xml:space="preserve">peňažného </w:t>
            </w:r>
            <w:r w:rsidR="00983327" w:rsidRPr="00DB700D">
              <w:rPr>
                <w:rFonts w:ascii="Times New Roman" w:eastAsia="Times New Roman" w:hAnsi="Times New Roman" w:cs="Times New Roman"/>
                <w:sz w:val="20"/>
                <w:szCs w:val="20"/>
                <w:lang w:eastAsia="sk-SK"/>
              </w:rPr>
              <w:t xml:space="preserve"> </w:t>
            </w:r>
            <w:r w:rsidRPr="00DB700D">
              <w:rPr>
                <w:rFonts w:ascii="Times New Roman" w:eastAsia="Times New Roman" w:hAnsi="Times New Roman" w:cs="Times New Roman"/>
                <w:sz w:val="20"/>
                <w:szCs w:val="20"/>
                <w:lang w:eastAsia="sk-SK"/>
              </w:rPr>
              <w:t>príspevku</w:t>
            </w:r>
            <w:r w:rsidR="00983327">
              <w:rPr>
                <w:rFonts w:ascii="Times New Roman" w:eastAsia="Times New Roman" w:hAnsi="Times New Roman" w:cs="Times New Roman"/>
                <w:sz w:val="20"/>
                <w:szCs w:val="20"/>
                <w:lang w:eastAsia="sk-SK"/>
              </w:rPr>
              <w:t xml:space="preserve"> na opatrovanie</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73 875 828</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79 118 508</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84 633 271</w:t>
            </w:r>
          </w:p>
        </w:tc>
      </w:tr>
      <w:tr w:rsidR="002E16D2" w:rsidRPr="002E16D2" w:rsidTr="002E16D2">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2E16D2" w:rsidRPr="00DB700D" w:rsidRDefault="002E16D2" w:rsidP="002E16D2">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Osobní asistenti</w:t>
            </w:r>
            <w:r w:rsidR="00983327">
              <w:rPr>
                <w:rFonts w:ascii="Times New Roman" w:eastAsia="Times New Roman" w:hAnsi="Times New Roman" w:cs="Times New Roman"/>
                <w:sz w:val="20"/>
                <w:szCs w:val="20"/>
                <w:lang w:eastAsia="sk-SK"/>
              </w:rPr>
              <w:t xml:space="preserve"> aspoň 140 hodín mesačne</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3 757 202</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4 023 394</w:t>
            </w:r>
          </w:p>
        </w:tc>
        <w:tc>
          <w:tcPr>
            <w:tcW w:w="1287" w:type="dxa"/>
            <w:tcBorders>
              <w:top w:val="nil"/>
              <w:left w:val="nil"/>
              <w:bottom w:val="single" w:sz="4" w:space="0" w:color="auto"/>
              <w:right w:val="single" w:sz="4" w:space="0" w:color="auto"/>
            </w:tcBorders>
            <w:shd w:val="clear" w:color="auto" w:fill="auto"/>
            <w:noWrap/>
            <w:vAlign w:val="bottom"/>
            <w:hideMark/>
          </w:tcPr>
          <w:p w:rsidR="002E16D2" w:rsidRPr="002E16D2" w:rsidRDefault="002E16D2" w:rsidP="002E16D2">
            <w:pPr>
              <w:spacing w:after="0" w:line="240" w:lineRule="auto"/>
              <w:jc w:val="right"/>
              <w:rPr>
                <w:rFonts w:ascii="Times New Roman" w:eastAsia="Times New Roman" w:hAnsi="Times New Roman" w:cs="Times New Roman"/>
                <w:sz w:val="20"/>
                <w:szCs w:val="20"/>
                <w:lang w:eastAsia="sk-SK"/>
              </w:rPr>
            </w:pPr>
            <w:r w:rsidRPr="002E16D2">
              <w:rPr>
                <w:rFonts w:ascii="Times New Roman" w:eastAsia="Times New Roman" w:hAnsi="Times New Roman" w:cs="Times New Roman"/>
                <w:sz w:val="20"/>
                <w:szCs w:val="20"/>
                <w:lang w:eastAsia="sk-SK"/>
              </w:rPr>
              <w:t>4 304 011</w:t>
            </w:r>
          </w:p>
        </w:tc>
      </w:tr>
      <w:tr w:rsidR="004B0E06" w:rsidRPr="002E16D2" w:rsidTr="004B0E06">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tcPr>
          <w:p w:rsidR="004B0E06" w:rsidRPr="00DB700D" w:rsidRDefault="004B0E06" w:rsidP="004B0E06">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Fyzická osoba s kompenzačným príspevkom</w:t>
            </w:r>
          </w:p>
        </w:tc>
        <w:tc>
          <w:tcPr>
            <w:tcW w:w="1287" w:type="dxa"/>
            <w:tcBorders>
              <w:top w:val="nil"/>
              <w:left w:val="nil"/>
              <w:bottom w:val="single" w:sz="4" w:space="0" w:color="auto"/>
              <w:right w:val="single" w:sz="4" w:space="0" w:color="auto"/>
            </w:tcBorders>
            <w:shd w:val="clear" w:color="auto" w:fill="auto"/>
            <w:noWrap/>
            <w:vAlign w:val="bottom"/>
          </w:tcPr>
          <w:p w:rsidR="004B0E06" w:rsidRPr="002E16D2" w:rsidRDefault="004B0E06" w:rsidP="004B0E06">
            <w:pPr>
              <w:spacing w:after="0" w:line="240" w:lineRule="auto"/>
              <w:jc w:val="right"/>
              <w:rPr>
                <w:rFonts w:ascii="Times New Roman" w:eastAsia="Times New Roman" w:hAnsi="Times New Roman" w:cs="Times New Roman"/>
                <w:sz w:val="20"/>
                <w:szCs w:val="20"/>
                <w:lang w:eastAsia="sk-SK"/>
              </w:rPr>
            </w:pPr>
          </w:p>
        </w:tc>
        <w:tc>
          <w:tcPr>
            <w:tcW w:w="1287" w:type="dxa"/>
            <w:tcBorders>
              <w:top w:val="nil"/>
              <w:left w:val="nil"/>
              <w:bottom w:val="single" w:sz="4" w:space="0" w:color="auto"/>
              <w:right w:val="single" w:sz="4" w:space="0" w:color="auto"/>
            </w:tcBorders>
            <w:shd w:val="clear" w:color="auto" w:fill="auto"/>
            <w:noWrap/>
          </w:tcPr>
          <w:p w:rsidR="004B0E06" w:rsidRPr="002E16D2"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1 089 626</w:t>
            </w:r>
          </w:p>
        </w:tc>
        <w:tc>
          <w:tcPr>
            <w:tcW w:w="1287" w:type="dxa"/>
            <w:tcBorders>
              <w:top w:val="nil"/>
              <w:left w:val="nil"/>
              <w:bottom w:val="single" w:sz="4" w:space="0" w:color="auto"/>
              <w:right w:val="single" w:sz="4" w:space="0" w:color="auto"/>
            </w:tcBorders>
            <w:shd w:val="clear" w:color="auto" w:fill="auto"/>
            <w:noWrap/>
          </w:tcPr>
          <w:p w:rsidR="004B0E06" w:rsidRPr="002E16D2"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1 166 967</w:t>
            </w:r>
          </w:p>
        </w:tc>
        <w:tc>
          <w:tcPr>
            <w:tcW w:w="1287" w:type="dxa"/>
            <w:tcBorders>
              <w:top w:val="nil"/>
              <w:left w:val="nil"/>
              <w:bottom w:val="single" w:sz="4" w:space="0" w:color="auto"/>
              <w:right w:val="single" w:sz="4" w:space="0" w:color="auto"/>
            </w:tcBorders>
            <w:shd w:val="clear" w:color="auto" w:fill="auto"/>
            <w:noWrap/>
          </w:tcPr>
          <w:p w:rsidR="004B0E06" w:rsidRPr="002E16D2"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1 248 23</w:t>
            </w:r>
            <w:r w:rsidR="00954BE3">
              <w:rPr>
                <w:rFonts w:ascii="Times New Roman" w:eastAsia="Times New Roman" w:hAnsi="Times New Roman" w:cs="Times New Roman"/>
                <w:sz w:val="20"/>
                <w:szCs w:val="20"/>
                <w:lang w:eastAsia="sk-SK"/>
              </w:rPr>
              <w:t>2</w:t>
            </w:r>
          </w:p>
        </w:tc>
      </w:tr>
      <w:tr w:rsidR="004B0E06" w:rsidRPr="002E16D2" w:rsidTr="004B0E06">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4B0E06" w:rsidRPr="00DB700D" w:rsidRDefault="004B0E06" w:rsidP="004B0E06">
            <w:pPr>
              <w:spacing w:after="0" w:line="240" w:lineRule="auto"/>
              <w:rPr>
                <w:rFonts w:ascii="Times New Roman" w:eastAsia="Times New Roman" w:hAnsi="Times New Roman" w:cs="Times New Roman"/>
                <w:b/>
                <w:sz w:val="20"/>
                <w:szCs w:val="20"/>
                <w:lang w:eastAsia="sk-SK"/>
              </w:rPr>
            </w:pPr>
            <w:r w:rsidRPr="00DB700D">
              <w:rPr>
                <w:rFonts w:ascii="Times New Roman" w:eastAsia="Times New Roman" w:hAnsi="Times New Roman" w:cs="Times New Roman"/>
                <w:b/>
                <w:sz w:val="20"/>
                <w:szCs w:val="20"/>
                <w:lang w:eastAsia="sk-SK"/>
              </w:rPr>
              <w:t>Spolu</w:t>
            </w:r>
          </w:p>
        </w:tc>
        <w:tc>
          <w:tcPr>
            <w:tcW w:w="1287" w:type="dxa"/>
            <w:tcBorders>
              <w:top w:val="nil"/>
              <w:left w:val="nil"/>
              <w:bottom w:val="single" w:sz="4" w:space="0" w:color="auto"/>
              <w:right w:val="single" w:sz="4" w:space="0" w:color="auto"/>
            </w:tcBorders>
            <w:shd w:val="clear" w:color="auto" w:fill="auto"/>
            <w:noWrap/>
            <w:vAlign w:val="bottom"/>
            <w:hideMark/>
          </w:tcPr>
          <w:p w:rsidR="004B0E06" w:rsidRPr="002E16D2" w:rsidRDefault="004B0E06" w:rsidP="004B0E06">
            <w:pPr>
              <w:spacing w:after="0" w:line="240" w:lineRule="auto"/>
              <w:jc w:val="right"/>
              <w:rPr>
                <w:rFonts w:ascii="Times New Roman" w:eastAsia="Times New Roman" w:hAnsi="Times New Roman" w:cs="Times New Roman"/>
                <w:b/>
                <w:sz w:val="20"/>
                <w:szCs w:val="20"/>
                <w:lang w:eastAsia="sk-SK"/>
              </w:rPr>
            </w:pPr>
            <w:r w:rsidRPr="002E16D2">
              <w:rPr>
                <w:rFonts w:ascii="Times New Roman" w:eastAsia="Times New Roman" w:hAnsi="Times New Roman" w:cs="Times New Roman"/>
                <w:b/>
                <w:sz w:val="20"/>
                <w:szCs w:val="20"/>
                <w:lang w:eastAsia="sk-SK"/>
              </w:rPr>
              <w:t>0</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4B0E06" w:rsidP="004B0E06">
            <w:pPr>
              <w:spacing w:after="0" w:line="240" w:lineRule="auto"/>
              <w:jc w:val="right"/>
              <w:rPr>
                <w:rFonts w:ascii="Times New Roman" w:hAnsi="Times New Roman" w:cs="Times New Roman"/>
                <w:b/>
                <w:sz w:val="20"/>
                <w:szCs w:val="20"/>
              </w:rPr>
            </w:pPr>
            <w:r w:rsidRPr="004B0E06">
              <w:rPr>
                <w:rFonts w:ascii="Times New Roman" w:hAnsi="Times New Roman" w:cs="Times New Roman"/>
                <w:b/>
                <w:sz w:val="20"/>
                <w:szCs w:val="20"/>
              </w:rPr>
              <w:t>520 452 195</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4B0E06" w:rsidP="004B0E06">
            <w:pPr>
              <w:spacing w:after="0" w:line="240" w:lineRule="auto"/>
              <w:jc w:val="right"/>
              <w:rPr>
                <w:rFonts w:ascii="Times New Roman" w:hAnsi="Times New Roman" w:cs="Times New Roman"/>
                <w:b/>
                <w:sz w:val="20"/>
                <w:szCs w:val="20"/>
              </w:rPr>
            </w:pPr>
            <w:r w:rsidRPr="004B0E06">
              <w:rPr>
                <w:rFonts w:ascii="Times New Roman" w:hAnsi="Times New Roman" w:cs="Times New Roman"/>
                <w:b/>
                <w:sz w:val="20"/>
                <w:szCs w:val="20"/>
              </w:rPr>
              <w:t>548 480 150</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410734" w:rsidP="00954BE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577 430 14</w:t>
            </w:r>
            <w:r w:rsidR="00954BE3">
              <w:rPr>
                <w:rFonts w:ascii="Times New Roman" w:hAnsi="Times New Roman" w:cs="Times New Roman"/>
                <w:b/>
                <w:sz w:val="20"/>
                <w:szCs w:val="20"/>
              </w:rPr>
              <w:t>6</w:t>
            </w:r>
          </w:p>
        </w:tc>
      </w:tr>
    </w:tbl>
    <w:p w:rsidR="002E16D2" w:rsidRPr="00DC0BB8" w:rsidRDefault="002E16D2" w:rsidP="002E16D2">
      <w:pPr>
        <w:spacing w:after="0" w:line="240" w:lineRule="auto"/>
        <w:jc w:val="both"/>
        <w:rPr>
          <w:rFonts w:ascii="Times New Roman" w:eastAsia="Times New Roman" w:hAnsi="Times New Roman" w:cs="Times New Roman"/>
          <w:i/>
          <w:sz w:val="20"/>
          <w:szCs w:val="20"/>
          <w:lang w:eastAsia="sk-SK"/>
        </w:rPr>
      </w:pPr>
      <w:r w:rsidRPr="00DC0BB8">
        <w:rPr>
          <w:rFonts w:ascii="Times New Roman" w:eastAsia="Times New Roman" w:hAnsi="Times New Roman" w:cs="Times New Roman"/>
          <w:i/>
          <w:sz w:val="20"/>
          <w:szCs w:val="20"/>
          <w:lang w:eastAsia="sk-SK"/>
        </w:rPr>
        <w:t xml:space="preserve">Zdroj: MPSVR SR </w:t>
      </w:r>
    </w:p>
    <w:p w:rsidR="002E16D2" w:rsidRDefault="002E16D2" w:rsidP="00311FC2">
      <w:pPr>
        <w:spacing w:after="0" w:line="240" w:lineRule="auto"/>
        <w:rPr>
          <w:rFonts w:ascii="Times New Roman" w:eastAsia="Times New Roman" w:hAnsi="Times New Roman" w:cs="Times New Roman"/>
          <w:bCs/>
          <w:sz w:val="24"/>
          <w:szCs w:val="24"/>
          <w:lang w:eastAsia="sk-SK"/>
        </w:rPr>
      </w:pPr>
    </w:p>
    <w:p w:rsidR="002E16D2" w:rsidRDefault="00983327" w:rsidP="00226548">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
          <w:bCs/>
          <w:sz w:val="24"/>
          <w:szCs w:val="24"/>
          <w:lang w:eastAsia="sk-SK"/>
        </w:rPr>
        <w:t>1.</w:t>
      </w:r>
      <w:r w:rsidR="00226548" w:rsidRPr="002E16D2">
        <w:rPr>
          <w:rFonts w:ascii="Times New Roman" w:eastAsia="Times New Roman" w:hAnsi="Times New Roman" w:cs="Times New Roman"/>
          <w:b/>
          <w:bCs/>
          <w:sz w:val="24"/>
          <w:szCs w:val="24"/>
          <w:lang w:eastAsia="sk-SK"/>
        </w:rPr>
        <w:t xml:space="preserve">2. Výpočet </w:t>
      </w:r>
      <w:r>
        <w:rPr>
          <w:rFonts w:ascii="Times New Roman" w:eastAsia="Times New Roman" w:hAnsi="Times New Roman" w:cs="Times New Roman"/>
          <w:b/>
          <w:bCs/>
          <w:sz w:val="24"/>
          <w:szCs w:val="24"/>
          <w:lang w:eastAsia="sk-SK"/>
        </w:rPr>
        <w:t xml:space="preserve">úspory na výdavkoch kapitoly MPSVR SR </w:t>
      </w:r>
      <w:r w:rsidR="009C7D97">
        <w:rPr>
          <w:rFonts w:ascii="Times New Roman" w:eastAsia="Times New Roman" w:hAnsi="Times New Roman" w:cs="Times New Roman"/>
          <w:b/>
          <w:bCs/>
          <w:sz w:val="24"/>
          <w:szCs w:val="24"/>
          <w:lang w:eastAsia="sk-SK"/>
        </w:rPr>
        <w:t xml:space="preserve">len </w:t>
      </w:r>
      <w:r>
        <w:rPr>
          <w:rFonts w:ascii="Times New Roman" w:eastAsia="Times New Roman" w:hAnsi="Times New Roman" w:cs="Times New Roman"/>
          <w:b/>
          <w:bCs/>
          <w:sz w:val="24"/>
          <w:szCs w:val="24"/>
          <w:lang w:eastAsia="sk-SK"/>
        </w:rPr>
        <w:t xml:space="preserve">z pohľadu </w:t>
      </w:r>
      <w:r w:rsidR="00226548" w:rsidRPr="002E16D2">
        <w:rPr>
          <w:rFonts w:ascii="Times New Roman" w:eastAsia="Times New Roman" w:hAnsi="Times New Roman" w:cs="Times New Roman"/>
          <w:b/>
          <w:bCs/>
          <w:sz w:val="24"/>
          <w:szCs w:val="24"/>
          <w:lang w:eastAsia="sk-SK"/>
        </w:rPr>
        <w:t xml:space="preserve"> postúpených príspevko</w:t>
      </w:r>
      <w:r>
        <w:rPr>
          <w:rFonts w:ascii="Times New Roman" w:eastAsia="Times New Roman" w:hAnsi="Times New Roman" w:cs="Times New Roman"/>
          <w:b/>
          <w:bCs/>
          <w:sz w:val="24"/>
          <w:szCs w:val="24"/>
          <w:lang w:eastAsia="sk-SK"/>
        </w:rPr>
        <w:t>v</w:t>
      </w:r>
      <w:r w:rsidR="00226548" w:rsidRPr="002E16D2">
        <w:rPr>
          <w:rFonts w:ascii="Times New Roman" w:eastAsia="Times New Roman" w:hAnsi="Times New Roman" w:cs="Times New Roman"/>
          <w:b/>
          <w:bCs/>
          <w:sz w:val="24"/>
          <w:szCs w:val="24"/>
          <w:lang w:eastAsia="sk-SK"/>
        </w:rPr>
        <w:t xml:space="preserve"> do II. piliera</w:t>
      </w:r>
    </w:p>
    <w:p w:rsidR="00226548" w:rsidRDefault="00226548" w:rsidP="00226548">
      <w:pPr>
        <w:spacing w:after="0" w:line="240" w:lineRule="auto"/>
        <w:jc w:val="both"/>
        <w:rPr>
          <w:rFonts w:ascii="Times New Roman" w:eastAsia="Times New Roman" w:hAnsi="Times New Roman" w:cs="Times New Roman"/>
          <w:bCs/>
          <w:sz w:val="24"/>
          <w:szCs w:val="24"/>
          <w:lang w:eastAsia="sk-SK"/>
        </w:rPr>
      </w:pPr>
      <w:r w:rsidRPr="00226548">
        <w:rPr>
          <w:rFonts w:ascii="Times New Roman" w:eastAsia="Times New Roman" w:hAnsi="Times New Roman" w:cs="Times New Roman"/>
          <w:bCs/>
          <w:sz w:val="24"/>
          <w:szCs w:val="24"/>
          <w:lang w:eastAsia="sk-SK"/>
        </w:rPr>
        <w:br/>
      </w:r>
      <w:r w:rsidR="00C90AD8">
        <w:rPr>
          <w:rFonts w:ascii="Times New Roman" w:eastAsia="Times New Roman" w:hAnsi="Times New Roman" w:cs="Times New Roman"/>
          <w:bCs/>
          <w:sz w:val="24"/>
          <w:szCs w:val="24"/>
          <w:lang w:eastAsia="sk-SK"/>
        </w:rPr>
        <w:t xml:space="preserve">Táto časť analyzuje aká časť z </w:t>
      </w:r>
      <w:r w:rsidR="0027627C" w:rsidRPr="0027627C">
        <w:rPr>
          <w:rFonts w:ascii="Times New Roman" w:eastAsia="Times New Roman" w:hAnsi="Times New Roman" w:cs="Times New Roman"/>
          <w:bCs/>
          <w:sz w:val="24"/>
          <w:szCs w:val="24"/>
          <w:lang w:eastAsia="sk-SK"/>
        </w:rPr>
        <w:t xml:space="preserve"> celkovej úspory na výdavkoch kapitoly MPSVR SR (uvedenej v bode 1.1.) pripadá na prostriedky, ktoré by inak boli postúpené do II. piliera.</w:t>
      </w:r>
      <w:r w:rsidR="0027627C">
        <w:rPr>
          <w:rFonts w:ascii="Times New Roman" w:eastAsia="Times New Roman" w:hAnsi="Times New Roman" w:cs="Times New Roman"/>
          <w:bCs/>
          <w:sz w:val="24"/>
          <w:szCs w:val="24"/>
          <w:lang w:eastAsia="sk-SK"/>
        </w:rPr>
        <w:t xml:space="preserve"> </w:t>
      </w:r>
      <w:r w:rsidRPr="00226548">
        <w:rPr>
          <w:rFonts w:ascii="Times New Roman" w:eastAsia="Times New Roman" w:hAnsi="Times New Roman" w:cs="Times New Roman"/>
          <w:bCs/>
          <w:sz w:val="24"/>
          <w:szCs w:val="24"/>
          <w:lang w:eastAsia="sk-SK"/>
        </w:rPr>
        <w:t xml:space="preserve">Tento vplyv predstavuje úsporu, ktorá vzniká zrušením povinnosti </w:t>
      </w:r>
      <w:r w:rsidR="00B100D5">
        <w:rPr>
          <w:rFonts w:ascii="Times New Roman" w:eastAsia="Times New Roman" w:hAnsi="Times New Roman" w:cs="Times New Roman"/>
          <w:bCs/>
          <w:sz w:val="24"/>
          <w:szCs w:val="24"/>
          <w:lang w:eastAsia="sk-SK"/>
        </w:rPr>
        <w:t xml:space="preserve">štátu </w:t>
      </w:r>
      <w:r w:rsidRPr="00226548">
        <w:rPr>
          <w:rFonts w:ascii="Times New Roman" w:eastAsia="Times New Roman" w:hAnsi="Times New Roman" w:cs="Times New Roman"/>
          <w:bCs/>
          <w:sz w:val="24"/>
          <w:szCs w:val="24"/>
          <w:lang w:eastAsia="sk-SK"/>
        </w:rPr>
        <w:t xml:space="preserve">odvádzať povinné príspevky za </w:t>
      </w:r>
      <w:r w:rsidR="00704959">
        <w:rPr>
          <w:rFonts w:ascii="Times New Roman" w:eastAsia="Times New Roman" w:hAnsi="Times New Roman" w:cs="Times New Roman"/>
          <w:bCs/>
          <w:sz w:val="24"/>
          <w:szCs w:val="24"/>
          <w:lang w:eastAsia="sk-SK"/>
        </w:rPr>
        <w:t>vybraných poistencov štátu, ktorí sú zároveň sporiteľmi</w:t>
      </w:r>
      <w:r w:rsidRPr="00226548">
        <w:rPr>
          <w:rFonts w:ascii="Times New Roman" w:eastAsia="Times New Roman" w:hAnsi="Times New Roman" w:cs="Times New Roman"/>
          <w:bCs/>
          <w:sz w:val="24"/>
          <w:szCs w:val="24"/>
          <w:lang w:eastAsia="sk-SK"/>
        </w:rPr>
        <w:t>. Kvantifikácia bola realizovaná analogickým postupom ako v bode 1, pričom sa použil počet sporiteľov v jednotlivých kategóriách a sadzba povinných príspevkov do II. piliera</w:t>
      </w:r>
      <w:r w:rsidR="00046831">
        <w:rPr>
          <w:rFonts w:ascii="Times New Roman" w:eastAsia="Times New Roman" w:hAnsi="Times New Roman" w:cs="Times New Roman"/>
          <w:bCs/>
          <w:sz w:val="24"/>
          <w:szCs w:val="24"/>
          <w:lang w:eastAsia="sk-SK"/>
        </w:rPr>
        <w:t xml:space="preserve"> na úrovni 4  % </w:t>
      </w:r>
      <w:r w:rsidR="00B100D5">
        <w:rPr>
          <w:rFonts w:ascii="Times New Roman" w:eastAsia="Times New Roman" w:hAnsi="Times New Roman" w:cs="Times New Roman"/>
          <w:bCs/>
          <w:sz w:val="24"/>
          <w:szCs w:val="24"/>
          <w:lang w:eastAsia="sk-SK"/>
        </w:rPr>
        <w:t xml:space="preserve">priemerného </w:t>
      </w:r>
      <w:r w:rsidR="00046831">
        <w:rPr>
          <w:rFonts w:ascii="Times New Roman" w:eastAsia="Times New Roman" w:hAnsi="Times New Roman" w:cs="Times New Roman"/>
          <w:bCs/>
          <w:sz w:val="24"/>
          <w:szCs w:val="24"/>
          <w:lang w:eastAsia="sk-SK"/>
        </w:rPr>
        <w:t>vymeriavacieho základu.</w:t>
      </w:r>
    </w:p>
    <w:p w:rsidR="00B02E66" w:rsidRDefault="00B02E66" w:rsidP="00226548">
      <w:pPr>
        <w:spacing w:after="0" w:line="240" w:lineRule="auto"/>
        <w:jc w:val="both"/>
        <w:rPr>
          <w:rFonts w:ascii="Times New Roman" w:eastAsia="Times New Roman" w:hAnsi="Times New Roman" w:cs="Times New Roman"/>
          <w:bCs/>
          <w:sz w:val="24"/>
          <w:szCs w:val="24"/>
          <w:lang w:eastAsia="sk-SK"/>
        </w:rPr>
      </w:pPr>
    </w:p>
    <w:p w:rsidR="00046831" w:rsidRPr="00046831" w:rsidRDefault="00046831" w:rsidP="00046831">
      <w:pPr>
        <w:spacing w:after="0" w:line="240" w:lineRule="auto"/>
        <w:jc w:val="both"/>
        <w:rPr>
          <w:rFonts w:ascii="Times New Roman" w:eastAsia="Times New Roman" w:hAnsi="Times New Roman" w:cs="Times New Roman"/>
          <w:b/>
          <w:bCs/>
          <w:sz w:val="24"/>
          <w:szCs w:val="24"/>
          <w:lang w:eastAsia="sk-SK"/>
        </w:rPr>
      </w:pPr>
      <w:r w:rsidRPr="00046831">
        <w:rPr>
          <w:rFonts w:ascii="Times New Roman" w:eastAsia="Times New Roman" w:hAnsi="Times New Roman" w:cs="Times New Roman"/>
          <w:b/>
          <w:bCs/>
          <w:sz w:val="24"/>
          <w:szCs w:val="24"/>
          <w:lang w:eastAsia="sk-SK"/>
        </w:rPr>
        <w:t>Tabuľka 2/</w:t>
      </w:r>
      <w:r>
        <w:rPr>
          <w:rFonts w:ascii="Times New Roman" w:eastAsia="Times New Roman" w:hAnsi="Times New Roman" w:cs="Times New Roman"/>
          <w:b/>
          <w:bCs/>
          <w:sz w:val="24"/>
          <w:szCs w:val="24"/>
          <w:lang w:eastAsia="sk-SK"/>
        </w:rPr>
        <w:t>E</w:t>
      </w:r>
      <w:r w:rsidRPr="00046831">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Úspora na postúpených príspevkov pre</w:t>
      </w:r>
      <w:r w:rsidRPr="00046831">
        <w:rPr>
          <w:rFonts w:ascii="Times New Roman" w:eastAsia="Times New Roman" w:hAnsi="Times New Roman" w:cs="Times New Roman"/>
          <w:b/>
          <w:bCs/>
          <w:sz w:val="24"/>
          <w:szCs w:val="24"/>
          <w:lang w:eastAsia="sk-SK"/>
        </w:rPr>
        <w:t xml:space="preserve"> jednotlivé kategórie dotknutých poistencov v eur</w:t>
      </w:r>
    </w:p>
    <w:tbl>
      <w:tblPr>
        <w:tblW w:w="9183" w:type="dxa"/>
        <w:tblCellMar>
          <w:left w:w="70" w:type="dxa"/>
          <w:right w:w="70" w:type="dxa"/>
        </w:tblCellMar>
        <w:tblLook w:val="04A0" w:firstRow="1" w:lastRow="0" w:firstColumn="1" w:lastColumn="0" w:noHBand="0" w:noVBand="1"/>
      </w:tblPr>
      <w:tblGrid>
        <w:gridCol w:w="4035"/>
        <w:gridCol w:w="1287"/>
        <w:gridCol w:w="1287"/>
        <w:gridCol w:w="1287"/>
        <w:gridCol w:w="1287"/>
      </w:tblGrid>
      <w:tr w:rsidR="00046831" w:rsidRPr="00046831" w:rsidTr="009473C0">
        <w:trPr>
          <w:trHeight w:val="255"/>
        </w:trPr>
        <w:tc>
          <w:tcPr>
            <w:tcW w:w="4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Typ poistného vzťahu</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2025</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2026</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2027</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2028</w:t>
            </w:r>
          </w:p>
        </w:tc>
      </w:tr>
      <w:tr w:rsidR="00046831" w:rsidRPr="00046831" w:rsidTr="009473C0">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Starostlivosť o dieťa do 18 rokov</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627 927</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659 837</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692 566</w:t>
            </w:r>
          </w:p>
        </w:tc>
      </w:tr>
      <w:tr w:rsidR="00046831" w:rsidRPr="00046831" w:rsidTr="009473C0">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Starostlivosť o dieťa do 6 rokov</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37 651 249</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39 562 827</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41 528 857</w:t>
            </w:r>
          </w:p>
        </w:tc>
      </w:tr>
      <w:tr w:rsidR="00046831" w:rsidRPr="00046831" w:rsidTr="009473C0">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 xml:space="preserve">Fyzická osoba poberajúca materské </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4 866 426</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5 113 556</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5 367 313</w:t>
            </w:r>
          </w:p>
        </w:tc>
      </w:tr>
      <w:tr w:rsidR="00046831" w:rsidRPr="00046831" w:rsidTr="009473C0">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046831" w:rsidRPr="00046831" w:rsidRDefault="00716BD7" w:rsidP="00046831">
            <w:pPr>
              <w:spacing w:after="0" w:line="240" w:lineRule="auto"/>
              <w:rPr>
                <w:rFonts w:ascii="Times New Roman" w:eastAsia="Times New Roman" w:hAnsi="Times New Roman" w:cs="Times New Roman"/>
                <w:sz w:val="20"/>
                <w:szCs w:val="20"/>
                <w:lang w:eastAsia="sk-SK"/>
              </w:rPr>
            </w:pPr>
            <w:r w:rsidRPr="00DB700D">
              <w:rPr>
                <w:rFonts w:ascii="Times New Roman" w:eastAsia="Times New Roman" w:hAnsi="Times New Roman" w:cs="Times New Roman"/>
                <w:sz w:val="20"/>
                <w:szCs w:val="20"/>
                <w:lang w:eastAsia="sk-SK"/>
              </w:rPr>
              <w:t xml:space="preserve">Poberatelia </w:t>
            </w:r>
            <w:r>
              <w:rPr>
                <w:rFonts w:ascii="Times New Roman" w:eastAsia="Times New Roman" w:hAnsi="Times New Roman" w:cs="Times New Roman"/>
                <w:sz w:val="20"/>
                <w:szCs w:val="20"/>
                <w:lang w:eastAsia="sk-SK"/>
              </w:rPr>
              <w:t xml:space="preserve">peňažného </w:t>
            </w:r>
            <w:r w:rsidRPr="00DB700D">
              <w:rPr>
                <w:rFonts w:ascii="Times New Roman" w:eastAsia="Times New Roman" w:hAnsi="Times New Roman" w:cs="Times New Roman"/>
                <w:sz w:val="20"/>
                <w:szCs w:val="20"/>
                <w:lang w:eastAsia="sk-SK"/>
              </w:rPr>
              <w:t xml:space="preserve"> príspevku</w:t>
            </w:r>
            <w:r>
              <w:rPr>
                <w:rFonts w:ascii="Times New Roman" w:eastAsia="Times New Roman" w:hAnsi="Times New Roman" w:cs="Times New Roman"/>
                <w:sz w:val="20"/>
                <w:szCs w:val="20"/>
                <w:lang w:eastAsia="sk-SK"/>
              </w:rPr>
              <w:t xml:space="preserve"> na opatrovanie</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4 966 356</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5 318 798</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5 689 532</w:t>
            </w:r>
          </w:p>
        </w:tc>
      </w:tr>
      <w:tr w:rsidR="00046831" w:rsidRPr="00046831" w:rsidTr="009473C0">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Osobní asistenti</w:t>
            </w:r>
            <w:r w:rsidR="00716BD7">
              <w:rPr>
                <w:rFonts w:ascii="Times New Roman" w:eastAsia="Times New Roman" w:hAnsi="Times New Roman" w:cs="Times New Roman"/>
                <w:sz w:val="20"/>
                <w:szCs w:val="20"/>
                <w:lang w:eastAsia="sk-SK"/>
              </w:rPr>
              <w:t xml:space="preserve"> aspoň 140 hodín mesačne</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046831" w:rsidRDefault="00046831" w:rsidP="00046831">
            <w:pPr>
              <w:spacing w:after="0" w:line="240" w:lineRule="auto"/>
              <w:jc w:val="right"/>
              <w:rPr>
                <w:rFonts w:ascii="Times New Roman" w:eastAsia="Times New Roman" w:hAnsi="Times New Roman" w:cs="Times New Roman"/>
                <w:sz w:val="20"/>
                <w:szCs w:val="20"/>
                <w:lang w:eastAsia="sk-SK"/>
              </w:rPr>
            </w:pPr>
            <w:r w:rsidRPr="00046831">
              <w:rPr>
                <w:rFonts w:ascii="Times New Roman" w:eastAsia="Times New Roman" w:hAnsi="Times New Roman" w:cs="Times New Roman"/>
                <w:sz w:val="20"/>
                <w:szCs w:val="20"/>
                <w:lang w:eastAsia="sk-SK"/>
              </w:rPr>
              <w:t>0</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268 177</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287 177</w:t>
            </w:r>
          </w:p>
        </w:tc>
        <w:tc>
          <w:tcPr>
            <w:tcW w:w="1287" w:type="dxa"/>
            <w:tcBorders>
              <w:top w:val="nil"/>
              <w:left w:val="nil"/>
              <w:bottom w:val="single" w:sz="4" w:space="0" w:color="auto"/>
              <w:right w:val="single" w:sz="4" w:space="0" w:color="auto"/>
            </w:tcBorders>
            <w:shd w:val="clear" w:color="auto" w:fill="auto"/>
            <w:noWrap/>
            <w:vAlign w:val="bottom"/>
            <w:hideMark/>
          </w:tcPr>
          <w:p w:rsidR="00046831" w:rsidRPr="001B7467" w:rsidRDefault="00046831" w:rsidP="00046831">
            <w:pPr>
              <w:spacing w:after="0" w:line="240" w:lineRule="auto"/>
              <w:jc w:val="right"/>
              <w:rPr>
                <w:rFonts w:ascii="Times New Roman" w:eastAsia="Times New Roman" w:hAnsi="Times New Roman" w:cs="Times New Roman"/>
                <w:sz w:val="20"/>
                <w:szCs w:val="20"/>
                <w:lang w:eastAsia="sk-SK"/>
              </w:rPr>
            </w:pPr>
            <w:r w:rsidRPr="001B7467">
              <w:rPr>
                <w:rFonts w:ascii="Times New Roman" w:eastAsia="Times New Roman" w:hAnsi="Times New Roman" w:cs="Times New Roman"/>
                <w:sz w:val="20"/>
                <w:szCs w:val="20"/>
                <w:lang w:eastAsia="sk-SK"/>
              </w:rPr>
              <w:t>307 207</w:t>
            </w:r>
          </w:p>
        </w:tc>
      </w:tr>
      <w:tr w:rsidR="004B0E06" w:rsidRPr="00046831" w:rsidTr="004B0E06">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tcPr>
          <w:p w:rsidR="004B0E06" w:rsidRPr="00046831" w:rsidRDefault="004B0E06" w:rsidP="004B0E06">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Fyzická osoba s kompenzačným príspevkom</w:t>
            </w:r>
          </w:p>
        </w:tc>
        <w:tc>
          <w:tcPr>
            <w:tcW w:w="1287" w:type="dxa"/>
            <w:tcBorders>
              <w:top w:val="nil"/>
              <w:left w:val="nil"/>
              <w:bottom w:val="single" w:sz="4" w:space="0" w:color="auto"/>
              <w:right w:val="single" w:sz="4" w:space="0" w:color="auto"/>
            </w:tcBorders>
            <w:shd w:val="clear" w:color="auto" w:fill="auto"/>
            <w:noWrap/>
            <w:vAlign w:val="bottom"/>
          </w:tcPr>
          <w:p w:rsidR="004B0E06" w:rsidRPr="00046831" w:rsidRDefault="004B0E06" w:rsidP="004B0E06">
            <w:pPr>
              <w:spacing w:after="0" w:line="240" w:lineRule="auto"/>
              <w:jc w:val="right"/>
              <w:rPr>
                <w:rFonts w:ascii="Times New Roman" w:eastAsia="Times New Roman" w:hAnsi="Times New Roman" w:cs="Times New Roman"/>
                <w:sz w:val="20"/>
                <w:szCs w:val="20"/>
                <w:lang w:eastAsia="sk-SK"/>
              </w:rPr>
            </w:pP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82 064</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87 889</w:t>
            </w:r>
          </w:p>
        </w:tc>
        <w:tc>
          <w:tcPr>
            <w:tcW w:w="1287" w:type="dxa"/>
            <w:tcBorders>
              <w:top w:val="single" w:sz="4" w:space="0" w:color="auto"/>
              <w:left w:val="nil"/>
              <w:bottom w:val="single" w:sz="4" w:space="0" w:color="auto"/>
              <w:right w:val="single" w:sz="4" w:space="0" w:color="auto"/>
            </w:tcBorders>
            <w:shd w:val="clear" w:color="auto" w:fill="auto"/>
            <w:noWrap/>
            <w:vAlign w:val="bottom"/>
          </w:tcPr>
          <w:p w:rsidR="004B0E06" w:rsidRPr="001B7467" w:rsidRDefault="004B0E06" w:rsidP="004B0E06">
            <w:pPr>
              <w:spacing w:after="0" w:line="240" w:lineRule="auto"/>
              <w:jc w:val="right"/>
              <w:rPr>
                <w:rFonts w:ascii="Times New Roman" w:eastAsia="Times New Roman" w:hAnsi="Times New Roman" w:cs="Times New Roman"/>
                <w:sz w:val="20"/>
                <w:szCs w:val="20"/>
                <w:lang w:eastAsia="sk-SK"/>
              </w:rPr>
            </w:pPr>
            <w:r w:rsidRPr="004B0E06">
              <w:rPr>
                <w:rFonts w:ascii="Times New Roman" w:eastAsia="Times New Roman" w:hAnsi="Times New Roman" w:cs="Times New Roman"/>
                <w:sz w:val="20"/>
                <w:szCs w:val="20"/>
                <w:lang w:eastAsia="sk-SK"/>
              </w:rPr>
              <w:t>94 009</w:t>
            </w:r>
          </w:p>
        </w:tc>
      </w:tr>
      <w:tr w:rsidR="004B0E06" w:rsidRPr="00046831" w:rsidTr="004B0E06">
        <w:trPr>
          <w:trHeight w:val="255"/>
        </w:trPr>
        <w:tc>
          <w:tcPr>
            <w:tcW w:w="4035" w:type="dxa"/>
            <w:tcBorders>
              <w:top w:val="nil"/>
              <w:left w:val="single" w:sz="4" w:space="0" w:color="auto"/>
              <w:bottom w:val="single" w:sz="4" w:space="0" w:color="auto"/>
              <w:right w:val="single" w:sz="4" w:space="0" w:color="auto"/>
            </w:tcBorders>
            <w:shd w:val="clear" w:color="auto" w:fill="auto"/>
            <w:noWrap/>
            <w:vAlign w:val="bottom"/>
            <w:hideMark/>
          </w:tcPr>
          <w:p w:rsidR="004B0E06" w:rsidRPr="00046831" w:rsidRDefault="004B0E06" w:rsidP="004B0E06">
            <w:pPr>
              <w:spacing w:after="0" w:line="240" w:lineRule="auto"/>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Spolu</w:t>
            </w:r>
          </w:p>
        </w:tc>
        <w:tc>
          <w:tcPr>
            <w:tcW w:w="1287" w:type="dxa"/>
            <w:tcBorders>
              <w:top w:val="nil"/>
              <w:left w:val="nil"/>
              <w:bottom w:val="single" w:sz="4" w:space="0" w:color="auto"/>
              <w:right w:val="single" w:sz="4" w:space="0" w:color="auto"/>
            </w:tcBorders>
            <w:shd w:val="clear" w:color="auto" w:fill="auto"/>
            <w:noWrap/>
            <w:vAlign w:val="bottom"/>
            <w:hideMark/>
          </w:tcPr>
          <w:p w:rsidR="004B0E06" w:rsidRPr="00046831" w:rsidRDefault="004B0E06" w:rsidP="004B0E06">
            <w:pPr>
              <w:spacing w:after="0" w:line="240" w:lineRule="auto"/>
              <w:jc w:val="right"/>
              <w:rPr>
                <w:rFonts w:ascii="Times New Roman" w:eastAsia="Times New Roman" w:hAnsi="Times New Roman" w:cs="Times New Roman"/>
                <w:b/>
                <w:sz w:val="20"/>
                <w:szCs w:val="20"/>
                <w:lang w:eastAsia="sk-SK"/>
              </w:rPr>
            </w:pPr>
            <w:r w:rsidRPr="00046831">
              <w:rPr>
                <w:rFonts w:ascii="Times New Roman" w:eastAsia="Times New Roman" w:hAnsi="Times New Roman" w:cs="Times New Roman"/>
                <w:b/>
                <w:sz w:val="20"/>
                <w:szCs w:val="20"/>
                <w:lang w:eastAsia="sk-SK"/>
              </w:rPr>
              <w:t>0</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4B0E06" w:rsidP="004B0E06">
            <w:pPr>
              <w:spacing w:after="0" w:line="240" w:lineRule="auto"/>
              <w:jc w:val="right"/>
              <w:rPr>
                <w:rFonts w:ascii="Times New Roman" w:hAnsi="Times New Roman" w:cs="Times New Roman"/>
                <w:b/>
                <w:sz w:val="20"/>
                <w:szCs w:val="20"/>
              </w:rPr>
            </w:pPr>
            <w:r w:rsidRPr="004B0E06">
              <w:rPr>
                <w:rFonts w:ascii="Times New Roman" w:hAnsi="Times New Roman" w:cs="Times New Roman"/>
                <w:b/>
                <w:sz w:val="20"/>
                <w:szCs w:val="20"/>
              </w:rPr>
              <w:t>48 462 199</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3A2B12" w:rsidP="004B0E0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51 030 084</w:t>
            </w:r>
          </w:p>
        </w:tc>
        <w:tc>
          <w:tcPr>
            <w:tcW w:w="1287" w:type="dxa"/>
            <w:tcBorders>
              <w:top w:val="nil"/>
              <w:left w:val="nil"/>
              <w:bottom w:val="single" w:sz="4" w:space="0" w:color="auto"/>
              <w:right w:val="single" w:sz="4" w:space="0" w:color="auto"/>
            </w:tcBorders>
            <w:shd w:val="clear" w:color="auto" w:fill="auto"/>
            <w:noWrap/>
            <w:hideMark/>
          </w:tcPr>
          <w:p w:rsidR="004B0E06" w:rsidRPr="004B0E06" w:rsidRDefault="003A2B12" w:rsidP="004B0E0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53 679 484</w:t>
            </w:r>
          </w:p>
        </w:tc>
      </w:tr>
    </w:tbl>
    <w:p w:rsidR="00046831" w:rsidRPr="00046831" w:rsidRDefault="00046831" w:rsidP="00046831">
      <w:pPr>
        <w:spacing w:after="0" w:line="240" w:lineRule="auto"/>
        <w:jc w:val="both"/>
        <w:rPr>
          <w:rFonts w:ascii="Times New Roman" w:eastAsia="Times New Roman" w:hAnsi="Times New Roman" w:cs="Times New Roman"/>
          <w:i/>
          <w:sz w:val="20"/>
          <w:szCs w:val="20"/>
          <w:lang w:eastAsia="sk-SK"/>
        </w:rPr>
      </w:pPr>
      <w:r w:rsidRPr="00046831">
        <w:rPr>
          <w:rFonts w:ascii="Times New Roman" w:eastAsia="Times New Roman" w:hAnsi="Times New Roman" w:cs="Times New Roman"/>
          <w:i/>
          <w:sz w:val="20"/>
          <w:szCs w:val="20"/>
          <w:lang w:eastAsia="sk-SK"/>
        </w:rPr>
        <w:t xml:space="preserve">Zdroj: MPSVR SR </w:t>
      </w:r>
    </w:p>
    <w:p w:rsidR="00046831" w:rsidRPr="00226548" w:rsidRDefault="00046831" w:rsidP="00226548">
      <w:pPr>
        <w:spacing w:after="0" w:line="240" w:lineRule="auto"/>
        <w:jc w:val="both"/>
        <w:rPr>
          <w:rFonts w:ascii="Times New Roman" w:eastAsia="Times New Roman" w:hAnsi="Times New Roman" w:cs="Times New Roman"/>
          <w:bCs/>
          <w:sz w:val="24"/>
          <w:szCs w:val="24"/>
          <w:lang w:eastAsia="sk-SK"/>
        </w:rPr>
      </w:pPr>
    </w:p>
    <w:p w:rsidR="002E16D2" w:rsidRDefault="00716BD7" w:rsidP="00226548">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r w:rsidR="00226548" w:rsidRPr="002E16D2">
        <w:rPr>
          <w:rFonts w:ascii="Times New Roman" w:eastAsia="Times New Roman" w:hAnsi="Times New Roman" w:cs="Times New Roman"/>
          <w:b/>
          <w:bCs/>
          <w:sz w:val="24"/>
          <w:szCs w:val="24"/>
          <w:lang w:eastAsia="sk-SK"/>
        </w:rPr>
        <w:t>. Výpočet zvýšených výdavkov Sociálnej poisťovne na dôchodky</w:t>
      </w:r>
    </w:p>
    <w:p w:rsidR="006C748E" w:rsidRPr="008B7022" w:rsidRDefault="00226548" w:rsidP="006C748E">
      <w:pPr>
        <w:spacing w:after="0" w:line="240" w:lineRule="auto"/>
        <w:jc w:val="both"/>
        <w:rPr>
          <w:rFonts w:ascii="Times New Roman" w:eastAsia="Times New Roman" w:hAnsi="Times New Roman" w:cs="Times New Roman"/>
          <w:bCs/>
          <w:sz w:val="24"/>
          <w:szCs w:val="24"/>
          <w:lang w:eastAsia="sk-SK"/>
        </w:rPr>
      </w:pPr>
      <w:r w:rsidRPr="00226548">
        <w:rPr>
          <w:rFonts w:ascii="Times New Roman" w:eastAsia="Times New Roman" w:hAnsi="Times New Roman" w:cs="Times New Roman"/>
          <w:bCs/>
          <w:sz w:val="24"/>
          <w:szCs w:val="24"/>
          <w:lang w:eastAsia="sk-SK"/>
        </w:rPr>
        <w:br/>
      </w:r>
      <w:r w:rsidR="00B12441" w:rsidRPr="008B7022">
        <w:rPr>
          <w:rFonts w:ascii="Times New Roman" w:eastAsia="Times New Roman" w:hAnsi="Times New Roman" w:cs="Times New Roman"/>
          <w:bCs/>
          <w:sz w:val="24"/>
          <w:szCs w:val="24"/>
          <w:lang w:eastAsia="sk-SK"/>
        </w:rPr>
        <w:t>Kvantifikácia zvýšených výdavkov Sociálnej poisťovne na dôchodkové dávky vychádza z  </w:t>
      </w:r>
      <w:proofErr w:type="spellStart"/>
      <w:r w:rsidR="00B12441" w:rsidRPr="008B7022">
        <w:rPr>
          <w:rFonts w:ascii="Times New Roman" w:eastAsia="Times New Roman" w:hAnsi="Times New Roman" w:cs="Times New Roman"/>
          <w:bCs/>
          <w:sz w:val="24"/>
          <w:szCs w:val="24"/>
          <w:lang w:eastAsia="sk-SK"/>
        </w:rPr>
        <w:t>agregácie</w:t>
      </w:r>
      <w:proofErr w:type="spellEnd"/>
      <w:r w:rsidR="00B12441" w:rsidRPr="008B7022">
        <w:rPr>
          <w:rFonts w:ascii="Times New Roman" w:eastAsia="Times New Roman" w:hAnsi="Times New Roman" w:cs="Times New Roman"/>
          <w:bCs/>
          <w:sz w:val="24"/>
          <w:szCs w:val="24"/>
          <w:lang w:eastAsia="sk-SK"/>
        </w:rPr>
        <w:t xml:space="preserve"> dopadov na individuálnych poistencov</w:t>
      </w:r>
      <w:r w:rsidRPr="008B7022">
        <w:rPr>
          <w:rFonts w:ascii="Times New Roman" w:eastAsia="Times New Roman" w:hAnsi="Times New Roman" w:cs="Times New Roman"/>
          <w:bCs/>
          <w:sz w:val="24"/>
          <w:szCs w:val="24"/>
          <w:lang w:eastAsia="sk-SK"/>
        </w:rPr>
        <w:t xml:space="preserve">. </w:t>
      </w:r>
      <w:r w:rsidR="006C748E" w:rsidRPr="008B7022">
        <w:rPr>
          <w:rFonts w:ascii="Times New Roman" w:eastAsia="Times New Roman" w:hAnsi="Times New Roman" w:cs="Times New Roman"/>
          <w:bCs/>
          <w:sz w:val="24"/>
          <w:szCs w:val="24"/>
          <w:lang w:eastAsia="sk-SK"/>
        </w:rPr>
        <w:t>Kvantifikácia zvýšených výdavkov Sociálnej poisťovne na dôchodkové dávky je štrukturálne zložená z dvoch odlišných komponentov:</w:t>
      </w:r>
    </w:p>
    <w:p w:rsidR="006C748E" w:rsidRPr="008B7022" w:rsidRDefault="006C748E" w:rsidP="006C748E">
      <w:pPr>
        <w:numPr>
          <w:ilvl w:val="0"/>
          <w:numId w:val="12"/>
        </w:numPr>
        <w:spacing w:after="0" w:line="240" w:lineRule="auto"/>
        <w:jc w:val="both"/>
        <w:rPr>
          <w:rFonts w:ascii="Times New Roman" w:eastAsia="Times New Roman" w:hAnsi="Times New Roman" w:cs="Times New Roman"/>
          <w:bCs/>
          <w:sz w:val="24"/>
          <w:szCs w:val="24"/>
          <w:lang w:eastAsia="sk-SK"/>
        </w:rPr>
      </w:pPr>
      <w:r w:rsidRPr="008B7022">
        <w:rPr>
          <w:rFonts w:ascii="Times New Roman" w:eastAsia="Times New Roman" w:hAnsi="Times New Roman" w:cs="Times New Roman"/>
          <w:b/>
          <w:bCs/>
          <w:sz w:val="24"/>
          <w:szCs w:val="24"/>
          <w:lang w:eastAsia="sk-SK"/>
        </w:rPr>
        <w:t>Dodatočné výdavky na novopriznané dôchodkové dávky:</w:t>
      </w:r>
      <w:r w:rsidRPr="008B7022">
        <w:rPr>
          <w:rFonts w:ascii="Times New Roman" w:eastAsia="Times New Roman" w:hAnsi="Times New Roman" w:cs="Times New Roman"/>
          <w:bCs/>
          <w:sz w:val="24"/>
          <w:szCs w:val="24"/>
          <w:lang w:eastAsia="sk-SK"/>
        </w:rPr>
        <w:t> Tento komponent zachytáva nárast výdavkov spojený</w:t>
      </w:r>
      <w:r w:rsidR="00A31155">
        <w:rPr>
          <w:rFonts w:ascii="Times New Roman" w:eastAsia="Times New Roman" w:hAnsi="Times New Roman" w:cs="Times New Roman"/>
          <w:bCs/>
          <w:sz w:val="24"/>
          <w:szCs w:val="24"/>
          <w:lang w:eastAsia="sk-SK"/>
        </w:rPr>
        <w:t>ch</w:t>
      </w:r>
      <w:r w:rsidRPr="008B7022">
        <w:rPr>
          <w:rFonts w:ascii="Times New Roman" w:eastAsia="Times New Roman" w:hAnsi="Times New Roman" w:cs="Times New Roman"/>
          <w:bCs/>
          <w:sz w:val="24"/>
          <w:szCs w:val="24"/>
          <w:lang w:eastAsia="sk-SK"/>
        </w:rPr>
        <w:t xml:space="preserve"> s dôchodkami priznanými po účinnosti zákona. Uplatnenie nového, výhodnejšieho mechanizmu bude mať postupný nábeh. Priamo pri </w:t>
      </w:r>
      <w:r w:rsidRPr="008B7022">
        <w:rPr>
          <w:rFonts w:ascii="Times New Roman" w:eastAsia="Times New Roman" w:hAnsi="Times New Roman" w:cs="Times New Roman"/>
          <w:bCs/>
          <w:sz w:val="24"/>
          <w:szCs w:val="24"/>
          <w:lang w:eastAsia="sk-SK"/>
        </w:rPr>
        <w:lastRenderedPageBreak/>
        <w:t xml:space="preserve">priznaní dávky sa začne uplatňovať od roku 2027. Dôchodky priznané v priebehu roka 2026 budú určené ešte podľa predpisov účinných do 31. decembra 2025 a následne budú zhodnotené podľa nových pravidiel v rámci procesu prepočtu. Nárast výdavkov z tohto titulu bude kumulatívny a podľa predpokladov dosiahne </w:t>
      </w:r>
      <w:r w:rsidR="001B6212">
        <w:rPr>
          <w:rFonts w:ascii="Times New Roman" w:eastAsia="Times New Roman" w:hAnsi="Times New Roman" w:cs="Times New Roman"/>
          <w:bCs/>
          <w:sz w:val="24"/>
          <w:szCs w:val="24"/>
          <w:lang w:eastAsia="sk-SK"/>
        </w:rPr>
        <w:t>v</w:t>
      </w:r>
      <w:r w:rsidR="001B6212" w:rsidRPr="008B7022">
        <w:rPr>
          <w:rFonts w:ascii="Times New Roman" w:eastAsia="Times New Roman" w:hAnsi="Times New Roman" w:cs="Times New Roman"/>
          <w:bCs/>
          <w:sz w:val="24"/>
          <w:szCs w:val="24"/>
          <w:lang w:eastAsia="sk-SK"/>
        </w:rPr>
        <w:t xml:space="preserve"> </w:t>
      </w:r>
      <w:r w:rsidRPr="008B7022">
        <w:rPr>
          <w:rFonts w:ascii="Times New Roman" w:eastAsia="Times New Roman" w:hAnsi="Times New Roman" w:cs="Times New Roman"/>
          <w:bCs/>
          <w:sz w:val="24"/>
          <w:szCs w:val="24"/>
          <w:lang w:eastAsia="sk-SK"/>
        </w:rPr>
        <w:t>roku 2028 objem približne 14,7 mil. eur.</w:t>
      </w:r>
    </w:p>
    <w:p w:rsidR="006C748E" w:rsidRPr="008B7022" w:rsidRDefault="006C748E" w:rsidP="006C748E">
      <w:pPr>
        <w:numPr>
          <w:ilvl w:val="0"/>
          <w:numId w:val="12"/>
        </w:numPr>
        <w:spacing w:after="0" w:line="240" w:lineRule="auto"/>
        <w:jc w:val="both"/>
        <w:rPr>
          <w:rFonts w:ascii="Times New Roman" w:eastAsia="Times New Roman" w:hAnsi="Times New Roman" w:cs="Times New Roman"/>
          <w:bCs/>
          <w:sz w:val="24"/>
          <w:szCs w:val="24"/>
          <w:lang w:eastAsia="sk-SK"/>
        </w:rPr>
      </w:pPr>
      <w:r w:rsidRPr="008B7022">
        <w:rPr>
          <w:rFonts w:ascii="Times New Roman" w:eastAsia="Times New Roman" w:hAnsi="Times New Roman" w:cs="Times New Roman"/>
          <w:b/>
          <w:bCs/>
          <w:sz w:val="24"/>
          <w:szCs w:val="24"/>
          <w:lang w:eastAsia="sk-SK"/>
        </w:rPr>
        <w:t xml:space="preserve">Výdavky spojené s ex </w:t>
      </w:r>
      <w:proofErr w:type="spellStart"/>
      <w:r w:rsidRPr="008B7022">
        <w:rPr>
          <w:rFonts w:ascii="Times New Roman" w:eastAsia="Times New Roman" w:hAnsi="Times New Roman" w:cs="Times New Roman"/>
          <w:b/>
          <w:bCs/>
          <w:sz w:val="24"/>
          <w:szCs w:val="24"/>
          <w:lang w:eastAsia="sk-SK"/>
        </w:rPr>
        <w:t>offo</w:t>
      </w:r>
      <w:proofErr w:type="spellEnd"/>
      <w:r w:rsidRPr="008B7022">
        <w:rPr>
          <w:rFonts w:ascii="Times New Roman" w:eastAsia="Times New Roman" w:hAnsi="Times New Roman" w:cs="Times New Roman"/>
          <w:b/>
          <w:bCs/>
          <w:sz w:val="24"/>
          <w:szCs w:val="24"/>
          <w:lang w:eastAsia="sk-SK"/>
        </w:rPr>
        <w:t xml:space="preserve"> prepočtom existujúcich dôchodkov:</w:t>
      </w:r>
      <w:r w:rsidRPr="008B7022">
        <w:rPr>
          <w:rFonts w:ascii="Times New Roman" w:eastAsia="Times New Roman" w:hAnsi="Times New Roman" w:cs="Times New Roman"/>
          <w:bCs/>
          <w:sz w:val="24"/>
          <w:szCs w:val="24"/>
          <w:lang w:eastAsia="sk-SK"/>
        </w:rPr>
        <w:t xml:space="preserve"> Tento, v  počiatočných rokoch dominantný komponent predstavujú náklady na prepočet dávok priznaných od 1. januára 2004 a na vyplatenie súvisiacich doplatkov. Finančný dopad tejto aktivity je časovo rozložený v súlade s legislatívnou lehotou na vykonanie prepočtov. Predpoklad počíta s tým, že od roku 2027 Sociálna poisťovňa ročne prepočíta približne jednu pätinu z celkového objemu dotknutých dávok. Tento postup vysvetľuje nulový vplyv v roku 2026 a jeho postupný nábeh v ďalších rokoch. Predpokladá sa, že </w:t>
      </w:r>
      <w:r w:rsidR="001B6212">
        <w:rPr>
          <w:rFonts w:ascii="Times New Roman" w:eastAsia="Times New Roman" w:hAnsi="Times New Roman" w:cs="Times New Roman"/>
          <w:bCs/>
          <w:sz w:val="24"/>
          <w:szCs w:val="24"/>
          <w:lang w:eastAsia="sk-SK"/>
        </w:rPr>
        <w:t>v</w:t>
      </w:r>
      <w:r w:rsidR="001B6212" w:rsidRPr="008B7022">
        <w:rPr>
          <w:rFonts w:ascii="Times New Roman" w:eastAsia="Times New Roman" w:hAnsi="Times New Roman" w:cs="Times New Roman"/>
          <w:bCs/>
          <w:sz w:val="24"/>
          <w:szCs w:val="24"/>
          <w:lang w:eastAsia="sk-SK"/>
        </w:rPr>
        <w:t xml:space="preserve"> </w:t>
      </w:r>
      <w:r w:rsidRPr="008B7022">
        <w:rPr>
          <w:rFonts w:ascii="Times New Roman" w:eastAsia="Times New Roman" w:hAnsi="Times New Roman" w:cs="Times New Roman"/>
          <w:bCs/>
          <w:sz w:val="24"/>
          <w:szCs w:val="24"/>
          <w:lang w:eastAsia="sk-SK"/>
        </w:rPr>
        <w:t>roku 2028 dosiahnu náklady spojené s týmto prepočtom objem približne 36,2 mil. eur.</w:t>
      </w:r>
    </w:p>
    <w:p w:rsidR="006C748E" w:rsidRPr="008B7022" w:rsidRDefault="006C748E" w:rsidP="006C748E">
      <w:pPr>
        <w:spacing w:after="0" w:line="240" w:lineRule="auto"/>
        <w:ind w:left="720"/>
        <w:jc w:val="both"/>
        <w:rPr>
          <w:rFonts w:ascii="Times New Roman" w:eastAsia="Times New Roman" w:hAnsi="Times New Roman" w:cs="Times New Roman"/>
          <w:bCs/>
          <w:sz w:val="24"/>
          <w:szCs w:val="24"/>
          <w:lang w:eastAsia="sk-SK"/>
        </w:rPr>
      </w:pPr>
    </w:p>
    <w:p w:rsidR="006C748E" w:rsidRDefault="006C748E" w:rsidP="006C748E">
      <w:pPr>
        <w:spacing w:after="0" w:line="240" w:lineRule="auto"/>
        <w:jc w:val="both"/>
        <w:rPr>
          <w:rFonts w:ascii="Times New Roman" w:eastAsia="Times New Roman" w:hAnsi="Times New Roman" w:cs="Times New Roman"/>
          <w:bCs/>
          <w:sz w:val="24"/>
          <w:szCs w:val="24"/>
          <w:lang w:eastAsia="sk-SK"/>
        </w:rPr>
      </w:pPr>
      <w:proofErr w:type="spellStart"/>
      <w:r w:rsidRPr="008B7022">
        <w:rPr>
          <w:rFonts w:ascii="Times New Roman" w:eastAsia="Times New Roman" w:hAnsi="Times New Roman" w:cs="Times New Roman"/>
          <w:bCs/>
          <w:sz w:val="24"/>
          <w:szCs w:val="24"/>
          <w:lang w:eastAsia="sk-SK"/>
        </w:rPr>
        <w:t>Agregácia</w:t>
      </w:r>
      <w:proofErr w:type="spellEnd"/>
      <w:r w:rsidRPr="008B7022">
        <w:rPr>
          <w:rFonts w:ascii="Times New Roman" w:eastAsia="Times New Roman" w:hAnsi="Times New Roman" w:cs="Times New Roman"/>
          <w:bCs/>
          <w:sz w:val="24"/>
          <w:szCs w:val="24"/>
          <w:lang w:eastAsia="sk-SK"/>
        </w:rPr>
        <w:t xml:space="preserve"> týchto dvoch vplyvov vedie k celkovému odhadovanému nárastu výdavkov Sociálnej poisťovne o 23,8 mil. eur v roku 2027 a 50,9 mil. eur v roku 2028.</w:t>
      </w:r>
    </w:p>
    <w:p w:rsidR="0091691E" w:rsidRDefault="0091691E" w:rsidP="006C748E">
      <w:pPr>
        <w:spacing w:after="0" w:line="240" w:lineRule="auto"/>
        <w:jc w:val="both"/>
        <w:rPr>
          <w:rFonts w:ascii="Times New Roman" w:eastAsia="Times New Roman" w:hAnsi="Times New Roman" w:cs="Times New Roman"/>
          <w:bCs/>
          <w:sz w:val="24"/>
          <w:szCs w:val="24"/>
          <w:lang w:eastAsia="sk-SK"/>
        </w:rPr>
      </w:pPr>
    </w:p>
    <w:p w:rsidR="0091691E" w:rsidRPr="0091691E" w:rsidRDefault="0091691E" w:rsidP="0091691E">
      <w:pPr>
        <w:spacing w:after="0" w:line="240" w:lineRule="auto"/>
        <w:jc w:val="both"/>
        <w:rPr>
          <w:rFonts w:ascii="Times New Roman" w:eastAsia="Times New Roman" w:hAnsi="Times New Roman" w:cs="Times New Roman"/>
          <w:bCs/>
          <w:sz w:val="24"/>
          <w:szCs w:val="24"/>
          <w:lang w:eastAsia="sk-SK"/>
        </w:rPr>
      </w:pPr>
      <w:r w:rsidRPr="0091691E">
        <w:rPr>
          <w:rFonts w:ascii="Times New Roman" w:eastAsia="Times New Roman" w:hAnsi="Times New Roman" w:cs="Times New Roman"/>
          <w:bCs/>
          <w:sz w:val="24"/>
          <w:szCs w:val="24"/>
          <w:lang w:eastAsia="sk-SK"/>
        </w:rPr>
        <w:t>Je dôležité zdôrazniť, že uvedený nárast výdavkov v sledovanom období (2026 – 2028) je dôsledkom mechanizmu zohľadňovania obdobia starostlivosti o dieťa, ktorý má retrospektívny charakter. Ovplyvňuje minulé obdobia a prejavuje sa pri novopriznaných aj prepočítavaných dôchodkoch.</w:t>
      </w:r>
    </w:p>
    <w:p w:rsidR="0091691E" w:rsidRPr="0091691E" w:rsidRDefault="0091691E" w:rsidP="0091691E">
      <w:pPr>
        <w:spacing w:after="0" w:line="240" w:lineRule="auto"/>
        <w:jc w:val="both"/>
        <w:rPr>
          <w:rFonts w:ascii="Times New Roman" w:eastAsia="Times New Roman" w:hAnsi="Times New Roman" w:cs="Times New Roman"/>
          <w:bCs/>
          <w:sz w:val="24"/>
          <w:szCs w:val="24"/>
          <w:lang w:eastAsia="sk-SK"/>
        </w:rPr>
      </w:pPr>
      <w:r w:rsidRPr="0091691E">
        <w:rPr>
          <w:rFonts w:ascii="Times New Roman" w:eastAsia="Times New Roman" w:hAnsi="Times New Roman" w:cs="Times New Roman"/>
          <w:bCs/>
          <w:sz w:val="24"/>
          <w:szCs w:val="24"/>
          <w:lang w:eastAsia="sk-SK"/>
        </w:rPr>
        <w:t xml:space="preserve">Naopak, vplyv zvýšenia vymeriavacieho základu z 50 % na 60 % </w:t>
      </w:r>
      <w:r w:rsidR="00E55AA7" w:rsidRPr="006E2756">
        <w:rPr>
          <w:rFonts w:ascii="Times New Roman" w:eastAsia="Times New Roman" w:hAnsi="Times New Roman" w:cs="Times New Roman"/>
          <w:sz w:val="24"/>
          <w:szCs w:val="24"/>
          <w:lang w:eastAsia="sk-SK"/>
        </w:rPr>
        <w:t>všeobecného vymeriavacieho základu</w:t>
      </w:r>
      <w:r w:rsidR="00E55AA7">
        <w:rPr>
          <w:rFonts w:ascii="Times New Roman" w:eastAsia="Times New Roman" w:hAnsi="Times New Roman" w:cs="Times New Roman"/>
          <w:sz w:val="24"/>
          <w:szCs w:val="24"/>
          <w:lang w:eastAsia="sk-SK"/>
        </w:rPr>
        <w:t xml:space="preserve"> spred dvoch rokov</w:t>
      </w:r>
      <w:r w:rsidR="00E55AA7" w:rsidRPr="0091691E">
        <w:rPr>
          <w:rFonts w:ascii="Times New Roman" w:eastAsia="Times New Roman" w:hAnsi="Times New Roman" w:cs="Times New Roman"/>
          <w:bCs/>
          <w:sz w:val="24"/>
          <w:szCs w:val="24"/>
          <w:lang w:eastAsia="sk-SK"/>
        </w:rPr>
        <w:t xml:space="preserve"> </w:t>
      </w:r>
      <w:r w:rsidRPr="0091691E">
        <w:rPr>
          <w:rFonts w:ascii="Times New Roman" w:eastAsia="Times New Roman" w:hAnsi="Times New Roman" w:cs="Times New Roman"/>
          <w:bCs/>
          <w:sz w:val="24"/>
          <w:szCs w:val="24"/>
          <w:lang w:eastAsia="sk-SK"/>
        </w:rPr>
        <w:t>pri ostatných poistencoch štátu (napr. opatrovatelia</w:t>
      </w:r>
      <w:r w:rsidR="00405F15">
        <w:rPr>
          <w:rFonts w:ascii="Times New Roman" w:eastAsia="Times New Roman" w:hAnsi="Times New Roman" w:cs="Times New Roman"/>
          <w:bCs/>
          <w:sz w:val="24"/>
          <w:szCs w:val="24"/>
          <w:lang w:eastAsia="sk-SK"/>
        </w:rPr>
        <w:t xml:space="preserve"> a </w:t>
      </w:r>
      <w:r w:rsidRPr="0091691E">
        <w:rPr>
          <w:rFonts w:ascii="Times New Roman" w:eastAsia="Times New Roman" w:hAnsi="Times New Roman" w:cs="Times New Roman"/>
          <w:bCs/>
          <w:sz w:val="24"/>
          <w:szCs w:val="24"/>
          <w:lang w:eastAsia="sk-SK"/>
        </w:rPr>
        <w:t xml:space="preserve">osobní asistenti) má čisto </w:t>
      </w:r>
      <w:proofErr w:type="spellStart"/>
      <w:r w:rsidRPr="0091691E">
        <w:rPr>
          <w:rFonts w:ascii="Times New Roman" w:eastAsia="Times New Roman" w:hAnsi="Times New Roman" w:cs="Times New Roman"/>
          <w:bCs/>
          <w:sz w:val="24"/>
          <w:szCs w:val="24"/>
          <w:lang w:eastAsia="sk-SK"/>
        </w:rPr>
        <w:t>prospektívny</w:t>
      </w:r>
      <w:proofErr w:type="spellEnd"/>
      <w:r w:rsidRPr="0091691E">
        <w:rPr>
          <w:rFonts w:ascii="Times New Roman" w:eastAsia="Times New Roman" w:hAnsi="Times New Roman" w:cs="Times New Roman"/>
          <w:bCs/>
          <w:sz w:val="24"/>
          <w:szCs w:val="24"/>
          <w:lang w:eastAsia="sk-SK"/>
        </w:rPr>
        <w:t xml:space="preserve"> charakter. Týka sa výlučne poistných období po 1. januári 2026. Jeho fiškálny dopad sa prejaví až v dlhodobom horizonte – teda v čase, keď tieto osoby získajú obdobie</w:t>
      </w:r>
      <w:r w:rsidR="00405F15">
        <w:rPr>
          <w:rFonts w:ascii="Times New Roman" w:eastAsia="Times New Roman" w:hAnsi="Times New Roman" w:cs="Times New Roman"/>
          <w:bCs/>
          <w:sz w:val="24"/>
          <w:szCs w:val="24"/>
          <w:lang w:eastAsia="sk-SK"/>
        </w:rPr>
        <w:t xml:space="preserve"> dôchodkového</w:t>
      </w:r>
      <w:r w:rsidRPr="0091691E">
        <w:rPr>
          <w:rFonts w:ascii="Times New Roman" w:eastAsia="Times New Roman" w:hAnsi="Times New Roman" w:cs="Times New Roman"/>
          <w:bCs/>
          <w:sz w:val="24"/>
          <w:szCs w:val="24"/>
          <w:lang w:eastAsia="sk-SK"/>
        </w:rPr>
        <w:t xml:space="preserve"> poistenia podľa nových pravidiel a začnú postupne odchádzať do dôchodku. V rámci krátkodobého rozpočtového horizontu je preto jeho vplyv na výdavky zanedbateľný.</w:t>
      </w:r>
    </w:p>
    <w:p w:rsidR="0091691E" w:rsidRPr="006C748E" w:rsidRDefault="0091691E" w:rsidP="006C748E">
      <w:pPr>
        <w:spacing w:after="0" w:line="240" w:lineRule="auto"/>
        <w:jc w:val="both"/>
        <w:rPr>
          <w:rFonts w:ascii="Times New Roman" w:eastAsia="Times New Roman" w:hAnsi="Times New Roman" w:cs="Times New Roman"/>
          <w:bCs/>
          <w:sz w:val="24"/>
          <w:szCs w:val="24"/>
          <w:lang w:eastAsia="sk-SK"/>
        </w:rPr>
      </w:pPr>
    </w:p>
    <w:p w:rsidR="00226548" w:rsidRDefault="00226548" w:rsidP="00226548">
      <w:pPr>
        <w:spacing w:after="0" w:line="240" w:lineRule="auto"/>
        <w:jc w:val="both"/>
        <w:rPr>
          <w:rFonts w:ascii="Times New Roman" w:eastAsia="Times New Roman" w:hAnsi="Times New Roman" w:cs="Times New Roman"/>
          <w:bCs/>
          <w:sz w:val="24"/>
          <w:szCs w:val="24"/>
          <w:lang w:eastAsia="sk-SK"/>
        </w:rPr>
      </w:pPr>
      <w:r w:rsidRPr="00226548">
        <w:rPr>
          <w:rFonts w:ascii="Times New Roman" w:eastAsia="Times New Roman" w:hAnsi="Times New Roman" w:cs="Times New Roman"/>
          <w:bCs/>
          <w:sz w:val="24"/>
          <w:szCs w:val="24"/>
          <w:lang w:eastAsia="sk-SK"/>
        </w:rPr>
        <w:t xml:space="preserve">Zavedenie nového výpočtového mechanizmu povedie k zvýšeniu priemernej sumy vyplácaných dôchodkových dávok. Táto zmena následne ovplyvní aj výdavky na výplatu 13. dôchodku, ktorého suma je odvodená od priemernej výšky jednotlivých druhov dôchodkov. Keďže sa tento vplyv plne prejaví až v dlhšom časovom horizonte, jeho kvantifikácia nie je súčasťou krátkodobých rozpočtových </w:t>
      </w:r>
      <w:r w:rsidR="00716BD7">
        <w:rPr>
          <w:rFonts w:ascii="Times New Roman" w:eastAsia="Times New Roman" w:hAnsi="Times New Roman" w:cs="Times New Roman"/>
          <w:bCs/>
          <w:sz w:val="24"/>
          <w:szCs w:val="24"/>
          <w:lang w:eastAsia="sk-SK"/>
        </w:rPr>
        <w:t>vplyvov</w:t>
      </w:r>
      <w:r w:rsidRPr="00226548">
        <w:rPr>
          <w:rFonts w:ascii="Times New Roman" w:eastAsia="Times New Roman" w:hAnsi="Times New Roman" w:cs="Times New Roman"/>
          <w:bCs/>
          <w:sz w:val="24"/>
          <w:szCs w:val="24"/>
          <w:lang w:eastAsia="sk-SK"/>
        </w:rPr>
        <w:t>, ale je zohľadnená v rámci analýzy vplyvov na dlhodobú udržateľnosť verejných financií v časti 2.2.5.</w:t>
      </w:r>
    </w:p>
    <w:p w:rsidR="00FA5928" w:rsidRPr="00226548" w:rsidRDefault="00FA5928" w:rsidP="00226548">
      <w:pPr>
        <w:spacing w:after="0" w:line="240" w:lineRule="auto"/>
        <w:jc w:val="both"/>
        <w:rPr>
          <w:rFonts w:ascii="Times New Roman" w:eastAsia="Times New Roman" w:hAnsi="Times New Roman" w:cs="Times New Roman"/>
          <w:bCs/>
          <w:sz w:val="24"/>
          <w:szCs w:val="24"/>
          <w:lang w:eastAsia="sk-SK"/>
        </w:rPr>
      </w:pPr>
    </w:p>
    <w:p w:rsidR="002E16D2" w:rsidRDefault="00716BD7" w:rsidP="00226548">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
          <w:bCs/>
          <w:sz w:val="24"/>
          <w:szCs w:val="24"/>
          <w:lang w:eastAsia="sk-SK"/>
        </w:rPr>
        <w:t>3</w:t>
      </w:r>
      <w:r w:rsidR="00226548" w:rsidRPr="002E16D2">
        <w:rPr>
          <w:rFonts w:ascii="Times New Roman" w:eastAsia="Times New Roman" w:hAnsi="Times New Roman" w:cs="Times New Roman"/>
          <w:b/>
          <w:bCs/>
          <w:sz w:val="24"/>
          <w:szCs w:val="24"/>
          <w:lang w:eastAsia="sk-SK"/>
        </w:rPr>
        <w:t xml:space="preserve">. Výpočet vplyvu na minimálny dôchodok (výdavky </w:t>
      </w:r>
      <w:r w:rsidR="00FA5928">
        <w:rPr>
          <w:rFonts w:ascii="Times New Roman" w:eastAsia="Times New Roman" w:hAnsi="Times New Roman" w:cs="Times New Roman"/>
          <w:b/>
          <w:bCs/>
          <w:sz w:val="24"/>
          <w:szCs w:val="24"/>
          <w:lang w:eastAsia="sk-SK"/>
        </w:rPr>
        <w:t xml:space="preserve">kapitoly </w:t>
      </w:r>
      <w:r w:rsidR="00226548" w:rsidRPr="002E16D2">
        <w:rPr>
          <w:rFonts w:ascii="Times New Roman" w:eastAsia="Times New Roman" w:hAnsi="Times New Roman" w:cs="Times New Roman"/>
          <w:b/>
          <w:bCs/>
          <w:sz w:val="24"/>
          <w:szCs w:val="24"/>
          <w:lang w:eastAsia="sk-SK"/>
        </w:rPr>
        <w:t>MPSVR SR)</w:t>
      </w:r>
    </w:p>
    <w:p w:rsidR="00226548" w:rsidRPr="00226548" w:rsidRDefault="00226548" w:rsidP="00226548">
      <w:pPr>
        <w:spacing w:after="0" w:line="240" w:lineRule="auto"/>
        <w:jc w:val="both"/>
        <w:rPr>
          <w:rFonts w:ascii="Times New Roman" w:eastAsia="Times New Roman" w:hAnsi="Times New Roman" w:cs="Times New Roman"/>
          <w:bCs/>
          <w:sz w:val="24"/>
          <w:szCs w:val="24"/>
          <w:lang w:eastAsia="sk-SK"/>
        </w:rPr>
      </w:pPr>
      <w:r w:rsidRPr="00226548">
        <w:rPr>
          <w:rFonts w:ascii="Times New Roman" w:eastAsia="Times New Roman" w:hAnsi="Times New Roman" w:cs="Times New Roman"/>
          <w:bCs/>
          <w:sz w:val="24"/>
          <w:szCs w:val="24"/>
          <w:lang w:eastAsia="sk-SK"/>
        </w:rPr>
        <w:br/>
        <w:t>Ide o sekundárny efekt návrhu. Zvýšenie súm starobných dôchodkov vplyvom nového výpočtu bude mať u časti poberateľov za následok, že ich riadny dôchodok presiahne hran</w:t>
      </w:r>
      <w:r w:rsidR="00311FC2">
        <w:rPr>
          <w:rFonts w:ascii="Times New Roman" w:eastAsia="Times New Roman" w:hAnsi="Times New Roman" w:cs="Times New Roman"/>
          <w:bCs/>
          <w:sz w:val="24"/>
          <w:szCs w:val="24"/>
          <w:lang w:eastAsia="sk-SK"/>
        </w:rPr>
        <w:t>icu minimálneho dôchodku. P</w:t>
      </w:r>
      <w:r w:rsidRPr="00226548">
        <w:rPr>
          <w:rFonts w:ascii="Times New Roman" w:eastAsia="Times New Roman" w:hAnsi="Times New Roman" w:cs="Times New Roman"/>
          <w:bCs/>
          <w:sz w:val="24"/>
          <w:szCs w:val="24"/>
          <w:lang w:eastAsia="sk-SK"/>
        </w:rPr>
        <w:t>oberateľom</w:t>
      </w:r>
      <w:r w:rsidR="00311FC2">
        <w:rPr>
          <w:rFonts w:ascii="Times New Roman" w:eastAsia="Times New Roman" w:hAnsi="Times New Roman" w:cs="Times New Roman"/>
          <w:bCs/>
          <w:sz w:val="24"/>
          <w:szCs w:val="24"/>
          <w:lang w:eastAsia="sk-SK"/>
        </w:rPr>
        <w:t xml:space="preserve"> minimálnych dôchodkov tak</w:t>
      </w:r>
      <w:r w:rsidRPr="00226548">
        <w:rPr>
          <w:rFonts w:ascii="Times New Roman" w:eastAsia="Times New Roman" w:hAnsi="Times New Roman" w:cs="Times New Roman"/>
          <w:bCs/>
          <w:sz w:val="24"/>
          <w:szCs w:val="24"/>
          <w:lang w:eastAsia="sk-SK"/>
        </w:rPr>
        <w:t xml:space="preserve"> zanikne alebo sa zníži nárok na </w:t>
      </w:r>
      <w:r w:rsidR="00A31155">
        <w:rPr>
          <w:rFonts w:ascii="Times New Roman" w:eastAsia="Times New Roman" w:hAnsi="Times New Roman" w:cs="Times New Roman"/>
          <w:bCs/>
          <w:sz w:val="24"/>
          <w:szCs w:val="24"/>
          <w:lang w:eastAsia="sk-SK"/>
        </w:rPr>
        <w:t>zvýšenie dôchodku na úroveň minimálneho dôchodku</w:t>
      </w:r>
      <w:r w:rsidR="00A31155" w:rsidRPr="00226548">
        <w:rPr>
          <w:rFonts w:ascii="Times New Roman" w:eastAsia="Times New Roman" w:hAnsi="Times New Roman" w:cs="Times New Roman"/>
          <w:bCs/>
          <w:sz w:val="24"/>
          <w:szCs w:val="24"/>
          <w:lang w:eastAsia="sk-SK"/>
        </w:rPr>
        <w:t xml:space="preserve"> </w:t>
      </w:r>
      <w:r w:rsidRPr="00226548">
        <w:rPr>
          <w:rFonts w:ascii="Times New Roman" w:eastAsia="Times New Roman" w:hAnsi="Times New Roman" w:cs="Times New Roman"/>
          <w:bCs/>
          <w:sz w:val="24"/>
          <w:szCs w:val="24"/>
          <w:lang w:eastAsia="sk-SK"/>
        </w:rPr>
        <w:t>zo štátneho rozpočtu, čo predstavuje úsporu výdavkov kapitoly MPSVR SR. Úspora je odhadovaná na </w:t>
      </w:r>
      <w:r w:rsidR="00FA5928">
        <w:rPr>
          <w:rFonts w:ascii="Times New Roman" w:eastAsia="Times New Roman" w:hAnsi="Times New Roman" w:cs="Times New Roman"/>
          <w:bCs/>
          <w:sz w:val="24"/>
          <w:szCs w:val="24"/>
          <w:lang w:eastAsia="sk-SK"/>
        </w:rPr>
        <w:t>cca 307 000 eur</w:t>
      </w:r>
      <w:r w:rsidRPr="00226548">
        <w:rPr>
          <w:rFonts w:ascii="Times New Roman" w:eastAsia="Times New Roman" w:hAnsi="Times New Roman" w:cs="Times New Roman"/>
          <w:bCs/>
          <w:sz w:val="24"/>
          <w:szCs w:val="24"/>
          <w:lang w:eastAsia="sk-SK"/>
        </w:rPr>
        <w:t> v roku 2027 a</w:t>
      </w:r>
      <w:r w:rsidR="00FA5928">
        <w:rPr>
          <w:rFonts w:ascii="Times New Roman" w:eastAsia="Times New Roman" w:hAnsi="Times New Roman" w:cs="Times New Roman"/>
          <w:bCs/>
          <w:sz w:val="24"/>
          <w:szCs w:val="24"/>
          <w:lang w:eastAsia="sk-SK"/>
        </w:rPr>
        <w:t> cca 940 000 eur</w:t>
      </w:r>
      <w:r w:rsidRPr="00226548">
        <w:rPr>
          <w:rFonts w:ascii="Times New Roman" w:eastAsia="Times New Roman" w:hAnsi="Times New Roman" w:cs="Times New Roman"/>
          <w:bCs/>
          <w:sz w:val="24"/>
          <w:szCs w:val="24"/>
          <w:lang w:eastAsia="sk-SK"/>
        </w:rPr>
        <w:t> v roku 2028.</w:t>
      </w:r>
      <w:r w:rsidR="00311FC2">
        <w:rPr>
          <w:rFonts w:ascii="Times New Roman" w:eastAsia="Times New Roman" w:hAnsi="Times New Roman" w:cs="Times New Roman"/>
          <w:bCs/>
          <w:sz w:val="24"/>
          <w:szCs w:val="24"/>
          <w:lang w:eastAsia="sk-SK"/>
        </w:rPr>
        <w:t xml:space="preserve"> </w:t>
      </w:r>
      <w:r w:rsidR="00B12441" w:rsidRPr="008B7022">
        <w:rPr>
          <w:rFonts w:ascii="Times New Roman" w:eastAsia="Times New Roman" w:hAnsi="Times New Roman" w:cs="Times New Roman"/>
          <w:bCs/>
          <w:sz w:val="24"/>
          <w:szCs w:val="24"/>
          <w:lang w:eastAsia="sk-SK"/>
        </w:rPr>
        <w:t>Predpokladá sa, že z celkovej bázy približne 21-tisíc poberateľov minimálneho dôchodku, ktorí budú ovplyvnený prepočtom dávky, sa v prípade približne 1 700 osôb novo vypočítaná suma starobného dôchodku zvýši nad zákonnú hranicu minimálneho dôchodku.</w:t>
      </w:r>
    </w:p>
    <w:p w:rsidR="007D5748" w:rsidRPr="007B7470"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33EEB" w:rsidRDefault="00733EEB" w:rsidP="007D5748">
      <w:pPr>
        <w:tabs>
          <w:tab w:val="num" w:pos="1080"/>
        </w:tabs>
        <w:spacing w:after="0" w:line="240" w:lineRule="auto"/>
        <w:jc w:val="both"/>
        <w:rPr>
          <w:rFonts w:ascii="Times New Roman" w:eastAsia="Times New Roman" w:hAnsi="Times New Roman" w:cs="Times New Roman"/>
          <w:b/>
          <w:bCs/>
          <w:sz w:val="24"/>
          <w:szCs w:val="24"/>
          <w:lang w:eastAsia="sk-SK"/>
        </w:rPr>
      </w:pPr>
      <w:r w:rsidRPr="00733EEB">
        <w:rPr>
          <w:rFonts w:ascii="Times New Roman" w:eastAsia="Times New Roman" w:hAnsi="Times New Roman" w:cs="Times New Roman"/>
          <w:b/>
          <w:bCs/>
          <w:sz w:val="24"/>
          <w:szCs w:val="24"/>
          <w:lang w:eastAsia="sk-SK"/>
        </w:rPr>
        <w:t xml:space="preserve">4. </w:t>
      </w:r>
      <w:r>
        <w:rPr>
          <w:rFonts w:ascii="Times New Roman" w:eastAsia="Times New Roman" w:hAnsi="Times New Roman" w:cs="Times New Roman"/>
          <w:b/>
          <w:bCs/>
          <w:sz w:val="24"/>
          <w:szCs w:val="24"/>
          <w:lang w:eastAsia="sk-SK"/>
        </w:rPr>
        <w:t>Implementačné výdavky</w:t>
      </w:r>
      <w:r w:rsidRPr="00733EEB">
        <w:rPr>
          <w:rFonts w:ascii="Times New Roman" w:eastAsia="Times New Roman" w:hAnsi="Times New Roman" w:cs="Times New Roman"/>
          <w:b/>
          <w:bCs/>
          <w:sz w:val="24"/>
          <w:szCs w:val="24"/>
          <w:lang w:eastAsia="sk-SK"/>
        </w:rPr>
        <w:t xml:space="preserve"> Sociálnej poisťovne </w:t>
      </w:r>
    </w:p>
    <w:p w:rsidR="00733EEB" w:rsidRPr="007B7470" w:rsidRDefault="00733EEB"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733EEB" w:rsidRDefault="00733EEB" w:rsidP="00733EEB">
      <w:pPr>
        <w:spacing w:after="0" w:line="240" w:lineRule="auto"/>
        <w:jc w:val="both"/>
        <w:rPr>
          <w:rFonts w:ascii="Times New Roman" w:eastAsia="Times New Roman" w:hAnsi="Times New Roman" w:cs="Times New Roman"/>
          <w:bCs/>
          <w:sz w:val="24"/>
          <w:szCs w:val="24"/>
          <w:lang w:eastAsia="sk-SK"/>
        </w:rPr>
      </w:pPr>
      <w:r w:rsidRPr="00733EEB">
        <w:rPr>
          <w:rFonts w:ascii="Times New Roman" w:eastAsia="Times New Roman" w:hAnsi="Times New Roman" w:cs="Times New Roman"/>
          <w:bCs/>
          <w:sz w:val="24"/>
          <w:szCs w:val="24"/>
          <w:lang w:eastAsia="sk-SK"/>
        </w:rPr>
        <w:lastRenderedPageBreak/>
        <w:t>Navrhované opatrenia si vyžiadajú zmeny viacerých informačných</w:t>
      </w:r>
      <w:r>
        <w:rPr>
          <w:rFonts w:ascii="Times New Roman" w:eastAsia="Times New Roman" w:hAnsi="Times New Roman" w:cs="Times New Roman"/>
          <w:bCs/>
          <w:sz w:val="24"/>
          <w:szCs w:val="24"/>
          <w:lang w:eastAsia="sk-SK"/>
        </w:rPr>
        <w:t xml:space="preserve"> systémov Sociálnej poisťovne</w:t>
      </w:r>
      <w:r w:rsidR="00DD083D">
        <w:rPr>
          <w:rFonts w:ascii="Times New Roman" w:eastAsia="Times New Roman" w:hAnsi="Times New Roman" w:cs="Times New Roman"/>
          <w:bCs/>
          <w:sz w:val="24"/>
          <w:szCs w:val="24"/>
          <w:lang w:eastAsia="sk-SK"/>
        </w:rPr>
        <w:t xml:space="preserve"> a zvýšené administratívne náklady spojené najmä s distribúciou rozhodnutí o zmene sumy dávky</w:t>
      </w:r>
      <w:r>
        <w:rPr>
          <w:rFonts w:ascii="Times New Roman" w:eastAsia="Times New Roman" w:hAnsi="Times New Roman" w:cs="Times New Roman"/>
          <w:bCs/>
          <w:sz w:val="24"/>
          <w:szCs w:val="24"/>
          <w:lang w:eastAsia="sk-SK"/>
        </w:rPr>
        <w:t xml:space="preserve">. </w:t>
      </w:r>
      <w:r w:rsidRPr="00733EEB">
        <w:rPr>
          <w:rFonts w:ascii="Times New Roman" w:eastAsia="Times New Roman" w:hAnsi="Times New Roman" w:cs="Times New Roman"/>
          <w:bCs/>
          <w:sz w:val="24"/>
          <w:szCs w:val="24"/>
          <w:lang w:eastAsia="sk-SK"/>
        </w:rPr>
        <w:t>Predpokladaný objem kapitálových a prevádzkových výdavkov je uvedený v tabuľke nižšie v eur bez DPH:</w:t>
      </w:r>
    </w:p>
    <w:p w:rsidR="00733EEB" w:rsidRDefault="00733EEB" w:rsidP="00733EEB">
      <w:pPr>
        <w:spacing w:after="0" w:line="240" w:lineRule="auto"/>
        <w:jc w:val="both"/>
        <w:rPr>
          <w:rFonts w:ascii="Times New Roman" w:eastAsia="Times New Roman" w:hAnsi="Times New Roman" w:cs="Times New Roman"/>
          <w:bCs/>
          <w:sz w:val="24"/>
          <w:szCs w:val="24"/>
          <w:lang w:eastAsia="sk-SK"/>
        </w:rPr>
      </w:pPr>
    </w:p>
    <w:p w:rsidR="00733EEB" w:rsidRPr="00733EEB" w:rsidRDefault="00733EEB" w:rsidP="00733EEB">
      <w:pPr>
        <w:spacing w:after="0" w:line="240" w:lineRule="auto"/>
        <w:jc w:val="both"/>
        <w:rPr>
          <w:rFonts w:ascii="Times New Roman" w:hAnsi="Times New Roman"/>
          <w:b/>
          <w:sz w:val="20"/>
          <w:szCs w:val="20"/>
          <w:lang w:eastAsia="sk-SK"/>
        </w:rPr>
      </w:pPr>
      <w:r w:rsidRPr="00733EEB">
        <w:rPr>
          <w:rFonts w:ascii="Times New Roman" w:eastAsia="Times New Roman" w:hAnsi="Times New Roman" w:cs="Times New Roman"/>
          <w:b/>
          <w:bCs/>
          <w:sz w:val="24"/>
          <w:szCs w:val="24"/>
          <w:lang w:eastAsia="sk-SK"/>
        </w:rPr>
        <w:t xml:space="preserve">Tabuľka 2/F: Výdavky spojené s úpravou informačných systémov Sociálnej poisťovne  </w:t>
      </w:r>
    </w:p>
    <w:tbl>
      <w:tblPr>
        <w:tblW w:w="88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1134"/>
        <w:gridCol w:w="1060"/>
        <w:gridCol w:w="1060"/>
        <w:gridCol w:w="1060"/>
      </w:tblGrid>
      <w:tr w:rsidR="00733EEB" w:rsidTr="009D670F">
        <w:trPr>
          <w:trHeight w:val="315"/>
        </w:trPr>
        <w:tc>
          <w:tcPr>
            <w:tcW w:w="4551" w:type="dxa"/>
            <w:shd w:val="clear" w:color="auto" w:fill="A6A6A6"/>
            <w:noWrap/>
            <w:vAlign w:val="center"/>
            <w:hideMark/>
          </w:tcPr>
          <w:p w:rsidR="00733EEB" w:rsidRPr="00327E47" w:rsidRDefault="00733EEB" w:rsidP="009D670F">
            <w:pPr>
              <w:spacing w:after="0" w:line="240" w:lineRule="auto"/>
              <w:rPr>
                <w:rFonts w:ascii="Times New Roman" w:hAnsi="Times New Roman" w:cs="Times New Roman"/>
                <w:b/>
                <w:color w:val="000000"/>
                <w:sz w:val="20"/>
                <w:szCs w:val="20"/>
                <w:lang w:eastAsia="sk-SK"/>
              </w:rPr>
            </w:pPr>
            <w:r w:rsidRPr="00327E47">
              <w:rPr>
                <w:rFonts w:ascii="Times New Roman" w:hAnsi="Times New Roman" w:cs="Times New Roman"/>
                <w:b/>
                <w:color w:val="000000"/>
                <w:sz w:val="20"/>
                <w:szCs w:val="20"/>
                <w:lang w:eastAsia="sk-SK"/>
              </w:rPr>
              <w:t>Rok</w:t>
            </w:r>
          </w:p>
        </w:tc>
        <w:tc>
          <w:tcPr>
            <w:tcW w:w="1134" w:type="dxa"/>
            <w:shd w:val="clear" w:color="auto" w:fill="A6A6A6"/>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b/>
                <w:bCs/>
                <w:color w:val="000000"/>
                <w:sz w:val="20"/>
                <w:szCs w:val="20"/>
                <w:lang w:eastAsia="sk-SK"/>
              </w:rPr>
              <w:t>2025</w:t>
            </w:r>
          </w:p>
        </w:tc>
        <w:tc>
          <w:tcPr>
            <w:tcW w:w="1060" w:type="dxa"/>
            <w:shd w:val="clear" w:color="auto" w:fill="A6A6A6"/>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b/>
                <w:bCs/>
                <w:color w:val="000000"/>
                <w:sz w:val="20"/>
                <w:szCs w:val="20"/>
                <w:lang w:eastAsia="sk-SK"/>
              </w:rPr>
              <w:t>2026</w:t>
            </w:r>
          </w:p>
        </w:tc>
        <w:tc>
          <w:tcPr>
            <w:tcW w:w="1060" w:type="dxa"/>
            <w:shd w:val="clear" w:color="auto" w:fill="A6A6A6"/>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b/>
                <w:bCs/>
                <w:color w:val="000000"/>
                <w:sz w:val="20"/>
                <w:szCs w:val="20"/>
                <w:lang w:eastAsia="sk-SK"/>
              </w:rPr>
              <w:t>2027</w:t>
            </w:r>
          </w:p>
        </w:tc>
        <w:tc>
          <w:tcPr>
            <w:tcW w:w="1060" w:type="dxa"/>
            <w:shd w:val="clear" w:color="auto" w:fill="A6A6A6"/>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b/>
                <w:bCs/>
                <w:color w:val="000000"/>
                <w:sz w:val="20"/>
                <w:szCs w:val="20"/>
                <w:lang w:eastAsia="sk-SK"/>
              </w:rPr>
              <w:t>2028</w:t>
            </w:r>
          </w:p>
        </w:tc>
      </w:tr>
      <w:tr w:rsidR="00F9634C" w:rsidTr="009D670F">
        <w:trPr>
          <w:trHeight w:val="315"/>
        </w:trPr>
        <w:tc>
          <w:tcPr>
            <w:tcW w:w="4551" w:type="dxa"/>
            <w:noWrap/>
            <w:vAlign w:val="center"/>
            <w:hideMark/>
          </w:tcPr>
          <w:p w:rsidR="00F9634C" w:rsidRPr="00881B9F" w:rsidRDefault="00F9634C" w:rsidP="00F9634C">
            <w:pPr>
              <w:spacing w:after="0" w:line="240" w:lineRule="auto"/>
              <w:rPr>
                <w:rFonts w:ascii="Times New Roman" w:hAnsi="Times New Roman" w:cs="Times New Roman"/>
                <w:b/>
                <w:color w:val="000000"/>
                <w:sz w:val="20"/>
                <w:szCs w:val="20"/>
                <w:lang w:eastAsia="sk-SK"/>
              </w:rPr>
            </w:pPr>
            <w:r w:rsidRPr="00881B9F">
              <w:rPr>
                <w:rFonts w:ascii="Times New Roman" w:hAnsi="Times New Roman" w:cs="Times New Roman"/>
                <w:b/>
                <w:color w:val="000000"/>
                <w:sz w:val="20"/>
                <w:szCs w:val="20"/>
                <w:lang w:eastAsia="sk-SK"/>
              </w:rPr>
              <w:t>Sociálna poisťovňa</w:t>
            </w:r>
          </w:p>
        </w:tc>
        <w:tc>
          <w:tcPr>
            <w:tcW w:w="1134" w:type="dxa"/>
            <w:noWrap/>
            <w:vAlign w:val="center"/>
            <w:hideMark/>
          </w:tcPr>
          <w:p w:rsidR="00F9634C" w:rsidRPr="00881B9F" w:rsidRDefault="00F9634C" w:rsidP="00F9634C">
            <w:pPr>
              <w:spacing w:after="0" w:line="240" w:lineRule="auto"/>
              <w:jc w:val="right"/>
              <w:rPr>
                <w:rFonts w:ascii="Times New Roman" w:hAnsi="Times New Roman" w:cs="Times New Roman"/>
                <w:b/>
                <w:color w:val="000000"/>
                <w:sz w:val="20"/>
                <w:szCs w:val="20"/>
                <w:lang w:eastAsia="sk-SK"/>
              </w:rPr>
            </w:pPr>
            <w:r w:rsidRPr="00881B9F">
              <w:rPr>
                <w:rFonts w:ascii="Times New Roman" w:hAnsi="Times New Roman" w:cs="Times New Roman"/>
                <w:b/>
                <w:color w:val="000000"/>
                <w:sz w:val="20"/>
                <w:szCs w:val="20"/>
                <w:lang w:eastAsia="sk-SK"/>
              </w:rPr>
              <w:t>2 340 000</w:t>
            </w:r>
          </w:p>
        </w:tc>
        <w:tc>
          <w:tcPr>
            <w:tcW w:w="1060" w:type="dxa"/>
            <w:noWrap/>
            <w:vAlign w:val="center"/>
            <w:hideMark/>
          </w:tcPr>
          <w:p w:rsidR="00F9634C" w:rsidRPr="00881B9F" w:rsidRDefault="00F9634C" w:rsidP="00F9634C">
            <w:pPr>
              <w:spacing w:after="0" w:line="240" w:lineRule="auto"/>
              <w:jc w:val="right"/>
              <w:rPr>
                <w:rFonts w:ascii="Times New Roman" w:hAnsi="Times New Roman" w:cs="Times New Roman"/>
                <w:b/>
                <w:color w:val="000000"/>
                <w:sz w:val="20"/>
                <w:szCs w:val="20"/>
                <w:lang w:eastAsia="sk-SK"/>
              </w:rPr>
            </w:pPr>
            <w:r w:rsidRPr="00881B9F">
              <w:rPr>
                <w:rFonts w:ascii="Times New Roman" w:hAnsi="Times New Roman" w:cs="Times New Roman"/>
                <w:b/>
                <w:color w:val="000000"/>
                <w:sz w:val="20"/>
                <w:szCs w:val="20"/>
                <w:lang w:eastAsia="sk-SK"/>
              </w:rPr>
              <w:t xml:space="preserve">0 </w:t>
            </w:r>
          </w:p>
        </w:tc>
        <w:tc>
          <w:tcPr>
            <w:tcW w:w="1060" w:type="dxa"/>
            <w:noWrap/>
            <w:vAlign w:val="center"/>
            <w:hideMark/>
          </w:tcPr>
          <w:p w:rsidR="00F9634C" w:rsidRPr="00881B9F" w:rsidRDefault="00F9634C" w:rsidP="00F9634C">
            <w:pPr>
              <w:spacing w:after="0" w:line="240" w:lineRule="auto"/>
              <w:jc w:val="right"/>
              <w:rPr>
                <w:rFonts w:ascii="Times New Roman" w:hAnsi="Times New Roman" w:cs="Times New Roman"/>
                <w:b/>
                <w:color w:val="000000"/>
                <w:sz w:val="20"/>
                <w:szCs w:val="20"/>
                <w:lang w:eastAsia="sk-SK"/>
              </w:rPr>
            </w:pPr>
            <w:r w:rsidRPr="00881B9F">
              <w:rPr>
                <w:rFonts w:ascii="Times New Roman" w:eastAsia="Times New Roman" w:hAnsi="Times New Roman" w:cs="Times New Roman"/>
                <w:b/>
                <w:sz w:val="20"/>
                <w:szCs w:val="20"/>
                <w:lang w:eastAsia="sk-SK"/>
              </w:rPr>
              <w:t>2 127 405</w:t>
            </w:r>
          </w:p>
        </w:tc>
        <w:tc>
          <w:tcPr>
            <w:tcW w:w="1060" w:type="dxa"/>
            <w:noWrap/>
            <w:vAlign w:val="center"/>
            <w:hideMark/>
          </w:tcPr>
          <w:p w:rsidR="00F9634C" w:rsidRPr="00881B9F" w:rsidRDefault="00F9634C" w:rsidP="00F9634C">
            <w:pPr>
              <w:spacing w:after="0" w:line="240" w:lineRule="auto"/>
              <w:jc w:val="right"/>
              <w:rPr>
                <w:rFonts w:ascii="Times New Roman" w:hAnsi="Times New Roman" w:cs="Times New Roman"/>
                <w:b/>
                <w:color w:val="000000"/>
                <w:sz w:val="20"/>
                <w:szCs w:val="20"/>
                <w:lang w:eastAsia="sk-SK"/>
              </w:rPr>
            </w:pPr>
            <w:r w:rsidRPr="00881B9F">
              <w:rPr>
                <w:rFonts w:ascii="Times New Roman" w:eastAsia="Times New Roman" w:hAnsi="Times New Roman" w:cs="Times New Roman"/>
                <w:b/>
                <w:sz w:val="20"/>
                <w:szCs w:val="20"/>
                <w:lang w:eastAsia="sk-SK"/>
              </w:rPr>
              <w:t>2 191 228</w:t>
            </w:r>
          </w:p>
        </w:tc>
      </w:tr>
      <w:tr w:rsidR="00733EEB" w:rsidTr="009D670F">
        <w:trPr>
          <w:trHeight w:val="315"/>
        </w:trPr>
        <w:tc>
          <w:tcPr>
            <w:tcW w:w="4551" w:type="dxa"/>
            <w:noWrap/>
            <w:vAlign w:val="center"/>
            <w:hideMark/>
          </w:tcPr>
          <w:p w:rsidR="00733EEB" w:rsidRPr="00327E47" w:rsidRDefault="00733EEB" w:rsidP="009D670F">
            <w:pPr>
              <w:spacing w:after="0" w:line="240" w:lineRule="auto"/>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z toho:</w:t>
            </w:r>
          </w:p>
        </w:tc>
        <w:tc>
          <w:tcPr>
            <w:tcW w:w="1134"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w:t>
            </w:r>
          </w:p>
        </w:tc>
      </w:tr>
      <w:tr w:rsidR="00733EEB" w:rsidTr="009D670F">
        <w:trPr>
          <w:trHeight w:val="315"/>
        </w:trPr>
        <w:tc>
          <w:tcPr>
            <w:tcW w:w="4551" w:type="dxa"/>
            <w:noWrap/>
            <w:vAlign w:val="center"/>
            <w:hideMark/>
          </w:tcPr>
          <w:p w:rsidR="00733EEB" w:rsidRPr="00327E47" w:rsidRDefault="00733EEB" w:rsidP="009D670F">
            <w:pPr>
              <w:spacing w:after="0" w:line="240" w:lineRule="auto"/>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kapitálové výdavky</w:t>
            </w:r>
          </w:p>
        </w:tc>
        <w:tc>
          <w:tcPr>
            <w:tcW w:w="1134" w:type="dxa"/>
            <w:noWrap/>
            <w:vAlign w:val="center"/>
            <w:hideMark/>
          </w:tcPr>
          <w:p w:rsidR="00733EEB" w:rsidRPr="00327E47" w:rsidRDefault="00405F15"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2 </w:t>
            </w:r>
            <w:r>
              <w:rPr>
                <w:rFonts w:ascii="Times New Roman" w:hAnsi="Times New Roman" w:cs="Times New Roman"/>
                <w:color w:val="000000"/>
                <w:sz w:val="20"/>
                <w:szCs w:val="20"/>
                <w:lang w:eastAsia="sk-SK"/>
              </w:rPr>
              <w:t>3</w:t>
            </w:r>
            <w:r w:rsidRPr="00327E47">
              <w:rPr>
                <w:rFonts w:ascii="Times New Roman" w:hAnsi="Times New Roman" w:cs="Times New Roman"/>
                <w:color w:val="000000"/>
                <w:sz w:val="20"/>
                <w:szCs w:val="20"/>
                <w:lang w:eastAsia="sk-SK"/>
              </w:rPr>
              <w:t>40 000</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0</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0</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0</w:t>
            </w:r>
          </w:p>
        </w:tc>
      </w:tr>
      <w:tr w:rsidR="00733EEB" w:rsidTr="009D670F">
        <w:trPr>
          <w:trHeight w:val="315"/>
        </w:trPr>
        <w:tc>
          <w:tcPr>
            <w:tcW w:w="4551" w:type="dxa"/>
            <w:noWrap/>
            <w:vAlign w:val="center"/>
            <w:hideMark/>
          </w:tcPr>
          <w:p w:rsidR="00733EEB" w:rsidRPr="00327E47" w:rsidRDefault="00733EEB" w:rsidP="009D670F">
            <w:pPr>
              <w:spacing w:after="0" w:line="240" w:lineRule="auto"/>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 xml:space="preserve">  prevádzkové náklady </w:t>
            </w:r>
          </w:p>
        </w:tc>
        <w:tc>
          <w:tcPr>
            <w:tcW w:w="1134" w:type="dxa"/>
            <w:noWrap/>
            <w:vAlign w:val="center"/>
            <w:hideMark/>
          </w:tcPr>
          <w:p w:rsidR="00733EEB" w:rsidRPr="00327E47" w:rsidRDefault="0047743E" w:rsidP="001F0CE1">
            <w:pPr>
              <w:spacing w:after="0" w:line="240" w:lineRule="auto"/>
              <w:jc w:val="right"/>
              <w:rPr>
                <w:rFonts w:ascii="Times New Roman" w:hAnsi="Times New Roman" w:cs="Times New Roman"/>
                <w:color w:val="000000"/>
                <w:sz w:val="20"/>
                <w:szCs w:val="20"/>
                <w:lang w:eastAsia="sk-SK"/>
              </w:rPr>
            </w:pPr>
            <w:r>
              <w:rPr>
                <w:rFonts w:ascii="Times New Roman" w:hAnsi="Times New Roman" w:cs="Times New Roman"/>
                <w:color w:val="000000"/>
                <w:sz w:val="20"/>
                <w:szCs w:val="20"/>
                <w:lang w:eastAsia="sk-SK"/>
              </w:rPr>
              <w:t>0</w:t>
            </w:r>
          </w:p>
        </w:tc>
        <w:tc>
          <w:tcPr>
            <w:tcW w:w="1060" w:type="dxa"/>
            <w:noWrap/>
            <w:vAlign w:val="center"/>
            <w:hideMark/>
          </w:tcPr>
          <w:p w:rsidR="00733EEB" w:rsidRPr="00327E47" w:rsidRDefault="00733EEB" w:rsidP="009D670F">
            <w:pPr>
              <w:spacing w:after="0" w:line="240" w:lineRule="auto"/>
              <w:jc w:val="right"/>
              <w:rPr>
                <w:rFonts w:ascii="Times New Roman" w:hAnsi="Times New Roman" w:cs="Times New Roman"/>
                <w:color w:val="000000"/>
                <w:sz w:val="20"/>
                <w:szCs w:val="20"/>
                <w:lang w:eastAsia="sk-SK"/>
              </w:rPr>
            </w:pPr>
            <w:r w:rsidRPr="00327E47">
              <w:rPr>
                <w:rFonts w:ascii="Times New Roman" w:hAnsi="Times New Roman" w:cs="Times New Roman"/>
                <w:color w:val="000000"/>
                <w:sz w:val="20"/>
                <w:szCs w:val="20"/>
                <w:lang w:eastAsia="sk-SK"/>
              </w:rPr>
              <w:t>0</w:t>
            </w:r>
          </w:p>
        </w:tc>
        <w:tc>
          <w:tcPr>
            <w:tcW w:w="1060" w:type="dxa"/>
            <w:noWrap/>
            <w:vAlign w:val="center"/>
            <w:hideMark/>
          </w:tcPr>
          <w:p w:rsidR="00733EEB" w:rsidRPr="00DD083D" w:rsidRDefault="00C35BF6" w:rsidP="009D670F">
            <w:pPr>
              <w:spacing w:after="0" w:line="240" w:lineRule="auto"/>
              <w:jc w:val="right"/>
              <w:rPr>
                <w:rFonts w:ascii="Times New Roman" w:hAnsi="Times New Roman" w:cs="Times New Roman"/>
                <w:color w:val="000000"/>
                <w:sz w:val="20"/>
                <w:szCs w:val="20"/>
                <w:lang w:eastAsia="sk-SK"/>
              </w:rPr>
            </w:pPr>
            <w:r w:rsidRPr="00DD083D">
              <w:rPr>
                <w:rFonts w:ascii="Times New Roman" w:eastAsia="Times New Roman" w:hAnsi="Times New Roman" w:cs="Times New Roman"/>
                <w:sz w:val="20"/>
                <w:szCs w:val="20"/>
                <w:lang w:eastAsia="sk-SK"/>
              </w:rPr>
              <w:t>2 127 405</w:t>
            </w:r>
          </w:p>
        </w:tc>
        <w:tc>
          <w:tcPr>
            <w:tcW w:w="1060" w:type="dxa"/>
            <w:noWrap/>
            <w:vAlign w:val="center"/>
            <w:hideMark/>
          </w:tcPr>
          <w:p w:rsidR="00733EEB" w:rsidRPr="00DD083D" w:rsidRDefault="00C35BF6" w:rsidP="009D670F">
            <w:pPr>
              <w:spacing w:after="0" w:line="240" w:lineRule="auto"/>
              <w:jc w:val="right"/>
              <w:rPr>
                <w:rFonts w:ascii="Times New Roman" w:hAnsi="Times New Roman" w:cs="Times New Roman"/>
                <w:color w:val="000000"/>
                <w:sz w:val="20"/>
                <w:szCs w:val="20"/>
                <w:lang w:eastAsia="sk-SK"/>
              </w:rPr>
            </w:pPr>
            <w:r w:rsidRPr="00DD083D">
              <w:rPr>
                <w:rFonts w:ascii="Times New Roman" w:eastAsia="Times New Roman" w:hAnsi="Times New Roman" w:cs="Times New Roman"/>
                <w:sz w:val="20"/>
                <w:szCs w:val="20"/>
                <w:lang w:eastAsia="sk-SK"/>
              </w:rPr>
              <w:t>2 191 228</w:t>
            </w:r>
          </w:p>
        </w:tc>
      </w:tr>
    </w:tbl>
    <w:p w:rsidR="007D5748" w:rsidRPr="00733EEB" w:rsidRDefault="00733EEB" w:rsidP="007D5748">
      <w:pPr>
        <w:tabs>
          <w:tab w:val="num" w:pos="1080"/>
        </w:tabs>
        <w:spacing w:after="0" w:line="240" w:lineRule="auto"/>
        <w:jc w:val="both"/>
        <w:rPr>
          <w:rFonts w:ascii="Times New Roman" w:eastAsia="Times New Roman" w:hAnsi="Times New Roman" w:cs="Times New Roman"/>
          <w:bCs/>
          <w:i/>
          <w:sz w:val="20"/>
          <w:szCs w:val="20"/>
          <w:lang w:eastAsia="sk-SK"/>
        </w:rPr>
      </w:pPr>
      <w:r>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i/>
          <w:sz w:val="20"/>
          <w:szCs w:val="20"/>
          <w:lang w:eastAsia="sk-SK"/>
        </w:rPr>
        <w:t xml:space="preserve">Zdroj: Sociálna poisťovňa </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8B66BD" w:rsidRPr="00F72B09" w:rsidRDefault="008B66BD" w:rsidP="008B66BD">
      <w:pPr>
        <w:spacing w:after="0" w:line="240" w:lineRule="auto"/>
        <w:jc w:val="both"/>
        <w:rPr>
          <w:rFonts w:ascii="Times New Roman" w:eastAsia="Times New Roman" w:hAnsi="Times New Roman" w:cs="Times New Roman"/>
          <w:color w:val="000000"/>
          <w:sz w:val="24"/>
          <w:szCs w:val="24"/>
        </w:rPr>
      </w:pPr>
      <w:r w:rsidRPr="00F72B09">
        <w:rPr>
          <w:rFonts w:ascii="Times New Roman" w:eastAsia="Times New Roman" w:hAnsi="Times New Roman" w:cs="Times New Roman"/>
          <w:color w:val="000000"/>
          <w:sz w:val="24"/>
          <w:szCs w:val="24"/>
        </w:rPr>
        <w:t>Spôsob výpočtu výšky vplyvu bol zrealizovaný formou kvalifikovaného odhadu pre jednotlivé informačné systémy S</w:t>
      </w:r>
      <w:r w:rsidR="00C35BF6" w:rsidRPr="00F72B09">
        <w:rPr>
          <w:rFonts w:ascii="Times New Roman" w:eastAsia="Times New Roman" w:hAnsi="Times New Roman" w:cs="Times New Roman"/>
          <w:color w:val="000000"/>
          <w:sz w:val="24"/>
          <w:szCs w:val="24"/>
        </w:rPr>
        <w:t>ociálnej poisťovne</w:t>
      </w:r>
      <w:r w:rsidRPr="00F72B09">
        <w:rPr>
          <w:rFonts w:ascii="Times New Roman" w:eastAsia="Times New Roman" w:hAnsi="Times New Roman" w:cs="Times New Roman"/>
          <w:color w:val="000000"/>
          <w:sz w:val="24"/>
          <w:szCs w:val="24"/>
        </w:rPr>
        <w:t>, a to v nasledovnom členení:</w:t>
      </w:r>
    </w:p>
    <w:p w:rsidR="008B66BD" w:rsidRPr="00F72B09" w:rsidRDefault="008B66BD" w:rsidP="008B66BD">
      <w:pPr>
        <w:numPr>
          <w:ilvl w:val="0"/>
          <w:numId w:val="17"/>
        </w:numPr>
        <w:spacing w:after="0" w:line="252" w:lineRule="auto"/>
        <w:contextualSpacing/>
        <w:jc w:val="both"/>
        <w:rPr>
          <w:rFonts w:ascii="Times New Roman" w:eastAsia="Times New Roman" w:hAnsi="Times New Roman" w:cs="Times New Roman"/>
          <w:color w:val="000000"/>
          <w:sz w:val="24"/>
          <w:szCs w:val="24"/>
          <w14:ligatures w14:val="standardContextual"/>
        </w:rPr>
      </w:pPr>
      <w:r w:rsidRPr="00F72B09">
        <w:rPr>
          <w:rFonts w:ascii="Times New Roman" w:eastAsia="Times New Roman" w:hAnsi="Times New Roman" w:cs="Times New Roman"/>
          <w:color w:val="000000"/>
          <w:sz w:val="24"/>
          <w:szCs w:val="24"/>
          <w14:ligatures w14:val="standardContextual"/>
        </w:rPr>
        <w:t>Aplikačné programové vybavenie pre nové určenie sumy dôchodku, Informačný systém dôchodkového poistenia a aplikačné programové vybavenie elektronického likvidačného listu – 1,52 mil. eur</w:t>
      </w:r>
      <w:r w:rsidR="00F72B09">
        <w:rPr>
          <w:rFonts w:ascii="Times New Roman" w:eastAsia="Times New Roman" w:hAnsi="Times New Roman" w:cs="Times New Roman"/>
          <w:color w:val="000000"/>
          <w:sz w:val="24"/>
          <w:szCs w:val="24"/>
          <w14:ligatures w14:val="standardContextual"/>
        </w:rPr>
        <w:t>.</w:t>
      </w:r>
    </w:p>
    <w:p w:rsidR="007D5748" w:rsidRPr="00F72B09" w:rsidRDefault="008B66BD" w:rsidP="00F72B09">
      <w:pPr>
        <w:numPr>
          <w:ilvl w:val="0"/>
          <w:numId w:val="17"/>
        </w:numPr>
        <w:spacing w:after="0" w:line="252" w:lineRule="auto"/>
        <w:contextualSpacing/>
        <w:jc w:val="both"/>
        <w:rPr>
          <w:rFonts w:ascii="Times New Roman" w:eastAsia="Times New Roman" w:hAnsi="Times New Roman" w:cs="Times New Roman"/>
          <w:color w:val="000000"/>
          <w:sz w:val="24"/>
          <w:szCs w:val="24"/>
          <w14:ligatures w14:val="standardContextual"/>
        </w:rPr>
        <w:sectPr w:rsidR="007D5748" w:rsidRPr="00F72B09" w:rsidSect="002B63FD">
          <w:headerReference w:type="even"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r w:rsidRPr="00F72B09">
        <w:rPr>
          <w:rFonts w:ascii="Times New Roman" w:eastAsia="Times New Roman" w:hAnsi="Times New Roman" w:cs="Times New Roman"/>
          <w:color w:val="000000"/>
          <w:sz w:val="24"/>
          <w:szCs w:val="24"/>
          <w14:ligatures w14:val="standardContextual"/>
        </w:rPr>
        <w:t>Informačný systém jednotného výberu poistného, Informačný systém starobného dôchodkového sporenia a elektronické komu</w:t>
      </w:r>
      <w:r w:rsidR="00F72B09">
        <w:rPr>
          <w:rFonts w:ascii="Times New Roman" w:eastAsia="Times New Roman" w:hAnsi="Times New Roman" w:cs="Times New Roman"/>
          <w:color w:val="000000"/>
          <w:sz w:val="24"/>
          <w:szCs w:val="24"/>
          <w14:ligatures w14:val="standardContextual"/>
        </w:rPr>
        <w:t>nikačné prostredie – 0,82 mil. e</w:t>
      </w:r>
      <w:r w:rsidRPr="00F72B09">
        <w:rPr>
          <w:rFonts w:ascii="Times New Roman" w:eastAsia="Times New Roman" w:hAnsi="Times New Roman" w:cs="Times New Roman"/>
          <w:color w:val="000000"/>
          <w:sz w:val="24"/>
          <w:szCs w:val="24"/>
          <w14:ligatures w14:val="standardContextual"/>
        </w:rPr>
        <w:t>ur</w:t>
      </w:r>
      <w:r w:rsidR="00F72B09">
        <w:rPr>
          <w:rFonts w:ascii="Times New Roman" w:eastAsia="Times New Roman" w:hAnsi="Times New Roman" w:cs="Times New Roman"/>
          <w:color w:val="000000"/>
          <w:sz w:val="24"/>
          <w:szCs w:val="24"/>
          <w14:ligatures w14:val="standardContextual"/>
        </w:rPr>
        <w:t>.</w:t>
      </w:r>
    </w:p>
    <w:p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6D659E"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6D659E" w:rsidRDefault="003408F5"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6D659E" w:rsidRDefault="003408F5"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V</w:t>
            </w:r>
            <w:r w:rsidR="00FA5928" w:rsidRPr="006D659E">
              <w:rPr>
                <w:rFonts w:ascii="Times New Roman" w:eastAsia="Times New Roman" w:hAnsi="Times New Roman" w:cs="Times New Roman"/>
                <w:b/>
                <w:bCs/>
                <w:sz w:val="20"/>
                <w:szCs w:val="20"/>
                <w:lang w:eastAsia="sk-SK"/>
              </w:rPr>
              <w:t>plyv na rozpočet Sociálnej poisťovne</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6D659E" w:rsidRDefault="003408F5"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poznámka</w:t>
            </w:r>
          </w:p>
        </w:tc>
      </w:tr>
      <w:tr w:rsidR="003408F5" w:rsidRPr="006D659E"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408F5" w:rsidRPr="006D659E" w:rsidRDefault="003408F5" w:rsidP="003408F5">
            <w:pPr>
              <w:spacing w:after="0" w:line="240" w:lineRule="auto"/>
              <w:rPr>
                <w:rFonts w:ascii="Times New Roman" w:eastAsia="Times New Roman" w:hAnsi="Times New Roman" w:cs="Times New Roman"/>
                <w:b/>
                <w:bCs/>
                <w:color w:val="FFFFFF"/>
                <w:sz w:val="20"/>
                <w:szCs w:val="20"/>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6D659E" w:rsidRDefault="00FA5928"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6D659E" w:rsidRDefault="00FA5928"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6D659E" w:rsidRDefault="00FA5928"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6D659E" w:rsidRDefault="00FA5928" w:rsidP="003408F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3408F5" w:rsidRPr="006D659E" w:rsidRDefault="003408F5" w:rsidP="003408F5">
            <w:pPr>
              <w:spacing w:after="0" w:line="240" w:lineRule="auto"/>
              <w:rPr>
                <w:rFonts w:ascii="Times New Roman" w:eastAsia="Times New Roman" w:hAnsi="Times New Roman" w:cs="Times New Roman"/>
                <w:b/>
                <w:bCs/>
                <w:color w:val="FFFFFF"/>
                <w:sz w:val="20"/>
                <w:szCs w:val="20"/>
                <w:lang w:eastAsia="sk-SK"/>
              </w:rPr>
            </w:pPr>
          </w:p>
        </w:tc>
      </w:tr>
      <w:tr w:rsidR="00B83425" w:rsidRPr="006D659E" w:rsidTr="00B263BD">
        <w:trPr>
          <w:trHeight w:val="255"/>
        </w:trPr>
        <w:tc>
          <w:tcPr>
            <w:tcW w:w="4950" w:type="dxa"/>
            <w:tcBorders>
              <w:top w:val="nil"/>
              <w:left w:val="single" w:sz="4" w:space="0" w:color="auto"/>
              <w:bottom w:val="single" w:sz="4" w:space="0" w:color="auto"/>
              <w:right w:val="single" w:sz="4" w:space="0" w:color="auto"/>
            </w:tcBorders>
          </w:tcPr>
          <w:p w:rsidR="00B83425" w:rsidRPr="006D659E" w:rsidRDefault="00B83425" w:rsidP="00B83425">
            <w:pPr>
              <w:spacing w:after="0" w:line="240" w:lineRule="auto"/>
              <w:rPr>
                <w:rFonts w:ascii="Times New Roman" w:eastAsia="Times New Roman" w:hAnsi="Times New Roman" w:cs="Times New Roman"/>
                <w:b/>
                <w:bCs/>
                <w:sz w:val="20"/>
                <w:szCs w:val="20"/>
                <w:vertAlign w:val="superscript"/>
                <w:lang w:eastAsia="sk-SK"/>
              </w:rPr>
            </w:pPr>
            <w:r w:rsidRPr="006D659E">
              <w:rPr>
                <w:rFonts w:ascii="Times New Roman" w:eastAsia="Times New Roman" w:hAnsi="Times New Roman" w:cs="Times New Roman"/>
                <w:b/>
                <w:bCs/>
                <w:sz w:val="20"/>
                <w:szCs w:val="20"/>
                <w:lang w:eastAsia="sk-SK"/>
              </w:rPr>
              <w:t>Daňové príjmy (100)</w:t>
            </w:r>
            <w:r w:rsidRPr="006D659E">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B83425" w:rsidRPr="006D659E" w:rsidRDefault="00B83425" w:rsidP="00B8342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B83425" w:rsidRPr="00B83425" w:rsidRDefault="00383F24" w:rsidP="00B8342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single" w:sz="4" w:space="0" w:color="auto"/>
              <w:left w:val="nil"/>
              <w:bottom w:val="single" w:sz="4" w:space="0" w:color="auto"/>
              <w:right w:val="single" w:sz="4" w:space="0" w:color="auto"/>
            </w:tcBorders>
            <w:shd w:val="clear" w:color="auto" w:fill="auto"/>
            <w:vAlign w:val="bottom"/>
          </w:tcPr>
          <w:p w:rsidR="00B83425" w:rsidRPr="00B83425" w:rsidRDefault="00383F24" w:rsidP="00B8342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single" w:sz="4" w:space="0" w:color="auto"/>
              <w:left w:val="nil"/>
              <w:bottom w:val="single" w:sz="4" w:space="0" w:color="auto"/>
              <w:right w:val="single" w:sz="4" w:space="0" w:color="auto"/>
            </w:tcBorders>
            <w:shd w:val="clear" w:color="auto" w:fill="auto"/>
            <w:vAlign w:val="bottom"/>
          </w:tcPr>
          <w:p w:rsidR="00B83425" w:rsidRPr="00B83425" w:rsidRDefault="00383F24" w:rsidP="00B8342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B83425" w:rsidRPr="006D659E" w:rsidRDefault="00B83425" w:rsidP="00383F24">
            <w:pPr>
              <w:spacing w:after="0" w:line="240" w:lineRule="auto"/>
              <w:jc w:val="center"/>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 xml:space="preserve"> </w:t>
            </w:r>
          </w:p>
        </w:tc>
      </w:tr>
      <w:tr w:rsidR="00B83425" w:rsidRPr="006D659E" w:rsidTr="00E03640">
        <w:trPr>
          <w:trHeight w:val="255"/>
        </w:trPr>
        <w:tc>
          <w:tcPr>
            <w:tcW w:w="4950" w:type="dxa"/>
            <w:tcBorders>
              <w:top w:val="nil"/>
              <w:left w:val="single" w:sz="4" w:space="0" w:color="auto"/>
              <w:bottom w:val="single" w:sz="4" w:space="0" w:color="auto"/>
              <w:right w:val="single" w:sz="4" w:space="0" w:color="auto"/>
            </w:tcBorders>
          </w:tcPr>
          <w:p w:rsidR="00B83425" w:rsidRPr="006D659E" w:rsidRDefault="00B83425" w:rsidP="00B83425">
            <w:pPr>
              <w:spacing w:after="0" w:line="240" w:lineRule="auto"/>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Nedaňové príjmy (200)</w:t>
            </w:r>
            <w:r w:rsidRPr="006D659E">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B83425" w:rsidRPr="006D659E" w:rsidRDefault="00B83425" w:rsidP="00B8342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B83425" w:rsidRPr="006D659E" w:rsidRDefault="00B83425" w:rsidP="00B8342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B83425" w:rsidRPr="006D659E" w:rsidRDefault="00B83425" w:rsidP="00B8342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B83425" w:rsidRPr="006D659E" w:rsidRDefault="00B83425" w:rsidP="00B83425">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B83425" w:rsidRPr="006D659E" w:rsidRDefault="00B83425" w:rsidP="00B83425">
            <w:pPr>
              <w:spacing w:after="0" w:line="240" w:lineRule="auto"/>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p>
        </w:tc>
      </w:tr>
      <w:tr w:rsidR="00EB7255" w:rsidRPr="006D659E" w:rsidTr="00E93DBE">
        <w:trPr>
          <w:trHeight w:val="255"/>
        </w:trPr>
        <w:tc>
          <w:tcPr>
            <w:tcW w:w="4950" w:type="dxa"/>
            <w:tcBorders>
              <w:top w:val="nil"/>
              <w:left w:val="single" w:sz="4" w:space="0" w:color="auto"/>
              <w:bottom w:val="single" w:sz="4" w:space="0" w:color="auto"/>
              <w:right w:val="single" w:sz="4" w:space="0" w:color="auto"/>
            </w:tcBorders>
          </w:tcPr>
          <w:p w:rsidR="00EB7255" w:rsidRPr="006D659E" w:rsidRDefault="00EB7255" w:rsidP="00EB7255">
            <w:pPr>
              <w:spacing w:after="0" w:line="240" w:lineRule="auto"/>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Granty a transfery (300)</w:t>
            </w:r>
            <w:r w:rsidRPr="006D659E">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EB7255" w:rsidRPr="006D659E" w:rsidRDefault="00EB7255" w:rsidP="00EB725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tcPr>
          <w:p w:rsidR="00EB7255" w:rsidRPr="00515185" w:rsidRDefault="00E65183" w:rsidP="00EB725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tcPr>
          <w:p w:rsidR="00EB7255" w:rsidRPr="00515185" w:rsidRDefault="00E65183" w:rsidP="00EB725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tcPr>
          <w:p w:rsidR="00EB7255" w:rsidRPr="00515185" w:rsidRDefault="00E65183" w:rsidP="00EB7255">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EB7255" w:rsidRPr="006D659E" w:rsidRDefault="00EB7255" w:rsidP="00EB7255">
            <w:pPr>
              <w:spacing w:after="0" w:line="240" w:lineRule="auto"/>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p>
        </w:tc>
      </w:tr>
      <w:tr w:rsidR="00EB7255" w:rsidRPr="006D659E" w:rsidTr="00515185">
        <w:trPr>
          <w:trHeight w:val="255"/>
        </w:trPr>
        <w:tc>
          <w:tcPr>
            <w:tcW w:w="4950" w:type="dxa"/>
            <w:tcBorders>
              <w:top w:val="nil"/>
              <w:left w:val="single" w:sz="4" w:space="0" w:color="auto"/>
              <w:bottom w:val="single" w:sz="4" w:space="0" w:color="auto"/>
              <w:right w:val="single" w:sz="4" w:space="0" w:color="auto"/>
            </w:tcBorders>
          </w:tcPr>
          <w:p w:rsidR="00EB7255" w:rsidRPr="006D659E" w:rsidRDefault="00EB7255" w:rsidP="00EB7255">
            <w:pPr>
              <w:spacing w:after="0" w:line="240" w:lineRule="auto"/>
              <w:rPr>
                <w:rFonts w:ascii="Times New Roman" w:eastAsia="Times New Roman" w:hAnsi="Times New Roman" w:cs="Times New Roman"/>
                <w:bCs/>
                <w:i/>
                <w:sz w:val="20"/>
                <w:szCs w:val="20"/>
                <w:lang w:eastAsia="sk-SK"/>
              </w:rPr>
            </w:pPr>
            <w:r w:rsidRPr="006D659E">
              <w:rPr>
                <w:rFonts w:ascii="Times New Roman" w:eastAsia="Times New Roman" w:hAnsi="Times New Roman" w:cs="Times New Roman"/>
                <w:bCs/>
                <w:i/>
                <w:sz w:val="20"/>
                <w:szCs w:val="20"/>
                <w:lang w:eastAsia="sk-SK"/>
              </w:rPr>
              <w:t>z toho</w:t>
            </w:r>
            <w:r>
              <w:rPr>
                <w:rFonts w:ascii="Times New Roman" w:eastAsia="Times New Roman" w:hAnsi="Times New Roman" w:cs="Times New Roman"/>
                <w:bCs/>
                <w:i/>
                <w:sz w:val="20"/>
                <w:szCs w:val="20"/>
                <w:lang w:eastAsia="sk-SK"/>
              </w:rPr>
              <w:t>:</w:t>
            </w:r>
            <w:r w:rsidRPr="006D659E">
              <w:rPr>
                <w:rFonts w:ascii="Times New Roman" w:eastAsia="Times New Roman" w:hAnsi="Times New Roman" w:cs="Times New Roman"/>
                <w:bCs/>
                <w:i/>
                <w:sz w:val="20"/>
                <w:szCs w:val="20"/>
                <w:lang w:eastAsia="sk-SK"/>
              </w:rPr>
              <w:t xml:space="preserve"> transfery v rámci verejnej správy (322)</w:t>
            </w:r>
          </w:p>
        </w:tc>
        <w:tc>
          <w:tcPr>
            <w:tcW w:w="1500" w:type="dxa"/>
            <w:tcBorders>
              <w:top w:val="nil"/>
              <w:left w:val="nil"/>
              <w:bottom w:val="single" w:sz="4" w:space="0" w:color="auto"/>
              <w:right w:val="single" w:sz="4" w:space="0" w:color="auto"/>
            </w:tcBorders>
            <w:vAlign w:val="center"/>
          </w:tcPr>
          <w:p w:rsidR="00EB7255" w:rsidRPr="00733F24" w:rsidRDefault="00EB7255" w:rsidP="00EB7255">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EB7255" w:rsidRPr="00733F24" w:rsidRDefault="00EB7255" w:rsidP="00EB7255">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-471 989 996</w:t>
            </w:r>
          </w:p>
        </w:tc>
        <w:tc>
          <w:tcPr>
            <w:tcW w:w="1500" w:type="dxa"/>
            <w:tcBorders>
              <w:top w:val="single" w:sz="4" w:space="0" w:color="auto"/>
              <w:left w:val="nil"/>
              <w:bottom w:val="single" w:sz="4" w:space="0" w:color="auto"/>
              <w:right w:val="single" w:sz="4" w:space="0" w:color="auto"/>
            </w:tcBorders>
            <w:shd w:val="clear" w:color="auto" w:fill="auto"/>
          </w:tcPr>
          <w:p w:rsidR="00EB7255" w:rsidRPr="00733F24" w:rsidRDefault="00EB7255" w:rsidP="00EB7255">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-497 450 065</w:t>
            </w:r>
          </w:p>
        </w:tc>
        <w:tc>
          <w:tcPr>
            <w:tcW w:w="1500" w:type="dxa"/>
            <w:tcBorders>
              <w:top w:val="single" w:sz="4" w:space="0" w:color="auto"/>
              <w:left w:val="nil"/>
              <w:bottom w:val="single" w:sz="4" w:space="0" w:color="auto"/>
              <w:right w:val="single" w:sz="4" w:space="0" w:color="auto"/>
            </w:tcBorders>
            <w:shd w:val="clear" w:color="auto" w:fill="auto"/>
          </w:tcPr>
          <w:p w:rsidR="00EB7255" w:rsidRPr="00733F24" w:rsidRDefault="00EB7255" w:rsidP="00EB7255">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-523 750 661</w:t>
            </w:r>
          </w:p>
        </w:tc>
        <w:tc>
          <w:tcPr>
            <w:tcW w:w="3000" w:type="dxa"/>
            <w:tcBorders>
              <w:top w:val="nil"/>
              <w:left w:val="nil"/>
              <w:bottom w:val="single" w:sz="4" w:space="0" w:color="auto"/>
              <w:right w:val="single" w:sz="4" w:space="0" w:color="auto"/>
            </w:tcBorders>
            <w:noWrap/>
            <w:vAlign w:val="bottom"/>
          </w:tcPr>
          <w:p w:rsidR="00EB7255" w:rsidRPr="006D659E" w:rsidRDefault="00EB7255" w:rsidP="00EB7255">
            <w:pPr>
              <w:spacing w:after="0" w:line="240" w:lineRule="auto"/>
              <w:jc w:val="center"/>
              <w:rPr>
                <w:rFonts w:ascii="Times New Roman" w:eastAsia="Times New Roman" w:hAnsi="Times New Roman" w:cs="Times New Roman"/>
                <w:sz w:val="20"/>
                <w:szCs w:val="20"/>
                <w:lang w:eastAsia="sk-SK"/>
              </w:rPr>
            </w:pPr>
          </w:p>
        </w:tc>
      </w:tr>
      <w:tr w:rsidR="00E65183" w:rsidRPr="006D659E" w:rsidTr="00515185">
        <w:trPr>
          <w:trHeight w:val="255"/>
        </w:trPr>
        <w:tc>
          <w:tcPr>
            <w:tcW w:w="4950" w:type="dxa"/>
            <w:tcBorders>
              <w:top w:val="nil"/>
              <w:left w:val="single" w:sz="4" w:space="0" w:color="auto"/>
              <w:bottom w:val="single" w:sz="4" w:space="0" w:color="auto"/>
              <w:right w:val="single" w:sz="4" w:space="0" w:color="auto"/>
            </w:tcBorders>
          </w:tcPr>
          <w:p w:rsidR="00E65183" w:rsidRPr="006D659E" w:rsidRDefault="00E65183" w:rsidP="00E65183">
            <w:pPr>
              <w:spacing w:after="0" w:line="240" w:lineRule="auto"/>
              <w:rPr>
                <w:rFonts w:ascii="Times New Roman" w:eastAsia="Times New Roman" w:hAnsi="Times New Roman" w:cs="Times New Roman"/>
                <w:bCs/>
                <w:i/>
                <w:sz w:val="20"/>
                <w:szCs w:val="20"/>
                <w:lang w:eastAsia="sk-SK"/>
              </w:rPr>
            </w:pPr>
            <w:r w:rsidRPr="006D659E">
              <w:rPr>
                <w:rFonts w:ascii="Times New Roman" w:eastAsia="Times New Roman" w:hAnsi="Times New Roman" w:cs="Times New Roman"/>
                <w:bCs/>
                <w:i/>
                <w:sz w:val="20"/>
                <w:szCs w:val="20"/>
                <w:lang w:eastAsia="sk-SK"/>
              </w:rPr>
              <w:t>z toho</w:t>
            </w:r>
            <w:r>
              <w:rPr>
                <w:rFonts w:ascii="Times New Roman" w:eastAsia="Times New Roman" w:hAnsi="Times New Roman" w:cs="Times New Roman"/>
                <w:bCs/>
                <w:i/>
                <w:sz w:val="20"/>
                <w:szCs w:val="20"/>
                <w:lang w:eastAsia="sk-SK"/>
              </w:rPr>
              <w:t>:</w:t>
            </w:r>
            <w:r w:rsidRPr="006D659E">
              <w:rPr>
                <w:rFonts w:ascii="Times New Roman" w:eastAsia="Times New Roman" w:hAnsi="Times New Roman" w:cs="Times New Roman"/>
                <w:bCs/>
                <w:i/>
                <w:sz w:val="20"/>
                <w:szCs w:val="20"/>
                <w:lang w:eastAsia="sk-SK"/>
              </w:rPr>
              <w:t xml:space="preserve"> transfery v rámci verejnej správy (322)</w:t>
            </w:r>
          </w:p>
        </w:tc>
        <w:tc>
          <w:tcPr>
            <w:tcW w:w="1500" w:type="dxa"/>
            <w:tcBorders>
              <w:top w:val="nil"/>
              <w:left w:val="nil"/>
              <w:bottom w:val="single" w:sz="4" w:space="0" w:color="auto"/>
              <w:right w:val="single" w:sz="4" w:space="0" w:color="auto"/>
            </w:tcBorders>
            <w:vAlign w:val="center"/>
          </w:tcPr>
          <w:p w:rsidR="00E65183" w:rsidRPr="00733F24" w:rsidRDefault="00E65183" w:rsidP="00E65183">
            <w:pPr>
              <w:spacing w:after="0" w:line="240" w:lineRule="auto"/>
              <w:jc w:val="center"/>
              <w:rPr>
                <w:rFonts w:ascii="Times New Roman" w:eastAsia="Times New Roman" w:hAnsi="Times New Roman" w:cs="Times New Roman"/>
                <w:bCs/>
                <w:i/>
                <w:sz w:val="20"/>
                <w:szCs w:val="20"/>
                <w:lang w:eastAsia="sk-SK"/>
              </w:rPr>
            </w:pPr>
            <w:r>
              <w:rPr>
                <w:rFonts w:ascii="Times New Roman" w:eastAsia="Times New Roman" w:hAnsi="Times New Roman" w:cs="Times New Roman"/>
                <w:bCs/>
                <w:i/>
                <w:sz w:val="20"/>
                <w:szCs w:val="20"/>
                <w:lang w:eastAsia="sk-SK"/>
              </w:rPr>
              <w:t>0</w:t>
            </w:r>
          </w:p>
        </w:tc>
        <w:tc>
          <w:tcPr>
            <w:tcW w:w="1500" w:type="dxa"/>
            <w:tcBorders>
              <w:top w:val="single" w:sz="4" w:space="0" w:color="auto"/>
              <w:left w:val="single" w:sz="4" w:space="0" w:color="auto"/>
              <w:bottom w:val="single" w:sz="4" w:space="0" w:color="auto"/>
              <w:right w:val="single" w:sz="4" w:space="0" w:color="auto"/>
            </w:tcBorders>
            <w:shd w:val="clear" w:color="auto" w:fill="auto"/>
          </w:tcPr>
          <w:p w:rsidR="00E65183" w:rsidRPr="00733F24" w:rsidRDefault="00E65183" w:rsidP="00E65183">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471 989 996</w:t>
            </w:r>
          </w:p>
        </w:tc>
        <w:tc>
          <w:tcPr>
            <w:tcW w:w="1500" w:type="dxa"/>
            <w:tcBorders>
              <w:top w:val="single" w:sz="4" w:space="0" w:color="auto"/>
              <w:left w:val="nil"/>
              <w:bottom w:val="single" w:sz="4" w:space="0" w:color="auto"/>
              <w:right w:val="single" w:sz="4" w:space="0" w:color="auto"/>
            </w:tcBorders>
            <w:shd w:val="clear" w:color="auto" w:fill="auto"/>
          </w:tcPr>
          <w:p w:rsidR="00E65183" w:rsidRPr="00733F24" w:rsidRDefault="00E65183" w:rsidP="00E65183">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497 450 065</w:t>
            </w:r>
          </w:p>
        </w:tc>
        <w:tc>
          <w:tcPr>
            <w:tcW w:w="1500" w:type="dxa"/>
            <w:tcBorders>
              <w:top w:val="single" w:sz="4" w:space="0" w:color="auto"/>
              <w:left w:val="nil"/>
              <w:bottom w:val="single" w:sz="4" w:space="0" w:color="auto"/>
              <w:right w:val="single" w:sz="4" w:space="0" w:color="auto"/>
            </w:tcBorders>
            <w:shd w:val="clear" w:color="auto" w:fill="auto"/>
          </w:tcPr>
          <w:p w:rsidR="00E65183" w:rsidRPr="00733F24" w:rsidRDefault="00E65183" w:rsidP="00E65183">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523 750 661</w:t>
            </w:r>
          </w:p>
        </w:tc>
        <w:tc>
          <w:tcPr>
            <w:tcW w:w="3000" w:type="dxa"/>
            <w:tcBorders>
              <w:top w:val="nil"/>
              <w:left w:val="nil"/>
              <w:bottom w:val="single" w:sz="4" w:space="0" w:color="auto"/>
              <w:right w:val="single" w:sz="4" w:space="0" w:color="auto"/>
            </w:tcBorders>
            <w:noWrap/>
            <w:vAlign w:val="bottom"/>
          </w:tcPr>
          <w:p w:rsidR="00E65183" w:rsidRPr="006D659E" w:rsidRDefault="00E65183" w:rsidP="00E65183">
            <w:pPr>
              <w:spacing w:after="0" w:line="240" w:lineRule="auto"/>
              <w:jc w:val="center"/>
              <w:rPr>
                <w:rFonts w:ascii="Times New Roman" w:eastAsia="Times New Roman" w:hAnsi="Times New Roman" w:cs="Times New Roman"/>
                <w:sz w:val="20"/>
                <w:szCs w:val="20"/>
                <w:lang w:eastAsia="sk-SK"/>
              </w:rPr>
            </w:pPr>
          </w:p>
        </w:tc>
      </w:tr>
      <w:tr w:rsidR="00E65183" w:rsidRPr="006D659E" w:rsidTr="00E03640">
        <w:trPr>
          <w:trHeight w:val="255"/>
        </w:trPr>
        <w:tc>
          <w:tcPr>
            <w:tcW w:w="4950" w:type="dxa"/>
            <w:tcBorders>
              <w:top w:val="nil"/>
              <w:left w:val="single" w:sz="4" w:space="0" w:color="auto"/>
              <w:bottom w:val="single" w:sz="4" w:space="0" w:color="auto"/>
              <w:right w:val="single" w:sz="4" w:space="0" w:color="auto"/>
            </w:tcBorders>
          </w:tcPr>
          <w:p w:rsidR="00E65183" w:rsidRPr="006D659E" w:rsidRDefault="00E65183" w:rsidP="00E65183">
            <w:pPr>
              <w:spacing w:after="0" w:line="240" w:lineRule="auto"/>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E65183" w:rsidRPr="006D659E" w:rsidRDefault="00E65183" w:rsidP="00E65183">
            <w:pPr>
              <w:spacing w:after="0" w:line="240" w:lineRule="auto"/>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p>
        </w:tc>
      </w:tr>
      <w:tr w:rsidR="00E65183" w:rsidRPr="006D659E" w:rsidTr="00E03640">
        <w:trPr>
          <w:trHeight w:val="255"/>
        </w:trPr>
        <w:tc>
          <w:tcPr>
            <w:tcW w:w="4950" w:type="dxa"/>
            <w:tcBorders>
              <w:top w:val="nil"/>
              <w:left w:val="single" w:sz="4" w:space="0" w:color="auto"/>
              <w:bottom w:val="single" w:sz="4" w:space="0" w:color="auto"/>
              <w:right w:val="single" w:sz="4" w:space="0" w:color="auto"/>
            </w:tcBorders>
          </w:tcPr>
          <w:p w:rsidR="00E65183" w:rsidRPr="006D659E" w:rsidRDefault="00E65183" w:rsidP="00E65183">
            <w:pPr>
              <w:spacing w:after="0" w:line="240" w:lineRule="auto"/>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auto"/>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E65183" w:rsidRPr="006D659E" w:rsidRDefault="00E65183" w:rsidP="00E65183">
            <w:pPr>
              <w:spacing w:after="0" w:line="240" w:lineRule="auto"/>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p>
        </w:tc>
      </w:tr>
      <w:tr w:rsidR="00E65183" w:rsidRPr="006D659E" w:rsidTr="0051518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E65183" w:rsidRPr="006D659E" w:rsidRDefault="00E65183" w:rsidP="00E65183">
            <w:pPr>
              <w:spacing w:after="0" w:line="240" w:lineRule="auto"/>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sidRPr="006D659E">
              <w:rPr>
                <w:rFonts w:ascii="Times New Roman" w:eastAsia="Times New Roman" w:hAnsi="Times New Roman" w:cs="Times New Roman"/>
                <w:b/>
                <w:bCs/>
                <w:sz w:val="20"/>
                <w:szCs w:val="20"/>
                <w:lang w:eastAsia="sk-SK"/>
              </w:rPr>
              <w:t>0</w:t>
            </w:r>
          </w:p>
        </w:tc>
        <w:tc>
          <w:tcPr>
            <w:tcW w:w="1500" w:type="dxa"/>
            <w:tcBorders>
              <w:top w:val="nil"/>
              <w:left w:val="nil"/>
              <w:bottom w:val="single" w:sz="8" w:space="0" w:color="auto"/>
              <w:right w:val="single" w:sz="8" w:space="0" w:color="auto"/>
            </w:tcBorders>
            <w:shd w:val="clear" w:color="auto" w:fill="BFBFBF" w:themeFill="background1" w:themeFillShade="BF"/>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8" w:space="0" w:color="auto"/>
              <w:right w:val="single" w:sz="8" w:space="0" w:color="auto"/>
            </w:tcBorders>
            <w:shd w:val="clear" w:color="auto" w:fill="BFBFBF" w:themeFill="background1" w:themeFillShade="BF"/>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00" w:type="dxa"/>
            <w:tcBorders>
              <w:top w:val="nil"/>
              <w:left w:val="nil"/>
              <w:bottom w:val="single" w:sz="8" w:space="0" w:color="auto"/>
              <w:right w:val="single" w:sz="8" w:space="0" w:color="auto"/>
            </w:tcBorders>
            <w:shd w:val="clear" w:color="auto" w:fill="BFBFBF" w:themeFill="background1" w:themeFillShade="BF"/>
          </w:tcPr>
          <w:p w:rsidR="00E65183" w:rsidRPr="006D659E" w:rsidRDefault="00E65183" w:rsidP="00E6518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E65183" w:rsidRPr="006D659E" w:rsidRDefault="00E65183" w:rsidP="00E65183">
            <w:pPr>
              <w:spacing w:after="0" w:line="240" w:lineRule="auto"/>
              <w:rPr>
                <w:rFonts w:ascii="Times New Roman" w:eastAsia="Times New Roman" w:hAnsi="Times New Roman" w:cs="Times New Roman"/>
                <w:sz w:val="20"/>
                <w:szCs w:val="20"/>
                <w:lang w:eastAsia="sk-SK"/>
              </w:rPr>
            </w:pPr>
            <w:r w:rsidRPr="006D659E">
              <w:rPr>
                <w:rFonts w:ascii="Times New Roman" w:eastAsia="Times New Roman" w:hAnsi="Times New Roman" w:cs="Times New Roman"/>
                <w:sz w:val="20"/>
                <w:szCs w:val="20"/>
                <w:lang w:eastAsia="sk-SK"/>
              </w:rPr>
              <w:t> </w:t>
            </w:r>
          </w:p>
        </w:tc>
      </w:tr>
    </w:tbl>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440A16" w:rsidRPr="007B7470" w:rsidRDefault="00B801BA" w:rsidP="00697516">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697516">
        <w:rPr>
          <w:rFonts w:ascii="Times New Roman" w:eastAsia="Times New Roman" w:hAnsi="Times New Roman" w:cs="Times New Roman"/>
          <w:bCs/>
          <w:sz w:val="20"/>
          <w:szCs w:val="20"/>
          <w:lang w:eastAsia="sk-SK"/>
        </w:rPr>
        <w:t xml:space="preserve">                  Tabuľka č. 4/A-1</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rsidTr="006D659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40A16" w:rsidRPr="007B7470" w:rsidRDefault="00F20986" w:rsidP="00697516">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1D7E42">
              <w:rPr>
                <w:rFonts w:ascii="Times New Roman" w:eastAsia="Times New Roman" w:hAnsi="Times New Roman" w:cs="Times New Roman"/>
                <w:b/>
                <w:bCs/>
                <w:color w:val="000000" w:themeColor="text1"/>
                <w:sz w:val="20"/>
                <w:szCs w:val="20"/>
                <w:lang w:eastAsia="sk-SK"/>
              </w:rPr>
              <w:t>ýdavky</w:t>
            </w:r>
            <w:r w:rsidR="003408F5" w:rsidRPr="007B7470">
              <w:rPr>
                <w:rFonts w:ascii="Times New Roman" w:eastAsia="Times New Roman" w:hAnsi="Times New Roman" w:cs="Times New Roman"/>
                <w:b/>
                <w:bCs/>
                <w:color w:val="000000" w:themeColor="text1"/>
                <w:sz w:val="20"/>
                <w:szCs w:val="20"/>
                <w:lang w:eastAsia="sk-SK"/>
              </w:rPr>
              <w:t xml:space="preserve"> </w:t>
            </w:r>
            <w:r w:rsidR="00697516">
              <w:rPr>
                <w:rFonts w:ascii="Times New Roman" w:eastAsia="Times New Roman" w:hAnsi="Times New Roman" w:cs="Times New Roman"/>
                <w:b/>
                <w:bCs/>
                <w:color w:val="000000" w:themeColor="text1"/>
                <w:sz w:val="20"/>
                <w:szCs w:val="20"/>
                <w:lang w:eastAsia="sk-SK"/>
              </w:rPr>
              <w:t>(v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440A16" w:rsidRPr="007B7470" w:rsidRDefault="00440A16" w:rsidP="001D7E42">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 xml:space="preserve">plyv na </w:t>
            </w:r>
            <w:r w:rsidR="001D7E42">
              <w:rPr>
                <w:rFonts w:ascii="Times New Roman" w:eastAsia="Times New Roman" w:hAnsi="Times New Roman" w:cs="Times New Roman"/>
                <w:b/>
                <w:bCs/>
                <w:color w:val="000000" w:themeColor="text1"/>
                <w:sz w:val="20"/>
                <w:szCs w:val="20"/>
                <w:lang w:eastAsia="sk-SK"/>
              </w:rPr>
              <w:t>rozpočet</w:t>
            </w:r>
            <w:r w:rsidR="001D7E42" w:rsidRPr="007B7470">
              <w:rPr>
                <w:rFonts w:ascii="Times New Roman" w:eastAsia="Times New Roman" w:hAnsi="Times New Roman" w:cs="Times New Roman"/>
                <w:b/>
                <w:bCs/>
                <w:color w:val="000000" w:themeColor="text1"/>
                <w:sz w:val="20"/>
                <w:szCs w:val="20"/>
                <w:lang w:eastAsia="sk-SK"/>
              </w:rPr>
              <w:t xml:space="preserve"> </w:t>
            </w:r>
            <w:r w:rsidR="003408F5" w:rsidRPr="007B7470">
              <w:rPr>
                <w:rFonts w:ascii="Times New Roman" w:eastAsia="Times New Roman" w:hAnsi="Times New Roman" w:cs="Times New Roman"/>
                <w:b/>
                <w:bCs/>
                <w:color w:val="000000" w:themeColor="text1"/>
                <w:sz w:val="20"/>
                <w:szCs w:val="20"/>
                <w:lang w:eastAsia="sk-SK"/>
              </w:rPr>
              <w:t xml:space="preserve"> verejnej správy</w:t>
            </w:r>
            <w:r w:rsidR="00E82EB8">
              <w:rPr>
                <w:rFonts w:ascii="Times New Roman" w:eastAsia="Times New Roman" w:hAnsi="Times New Roman" w:cs="Times New Roman"/>
                <w:b/>
                <w:bCs/>
                <w:color w:val="000000" w:themeColor="text1"/>
                <w:sz w:val="20"/>
                <w:szCs w:val="20"/>
                <w:lang w:eastAsia="sk-SK"/>
              </w:rPr>
              <w:t xml:space="preserve"> </w:t>
            </w:r>
            <w:r w:rsidR="00E82EB8">
              <w:rPr>
                <w:rFonts w:ascii="Times New Roman" w:eastAsia="Times New Roman" w:hAnsi="Times New Roman" w:cs="Times New Roman"/>
                <w:b/>
                <w:bCs/>
                <w:color w:val="000000" w:themeColor="text1"/>
                <w:sz w:val="20"/>
                <w:szCs w:val="20"/>
                <w:lang w:eastAsia="sk-SK"/>
              </w:rPr>
              <w:br/>
              <w:t>(kapitola MPSVR SR)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0A16" w:rsidRPr="007B7470" w:rsidRDefault="00440A16" w:rsidP="006D659E">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38C0" w:rsidRPr="007B7470" w:rsidTr="006D659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440A16" w:rsidRPr="007B7470" w:rsidRDefault="00E82EB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440A16" w:rsidRPr="007B7470" w:rsidRDefault="00E82EB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40A16" w:rsidRPr="007B7470" w:rsidRDefault="00E82EB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440A16" w:rsidRPr="00E82EB8" w:rsidRDefault="00E82EB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sidRPr="00E82EB8">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440A16" w:rsidRPr="007B7470" w:rsidRDefault="00440A16" w:rsidP="006D659E">
            <w:pPr>
              <w:spacing w:after="0" w:line="240" w:lineRule="auto"/>
              <w:jc w:val="center"/>
              <w:rPr>
                <w:rFonts w:ascii="Times New Roman" w:eastAsia="Times New Roman" w:hAnsi="Times New Roman" w:cs="Times New Roman"/>
                <w:b/>
                <w:bCs/>
                <w:color w:val="000000" w:themeColor="text1"/>
                <w:sz w:val="24"/>
                <w:szCs w:val="24"/>
                <w:lang w:eastAsia="sk-SK"/>
              </w:rPr>
            </w:pPr>
          </w:p>
        </w:tc>
      </w:tr>
      <w:tr w:rsidR="004E2A12" w:rsidRPr="007B7470" w:rsidTr="004E2A12">
        <w:trPr>
          <w:trHeight w:val="255"/>
        </w:trPr>
        <w:tc>
          <w:tcPr>
            <w:tcW w:w="7070" w:type="dxa"/>
            <w:tcBorders>
              <w:top w:val="nil"/>
              <w:left w:val="single" w:sz="4" w:space="0" w:color="auto"/>
              <w:bottom w:val="single" w:sz="4" w:space="0" w:color="auto"/>
              <w:right w:val="single" w:sz="4" w:space="0" w:color="auto"/>
            </w:tcBorders>
          </w:tcPr>
          <w:p w:rsidR="004E2A12" w:rsidRPr="007B7470" w:rsidRDefault="004E2A12" w:rsidP="004E2A1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6D659E">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-520 452 195</w:t>
            </w:r>
          </w:p>
        </w:tc>
        <w:tc>
          <w:tcPr>
            <w:tcW w:w="154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-548 787 478</w:t>
            </w:r>
          </w:p>
        </w:tc>
        <w:tc>
          <w:tcPr>
            <w:tcW w:w="154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-578 370 570</w:t>
            </w:r>
          </w:p>
        </w:tc>
        <w:tc>
          <w:tcPr>
            <w:tcW w:w="1649" w:type="dxa"/>
            <w:tcBorders>
              <w:top w:val="nil"/>
              <w:left w:val="nil"/>
              <w:bottom w:val="single" w:sz="4" w:space="0" w:color="auto"/>
              <w:right w:val="single" w:sz="4" w:space="0" w:color="auto"/>
            </w:tcBorders>
            <w:noWrap/>
            <w:vAlign w:val="center"/>
          </w:tcPr>
          <w:p w:rsidR="004E2A12" w:rsidRPr="006D659E" w:rsidRDefault="004E2A12" w:rsidP="004E2A12">
            <w:pPr>
              <w:spacing w:after="0" w:line="240" w:lineRule="auto"/>
              <w:jc w:val="center"/>
              <w:rPr>
                <w:rFonts w:ascii="Times New Roman" w:eastAsia="Times New Roman" w:hAnsi="Times New Roman" w:cs="Times New Roman"/>
                <w:color w:val="000000" w:themeColor="text1"/>
                <w:sz w:val="20"/>
                <w:szCs w:val="20"/>
                <w:lang w:eastAsia="sk-SK"/>
              </w:rPr>
            </w:pPr>
          </w:p>
        </w:tc>
      </w:tr>
      <w:tr w:rsidR="00A738C0" w:rsidRPr="007B7470" w:rsidTr="006D659E">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440A16" w:rsidRPr="006D659E" w:rsidRDefault="00440A16"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A738C0" w:rsidRPr="007B7470" w:rsidTr="006D659E">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440A16" w:rsidRPr="006D659E" w:rsidRDefault="00440A16"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A738C0" w:rsidRPr="007B7470" w:rsidTr="006D659E">
        <w:trPr>
          <w:trHeight w:val="255"/>
        </w:trPr>
        <w:tc>
          <w:tcPr>
            <w:tcW w:w="7070" w:type="dxa"/>
            <w:tcBorders>
              <w:top w:val="nil"/>
              <w:left w:val="single" w:sz="4" w:space="0" w:color="auto"/>
              <w:bottom w:val="single" w:sz="4" w:space="0" w:color="auto"/>
              <w:right w:val="single" w:sz="4" w:space="0" w:color="auto"/>
            </w:tcBorders>
          </w:tcPr>
          <w:p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40A16"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440A16" w:rsidRPr="006D659E" w:rsidRDefault="00440A16"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515185" w:rsidRPr="007B7470" w:rsidTr="00837E5E">
        <w:trPr>
          <w:trHeight w:val="255"/>
        </w:trPr>
        <w:tc>
          <w:tcPr>
            <w:tcW w:w="7070" w:type="dxa"/>
            <w:tcBorders>
              <w:top w:val="nil"/>
              <w:left w:val="single" w:sz="4" w:space="0" w:color="auto"/>
              <w:bottom w:val="single" w:sz="4" w:space="0" w:color="auto"/>
              <w:right w:val="single" w:sz="4" w:space="0" w:color="auto"/>
            </w:tcBorders>
          </w:tcPr>
          <w:p w:rsidR="00515185" w:rsidRPr="007B7470" w:rsidRDefault="00515185" w:rsidP="00515185">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r>
              <w:rPr>
                <w:rFonts w:ascii="Times New Roman" w:eastAsia="Times New Roman" w:hAnsi="Times New Roman" w:cs="Times New Roman"/>
                <w:color w:val="000000" w:themeColor="text1"/>
                <w:sz w:val="20"/>
                <w:szCs w:val="20"/>
                <w:vertAlign w:val="superscript"/>
                <w:lang w:eastAsia="sk-SK"/>
              </w:rPr>
              <w:t xml:space="preserve"> </w:t>
            </w:r>
          </w:p>
        </w:tc>
        <w:tc>
          <w:tcPr>
            <w:tcW w:w="1430" w:type="dxa"/>
            <w:tcBorders>
              <w:top w:val="nil"/>
              <w:left w:val="nil"/>
              <w:bottom w:val="single" w:sz="4" w:space="0" w:color="auto"/>
              <w:right w:val="single" w:sz="4" w:space="0" w:color="auto"/>
            </w:tcBorders>
            <w:vAlign w:val="center"/>
          </w:tcPr>
          <w:p w:rsidR="00515185" w:rsidRPr="006D659E" w:rsidRDefault="00515185" w:rsidP="00515185">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515185" w:rsidRPr="005C7E95" w:rsidRDefault="00515185" w:rsidP="00837E5E">
            <w:pPr>
              <w:spacing w:after="0" w:line="240" w:lineRule="auto"/>
              <w:jc w:val="center"/>
              <w:rPr>
                <w:rFonts w:ascii="Times New Roman" w:eastAsia="Times New Roman" w:hAnsi="Times New Roman" w:cs="Times New Roman"/>
                <w:color w:val="000000" w:themeColor="text1"/>
                <w:sz w:val="20"/>
                <w:szCs w:val="20"/>
                <w:lang w:eastAsia="sk-SK"/>
              </w:rPr>
            </w:pPr>
            <w:r w:rsidRPr="00515185">
              <w:rPr>
                <w:rFonts w:ascii="Times New Roman" w:eastAsia="Times New Roman" w:hAnsi="Times New Roman" w:cs="Times New Roman"/>
                <w:color w:val="000000" w:themeColor="text1"/>
                <w:sz w:val="20"/>
                <w:szCs w:val="20"/>
                <w:lang w:eastAsia="sk-SK"/>
              </w:rPr>
              <w:t>-520 452 195</w:t>
            </w:r>
          </w:p>
        </w:tc>
        <w:tc>
          <w:tcPr>
            <w:tcW w:w="1540" w:type="dxa"/>
            <w:tcBorders>
              <w:top w:val="nil"/>
              <w:left w:val="nil"/>
              <w:bottom w:val="single" w:sz="4" w:space="0" w:color="auto"/>
              <w:right w:val="single" w:sz="4" w:space="0" w:color="auto"/>
            </w:tcBorders>
            <w:vAlign w:val="center"/>
          </w:tcPr>
          <w:p w:rsidR="00515185" w:rsidRPr="005C7E95" w:rsidRDefault="00515185" w:rsidP="00837E5E">
            <w:pPr>
              <w:spacing w:after="0" w:line="240" w:lineRule="auto"/>
              <w:jc w:val="center"/>
              <w:rPr>
                <w:rFonts w:ascii="Times New Roman" w:eastAsia="Times New Roman" w:hAnsi="Times New Roman" w:cs="Times New Roman"/>
                <w:color w:val="000000" w:themeColor="text1"/>
                <w:sz w:val="20"/>
                <w:szCs w:val="20"/>
                <w:lang w:eastAsia="sk-SK"/>
              </w:rPr>
            </w:pPr>
            <w:r w:rsidRPr="00515185">
              <w:rPr>
                <w:rFonts w:ascii="Times New Roman" w:eastAsia="Times New Roman" w:hAnsi="Times New Roman" w:cs="Times New Roman"/>
                <w:color w:val="000000" w:themeColor="text1"/>
                <w:sz w:val="20"/>
                <w:szCs w:val="20"/>
                <w:lang w:eastAsia="sk-SK"/>
              </w:rPr>
              <w:t>-548 787 478</w:t>
            </w:r>
          </w:p>
        </w:tc>
        <w:tc>
          <w:tcPr>
            <w:tcW w:w="1540" w:type="dxa"/>
            <w:tcBorders>
              <w:top w:val="nil"/>
              <w:left w:val="nil"/>
              <w:bottom w:val="single" w:sz="4" w:space="0" w:color="auto"/>
              <w:right w:val="single" w:sz="4" w:space="0" w:color="auto"/>
            </w:tcBorders>
            <w:vAlign w:val="center"/>
          </w:tcPr>
          <w:p w:rsidR="00515185" w:rsidRPr="005C7E95" w:rsidRDefault="00515185" w:rsidP="00837E5E">
            <w:pPr>
              <w:spacing w:after="0" w:line="240" w:lineRule="auto"/>
              <w:jc w:val="center"/>
              <w:rPr>
                <w:rFonts w:ascii="Times New Roman" w:eastAsia="Times New Roman" w:hAnsi="Times New Roman" w:cs="Times New Roman"/>
                <w:color w:val="000000" w:themeColor="text1"/>
                <w:sz w:val="20"/>
                <w:szCs w:val="20"/>
                <w:lang w:eastAsia="sk-SK"/>
              </w:rPr>
            </w:pPr>
            <w:r w:rsidRPr="00515185">
              <w:rPr>
                <w:rFonts w:ascii="Times New Roman" w:eastAsia="Times New Roman" w:hAnsi="Times New Roman" w:cs="Times New Roman"/>
                <w:color w:val="000000" w:themeColor="text1"/>
                <w:sz w:val="20"/>
                <w:szCs w:val="20"/>
                <w:lang w:eastAsia="sk-SK"/>
              </w:rPr>
              <w:t>-578 370 570</w:t>
            </w:r>
          </w:p>
        </w:tc>
        <w:tc>
          <w:tcPr>
            <w:tcW w:w="1649" w:type="dxa"/>
            <w:tcBorders>
              <w:top w:val="nil"/>
              <w:left w:val="nil"/>
              <w:bottom w:val="single" w:sz="4" w:space="0" w:color="auto"/>
              <w:right w:val="single" w:sz="4" w:space="0" w:color="auto"/>
            </w:tcBorders>
            <w:noWrap/>
            <w:vAlign w:val="center"/>
          </w:tcPr>
          <w:p w:rsidR="00515185" w:rsidRPr="006D659E" w:rsidRDefault="00515185" w:rsidP="00515185">
            <w:pPr>
              <w:spacing w:after="0" w:line="240" w:lineRule="auto"/>
              <w:jc w:val="center"/>
              <w:rPr>
                <w:rFonts w:ascii="Times New Roman" w:eastAsia="Times New Roman" w:hAnsi="Times New Roman" w:cs="Times New Roman"/>
                <w:color w:val="000000" w:themeColor="text1"/>
                <w:sz w:val="20"/>
                <w:szCs w:val="20"/>
                <w:lang w:eastAsia="sk-SK"/>
              </w:rPr>
            </w:pPr>
          </w:p>
        </w:tc>
      </w:tr>
      <w:tr w:rsidR="00515185" w:rsidRPr="007B7470" w:rsidTr="00837E5E">
        <w:trPr>
          <w:trHeight w:val="255"/>
        </w:trPr>
        <w:tc>
          <w:tcPr>
            <w:tcW w:w="7070" w:type="dxa"/>
            <w:tcBorders>
              <w:top w:val="nil"/>
              <w:left w:val="single" w:sz="4" w:space="0" w:color="auto"/>
              <w:bottom w:val="single" w:sz="4" w:space="0" w:color="auto"/>
              <w:right w:val="single" w:sz="4" w:space="0" w:color="auto"/>
            </w:tcBorders>
          </w:tcPr>
          <w:p w:rsidR="00515185" w:rsidRPr="006D659E" w:rsidRDefault="00515185" w:rsidP="00515185">
            <w:pPr>
              <w:spacing w:after="0" w:line="240" w:lineRule="auto"/>
              <w:rPr>
                <w:rFonts w:ascii="Times New Roman" w:eastAsia="Times New Roman" w:hAnsi="Times New Roman" w:cs="Times New Roman"/>
                <w:i/>
                <w:color w:val="000000" w:themeColor="text1"/>
                <w:sz w:val="20"/>
                <w:szCs w:val="20"/>
                <w:lang w:eastAsia="sk-SK"/>
              </w:rPr>
            </w:pPr>
            <w:r w:rsidRPr="006D659E">
              <w:rPr>
                <w:rFonts w:ascii="Times New Roman" w:eastAsia="Times New Roman" w:hAnsi="Times New Roman" w:cs="Times New Roman"/>
                <w:i/>
                <w:color w:val="000000" w:themeColor="text1"/>
                <w:sz w:val="20"/>
                <w:szCs w:val="20"/>
                <w:lang w:eastAsia="sk-SK"/>
              </w:rPr>
              <w:t xml:space="preserve">z toho: </w:t>
            </w:r>
            <w:r>
              <w:rPr>
                <w:rFonts w:ascii="Times New Roman" w:eastAsia="Times New Roman" w:hAnsi="Times New Roman" w:cs="Times New Roman"/>
                <w:i/>
                <w:color w:val="000000" w:themeColor="text1"/>
                <w:sz w:val="20"/>
                <w:szCs w:val="20"/>
                <w:lang w:eastAsia="sk-SK"/>
              </w:rPr>
              <w:t>t</w:t>
            </w:r>
            <w:r w:rsidRPr="006D659E">
              <w:rPr>
                <w:rFonts w:ascii="Times New Roman" w:eastAsia="Times New Roman" w:hAnsi="Times New Roman" w:cs="Times New Roman"/>
                <w:i/>
                <w:color w:val="000000" w:themeColor="text1"/>
                <w:sz w:val="20"/>
                <w:szCs w:val="20"/>
                <w:lang w:eastAsia="sk-SK"/>
              </w:rPr>
              <w:t>ransfery v rámci verejnej správy (641)</w:t>
            </w:r>
          </w:p>
        </w:tc>
        <w:tc>
          <w:tcPr>
            <w:tcW w:w="1430" w:type="dxa"/>
            <w:tcBorders>
              <w:top w:val="nil"/>
              <w:left w:val="nil"/>
              <w:bottom w:val="single" w:sz="4" w:space="0" w:color="auto"/>
              <w:right w:val="single" w:sz="4" w:space="0" w:color="auto"/>
            </w:tcBorders>
            <w:vAlign w:val="center"/>
          </w:tcPr>
          <w:p w:rsidR="00515185" w:rsidRPr="00453BF9" w:rsidRDefault="00515185" w:rsidP="00515185">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515185" w:rsidRPr="00453BF9" w:rsidRDefault="00515185"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-520 452 195</w:t>
            </w:r>
          </w:p>
        </w:tc>
        <w:tc>
          <w:tcPr>
            <w:tcW w:w="1540" w:type="dxa"/>
            <w:tcBorders>
              <w:top w:val="single" w:sz="4" w:space="0" w:color="auto"/>
              <w:left w:val="nil"/>
              <w:bottom w:val="single" w:sz="4" w:space="0" w:color="auto"/>
              <w:right w:val="single" w:sz="4" w:space="0" w:color="auto"/>
            </w:tcBorders>
            <w:shd w:val="clear" w:color="auto" w:fill="auto"/>
            <w:vAlign w:val="center"/>
          </w:tcPr>
          <w:p w:rsidR="00515185" w:rsidRPr="00453BF9" w:rsidRDefault="00515185"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-548 480 150</w:t>
            </w:r>
          </w:p>
        </w:tc>
        <w:tc>
          <w:tcPr>
            <w:tcW w:w="1540" w:type="dxa"/>
            <w:tcBorders>
              <w:top w:val="single" w:sz="4" w:space="0" w:color="auto"/>
              <w:left w:val="nil"/>
              <w:bottom w:val="single" w:sz="4" w:space="0" w:color="auto"/>
              <w:right w:val="single" w:sz="4" w:space="0" w:color="auto"/>
            </w:tcBorders>
            <w:shd w:val="clear" w:color="auto" w:fill="auto"/>
            <w:vAlign w:val="center"/>
          </w:tcPr>
          <w:p w:rsidR="00515185" w:rsidRPr="00453BF9" w:rsidRDefault="00515185"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-577 430 146</w:t>
            </w:r>
          </w:p>
        </w:tc>
        <w:tc>
          <w:tcPr>
            <w:tcW w:w="1649" w:type="dxa"/>
            <w:tcBorders>
              <w:top w:val="nil"/>
              <w:left w:val="nil"/>
              <w:bottom w:val="single" w:sz="4" w:space="0" w:color="auto"/>
              <w:right w:val="single" w:sz="4" w:space="0" w:color="auto"/>
            </w:tcBorders>
            <w:noWrap/>
            <w:vAlign w:val="center"/>
          </w:tcPr>
          <w:p w:rsidR="00515185" w:rsidRPr="006D659E" w:rsidRDefault="00515185" w:rsidP="00515185">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Poistné platené štátom</w:t>
            </w:r>
          </w:p>
        </w:tc>
      </w:tr>
      <w:tr w:rsidR="006D659E" w:rsidRPr="007B7470" w:rsidTr="00837E5E">
        <w:trPr>
          <w:trHeight w:val="255"/>
        </w:trPr>
        <w:tc>
          <w:tcPr>
            <w:tcW w:w="7070" w:type="dxa"/>
            <w:tcBorders>
              <w:top w:val="nil"/>
              <w:left w:val="single" w:sz="4" w:space="0" w:color="auto"/>
              <w:bottom w:val="single" w:sz="4" w:space="0" w:color="auto"/>
              <w:right w:val="single" w:sz="4" w:space="0" w:color="auto"/>
            </w:tcBorders>
          </w:tcPr>
          <w:p w:rsidR="006D659E" w:rsidRPr="006D659E" w:rsidRDefault="006D659E" w:rsidP="006D659E">
            <w:pPr>
              <w:spacing w:after="0" w:line="240" w:lineRule="auto"/>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 xml:space="preserve">z toho: </w:t>
            </w:r>
            <w:r w:rsidR="00CC5225">
              <w:rPr>
                <w:rFonts w:ascii="Times New Roman" w:eastAsia="Times New Roman" w:hAnsi="Times New Roman" w:cs="Times New Roman"/>
                <w:i/>
                <w:color w:val="000000" w:themeColor="text1"/>
                <w:sz w:val="20"/>
                <w:szCs w:val="20"/>
                <w:lang w:eastAsia="sk-SK"/>
              </w:rPr>
              <w:t>t</w:t>
            </w:r>
            <w:r>
              <w:rPr>
                <w:rFonts w:ascii="Times New Roman" w:eastAsia="Times New Roman" w:hAnsi="Times New Roman" w:cs="Times New Roman"/>
                <w:i/>
                <w:color w:val="000000" w:themeColor="text1"/>
                <w:sz w:val="20"/>
                <w:szCs w:val="20"/>
                <w:lang w:eastAsia="sk-SK"/>
              </w:rPr>
              <w:t xml:space="preserve">ransfery jednotlivcom a neziskovým organizáciám (642) </w:t>
            </w:r>
          </w:p>
        </w:tc>
        <w:tc>
          <w:tcPr>
            <w:tcW w:w="1430" w:type="dxa"/>
            <w:tcBorders>
              <w:top w:val="nil"/>
              <w:left w:val="nil"/>
              <w:bottom w:val="single" w:sz="4" w:space="0" w:color="auto"/>
              <w:right w:val="single" w:sz="4" w:space="0" w:color="auto"/>
            </w:tcBorders>
            <w:vAlign w:val="center"/>
          </w:tcPr>
          <w:p w:rsidR="006D659E" w:rsidRPr="00453BF9" w:rsidRDefault="006D659E" w:rsidP="006D659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6D659E" w:rsidRPr="00453BF9" w:rsidRDefault="006D659E"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6D659E" w:rsidRPr="00453BF9" w:rsidRDefault="006D659E"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-307 328</w:t>
            </w:r>
          </w:p>
        </w:tc>
        <w:tc>
          <w:tcPr>
            <w:tcW w:w="1540" w:type="dxa"/>
            <w:tcBorders>
              <w:top w:val="single" w:sz="4" w:space="0" w:color="auto"/>
              <w:left w:val="nil"/>
              <w:bottom w:val="single" w:sz="4" w:space="0" w:color="auto"/>
              <w:right w:val="single" w:sz="4" w:space="0" w:color="auto"/>
            </w:tcBorders>
            <w:shd w:val="clear" w:color="auto" w:fill="auto"/>
            <w:vAlign w:val="center"/>
          </w:tcPr>
          <w:p w:rsidR="006D659E" w:rsidRPr="00453BF9" w:rsidRDefault="006D659E" w:rsidP="00837E5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-940 424</w:t>
            </w:r>
          </w:p>
        </w:tc>
        <w:tc>
          <w:tcPr>
            <w:tcW w:w="1649" w:type="dxa"/>
            <w:tcBorders>
              <w:top w:val="nil"/>
              <w:left w:val="nil"/>
              <w:bottom w:val="single" w:sz="4" w:space="0" w:color="auto"/>
              <w:right w:val="single" w:sz="4" w:space="0" w:color="auto"/>
            </w:tcBorders>
            <w:noWrap/>
            <w:vAlign w:val="center"/>
          </w:tcPr>
          <w:p w:rsid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Minimálny dôchodok</w:t>
            </w:r>
          </w:p>
        </w:tc>
      </w:tr>
      <w:tr w:rsidR="006D659E" w:rsidRPr="007B7470" w:rsidTr="00837E5E">
        <w:trPr>
          <w:trHeight w:val="255"/>
        </w:trPr>
        <w:tc>
          <w:tcPr>
            <w:tcW w:w="7070" w:type="dxa"/>
            <w:tcBorders>
              <w:top w:val="nil"/>
              <w:left w:val="single" w:sz="4" w:space="0" w:color="auto"/>
              <w:bottom w:val="single" w:sz="4" w:space="0" w:color="auto"/>
              <w:right w:val="single" w:sz="4" w:space="0" w:color="auto"/>
            </w:tcBorders>
            <w:vAlign w:val="center"/>
          </w:tcPr>
          <w:p w:rsidR="006D659E" w:rsidRPr="007B7470" w:rsidRDefault="006D659E" w:rsidP="006D659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6D659E" w:rsidRPr="006D659E" w:rsidRDefault="00547A68" w:rsidP="00837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837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837E5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6D659E"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6D659E" w:rsidRPr="007B7470" w:rsidTr="006D659E">
        <w:trPr>
          <w:trHeight w:val="255"/>
        </w:trPr>
        <w:tc>
          <w:tcPr>
            <w:tcW w:w="7070" w:type="dxa"/>
            <w:tcBorders>
              <w:top w:val="nil"/>
              <w:left w:val="single" w:sz="4" w:space="0" w:color="auto"/>
              <w:bottom w:val="single" w:sz="4" w:space="0" w:color="auto"/>
              <w:right w:val="single" w:sz="4" w:space="0" w:color="auto"/>
            </w:tcBorders>
          </w:tcPr>
          <w:p w:rsidR="006D659E" w:rsidRPr="007B7470" w:rsidRDefault="006D659E" w:rsidP="006D659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6D659E"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6D659E" w:rsidRPr="007B7470" w:rsidTr="006D659E">
        <w:trPr>
          <w:trHeight w:val="255"/>
        </w:trPr>
        <w:tc>
          <w:tcPr>
            <w:tcW w:w="7070" w:type="dxa"/>
            <w:tcBorders>
              <w:top w:val="nil"/>
              <w:left w:val="single" w:sz="4" w:space="0" w:color="auto"/>
              <w:bottom w:val="single" w:sz="4" w:space="0" w:color="auto"/>
              <w:right w:val="single" w:sz="4" w:space="0" w:color="auto"/>
            </w:tcBorders>
          </w:tcPr>
          <w:p w:rsidR="006D659E" w:rsidRPr="007B7470" w:rsidRDefault="006D659E" w:rsidP="006D659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6D659E"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6D659E" w:rsidRPr="007B7470" w:rsidTr="006D659E">
        <w:trPr>
          <w:trHeight w:val="255"/>
        </w:trPr>
        <w:tc>
          <w:tcPr>
            <w:tcW w:w="7070" w:type="dxa"/>
            <w:tcBorders>
              <w:top w:val="nil"/>
              <w:left w:val="single" w:sz="4" w:space="0" w:color="auto"/>
              <w:bottom w:val="single" w:sz="4" w:space="0" w:color="auto"/>
              <w:right w:val="single" w:sz="4" w:space="0" w:color="auto"/>
            </w:tcBorders>
          </w:tcPr>
          <w:p w:rsidR="006D659E" w:rsidRPr="007B7470" w:rsidRDefault="006D659E" w:rsidP="006D659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6D659E" w:rsidRPr="006D659E" w:rsidRDefault="00547A68" w:rsidP="006D659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6D659E" w:rsidRPr="006D659E" w:rsidRDefault="006D659E" w:rsidP="006D659E">
            <w:pPr>
              <w:spacing w:after="0" w:line="240" w:lineRule="auto"/>
              <w:jc w:val="center"/>
              <w:rPr>
                <w:rFonts w:ascii="Times New Roman" w:eastAsia="Times New Roman" w:hAnsi="Times New Roman" w:cs="Times New Roman"/>
                <w:color w:val="000000" w:themeColor="text1"/>
                <w:sz w:val="20"/>
                <w:szCs w:val="20"/>
                <w:lang w:eastAsia="sk-SK"/>
              </w:rPr>
            </w:pPr>
          </w:p>
        </w:tc>
      </w:tr>
      <w:tr w:rsidR="00515185" w:rsidRPr="007B7470" w:rsidTr="0051518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5185" w:rsidRPr="007B7470" w:rsidRDefault="00515185" w:rsidP="00515185">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515185" w:rsidRPr="006D659E" w:rsidRDefault="00515185" w:rsidP="00515185">
            <w:pPr>
              <w:spacing w:after="0" w:line="240" w:lineRule="auto"/>
              <w:jc w:val="center"/>
              <w:rPr>
                <w:rFonts w:ascii="Times New Roman" w:eastAsia="Times New Roman" w:hAnsi="Times New Roman" w:cs="Times New Roman"/>
                <w:b/>
                <w:bCs/>
                <w:color w:val="000000" w:themeColor="text1"/>
                <w:sz w:val="20"/>
                <w:szCs w:val="20"/>
                <w:lang w:eastAsia="sk-SK"/>
              </w:rPr>
            </w:pPr>
            <w:r w:rsidRPr="006D659E">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shd w:val="clear" w:color="auto" w:fill="BFBFBF" w:themeFill="background1" w:themeFillShade="BF"/>
          </w:tcPr>
          <w:p w:rsidR="00515185" w:rsidRPr="00515185" w:rsidRDefault="00515185" w:rsidP="00515185">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-520 452 195</w:t>
            </w:r>
          </w:p>
        </w:tc>
        <w:tc>
          <w:tcPr>
            <w:tcW w:w="1540" w:type="dxa"/>
            <w:tcBorders>
              <w:top w:val="nil"/>
              <w:left w:val="nil"/>
              <w:bottom w:val="single" w:sz="4" w:space="0" w:color="auto"/>
              <w:right w:val="single" w:sz="4" w:space="0" w:color="auto"/>
            </w:tcBorders>
            <w:shd w:val="clear" w:color="auto" w:fill="BFBFBF" w:themeFill="background1" w:themeFillShade="BF"/>
          </w:tcPr>
          <w:p w:rsidR="00515185" w:rsidRPr="00515185" w:rsidRDefault="00515185" w:rsidP="00515185">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-548 787 478</w:t>
            </w:r>
          </w:p>
        </w:tc>
        <w:tc>
          <w:tcPr>
            <w:tcW w:w="1540" w:type="dxa"/>
            <w:tcBorders>
              <w:top w:val="nil"/>
              <w:left w:val="nil"/>
              <w:bottom w:val="single" w:sz="4" w:space="0" w:color="auto"/>
              <w:right w:val="single" w:sz="4" w:space="0" w:color="auto"/>
            </w:tcBorders>
            <w:shd w:val="clear" w:color="auto" w:fill="BFBFBF" w:themeFill="background1" w:themeFillShade="BF"/>
          </w:tcPr>
          <w:p w:rsidR="00515185" w:rsidRPr="00515185" w:rsidRDefault="00515185" w:rsidP="00515185">
            <w:pPr>
              <w:spacing w:after="0" w:line="240" w:lineRule="auto"/>
              <w:jc w:val="center"/>
              <w:rPr>
                <w:rFonts w:ascii="Times New Roman" w:eastAsia="Times New Roman" w:hAnsi="Times New Roman" w:cs="Times New Roman"/>
                <w:b/>
                <w:bCs/>
                <w:color w:val="000000" w:themeColor="text1"/>
                <w:sz w:val="20"/>
                <w:szCs w:val="20"/>
                <w:lang w:eastAsia="sk-SK"/>
              </w:rPr>
            </w:pPr>
            <w:r w:rsidRPr="00515185">
              <w:rPr>
                <w:rFonts w:ascii="Times New Roman" w:eastAsia="Times New Roman" w:hAnsi="Times New Roman" w:cs="Times New Roman"/>
                <w:b/>
                <w:bCs/>
                <w:color w:val="000000" w:themeColor="text1"/>
                <w:sz w:val="20"/>
                <w:szCs w:val="20"/>
                <w:lang w:eastAsia="sk-SK"/>
              </w:rPr>
              <w:t>-578 370 570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15185" w:rsidRPr="006D659E" w:rsidRDefault="00515185" w:rsidP="00515185">
            <w:pPr>
              <w:spacing w:after="0" w:line="240" w:lineRule="auto"/>
              <w:jc w:val="center"/>
              <w:rPr>
                <w:rFonts w:ascii="Times New Roman" w:eastAsia="Times New Roman" w:hAnsi="Times New Roman" w:cs="Times New Roman"/>
                <w:color w:val="000000" w:themeColor="text1"/>
                <w:sz w:val="20"/>
                <w:szCs w:val="20"/>
                <w:lang w:eastAsia="sk-SK"/>
              </w:rPr>
            </w:pPr>
          </w:p>
        </w:tc>
      </w:tr>
    </w:tbl>
    <w:p w:rsidR="003408F5"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7A78" w:rsidRDefault="00077A78"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7A78" w:rsidRDefault="00077A78"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Pr="007B7470" w:rsidRDefault="003E57BE" w:rsidP="003E57BE">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rsidR="003E57BE" w:rsidRPr="007B7470" w:rsidRDefault="003E57BE" w:rsidP="003E57B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w:t>
      </w:r>
      <w:r>
        <w:rPr>
          <w:rFonts w:ascii="Times New Roman" w:eastAsia="Times New Roman" w:hAnsi="Times New Roman" w:cs="Times New Roman"/>
          <w:bCs/>
          <w:sz w:val="20"/>
          <w:szCs w:val="20"/>
          <w:lang w:eastAsia="sk-SK"/>
        </w:rPr>
        <w:t xml:space="preserve">                  Tabuľka č. 4/A-2</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3E57BE" w:rsidRPr="007B7470" w:rsidTr="0091691E">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Pr>
                <w:rFonts w:ascii="Times New Roman" w:eastAsia="Times New Roman" w:hAnsi="Times New Roman" w:cs="Times New Roman"/>
                <w:b/>
                <w:bCs/>
                <w:color w:val="000000" w:themeColor="text1"/>
                <w:sz w:val="20"/>
                <w:szCs w:val="20"/>
                <w:lang w:eastAsia="sk-SK"/>
              </w:rPr>
              <w:t>ýdavky</w:t>
            </w:r>
            <w:r w:rsidRPr="007B7470">
              <w:rPr>
                <w:rFonts w:ascii="Times New Roman" w:eastAsia="Times New Roman" w:hAnsi="Times New Roman" w:cs="Times New Roman"/>
                <w:b/>
                <w:bCs/>
                <w:color w:val="000000" w:themeColor="text1"/>
                <w:sz w:val="20"/>
                <w:szCs w:val="20"/>
                <w:lang w:eastAsia="sk-SK"/>
              </w:rPr>
              <w:t xml:space="preserve"> </w:t>
            </w:r>
            <w:r>
              <w:rPr>
                <w:rFonts w:ascii="Times New Roman" w:eastAsia="Times New Roman" w:hAnsi="Times New Roman" w:cs="Times New Roman"/>
                <w:b/>
                <w:bCs/>
                <w:color w:val="000000" w:themeColor="text1"/>
                <w:sz w:val="20"/>
                <w:szCs w:val="20"/>
                <w:lang w:eastAsia="sk-SK"/>
              </w:rPr>
              <w:t>(v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3E57BE" w:rsidRPr="007B7470" w:rsidRDefault="003E57BE" w:rsidP="003E57BE">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 xml:space="preserve">Vplyv na </w:t>
            </w:r>
            <w:r>
              <w:rPr>
                <w:rFonts w:ascii="Times New Roman" w:eastAsia="Times New Roman" w:hAnsi="Times New Roman" w:cs="Times New Roman"/>
                <w:b/>
                <w:bCs/>
                <w:color w:val="000000" w:themeColor="text1"/>
                <w:sz w:val="20"/>
                <w:szCs w:val="20"/>
                <w:lang w:eastAsia="sk-SK"/>
              </w:rPr>
              <w:t>rozpočet</w:t>
            </w:r>
            <w:r w:rsidRPr="007B7470">
              <w:rPr>
                <w:rFonts w:ascii="Times New Roman" w:eastAsia="Times New Roman" w:hAnsi="Times New Roman" w:cs="Times New Roman"/>
                <w:b/>
                <w:bCs/>
                <w:color w:val="000000" w:themeColor="text1"/>
                <w:sz w:val="20"/>
                <w:szCs w:val="20"/>
                <w:lang w:eastAsia="sk-SK"/>
              </w:rPr>
              <w:t xml:space="preserve">  verejnej správy</w:t>
            </w:r>
            <w:r>
              <w:rPr>
                <w:rFonts w:ascii="Times New Roman" w:eastAsia="Times New Roman" w:hAnsi="Times New Roman" w:cs="Times New Roman"/>
                <w:b/>
                <w:bCs/>
                <w:color w:val="000000" w:themeColor="text1"/>
                <w:sz w:val="20"/>
                <w:szCs w:val="20"/>
                <w:lang w:eastAsia="sk-SK"/>
              </w:rPr>
              <w:t xml:space="preserve"> </w:t>
            </w:r>
            <w:r>
              <w:rPr>
                <w:rFonts w:ascii="Times New Roman" w:eastAsia="Times New Roman" w:hAnsi="Times New Roman" w:cs="Times New Roman"/>
                <w:b/>
                <w:bCs/>
                <w:color w:val="000000" w:themeColor="text1"/>
                <w:sz w:val="20"/>
                <w:szCs w:val="20"/>
                <w:lang w:eastAsia="sk-SK"/>
              </w:rPr>
              <w:br/>
              <w:t>(kapitola VPS)</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3E57BE" w:rsidRPr="007B7470" w:rsidTr="0091691E">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3E57BE" w:rsidRPr="007B7470" w:rsidRDefault="003E57BE" w:rsidP="0091691E">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3E57BE" w:rsidRPr="00E82EB8"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sidRPr="00E82EB8">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3E57BE" w:rsidRPr="007B7470" w:rsidRDefault="003E57BE" w:rsidP="0091691E">
            <w:pPr>
              <w:spacing w:after="0" w:line="240" w:lineRule="auto"/>
              <w:jc w:val="center"/>
              <w:rPr>
                <w:rFonts w:ascii="Times New Roman" w:eastAsia="Times New Roman" w:hAnsi="Times New Roman" w:cs="Times New Roman"/>
                <w:b/>
                <w:bCs/>
                <w:color w:val="000000" w:themeColor="text1"/>
                <w:sz w:val="24"/>
                <w:szCs w:val="24"/>
                <w:lang w:eastAsia="sk-SK"/>
              </w:rPr>
            </w:pPr>
          </w:p>
        </w:tc>
      </w:tr>
      <w:tr w:rsidR="004E2A12" w:rsidRPr="007B7470" w:rsidTr="004E2A12">
        <w:trPr>
          <w:trHeight w:val="255"/>
        </w:trPr>
        <w:tc>
          <w:tcPr>
            <w:tcW w:w="7070" w:type="dxa"/>
            <w:tcBorders>
              <w:top w:val="nil"/>
              <w:left w:val="single" w:sz="4" w:space="0" w:color="auto"/>
              <w:bottom w:val="single" w:sz="4" w:space="0" w:color="auto"/>
              <w:right w:val="single" w:sz="4" w:space="0" w:color="auto"/>
            </w:tcBorders>
          </w:tcPr>
          <w:p w:rsidR="004E2A12" w:rsidRPr="007B7470" w:rsidRDefault="004E2A12" w:rsidP="004E2A12">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6D659E">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471 989 996</w:t>
            </w:r>
          </w:p>
        </w:tc>
        <w:tc>
          <w:tcPr>
            <w:tcW w:w="154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497 450 065</w:t>
            </w:r>
          </w:p>
        </w:tc>
        <w:tc>
          <w:tcPr>
            <w:tcW w:w="1540" w:type="dxa"/>
            <w:tcBorders>
              <w:top w:val="nil"/>
              <w:left w:val="nil"/>
              <w:bottom w:val="single" w:sz="4" w:space="0" w:color="auto"/>
              <w:right w:val="single" w:sz="4" w:space="0" w:color="auto"/>
            </w:tcBorders>
          </w:tcPr>
          <w:p w:rsidR="004E2A12" w:rsidRPr="006D659E"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4E2A12" w:rsidRPr="006D659E" w:rsidRDefault="004E2A12" w:rsidP="004E2A12">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sidRPr="006D659E">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3E57B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r>
              <w:rPr>
                <w:rFonts w:ascii="Times New Roman" w:eastAsia="Times New Roman" w:hAnsi="Times New Roman" w:cs="Times New Roman"/>
                <w:color w:val="000000" w:themeColor="text1"/>
                <w:sz w:val="20"/>
                <w:szCs w:val="20"/>
                <w:vertAlign w:val="superscript"/>
                <w:lang w:eastAsia="sk-SK"/>
              </w:rPr>
              <w:t xml:space="preserve"> </w:t>
            </w:r>
          </w:p>
        </w:tc>
        <w:tc>
          <w:tcPr>
            <w:tcW w:w="1430" w:type="dxa"/>
            <w:tcBorders>
              <w:top w:val="nil"/>
              <w:left w:val="nil"/>
              <w:bottom w:val="single" w:sz="4" w:space="0" w:color="auto"/>
              <w:right w:val="single" w:sz="4" w:space="0" w:color="auto"/>
            </w:tcBorders>
            <w:vAlign w:val="center"/>
          </w:tcPr>
          <w:p w:rsidR="003E57BE" w:rsidRPr="006D659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3E57BE" w:rsidRPr="003E57B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r w:rsidRPr="003E57BE">
              <w:rPr>
                <w:rFonts w:ascii="Times New Roman" w:eastAsia="Times New Roman" w:hAnsi="Times New Roman" w:cs="Times New Roman"/>
                <w:color w:val="000000" w:themeColor="text1"/>
                <w:sz w:val="20"/>
                <w:szCs w:val="20"/>
                <w:lang w:eastAsia="sk-SK"/>
              </w:rPr>
              <w:t>471 989 996</w:t>
            </w:r>
          </w:p>
        </w:tc>
        <w:tc>
          <w:tcPr>
            <w:tcW w:w="1540" w:type="dxa"/>
            <w:tcBorders>
              <w:top w:val="single" w:sz="4" w:space="0" w:color="auto"/>
              <w:left w:val="nil"/>
              <w:bottom w:val="single" w:sz="4" w:space="0" w:color="auto"/>
              <w:right w:val="single" w:sz="4" w:space="0" w:color="auto"/>
            </w:tcBorders>
            <w:shd w:val="clear" w:color="auto" w:fill="auto"/>
          </w:tcPr>
          <w:p w:rsidR="003E57BE" w:rsidRPr="003E57B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r w:rsidRPr="003E57BE">
              <w:rPr>
                <w:rFonts w:ascii="Times New Roman" w:eastAsia="Times New Roman" w:hAnsi="Times New Roman" w:cs="Times New Roman"/>
                <w:color w:val="000000" w:themeColor="text1"/>
                <w:sz w:val="20"/>
                <w:szCs w:val="20"/>
                <w:lang w:eastAsia="sk-SK"/>
              </w:rPr>
              <w:t>497 450 065</w:t>
            </w:r>
          </w:p>
        </w:tc>
        <w:tc>
          <w:tcPr>
            <w:tcW w:w="1540" w:type="dxa"/>
            <w:tcBorders>
              <w:top w:val="single" w:sz="4" w:space="0" w:color="auto"/>
              <w:left w:val="nil"/>
              <w:bottom w:val="single" w:sz="4" w:space="0" w:color="auto"/>
              <w:right w:val="single" w:sz="4" w:space="0" w:color="auto"/>
            </w:tcBorders>
            <w:shd w:val="clear" w:color="auto" w:fill="auto"/>
          </w:tcPr>
          <w:p w:rsidR="003E57BE" w:rsidRPr="003E57B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r w:rsidRPr="003E57BE">
              <w:rPr>
                <w:rFonts w:ascii="Times New Roman" w:eastAsia="Times New Roman" w:hAnsi="Times New Roman" w:cs="Times New Roman"/>
                <w:color w:val="000000" w:themeColor="text1"/>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3E57BE" w:rsidRPr="006D659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6D659E" w:rsidRDefault="003E57BE" w:rsidP="003E57BE">
            <w:pPr>
              <w:spacing w:after="0" w:line="240" w:lineRule="auto"/>
              <w:rPr>
                <w:rFonts w:ascii="Times New Roman" w:eastAsia="Times New Roman" w:hAnsi="Times New Roman" w:cs="Times New Roman"/>
                <w:i/>
                <w:color w:val="000000" w:themeColor="text1"/>
                <w:sz w:val="20"/>
                <w:szCs w:val="20"/>
                <w:lang w:eastAsia="sk-SK"/>
              </w:rPr>
            </w:pPr>
            <w:r w:rsidRPr="006D659E">
              <w:rPr>
                <w:rFonts w:ascii="Times New Roman" w:eastAsia="Times New Roman" w:hAnsi="Times New Roman" w:cs="Times New Roman"/>
                <w:i/>
                <w:color w:val="000000" w:themeColor="text1"/>
                <w:sz w:val="20"/>
                <w:szCs w:val="20"/>
                <w:lang w:eastAsia="sk-SK"/>
              </w:rPr>
              <w:t xml:space="preserve">z toho: </w:t>
            </w:r>
            <w:r>
              <w:rPr>
                <w:rFonts w:ascii="Times New Roman" w:eastAsia="Times New Roman" w:hAnsi="Times New Roman" w:cs="Times New Roman"/>
                <w:i/>
                <w:color w:val="000000" w:themeColor="text1"/>
                <w:sz w:val="20"/>
                <w:szCs w:val="20"/>
                <w:lang w:eastAsia="sk-SK"/>
              </w:rPr>
              <w:t>t</w:t>
            </w:r>
            <w:r w:rsidRPr="006D659E">
              <w:rPr>
                <w:rFonts w:ascii="Times New Roman" w:eastAsia="Times New Roman" w:hAnsi="Times New Roman" w:cs="Times New Roman"/>
                <w:i/>
                <w:color w:val="000000" w:themeColor="text1"/>
                <w:sz w:val="20"/>
                <w:szCs w:val="20"/>
                <w:lang w:eastAsia="sk-SK"/>
              </w:rPr>
              <w:t>ransfery v rámci verejnej správy (641)</w:t>
            </w:r>
          </w:p>
        </w:tc>
        <w:tc>
          <w:tcPr>
            <w:tcW w:w="1430" w:type="dxa"/>
            <w:tcBorders>
              <w:top w:val="nil"/>
              <w:left w:val="nil"/>
              <w:bottom w:val="single" w:sz="4" w:space="0" w:color="auto"/>
              <w:right w:val="single" w:sz="4" w:space="0" w:color="auto"/>
            </w:tcBorders>
            <w:vAlign w:val="center"/>
          </w:tcPr>
          <w:p w:rsidR="003E57BE" w:rsidRPr="00453BF9" w:rsidRDefault="003E57BE" w:rsidP="003E57B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3E57BE" w:rsidRPr="00733F24" w:rsidRDefault="003E57BE" w:rsidP="003E57BE">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471 989 996</w:t>
            </w:r>
          </w:p>
        </w:tc>
        <w:tc>
          <w:tcPr>
            <w:tcW w:w="1540" w:type="dxa"/>
            <w:tcBorders>
              <w:top w:val="single" w:sz="4" w:space="0" w:color="auto"/>
              <w:left w:val="nil"/>
              <w:bottom w:val="single" w:sz="4" w:space="0" w:color="auto"/>
              <w:right w:val="single" w:sz="4" w:space="0" w:color="auto"/>
            </w:tcBorders>
            <w:shd w:val="clear" w:color="auto" w:fill="auto"/>
          </w:tcPr>
          <w:p w:rsidR="003E57BE" w:rsidRPr="00733F24" w:rsidRDefault="003E57BE" w:rsidP="003E57BE">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497 450 065</w:t>
            </w:r>
          </w:p>
        </w:tc>
        <w:tc>
          <w:tcPr>
            <w:tcW w:w="1540" w:type="dxa"/>
            <w:tcBorders>
              <w:top w:val="single" w:sz="4" w:space="0" w:color="auto"/>
              <w:left w:val="nil"/>
              <w:bottom w:val="single" w:sz="4" w:space="0" w:color="auto"/>
              <w:right w:val="single" w:sz="4" w:space="0" w:color="auto"/>
            </w:tcBorders>
            <w:shd w:val="clear" w:color="auto" w:fill="auto"/>
          </w:tcPr>
          <w:p w:rsidR="003E57BE" w:rsidRPr="00733F24" w:rsidRDefault="003E57BE" w:rsidP="003E57BE">
            <w:pPr>
              <w:spacing w:after="0" w:line="240" w:lineRule="auto"/>
              <w:jc w:val="center"/>
              <w:rPr>
                <w:rFonts w:ascii="Times New Roman" w:eastAsia="Times New Roman" w:hAnsi="Times New Roman" w:cs="Times New Roman"/>
                <w:bCs/>
                <w:i/>
                <w:sz w:val="20"/>
                <w:szCs w:val="20"/>
                <w:lang w:eastAsia="sk-SK"/>
              </w:rPr>
            </w:pPr>
            <w:r w:rsidRPr="00733F24">
              <w:rPr>
                <w:rFonts w:ascii="Times New Roman" w:eastAsia="Times New Roman" w:hAnsi="Times New Roman" w:cs="Times New Roman"/>
                <w:bCs/>
                <w:i/>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3E57BE" w:rsidRPr="006D659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6D659E" w:rsidRDefault="003E57BE" w:rsidP="0091691E">
            <w:pPr>
              <w:spacing w:after="0" w:line="240" w:lineRule="auto"/>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 xml:space="preserve">z toho: transfery jednotlivcom a neziskovým organizáciám (642) </w:t>
            </w:r>
          </w:p>
        </w:tc>
        <w:tc>
          <w:tcPr>
            <w:tcW w:w="1430" w:type="dxa"/>
            <w:tcBorders>
              <w:top w:val="nil"/>
              <w:left w:val="nil"/>
              <w:bottom w:val="single" w:sz="4" w:space="0" w:color="auto"/>
              <w:right w:val="single" w:sz="4" w:space="0" w:color="auto"/>
            </w:tcBorders>
            <w:vAlign w:val="center"/>
          </w:tcPr>
          <w:p w:rsidR="003E57BE" w:rsidRPr="00453BF9" w:rsidRDefault="003E57BE" w:rsidP="0091691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3E57BE" w:rsidRPr="00453BF9" w:rsidRDefault="003E57BE" w:rsidP="0091691E">
            <w:pPr>
              <w:spacing w:after="0" w:line="240" w:lineRule="auto"/>
              <w:jc w:val="center"/>
              <w:rPr>
                <w:rFonts w:ascii="Times New Roman" w:eastAsia="Times New Roman" w:hAnsi="Times New Roman" w:cs="Times New Roman"/>
                <w:i/>
                <w:color w:val="000000" w:themeColor="text1"/>
                <w:sz w:val="20"/>
                <w:szCs w:val="20"/>
                <w:lang w:eastAsia="sk-SK"/>
              </w:rPr>
            </w:pPr>
            <w:r w:rsidRPr="00453BF9">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3E57BE" w:rsidRPr="00453BF9" w:rsidRDefault="003E57BE" w:rsidP="003E57BE">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3E57BE" w:rsidRPr="00453BF9" w:rsidRDefault="003E57BE" w:rsidP="0091691E">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vAlign w:val="center"/>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nil"/>
              <w:left w:val="single" w:sz="4" w:space="0" w:color="auto"/>
              <w:bottom w:val="single" w:sz="4" w:space="0" w:color="auto"/>
              <w:right w:val="single" w:sz="4" w:space="0" w:color="auto"/>
            </w:tcBorders>
          </w:tcPr>
          <w:p w:rsidR="003E57BE" w:rsidRPr="007B7470" w:rsidRDefault="003E57BE" w:rsidP="0091691E">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3E57BE" w:rsidRPr="006D659E" w:rsidRDefault="003E57BE" w:rsidP="0091691E">
            <w:pPr>
              <w:spacing w:after="0" w:line="240" w:lineRule="auto"/>
              <w:jc w:val="center"/>
              <w:rPr>
                <w:rFonts w:ascii="Times New Roman" w:eastAsia="Times New Roman" w:hAnsi="Times New Roman" w:cs="Times New Roman"/>
                <w:color w:val="000000" w:themeColor="text1"/>
                <w:sz w:val="20"/>
                <w:szCs w:val="20"/>
                <w:lang w:eastAsia="sk-SK"/>
              </w:rPr>
            </w:pPr>
          </w:p>
        </w:tc>
      </w:tr>
      <w:tr w:rsidR="003E57BE" w:rsidRPr="007B7470" w:rsidTr="0091691E">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E57BE" w:rsidRPr="007B7470" w:rsidRDefault="003E57BE" w:rsidP="003E57BE">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E57BE" w:rsidRPr="006D659E" w:rsidRDefault="003E57BE" w:rsidP="003E57BE">
            <w:pPr>
              <w:spacing w:after="0" w:line="240" w:lineRule="auto"/>
              <w:jc w:val="center"/>
              <w:rPr>
                <w:rFonts w:ascii="Times New Roman" w:eastAsia="Times New Roman" w:hAnsi="Times New Roman" w:cs="Times New Roman"/>
                <w:b/>
                <w:bCs/>
                <w:color w:val="000000" w:themeColor="text1"/>
                <w:sz w:val="20"/>
                <w:szCs w:val="20"/>
                <w:lang w:eastAsia="sk-SK"/>
              </w:rPr>
            </w:pPr>
            <w:r w:rsidRPr="006D659E">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shd w:val="clear" w:color="auto" w:fill="BFBFBF" w:themeFill="background1" w:themeFillShade="BF"/>
          </w:tcPr>
          <w:p w:rsidR="003E57BE" w:rsidRPr="003E57BE" w:rsidRDefault="003E57BE" w:rsidP="003E57BE">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471 989 996</w:t>
            </w:r>
          </w:p>
        </w:tc>
        <w:tc>
          <w:tcPr>
            <w:tcW w:w="1540" w:type="dxa"/>
            <w:tcBorders>
              <w:top w:val="nil"/>
              <w:left w:val="nil"/>
              <w:bottom w:val="single" w:sz="4" w:space="0" w:color="auto"/>
              <w:right w:val="single" w:sz="4" w:space="0" w:color="auto"/>
            </w:tcBorders>
            <w:shd w:val="clear" w:color="auto" w:fill="BFBFBF" w:themeFill="background1" w:themeFillShade="BF"/>
          </w:tcPr>
          <w:p w:rsidR="003E57BE" w:rsidRPr="003E57BE" w:rsidRDefault="003E57BE" w:rsidP="003E57BE">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497 450 065</w:t>
            </w:r>
          </w:p>
        </w:tc>
        <w:tc>
          <w:tcPr>
            <w:tcW w:w="1540" w:type="dxa"/>
            <w:tcBorders>
              <w:top w:val="nil"/>
              <w:left w:val="nil"/>
              <w:bottom w:val="single" w:sz="4" w:space="0" w:color="auto"/>
              <w:right w:val="single" w:sz="4" w:space="0" w:color="auto"/>
            </w:tcBorders>
            <w:shd w:val="clear" w:color="auto" w:fill="BFBFBF" w:themeFill="background1" w:themeFillShade="BF"/>
          </w:tcPr>
          <w:p w:rsidR="003E57BE" w:rsidRPr="003E57BE" w:rsidRDefault="003E57BE" w:rsidP="003E57BE">
            <w:pPr>
              <w:spacing w:after="0" w:line="240" w:lineRule="auto"/>
              <w:jc w:val="center"/>
              <w:rPr>
                <w:rFonts w:ascii="Times New Roman" w:eastAsia="Times New Roman" w:hAnsi="Times New Roman" w:cs="Times New Roman"/>
                <w:b/>
                <w:bCs/>
                <w:color w:val="000000" w:themeColor="text1"/>
                <w:sz w:val="20"/>
                <w:szCs w:val="20"/>
                <w:lang w:eastAsia="sk-SK"/>
              </w:rPr>
            </w:pPr>
            <w:r w:rsidRPr="003E57BE">
              <w:rPr>
                <w:rFonts w:ascii="Times New Roman" w:eastAsia="Times New Roman" w:hAnsi="Times New Roman" w:cs="Times New Roman"/>
                <w:b/>
                <w:bCs/>
                <w:color w:val="000000" w:themeColor="text1"/>
                <w:sz w:val="20"/>
                <w:szCs w:val="20"/>
                <w:lang w:eastAsia="sk-SK"/>
              </w:rPr>
              <w:t>523 750 661</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E57BE" w:rsidRPr="006D659E" w:rsidRDefault="003E57BE" w:rsidP="003E57BE">
            <w:pPr>
              <w:spacing w:after="0" w:line="240" w:lineRule="auto"/>
              <w:jc w:val="center"/>
              <w:rPr>
                <w:rFonts w:ascii="Times New Roman" w:eastAsia="Times New Roman" w:hAnsi="Times New Roman" w:cs="Times New Roman"/>
                <w:color w:val="000000" w:themeColor="text1"/>
                <w:sz w:val="20"/>
                <w:szCs w:val="20"/>
                <w:lang w:eastAsia="sk-SK"/>
              </w:rPr>
            </w:pPr>
          </w:p>
        </w:tc>
      </w:tr>
    </w:tbl>
    <w:p w:rsidR="003E57BE" w:rsidRDefault="003E57BE" w:rsidP="003E57BE">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3E57BE" w:rsidRDefault="003E57BE" w:rsidP="003E57BE">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E57BE">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E57BE">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7A78" w:rsidRDefault="00077A78"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E57BE" w:rsidRDefault="003E57BE"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Pr="007B7470" w:rsidRDefault="00697516"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E82EB8" w:rsidRPr="007B7470" w:rsidRDefault="003408F5" w:rsidP="00E82EB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
          <w:bCs/>
          <w:sz w:val="24"/>
          <w:szCs w:val="20"/>
          <w:lang w:eastAsia="sk-SK"/>
        </w:rPr>
        <w:lastRenderedPageBreak/>
        <w:t xml:space="preserve"> </w:t>
      </w:r>
      <w:r w:rsidR="00E82EB8" w:rsidRPr="007B7470">
        <w:rPr>
          <w:rFonts w:ascii="Times New Roman" w:eastAsia="Times New Roman" w:hAnsi="Times New Roman" w:cs="Times New Roman"/>
          <w:bCs/>
          <w:sz w:val="20"/>
          <w:szCs w:val="20"/>
          <w:lang w:eastAsia="sk-SK"/>
        </w:rPr>
        <w:t xml:space="preserve">                                                                                                                                                                                                                                                           </w:t>
      </w:r>
      <w:r w:rsidR="00697516">
        <w:rPr>
          <w:rFonts w:ascii="Times New Roman" w:eastAsia="Times New Roman" w:hAnsi="Times New Roman" w:cs="Times New Roman"/>
          <w:bCs/>
          <w:sz w:val="20"/>
          <w:szCs w:val="20"/>
          <w:lang w:eastAsia="sk-SK"/>
        </w:rPr>
        <w:t xml:space="preserve">                  </w:t>
      </w:r>
      <w:r w:rsidR="003E57BE">
        <w:rPr>
          <w:rFonts w:ascii="Times New Roman" w:eastAsia="Times New Roman" w:hAnsi="Times New Roman" w:cs="Times New Roman"/>
          <w:bCs/>
          <w:sz w:val="20"/>
          <w:szCs w:val="20"/>
          <w:lang w:eastAsia="sk-SK"/>
        </w:rPr>
        <w:t>Tabuľka č. 4/A-3</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82EB8" w:rsidRPr="007B7470" w:rsidTr="009473C0">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82EB8" w:rsidRPr="007B7470" w:rsidRDefault="001D7E42" w:rsidP="00697516">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Výdavky</w:t>
            </w:r>
            <w:r w:rsidRPr="007B7470">
              <w:rPr>
                <w:rFonts w:ascii="Times New Roman" w:eastAsia="Times New Roman" w:hAnsi="Times New Roman" w:cs="Times New Roman"/>
                <w:b/>
                <w:bCs/>
                <w:color w:val="000000" w:themeColor="text1"/>
                <w:sz w:val="20"/>
                <w:szCs w:val="20"/>
                <w:lang w:eastAsia="sk-SK"/>
              </w:rPr>
              <w:t xml:space="preserve"> </w:t>
            </w:r>
            <w:r w:rsidR="00697516">
              <w:rPr>
                <w:rFonts w:ascii="Times New Roman" w:eastAsia="Times New Roman" w:hAnsi="Times New Roman" w:cs="Times New Roman"/>
                <w:b/>
                <w:bCs/>
                <w:color w:val="000000" w:themeColor="text1"/>
                <w:sz w:val="20"/>
                <w:szCs w:val="20"/>
                <w:lang w:eastAsia="sk-SK"/>
              </w:rPr>
              <w:t>(v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82EB8" w:rsidRPr="007B7470" w:rsidRDefault="00E82EB8" w:rsidP="001D7E42">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 xml:space="preserve">Vplyv </w:t>
            </w:r>
            <w:r w:rsidR="004D0D32">
              <w:rPr>
                <w:rFonts w:ascii="Times New Roman" w:eastAsia="Times New Roman" w:hAnsi="Times New Roman" w:cs="Times New Roman"/>
                <w:b/>
                <w:bCs/>
                <w:color w:val="000000" w:themeColor="text1"/>
                <w:sz w:val="20"/>
                <w:szCs w:val="20"/>
                <w:lang w:eastAsia="sk-SK"/>
              </w:rPr>
              <w:t xml:space="preserve">na </w:t>
            </w:r>
            <w:r w:rsidR="001D7E42">
              <w:rPr>
                <w:rFonts w:ascii="Times New Roman" w:eastAsia="Times New Roman" w:hAnsi="Times New Roman" w:cs="Times New Roman"/>
                <w:b/>
                <w:bCs/>
                <w:color w:val="000000" w:themeColor="text1"/>
                <w:sz w:val="20"/>
                <w:szCs w:val="20"/>
                <w:lang w:eastAsia="sk-SK"/>
              </w:rPr>
              <w:t xml:space="preserve">rozpočet </w:t>
            </w:r>
            <w:r w:rsidR="001D7E42" w:rsidRPr="007B7470">
              <w:rPr>
                <w:rFonts w:ascii="Times New Roman" w:eastAsia="Times New Roman" w:hAnsi="Times New Roman" w:cs="Times New Roman"/>
                <w:b/>
                <w:bCs/>
                <w:color w:val="000000" w:themeColor="text1"/>
                <w:sz w:val="20"/>
                <w:szCs w:val="20"/>
                <w:lang w:eastAsia="sk-SK"/>
              </w:rPr>
              <w:t xml:space="preserve"> </w:t>
            </w:r>
            <w:r w:rsidRPr="007B7470">
              <w:rPr>
                <w:rFonts w:ascii="Times New Roman" w:eastAsia="Times New Roman" w:hAnsi="Times New Roman" w:cs="Times New Roman"/>
                <w:b/>
                <w:bCs/>
                <w:color w:val="000000" w:themeColor="text1"/>
                <w:sz w:val="20"/>
                <w:szCs w:val="20"/>
                <w:lang w:eastAsia="sk-SK"/>
              </w:rPr>
              <w:t xml:space="preserve"> verejnej správy</w:t>
            </w:r>
            <w:r>
              <w:rPr>
                <w:rFonts w:ascii="Times New Roman" w:eastAsia="Times New Roman" w:hAnsi="Times New Roman" w:cs="Times New Roman"/>
                <w:b/>
                <w:bCs/>
                <w:color w:val="000000" w:themeColor="text1"/>
                <w:sz w:val="20"/>
                <w:szCs w:val="20"/>
                <w:lang w:eastAsia="sk-SK"/>
              </w:rPr>
              <w:br/>
              <w:t xml:space="preserve"> (Sociálna poisťovňa)</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82EB8" w:rsidRPr="007B7470" w:rsidRDefault="00E82EB8" w:rsidP="009473C0">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E82EB8" w:rsidRPr="007B7470" w:rsidTr="009473C0">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82EB8" w:rsidRPr="007B7470" w:rsidRDefault="00E82EB8" w:rsidP="009473C0">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E82EB8" w:rsidRPr="007B7470" w:rsidRDefault="00E82EB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E82EB8" w:rsidRPr="007B7470" w:rsidRDefault="00E82EB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E82EB8" w:rsidRPr="007B7470" w:rsidRDefault="00E82EB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E82EB8" w:rsidRPr="00E82EB8" w:rsidRDefault="00E82EB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sidRPr="00E82EB8">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E82EB8" w:rsidRPr="007B7470" w:rsidRDefault="00E82EB8" w:rsidP="009473C0">
            <w:pPr>
              <w:spacing w:after="0" w:line="240" w:lineRule="auto"/>
              <w:rPr>
                <w:rFonts w:ascii="Times New Roman" w:eastAsia="Times New Roman" w:hAnsi="Times New Roman" w:cs="Times New Roman"/>
                <w:b/>
                <w:bCs/>
                <w:color w:val="000000" w:themeColor="text1"/>
                <w:sz w:val="24"/>
                <w:szCs w:val="24"/>
                <w:lang w:eastAsia="sk-SK"/>
              </w:rPr>
            </w:pP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E82EB8" w:rsidRPr="00CB3F70" w:rsidRDefault="004E2A12" w:rsidP="00A71F23">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b/>
                <w:bCs/>
                <w:color w:val="000000" w:themeColor="text1"/>
                <w:sz w:val="20"/>
                <w:szCs w:val="20"/>
                <w:lang w:eastAsia="sk-SK"/>
              </w:rPr>
            </w:pPr>
            <w:r w:rsidRPr="00CB3F70">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47743E" w:rsidP="00CB3F7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color w:val="000000" w:themeColor="text1"/>
                <w:sz w:val="20"/>
                <w:szCs w:val="20"/>
                <w:lang w:eastAsia="sk-SK"/>
              </w:rPr>
              <w:t>25 931 324</w:t>
            </w:r>
          </w:p>
        </w:tc>
        <w:tc>
          <w:tcPr>
            <w:tcW w:w="1540" w:type="dxa"/>
            <w:tcBorders>
              <w:top w:val="nil"/>
              <w:left w:val="nil"/>
              <w:bottom w:val="single" w:sz="4" w:space="0" w:color="auto"/>
              <w:right w:val="single" w:sz="4" w:space="0" w:color="auto"/>
            </w:tcBorders>
            <w:vAlign w:val="center"/>
          </w:tcPr>
          <w:p w:rsidR="00E82EB8" w:rsidRPr="00CB3F70" w:rsidRDefault="0047743E" w:rsidP="00CB3F7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color w:val="000000" w:themeColor="text1"/>
                <w:sz w:val="20"/>
                <w:szCs w:val="20"/>
                <w:lang w:eastAsia="sk-SK"/>
              </w:rPr>
              <w:t>53 131 940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2EB8" w:rsidRPr="00CB3F70" w:rsidRDefault="00405F15" w:rsidP="00A71F23">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073EF"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2 127 405</w:t>
            </w:r>
          </w:p>
        </w:tc>
        <w:tc>
          <w:tcPr>
            <w:tcW w:w="1540" w:type="dxa"/>
            <w:tcBorders>
              <w:top w:val="nil"/>
              <w:left w:val="nil"/>
              <w:bottom w:val="single" w:sz="4" w:space="0" w:color="auto"/>
              <w:right w:val="single" w:sz="4" w:space="0" w:color="auto"/>
            </w:tcBorders>
            <w:vAlign w:val="center"/>
          </w:tcPr>
          <w:p w:rsidR="00E82EB8" w:rsidRPr="00CB3F70" w:rsidRDefault="00C073EF"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2 191 228</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23 803 919</w:t>
            </w:r>
          </w:p>
        </w:tc>
        <w:tc>
          <w:tcPr>
            <w:tcW w:w="154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50 940 712</w:t>
            </w:r>
          </w:p>
        </w:tc>
        <w:tc>
          <w:tcPr>
            <w:tcW w:w="1649" w:type="dxa"/>
            <w:tcBorders>
              <w:top w:val="nil"/>
              <w:left w:val="nil"/>
              <w:bottom w:val="single" w:sz="4" w:space="0" w:color="auto"/>
              <w:right w:val="single" w:sz="4" w:space="0" w:color="auto"/>
            </w:tcBorders>
            <w:noWrap/>
            <w:vAlign w:val="center"/>
          </w:tcPr>
          <w:p w:rsidR="00E82EB8" w:rsidRPr="00CB3F70" w:rsidRDefault="00E82EB8" w:rsidP="00CB3F70">
            <w:pPr>
              <w:spacing w:after="0" w:line="240" w:lineRule="auto"/>
              <w:jc w:val="center"/>
              <w:rPr>
                <w:rFonts w:ascii="Times New Roman" w:eastAsia="Times New Roman" w:hAnsi="Times New Roman" w:cs="Times New Roman"/>
                <w:color w:val="000000" w:themeColor="text1"/>
                <w:sz w:val="20"/>
                <w:szCs w:val="20"/>
                <w:lang w:eastAsia="sk-SK"/>
              </w:rPr>
            </w:pPr>
          </w:p>
        </w:tc>
      </w:tr>
      <w:tr w:rsidR="00CB3F70" w:rsidRPr="007B7470" w:rsidTr="00CB3F70">
        <w:trPr>
          <w:trHeight w:val="255"/>
        </w:trPr>
        <w:tc>
          <w:tcPr>
            <w:tcW w:w="7070" w:type="dxa"/>
            <w:tcBorders>
              <w:top w:val="nil"/>
              <w:left w:val="single" w:sz="4" w:space="0" w:color="auto"/>
              <w:bottom w:val="single" w:sz="4" w:space="0" w:color="auto"/>
              <w:right w:val="single" w:sz="4" w:space="0" w:color="auto"/>
            </w:tcBorders>
          </w:tcPr>
          <w:p w:rsidR="00CB3F70" w:rsidRPr="00CB3F70" w:rsidRDefault="00CB3F70" w:rsidP="009473C0">
            <w:pPr>
              <w:spacing w:after="0" w:line="240" w:lineRule="auto"/>
              <w:rPr>
                <w:rFonts w:ascii="Times New Roman" w:eastAsia="Times New Roman" w:hAnsi="Times New Roman" w:cs="Times New Roman"/>
                <w:i/>
                <w:color w:val="000000" w:themeColor="text1"/>
                <w:sz w:val="20"/>
                <w:szCs w:val="20"/>
                <w:lang w:eastAsia="sk-SK"/>
              </w:rPr>
            </w:pPr>
            <w:r w:rsidRPr="00CB3F70">
              <w:rPr>
                <w:rFonts w:ascii="Times New Roman" w:eastAsia="Times New Roman" w:hAnsi="Times New Roman" w:cs="Times New Roman"/>
                <w:i/>
                <w:color w:val="000000" w:themeColor="text1"/>
                <w:sz w:val="20"/>
                <w:szCs w:val="20"/>
                <w:lang w:eastAsia="sk-SK"/>
              </w:rPr>
              <w:t xml:space="preserve">z toho: transfery jednotlivcom a neziskovým organizáciám </w:t>
            </w:r>
            <w:r w:rsidR="00547A68">
              <w:rPr>
                <w:rFonts w:ascii="Times New Roman" w:eastAsia="Times New Roman" w:hAnsi="Times New Roman" w:cs="Times New Roman"/>
                <w:i/>
                <w:color w:val="000000" w:themeColor="text1"/>
                <w:sz w:val="20"/>
                <w:szCs w:val="20"/>
                <w:lang w:eastAsia="sk-SK"/>
              </w:rPr>
              <w:t>(642)</w:t>
            </w:r>
          </w:p>
        </w:tc>
        <w:tc>
          <w:tcPr>
            <w:tcW w:w="1430" w:type="dxa"/>
            <w:tcBorders>
              <w:top w:val="nil"/>
              <w:left w:val="nil"/>
              <w:bottom w:val="single" w:sz="4" w:space="0" w:color="auto"/>
              <w:right w:val="single" w:sz="4" w:space="0" w:color="auto"/>
            </w:tcBorders>
            <w:vAlign w:val="center"/>
          </w:tcPr>
          <w:p w:rsidR="00CB3F70" w:rsidRPr="00CB3F70" w:rsidRDefault="00CB3F70" w:rsidP="00CB3F70">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CB3F70" w:rsidRPr="00CB3F70" w:rsidRDefault="00CB3F70" w:rsidP="00CB3F70">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CB3F70" w:rsidRPr="00CB3F70" w:rsidRDefault="00CB3F70" w:rsidP="00CB3F70">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23 803 919</w:t>
            </w:r>
          </w:p>
        </w:tc>
        <w:tc>
          <w:tcPr>
            <w:tcW w:w="1540" w:type="dxa"/>
            <w:tcBorders>
              <w:top w:val="nil"/>
              <w:left w:val="nil"/>
              <w:bottom w:val="single" w:sz="4" w:space="0" w:color="auto"/>
              <w:right w:val="single" w:sz="4" w:space="0" w:color="auto"/>
            </w:tcBorders>
            <w:vAlign w:val="center"/>
          </w:tcPr>
          <w:p w:rsidR="00CB3F70" w:rsidRPr="00CB3F70" w:rsidRDefault="00CB3F70" w:rsidP="00CB3F70">
            <w:pPr>
              <w:spacing w:after="0" w:line="240" w:lineRule="auto"/>
              <w:jc w:val="center"/>
              <w:rPr>
                <w:rFonts w:ascii="Times New Roman" w:eastAsia="Times New Roman" w:hAnsi="Times New Roman" w:cs="Times New Roman"/>
                <w:i/>
                <w:color w:val="000000" w:themeColor="text1"/>
                <w:sz w:val="20"/>
                <w:szCs w:val="20"/>
                <w:lang w:eastAsia="sk-SK"/>
              </w:rPr>
            </w:pPr>
            <w:r>
              <w:rPr>
                <w:rFonts w:ascii="Times New Roman" w:eastAsia="Times New Roman" w:hAnsi="Times New Roman" w:cs="Times New Roman"/>
                <w:i/>
                <w:color w:val="000000" w:themeColor="text1"/>
                <w:sz w:val="20"/>
                <w:szCs w:val="20"/>
                <w:lang w:eastAsia="sk-SK"/>
              </w:rPr>
              <w:t>50 940 712</w:t>
            </w:r>
          </w:p>
        </w:tc>
        <w:tc>
          <w:tcPr>
            <w:tcW w:w="1649" w:type="dxa"/>
            <w:tcBorders>
              <w:top w:val="nil"/>
              <w:left w:val="nil"/>
              <w:bottom w:val="single" w:sz="4" w:space="0" w:color="auto"/>
              <w:right w:val="single" w:sz="4" w:space="0" w:color="auto"/>
            </w:tcBorders>
            <w:noWrap/>
            <w:vAlign w:val="center"/>
          </w:tcPr>
          <w:p w:rsidR="00CB3F70" w:rsidRPr="00CB3F70" w:rsidRDefault="00CB3F70" w:rsidP="00CB3F70">
            <w:pPr>
              <w:spacing w:after="0" w:line="240" w:lineRule="auto"/>
              <w:jc w:val="center"/>
              <w:rPr>
                <w:rFonts w:ascii="Times New Roman" w:eastAsia="Times New Roman" w:hAnsi="Times New Roman" w:cs="Times New Roman"/>
                <w:i/>
                <w:color w:val="000000" w:themeColor="text1"/>
                <w:sz w:val="24"/>
                <w:szCs w:val="24"/>
                <w:lang w:eastAsia="sk-SK"/>
              </w:rPr>
            </w:pPr>
            <w:r>
              <w:rPr>
                <w:rFonts w:ascii="Times New Roman" w:eastAsia="Times New Roman" w:hAnsi="Times New Roman" w:cs="Times New Roman"/>
                <w:color w:val="000000" w:themeColor="text1"/>
                <w:sz w:val="20"/>
                <w:szCs w:val="20"/>
                <w:lang w:eastAsia="sk-SK"/>
              </w:rPr>
              <w:t>Zvýšené výdavky na dôchodky</w:t>
            </w:r>
          </w:p>
        </w:tc>
      </w:tr>
      <w:tr w:rsidR="00E82EB8" w:rsidRPr="007B7470" w:rsidTr="00CB3F70">
        <w:trPr>
          <w:trHeight w:val="255"/>
        </w:trPr>
        <w:tc>
          <w:tcPr>
            <w:tcW w:w="7070" w:type="dxa"/>
            <w:tcBorders>
              <w:top w:val="nil"/>
              <w:left w:val="single" w:sz="4" w:space="0" w:color="auto"/>
              <w:bottom w:val="single" w:sz="4" w:space="0" w:color="auto"/>
              <w:right w:val="single" w:sz="4" w:space="0" w:color="auto"/>
            </w:tcBorders>
            <w:vAlign w:val="center"/>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2EB8" w:rsidRPr="00CB3F70" w:rsidRDefault="00CB3F70"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547A68"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2EB8" w:rsidRPr="00CB3F70" w:rsidRDefault="00547A68" w:rsidP="00CB3F7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p>
        </w:tc>
      </w:tr>
      <w:tr w:rsidR="00E82EB8" w:rsidRPr="007B7470" w:rsidTr="009473C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E82EB8" w:rsidRPr="007B7470" w:rsidRDefault="00405F15"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E82EB8" w:rsidRPr="007B7470" w:rsidTr="009473C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82EB8" w:rsidRPr="00405F15" w:rsidRDefault="00405F15" w:rsidP="009473C0">
            <w:pPr>
              <w:spacing w:after="0" w:line="240" w:lineRule="auto"/>
              <w:jc w:val="center"/>
              <w:rPr>
                <w:rFonts w:ascii="Times New Roman" w:eastAsia="Times New Roman" w:hAnsi="Times New Roman" w:cs="Times New Roman"/>
                <w:color w:val="000000" w:themeColor="text1"/>
                <w:sz w:val="20"/>
                <w:szCs w:val="20"/>
                <w:lang w:eastAsia="sk-SK"/>
              </w:rPr>
            </w:pPr>
            <w:r w:rsidRPr="00405F15">
              <w:rPr>
                <w:rFonts w:ascii="Times New Roman" w:eastAsia="Times New Roman" w:hAnsi="Times New Roman" w:cs="Times New Roman"/>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405F15" w:rsidRPr="007B7470" w:rsidTr="009473C0">
        <w:trPr>
          <w:trHeight w:val="255"/>
        </w:trPr>
        <w:tc>
          <w:tcPr>
            <w:tcW w:w="7070" w:type="dxa"/>
            <w:tcBorders>
              <w:top w:val="nil"/>
              <w:left w:val="single" w:sz="4" w:space="0" w:color="auto"/>
              <w:bottom w:val="single" w:sz="4" w:space="0" w:color="auto"/>
              <w:right w:val="single" w:sz="4" w:space="0" w:color="auto"/>
            </w:tcBorders>
          </w:tcPr>
          <w:p w:rsidR="00405F15" w:rsidRPr="007B7470" w:rsidRDefault="00405F15" w:rsidP="008B66BD">
            <w:pPr>
              <w:spacing w:after="0" w:line="240" w:lineRule="auto"/>
              <w:rPr>
                <w:rFonts w:ascii="Times New Roman" w:eastAsia="Times New Roman" w:hAnsi="Times New Roman" w:cs="Times New Roman"/>
                <w:color w:val="000000" w:themeColor="text1"/>
                <w:sz w:val="20"/>
                <w:szCs w:val="20"/>
                <w:lang w:eastAsia="sk-SK"/>
              </w:rPr>
            </w:pPr>
            <w:r w:rsidRPr="00CB3F70">
              <w:rPr>
                <w:rFonts w:ascii="Times New Roman" w:eastAsia="Times New Roman" w:hAnsi="Times New Roman" w:cs="Times New Roman"/>
                <w:i/>
                <w:color w:val="000000" w:themeColor="text1"/>
                <w:sz w:val="20"/>
                <w:szCs w:val="20"/>
                <w:lang w:eastAsia="sk-SK"/>
              </w:rPr>
              <w:t xml:space="preserve">z toho: </w:t>
            </w:r>
            <w:r w:rsidR="008B66BD">
              <w:rPr>
                <w:rFonts w:ascii="Times New Roman" w:eastAsia="Times New Roman" w:hAnsi="Times New Roman" w:cs="Times New Roman"/>
                <w:i/>
                <w:color w:val="000000" w:themeColor="text1"/>
                <w:sz w:val="20"/>
                <w:szCs w:val="20"/>
                <w:lang w:eastAsia="sk-SK"/>
              </w:rPr>
              <w:t>r</w:t>
            </w:r>
            <w:r>
              <w:rPr>
                <w:rFonts w:ascii="Times New Roman" w:eastAsia="Times New Roman" w:hAnsi="Times New Roman" w:cs="Times New Roman"/>
                <w:i/>
                <w:color w:val="000000" w:themeColor="text1"/>
                <w:sz w:val="20"/>
                <w:szCs w:val="20"/>
                <w:lang w:eastAsia="sk-SK"/>
              </w:rPr>
              <w:t>ekonštrukcia a modernizácia softvéru (718006)</w:t>
            </w:r>
          </w:p>
        </w:tc>
        <w:tc>
          <w:tcPr>
            <w:tcW w:w="1430" w:type="dxa"/>
            <w:tcBorders>
              <w:top w:val="nil"/>
              <w:left w:val="nil"/>
              <w:bottom w:val="single" w:sz="4" w:space="0" w:color="auto"/>
              <w:right w:val="single" w:sz="4" w:space="0" w:color="auto"/>
            </w:tcBorders>
          </w:tcPr>
          <w:p w:rsidR="00405F15" w:rsidRPr="00405F15" w:rsidRDefault="00405F15" w:rsidP="009473C0">
            <w:pPr>
              <w:spacing w:after="0" w:line="240" w:lineRule="auto"/>
              <w:jc w:val="center"/>
              <w:rPr>
                <w:rFonts w:ascii="Times New Roman" w:eastAsia="Times New Roman" w:hAnsi="Times New Roman" w:cs="Times New Roman"/>
                <w:bCs/>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405F15" w:rsidRDefault="00405F15" w:rsidP="009473C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05F15" w:rsidRDefault="00405F15" w:rsidP="009473C0">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405F15" w:rsidRDefault="00405F15" w:rsidP="009473C0">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405F15" w:rsidRPr="007B7470" w:rsidRDefault="00405F15" w:rsidP="009473C0">
            <w:pPr>
              <w:spacing w:after="0" w:line="240" w:lineRule="auto"/>
              <w:rPr>
                <w:rFonts w:ascii="Times New Roman" w:eastAsia="Times New Roman" w:hAnsi="Times New Roman" w:cs="Times New Roman"/>
                <w:color w:val="000000" w:themeColor="text1"/>
                <w:sz w:val="24"/>
                <w:szCs w:val="24"/>
                <w:lang w:eastAsia="sk-SK"/>
              </w:rPr>
            </w:pPr>
          </w:p>
        </w:tc>
      </w:tr>
      <w:tr w:rsidR="00E82EB8" w:rsidRPr="007B7470" w:rsidTr="009473C0">
        <w:trPr>
          <w:trHeight w:val="255"/>
        </w:trPr>
        <w:tc>
          <w:tcPr>
            <w:tcW w:w="7070" w:type="dxa"/>
            <w:tcBorders>
              <w:top w:val="nil"/>
              <w:left w:val="single" w:sz="4" w:space="0" w:color="auto"/>
              <w:bottom w:val="single" w:sz="4" w:space="0" w:color="auto"/>
              <w:right w:val="single" w:sz="4" w:space="0" w:color="auto"/>
            </w:tcBorders>
          </w:tcPr>
          <w:p w:rsidR="00E82EB8" w:rsidRPr="007B7470" w:rsidRDefault="00E82EB8" w:rsidP="009473C0">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2EB8" w:rsidRPr="007B7470" w:rsidRDefault="00547A68" w:rsidP="009473C0">
            <w:pPr>
              <w:spacing w:after="0" w:line="240"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2EB8" w:rsidRPr="007B7470" w:rsidRDefault="00E82EB8" w:rsidP="009473C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CB3F70" w:rsidRPr="007B7470" w:rsidTr="00CB3F70">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B3F70" w:rsidRPr="007B7470" w:rsidRDefault="00CB3F70" w:rsidP="00CB3F70">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CB3F70" w:rsidRPr="0001136C" w:rsidRDefault="000A35C8" w:rsidP="00A71F23">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2 </w:t>
            </w:r>
            <w:r w:rsidR="00A71F23">
              <w:rPr>
                <w:rFonts w:ascii="Times New Roman" w:eastAsia="Times New Roman" w:hAnsi="Times New Roman" w:cs="Times New Roman"/>
                <w:b/>
                <w:bCs/>
                <w:color w:val="000000" w:themeColor="text1"/>
                <w:sz w:val="20"/>
                <w:szCs w:val="20"/>
                <w:lang w:eastAsia="sk-SK"/>
              </w:rPr>
              <w:t xml:space="preserve">340 </w:t>
            </w:r>
            <w:r>
              <w:rPr>
                <w:rFonts w:ascii="Times New Roman" w:eastAsia="Times New Roman" w:hAnsi="Times New Roman" w:cs="Times New Roman"/>
                <w:b/>
                <w:bCs/>
                <w:color w:val="000000" w:themeColor="text1"/>
                <w:sz w:val="20"/>
                <w:szCs w:val="20"/>
                <w:lang w:eastAsia="sk-SK"/>
              </w:rPr>
              <w:t>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CB3F70" w:rsidRPr="0001136C" w:rsidRDefault="00CB3F70" w:rsidP="00CB3F70">
            <w:pPr>
              <w:spacing w:after="0" w:line="240" w:lineRule="auto"/>
              <w:jc w:val="center"/>
              <w:rPr>
                <w:rFonts w:ascii="Times New Roman" w:eastAsia="Times New Roman" w:hAnsi="Times New Roman" w:cs="Times New Roman"/>
                <w:b/>
                <w:bCs/>
                <w:color w:val="000000" w:themeColor="text1"/>
                <w:sz w:val="20"/>
                <w:szCs w:val="20"/>
                <w:lang w:eastAsia="sk-SK"/>
              </w:rPr>
            </w:pPr>
            <w:r w:rsidRPr="0001136C">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B3F70" w:rsidRPr="0001136C" w:rsidRDefault="00C073EF" w:rsidP="00CB3F70">
            <w:pPr>
              <w:spacing w:after="0" w:line="240" w:lineRule="auto"/>
              <w:jc w:val="center"/>
              <w:rPr>
                <w:rFonts w:ascii="Times New Roman" w:eastAsia="Times New Roman" w:hAnsi="Times New Roman" w:cs="Times New Roman"/>
                <w:b/>
                <w:color w:val="000000" w:themeColor="text1"/>
                <w:sz w:val="20"/>
                <w:szCs w:val="20"/>
                <w:lang w:eastAsia="sk-SK"/>
              </w:rPr>
            </w:pPr>
            <w:r>
              <w:rPr>
                <w:rFonts w:ascii="Times New Roman" w:eastAsia="Times New Roman" w:hAnsi="Times New Roman" w:cs="Times New Roman"/>
                <w:b/>
                <w:color w:val="000000" w:themeColor="text1"/>
                <w:sz w:val="20"/>
                <w:szCs w:val="20"/>
                <w:lang w:eastAsia="sk-SK"/>
              </w:rPr>
              <w:t>25 931 324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CB3F70" w:rsidRPr="0001136C" w:rsidRDefault="00C073EF" w:rsidP="00CB3F70">
            <w:pPr>
              <w:spacing w:after="0" w:line="240" w:lineRule="auto"/>
              <w:jc w:val="center"/>
              <w:rPr>
                <w:rFonts w:ascii="Times New Roman" w:eastAsia="Times New Roman" w:hAnsi="Times New Roman" w:cs="Times New Roman"/>
                <w:b/>
                <w:color w:val="000000" w:themeColor="text1"/>
                <w:sz w:val="20"/>
                <w:szCs w:val="20"/>
                <w:lang w:eastAsia="sk-SK"/>
              </w:rPr>
            </w:pPr>
            <w:r>
              <w:rPr>
                <w:rFonts w:ascii="Times New Roman" w:eastAsia="Times New Roman" w:hAnsi="Times New Roman" w:cs="Times New Roman"/>
                <w:b/>
                <w:color w:val="000000" w:themeColor="text1"/>
                <w:sz w:val="20"/>
                <w:szCs w:val="20"/>
                <w:lang w:eastAsia="sk-SK"/>
              </w:rPr>
              <w:t>53 131 940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B3F70" w:rsidRPr="007B7470" w:rsidRDefault="00CB3F70" w:rsidP="00CB3F70">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E82EB8" w:rsidRPr="007B7470" w:rsidRDefault="00E82EB8" w:rsidP="00E82EB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E82EB8" w:rsidRDefault="00E82EB8" w:rsidP="003408F5">
      <w:pPr>
        <w:tabs>
          <w:tab w:val="num" w:pos="1080"/>
        </w:tabs>
        <w:spacing w:after="0" w:line="240" w:lineRule="auto"/>
        <w:ind w:left="-900"/>
        <w:jc w:val="both"/>
        <w:rPr>
          <w:rFonts w:ascii="Times New Roman" w:eastAsia="Times New Roman" w:hAnsi="Times New Roman" w:cs="Times New Roman"/>
          <w:b/>
          <w:bCs/>
          <w:sz w:val="24"/>
          <w:szCs w:val="20"/>
          <w:lang w:eastAsia="sk-SK"/>
        </w:rPr>
      </w:pP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7A78" w:rsidRDefault="00077A7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077A78" w:rsidRDefault="00077A7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E807F5" w:rsidRPr="00E807F5" w:rsidRDefault="00E807F5" w:rsidP="00E807F5">
      <w:pPr>
        <w:tabs>
          <w:tab w:val="num" w:pos="1080"/>
        </w:tabs>
        <w:spacing w:after="0" w:line="240" w:lineRule="auto"/>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sz w:val="20"/>
          <w:szCs w:val="20"/>
          <w:lang w:eastAsia="sk-SK"/>
        </w:rPr>
        <w:t xml:space="preserve">                                                                                                                                                                                                                                                            </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 xml:space="preserve">             Tabuľka č. 4/B</w:t>
      </w:r>
      <w:r w:rsidRPr="00E807F5">
        <w:rPr>
          <w:rFonts w:ascii="Times New Roman" w:eastAsia="Times New Roman" w:hAnsi="Times New Roman" w:cs="Times New Roman"/>
          <w:bCs/>
          <w:sz w:val="20"/>
          <w:szCs w:val="20"/>
          <w:lang w:eastAsia="sk-SK"/>
        </w:rPr>
        <w:t>-1</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807F5" w:rsidRPr="00E807F5" w:rsidTr="00E807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 xml:space="preserve">Vplyv na rozpočet  verejnej správy </w:t>
            </w:r>
            <w:r w:rsidRPr="00E807F5">
              <w:rPr>
                <w:rFonts w:ascii="Times New Roman" w:eastAsia="Times New Roman" w:hAnsi="Times New Roman" w:cs="Times New Roman"/>
                <w:b/>
                <w:bCs/>
                <w:color w:val="000000" w:themeColor="text1"/>
                <w:sz w:val="20"/>
                <w:szCs w:val="20"/>
                <w:lang w:eastAsia="sk-SK"/>
              </w:rPr>
              <w:br/>
              <w:t>(kapitola MPSVR SR)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r w:rsidRPr="00E807F5">
              <w:rPr>
                <w:rFonts w:ascii="Times New Roman" w:eastAsia="Times New Roman" w:hAnsi="Times New Roman" w:cs="Times New Roman"/>
                <w:b/>
                <w:bCs/>
                <w:color w:val="000000" w:themeColor="text1"/>
                <w:sz w:val="24"/>
                <w:szCs w:val="24"/>
                <w:lang w:eastAsia="sk-SK"/>
              </w:rPr>
              <w:t>poznámka</w:t>
            </w:r>
          </w:p>
        </w:tc>
      </w:tr>
      <w:tr w:rsidR="00E807F5" w:rsidRPr="00E807F5" w:rsidTr="00E807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p>
        </w:tc>
      </w:tr>
      <w:tr w:rsidR="004E2A12" w:rsidRPr="00E807F5" w:rsidTr="004E2A12">
        <w:trPr>
          <w:trHeight w:val="255"/>
        </w:trPr>
        <w:tc>
          <w:tcPr>
            <w:tcW w:w="7070" w:type="dxa"/>
            <w:tcBorders>
              <w:top w:val="nil"/>
              <w:left w:val="single" w:sz="4" w:space="0" w:color="auto"/>
              <w:bottom w:val="single" w:sz="4" w:space="0" w:color="auto"/>
              <w:right w:val="single" w:sz="4" w:space="0" w:color="auto"/>
            </w:tcBorders>
          </w:tcPr>
          <w:p w:rsidR="004E2A12" w:rsidRPr="00E807F5" w:rsidRDefault="004E2A12" w:rsidP="004E2A12">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-520 452 195</w:t>
            </w:r>
          </w:p>
        </w:tc>
        <w:tc>
          <w:tcPr>
            <w:tcW w:w="154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-548 787 478</w:t>
            </w:r>
          </w:p>
        </w:tc>
        <w:tc>
          <w:tcPr>
            <w:tcW w:w="154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-578 370 570</w:t>
            </w:r>
          </w:p>
        </w:tc>
        <w:tc>
          <w:tcPr>
            <w:tcW w:w="1649" w:type="dxa"/>
            <w:tcBorders>
              <w:top w:val="nil"/>
              <w:left w:val="nil"/>
              <w:bottom w:val="single" w:sz="4" w:space="0" w:color="auto"/>
              <w:right w:val="single" w:sz="4" w:space="0" w:color="auto"/>
            </w:tcBorders>
            <w:noWrap/>
            <w:vAlign w:val="center"/>
          </w:tcPr>
          <w:p w:rsidR="004E2A12" w:rsidRPr="00E807F5" w:rsidRDefault="004E2A12" w:rsidP="004E2A12">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Tovary a služby (630)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Bežné transfery (640)</w:t>
            </w:r>
            <w:r w:rsidRPr="00E807F5">
              <w:rPr>
                <w:rFonts w:ascii="Times New Roman" w:eastAsia="Times New Roman" w:hAnsi="Times New Roman" w:cs="Times New Roman"/>
                <w:color w:val="000000" w:themeColor="text1"/>
                <w:sz w:val="20"/>
                <w:szCs w:val="20"/>
                <w:vertAlign w:val="superscript"/>
                <w:lang w:eastAsia="sk-SK"/>
              </w:rPr>
              <w:t xml:space="preserve">2 </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-520 452 195</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-548 787 478</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-578 370 570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z toho: transfery v rámci verejnej správy (641)</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-520 452 195</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-548 480 150</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-577 430 146</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Poistné platené štátom</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 xml:space="preserve">z toho: transfery jednotlivcom a neziskovým organizáciám (642) </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-307 328</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-940 424</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Minimálny dôchodok</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Splácanie úrokov a ostatné platby súvisiace s </w:t>
            </w:r>
            <w:r w:rsidRPr="00E807F5">
              <w:rPr>
                <w:color w:val="000000" w:themeColor="text1"/>
              </w:rPr>
              <w:t xml:space="preserve"> </w:t>
            </w:r>
            <w:r w:rsidRPr="00E807F5">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Obstarávanie kapitálových aktív (710)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Kapitálové transfery (720)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-520 452 195</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-548 787 478</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-578 370 570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bl>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color w:val="000000" w:themeColor="text1"/>
          <w:sz w:val="20"/>
          <w:szCs w:val="20"/>
          <w:lang w:eastAsia="sk-SK"/>
        </w:rPr>
        <w:t xml:space="preserve">  2 –  výdavky rozpísať až do podpo</w:t>
      </w:r>
      <w:r w:rsidRPr="00E807F5">
        <w:rPr>
          <w:rFonts w:ascii="Times New Roman" w:eastAsia="Times New Roman" w:hAnsi="Times New Roman" w:cs="Times New Roman"/>
          <w:bCs/>
          <w:sz w:val="20"/>
          <w:szCs w:val="20"/>
          <w:lang w:eastAsia="sk-SK"/>
        </w:rPr>
        <w:t>ložiek platnej ekonomickej klasifikácie</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sz w:val="20"/>
          <w:szCs w:val="20"/>
          <w:lang w:eastAsia="sk-SK"/>
        </w:rPr>
        <w:lastRenderedPageBreak/>
        <w:t xml:space="preserve">                                                                                                                                                                                                                                                            </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 xml:space="preserve">          Tabuľka č. 4/B</w:t>
      </w:r>
      <w:r w:rsidRPr="00E807F5">
        <w:rPr>
          <w:rFonts w:ascii="Times New Roman" w:eastAsia="Times New Roman" w:hAnsi="Times New Roman" w:cs="Times New Roman"/>
          <w:bCs/>
          <w:sz w:val="20"/>
          <w:szCs w:val="20"/>
          <w:lang w:eastAsia="sk-SK"/>
        </w:rPr>
        <w:t>-2</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807F5" w:rsidRPr="00E807F5" w:rsidTr="00E807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 xml:space="preserve">Vplyv na rozpočet  verejnej správy </w:t>
            </w:r>
            <w:r w:rsidRPr="00E807F5">
              <w:rPr>
                <w:rFonts w:ascii="Times New Roman" w:eastAsia="Times New Roman" w:hAnsi="Times New Roman" w:cs="Times New Roman"/>
                <w:b/>
                <w:bCs/>
                <w:color w:val="000000" w:themeColor="text1"/>
                <w:sz w:val="20"/>
                <w:szCs w:val="20"/>
                <w:lang w:eastAsia="sk-SK"/>
              </w:rPr>
              <w:br/>
              <w:t>(kapitola VPS)</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r w:rsidRPr="00E807F5">
              <w:rPr>
                <w:rFonts w:ascii="Times New Roman" w:eastAsia="Times New Roman" w:hAnsi="Times New Roman" w:cs="Times New Roman"/>
                <w:b/>
                <w:bCs/>
                <w:color w:val="000000" w:themeColor="text1"/>
                <w:sz w:val="24"/>
                <w:szCs w:val="24"/>
                <w:lang w:eastAsia="sk-SK"/>
              </w:rPr>
              <w:t>poznámka</w:t>
            </w:r>
          </w:p>
        </w:tc>
      </w:tr>
      <w:tr w:rsidR="00E807F5" w:rsidRPr="00E807F5" w:rsidTr="00E807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p>
        </w:tc>
      </w:tr>
      <w:tr w:rsidR="004E2A12" w:rsidRPr="00E807F5" w:rsidTr="004E2A12">
        <w:trPr>
          <w:trHeight w:val="255"/>
        </w:trPr>
        <w:tc>
          <w:tcPr>
            <w:tcW w:w="7070" w:type="dxa"/>
            <w:tcBorders>
              <w:top w:val="nil"/>
              <w:left w:val="single" w:sz="4" w:space="0" w:color="auto"/>
              <w:bottom w:val="single" w:sz="4" w:space="0" w:color="auto"/>
              <w:right w:val="single" w:sz="4" w:space="0" w:color="auto"/>
            </w:tcBorders>
          </w:tcPr>
          <w:p w:rsidR="004E2A12" w:rsidRPr="00E807F5" w:rsidRDefault="004E2A12" w:rsidP="004E2A12">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471 989 996</w:t>
            </w:r>
          </w:p>
        </w:tc>
        <w:tc>
          <w:tcPr>
            <w:tcW w:w="154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497 450 065</w:t>
            </w:r>
          </w:p>
        </w:tc>
        <w:tc>
          <w:tcPr>
            <w:tcW w:w="1540" w:type="dxa"/>
            <w:tcBorders>
              <w:top w:val="nil"/>
              <w:left w:val="nil"/>
              <w:bottom w:val="single" w:sz="4" w:space="0" w:color="auto"/>
              <w:right w:val="single" w:sz="4" w:space="0" w:color="auto"/>
            </w:tcBorders>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4E2A12" w:rsidRPr="00E807F5" w:rsidRDefault="004E2A12" w:rsidP="004E2A12">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Tovary a služby (630)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Bežné transfery (640)</w:t>
            </w:r>
            <w:r w:rsidRPr="00E807F5">
              <w:rPr>
                <w:rFonts w:ascii="Times New Roman" w:eastAsia="Times New Roman" w:hAnsi="Times New Roman" w:cs="Times New Roman"/>
                <w:color w:val="000000" w:themeColor="text1"/>
                <w:sz w:val="20"/>
                <w:szCs w:val="20"/>
                <w:vertAlign w:val="superscript"/>
                <w:lang w:eastAsia="sk-SK"/>
              </w:rPr>
              <w:t xml:space="preserve">2 </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471 989 996</w:t>
            </w:r>
          </w:p>
        </w:tc>
        <w:tc>
          <w:tcPr>
            <w:tcW w:w="1540" w:type="dxa"/>
            <w:tcBorders>
              <w:top w:val="single" w:sz="4" w:space="0" w:color="auto"/>
              <w:left w:val="nil"/>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497 450 065</w:t>
            </w:r>
          </w:p>
        </w:tc>
        <w:tc>
          <w:tcPr>
            <w:tcW w:w="1540" w:type="dxa"/>
            <w:tcBorders>
              <w:top w:val="single" w:sz="4" w:space="0" w:color="auto"/>
              <w:left w:val="nil"/>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z toho: transfery v rámci verejnej správy (641)</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bCs/>
                <w:i/>
                <w:sz w:val="20"/>
                <w:szCs w:val="20"/>
                <w:lang w:eastAsia="sk-SK"/>
              </w:rPr>
            </w:pPr>
            <w:r w:rsidRPr="00E807F5">
              <w:rPr>
                <w:rFonts w:ascii="Times New Roman" w:eastAsia="Times New Roman" w:hAnsi="Times New Roman" w:cs="Times New Roman"/>
                <w:bCs/>
                <w:i/>
                <w:sz w:val="20"/>
                <w:szCs w:val="20"/>
                <w:lang w:eastAsia="sk-SK"/>
              </w:rPr>
              <w:t>471 989 996</w:t>
            </w:r>
          </w:p>
        </w:tc>
        <w:tc>
          <w:tcPr>
            <w:tcW w:w="1540" w:type="dxa"/>
            <w:tcBorders>
              <w:top w:val="single" w:sz="4" w:space="0" w:color="auto"/>
              <w:left w:val="nil"/>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bCs/>
                <w:i/>
                <w:sz w:val="20"/>
                <w:szCs w:val="20"/>
                <w:lang w:eastAsia="sk-SK"/>
              </w:rPr>
            </w:pPr>
            <w:r w:rsidRPr="00E807F5">
              <w:rPr>
                <w:rFonts w:ascii="Times New Roman" w:eastAsia="Times New Roman" w:hAnsi="Times New Roman" w:cs="Times New Roman"/>
                <w:bCs/>
                <w:i/>
                <w:sz w:val="20"/>
                <w:szCs w:val="20"/>
                <w:lang w:eastAsia="sk-SK"/>
              </w:rPr>
              <w:t>497 450 065</w:t>
            </w:r>
          </w:p>
        </w:tc>
        <w:tc>
          <w:tcPr>
            <w:tcW w:w="1540" w:type="dxa"/>
            <w:tcBorders>
              <w:top w:val="single" w:sz="4" w:space="0" w:color="auto"/>
              <w:left w:val="nil"/>
              <w:bottom w:val="single" w:sz="4" w:space="0" w:color="auto"/>
              <w:right w:val="single" w:sz="4" w:space="0" w:color="auto"/>
            </w:tcBorders>
            <w:shd w:val="clear" w:color="auto" w:fill="auto"/>
          </w:tcPr>
          <w:p w:rsidR="00E807F5" w:rsidRPr="00E807F5" w:rsidRDefault="00E807F5" w:rsidP="00E807F5">
            <w:pPr>
              <w:spacing w:after="0" w:line="240" w:lineRule="auto"/>
              <w:jc w:val="center"/>
              <w:rPr>
                <w:rFonts w:ascii="Times New Roman" w:eastAsia="Times New Roman" w:hAnsi="Times New Roman" w:cs="Times New Roman"/>
                <w:bCs/>
                <w:i/>
                <w:sz w:val="20"/>
                <w:szCs w:val="20"/>
                <w:lang w:eastAsia="sk-SK"/>
              </w:rPr>
            </w:pPr>
            <w:r w:rsidRPr="00E807F5">
              <w:rPr>
                <w:rFonts w:ascii="Times New Roman" w:eastAsia="Times New Roman" w:hAnsi="Times New Roman" w:cs="Times New Roman"/>
                <w:bCs/>
                <w:i/>
                <w:sz w:val="20"/>
                <w:szCs w:val="20"/>
                <w:lang w:eastAsia="sk-SK"/>
              </w:rPr>
              <w:t>523 750 661</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 xml:space="preserve">z toho: transfery jednotlivcom a neziskovým organizáciám (642) </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auto"/>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Splácanie úrokov a ostatné platby súvisiace s </w:t>
            </w:r>
            <w:r w:rsidRPr="00E807F5">
              <w:rPr>
                <w:color w:val="000000" w:themeColor="text1"/>
              </w:rPr>
              <w:t xml:space="preserve"> </w:t>
            </w:r>
            <w:r w:rsidRPr="00E807F5">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Obstarávanie kapitálových aktív (710)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Kapitálové transfery (720)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471 989 996</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497 450 065</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523 750 661</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bl>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color w:val="000000" w:themeColor="text1"/>
          <w:sz w:val="20"/>
          <w:szCs w:val="20"/>
          <w:lang w:eastAsia="sk-SK"/>
        </w:rPr>
        <w:t xml:space="preserve">  2 –  výdavky rozpísať až do podpo</w:t>
      </w:r>
      <w:r w:rsidRPr="00E807F5">
        <w:rPr>
          <w:rFonts w:ascii="Times New Roman" w:eastAsia="Times New Roman" w:hAnsi="Times New Roman" w:cs="Times New Roman"/>
          <w:bCs/>
          <w:sz w:val="20"/>
          <w:szCs w:val="20"/>
          <w:lang w:eastAsia="sk-SK"/>
        </w:rPr>
        <w:t>ložiek platnej ekonomickej klasifikácie</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
          <w:bCs/>
          <w:sz w:val="24"/>
          <w:szCs w:val="20"/>
          <w:lang w:eastAsia="sk-SK"/>
        </w:rPr>
        <w:t xml:space="preserve"> </w:t>
      </w:r>
      <w:r w:rsidRPr="00E807F5">
        <w:rPr>
          <w:rFonts w:ascii="Times New Roman" w:eastAsia="Times New Roman" w:hAnsi="Times New Roman" w:cs="Times New Roman"/>
          <w:bCs/>
          <w:sz w:val="20"/>
          <w:szCs w:val="20"/>
          <w:lang w:eastAsia="sk-SK"/>
        </w:rPr>
        <w:t xml:space="preserve">                                                                                                                                                                                                                                                                             </w:t>
      </w:r>
      <w:r>
        <w:rPr>
          <w:rFonts w:ascii="Times New Roman" w:eastAsia="Times New Roman" w:hAnsi="Times New Roman" w:cs="Times New Roman"/>
          <w:bCs/>
          <w:sz w:val="20"/>
          <w:szCs w:val="20"/>
          <w:lang w:eastAsia="sk-SK"/>
        </w:rPr>
        <w:t>Tabuľka č. 4/B</w:t>
      </w:r>
      <w:r w:rsidRPr="00E807F5">
        <w:rPr>
          <w:rFonts w:ascii="Times New Roman" w:eastAsia="Times New Roman" w:hAnsi="Times New Roman" w:cs="Times New Roman"/>
          <w:bCs/>
          <w:sz w:val="20"/>
          <w:szCs w:val="20"/>
          <w:lang w:eastAsia="sk-SK"/>
        </w:rPr>
        <w:t>-3</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E807F5" w:rsidRPr="00E807F5" w:rsidTr="00E807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Vplyv na rozpočet   verejnej správy</w:t>
            </w:r>
            <w:r w:rsidRPr="00E807F5">
              <w:rPr>
                <w:rFonts w:ascii="Times New Roman" w:eastAsia="Times New Roman" w:hAnsi="Times New Roman" w:cs="Times New Roman"/>
                <w:b/>
                <w:bCs/>
                <w:color w:val="000000" w:themeColor="text1"/>
                <w:sz w:val="20"/>
                <w:szCs w:val="20"/>
                <w:lang w:eastAsia="sk-SK"/>
              </w:rPr>
              <w:br/>
              <w:t xml:space="preserve"> (Sociálna poisťovňa)</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r w:rsidRPr="00E807F5">
              <w:rPr>
                <w:rFonts w:ascii="Times New Roman" w:eastAsia="Times New Roman" w:hAnsi="Times New Roman" w:cs="Times New Roman"/>
                <w:b/>
                <w:bCs/>
                <w:color w:val="000000" w:themeColor="text1"/>
                <w:sz w:val="24"/>
                <w:szCs w:val="24"/>
                <w:lang w:eastAsia="sk-SK"/>
              </w:rPr>
              <w:t>poznámka</w:t>
            </w:r>
          </w:p>
        </w:tc>
      </w:tr>
      <w:tr w:rsidR="00E807F5" w:rsidRPr="00E807F5" w:rsidTr="00E807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b/>
                <w:bCs/>
                <w:color w:val="000000" w:themeColor="text1"/>
                <w:sz w:val="24"/>
                <w:szCs w:val="24"/>
                <w:lang w:eastAsia="sk-SK"/>
              </w:rPr>
            </w:pPr>
          </w:p>
        </w:tc>
      </w:tr>
      <w:tr w:rsidR="004E2A12" w:rsidRPr="00E807F5" w:rsidTr="00E807F5">
        <w:trPr>
          <w:trHeight w:val="255"/>
        </w:trPr>
        <w:tc>
          <w:tcPr>
            <w:tcW w:w="7070" w:type="dxa"/>
            <w:tcBorders>
              <w:top w:val="nil"/>
              <w:left w:val="single" w:sz="4" w:space="0" w:color="auto"/>
              <w:bottom w:val="single" w:sz="4" w:space="0" w:color="auto"/>
              <w:right w:val="single" w:sz="4" w:space="0" w:color="auto"/>
            </w:tcBorders>
          </w:tcPr>
          <w:p w:rsidR="004E2A12" w:rsidRPr="00E807F5" w:rsidRDefault="004E2A12" w:rsidP="004E2A12">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color w:val="000000" w:themeColor="text1"/>
                <w:sz w:val="20"/>
                <w:szCs w:val="20"/>
                <w:lang w:eastAsia="sk-SK"/>
              </w:rPr>
              <w:t>25 931 324</w:t>
            </w:r>
          </w:p>
        </w:tc>
        <w:tc>
          <w:tcPr>
            <w:tcW w:w="1540" w:type="dxa"/>
            <w:tcBorders>
              <w:top w:val="nil"/>
              <w:left w:val="nil"/>
              <w:bottom w:val="single" w:sz="4" w:space="0" w:color="auto"/>
              <w:right w:val="single" w:sz="4" w:space="0" w:color="auto"/>
            </w:tcBorders>
            <w:vAlign w:val="center"/>
          </w:tcPr>
          <w:p w:rsidR="004E2A12" w:rsidRPr="00E807F5" w:rsidRDefault="004E2A12" w:rsidP="004E2A12">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color w:val="000000" w:themeColor="text1"/>
                <w:sz w:val="20"/>
                <w:szCs w:val="20"/>
                <w:lang w:eastAsia="sk-SK"/>
              </w:rPr>
              <w:t>53 131 940</w:t>
            </w:r>
          </w:p>
        </w:tc>
        <w:tc>
          <w:tcPr>
            <w:tcW w:w="1649" w:type="dxa"/>
            <w:tcBorders>
              <w:top w:val="nil"/>
              <w:left w:val="nil"/>
              <w:bottom w:val="single" w:sz="4" w:space="0" w:color="auto"/>
              <w:right w:val="single" w:sz="4" w:space="0" w:color="auto"/>
            </w:tcBorders>
            <w:noWrap/>
            <w:vAlign w:val="bottom"/>
          </w:tcPr>
          <w:p w:rsidR="004E2A12" w:rsidRPr="00E807F5" w:rsidRDefault="004E2A12" w:rsidP="004E2A12">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vertAlign w:val="superscript"/>
                <w:lang w:eastAsia="sk-SK"/>
              </w:rPr>
            </w:pPr>
            <w:r w:rsidRPr="00E807F5">
              <w:rPr>
                <w:rFonts w:ascii="Times New Roman" w:eastAsia="Times New Roman" w:hAnsi="Times New Roman" w:cs="Times New Roman"/>
                <w:color w:val="000000" w:themeColor="text1"/>
                <w:sz w:val="20"/>
                <w:szCs w:val="20"/>
                <w:lang w:eastAsia="sk-SK"/>
              </w:rPr>
              <w:t xml:space="preserve">  Tovary a služby (630)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4E2A12" w:rsidP="00E807F5">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2 127 405</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2 191 228</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Bežné transfery (640)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23 803 919</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50 940 712</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z toho: transfery jednotlivcom a neziskovým organizáciám (642)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23 803 919</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0"/>
                <w:szCs w:val="20"/>
                <w:lang w:eastAsia="sk-SK"/>
              </w:rPr>
            </w:pPr>
            <w:r w:rsidRPr="00E807F5">
              <w:rPr>
                <w:rFonts w:ascii="Times New Roman" w:eastAsia="Times New Roman" w:hAnsi="Times New Roman" w:cs="Times New Roman"/>
                <w:i/>
                <w:color w:val="000000" w:themeColor="text1"/>
                <w:sz w:val="20"/>
                <w:szCs w:val="20"/>
                <w:lang w:eastAsia="sk-SK"/>
              </w:rPr>
              <w:t>50 940 712</w:t>
            </w:r>
          </w:p>
        </w:tc>
        <w:tc>
          <w:tcPr>
            <w:tcW w:w="1649" w:type="dxa"/>
            <w:tcBorders>
              <w:top w:val="nil"/>
              <w:left w:val="nil"/>
              <w:bottom w:val="single" w:sz="4" w:space="0" w:color="auto"/>
              <w:right w:val="single" w:sz="4" w:space="0" w:color="auto"/>
            </w:tcBorders>
            <w:noWrap/>
            <w:vAlign w:val="center"/>
          </w:tcPr>
          <w:p w:rsidR="00E807F5" w:rsidRPr="00E807F5" w:rsidRDefault="00E807F5" w:rsidP="00E807F5">
            <w:pPr>
              <w:spacing w:after="0" w:line="240" w:lineRule="auto"/>
              <w:jc w:val="center"/>
              <w:rPr>
                <w:rFonts w:ascii="Times New Roman" w:eastAsia="Times New Roman" w:hAnsi="Times New Roman" w:cs="Times New Roman"/>
                <w:i/>
                <w:color w:val="000000" w:themeColor="text1"/>
                <w:sz w:val="24"/>
                <w:szCs w:val="24"/>
                <w:lang w:eastAsia="sk-SK"/>
              </w:rPr>
            </w:pPr>
            <w:r w:rsidRPr="00E807F5">
              <w:rPr>
                <w:rFonts w:ascii="Times New Roman" w:eastAsia="Times New Roman" w:hAnsi="Times New Roman" w:cs="Times New Roman"/>
                <w:color w:val="000000" w:themeColor="text1"/>
                <w:sz w:val="20"/>
                <w:szCs w:val="20"/>
                <w:lang w:eastAsia="sk-SK"/>
              </w:rPr>
              <w:t>Zvýšené výdavky na dôchodky</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vAlign w:val="center"/>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Splácanie úrokov a ostatné platby súvisiace s </w:t>
            </w:r>
            <w:r w:rsidRPr="00E807F5">
              <w:rPr>
                <w:color w:val="000000" w:themeColor="text1"/>
              </w:rPr>
              <w:t xml:space="preserve"> </w:t>
            </w:r>
            <w:r w:rsidRPr="00E807F5">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vAlign w:val="center"/>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E807F5" w:rsidRPr="002F187F" w:rsidRDefault="002F187F"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2F187F">
              <w:rPr>
                <w:rFonts w:ascii="Times New Roman" w:eastAsia="Times New Roman" w:hAnsi="Times New Roman" w:cs="Times New Roman"/>
                <w:b/>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4"/>
                <w:szCs w:val="24"/>
                <w:lang w:eastAsia="sk-SK"/>
              </w:rPr>
            </w:pPr>
            <w:r w:rsidRPr="00E807F5">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Obstarávanie kapitálových aktív (710)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807F5" w:rsidRPr="00E807F5" w:rsidRDefault="002F187F" w:rsidP="00E807F5">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2F187F" w:rsidRPr="00E807F5" w:rsidTr="00E807F5">
        <w:trPr>
          <w:trHeight w:val="255"/>
        </w:trPr>
        <w:tc>
          <w:tcPr>
            <w:tcW w:w="7070" w:type="dxa"/>
            <w:tcBorders>
              <w:top w:val="nil"/>
              <w:left w:val="single" w:sz="4" w:space="0" w:color="auto"/>
              <w:bottom w:val="single" w:sz="4" w:space="0" w:color="auto"/>
              <w:right w:val="single" w:sz="4" w:space="0" w:color="auto"/>
            </w:tcBorders>
          </w:tcPr>
          <w:p w:rsidR="002F187F" w:rsidRPr="00E807F5" w:rsidRDefault="002F187F" w:rsidP="00E807F5">
            <w:pPr>
              <w:spacing w:after="0" w:line="240" w:lineRule="auto"/>
              <w:rPr>
                <w:rFonts w:ascii="Times New Roman" w:eastAsia="Times New Roman" w:hAnsi="Times New Roman" w:cs="Times New Roman"/>
                <w:color w:val="000000" w:themeColor="text1"/>
                <w:sz w:val="20"/>
                <w:szCs w:val="20"/>
                <w:lang w:eastAsia="sk-SK"/>
              </w:rPr>
            </w:pPr>
            <w:r w:rsidRPr="00CB3F70">
              <w:rPr>
                <w:rFonts w:ascii="Times New Roman" w:eastAsia="Times New Roman" w:hAnsi="Times New Roman" w:cs="Times New Roman"/>
                <w:i/>
                <w:color w:val="000000" w:themeColor="text1"/>
                <w:sz w:val="20"/>
                <w:szCs w:val="20"/>
                <w:lang w:eastAsia="sk-SK"/>
              </w:rPr>
              <w:t xml:space="preserve">z toho: </w:t>
            </w:r>
            <w:r>
              <w:rPr>
                <w:rFonts w:ascii="Times New Roman" w:eastAsia="Times New Roman" w:hAnsi="Times New Roman" w:cs="Times New Roman"/>
                <w:i/>
                <w:color w:val="000000" w:themeColor="text1"/>
                <w:sz w:val="20"/>
                <w:szCs w:val="20"/>
                <w:lang w:eastAsia="sk-SK"/>
              </w:rPr>
              <w:t>rekonštrukcia a modernizácia softvéru (718006)</w:t>
            </w:r>
          </w:p>
        </w:tc>
        <w:tc>
          <w:tcPr>
            <w:tcW w:w="1430" w:type="dxa"/>
            <w:tcBorders>
              <w:top w:val="nil"/>
              <w:left w:val="nil"/>
              <w:bottom w:val="single" w:sz="4" w:space="0" w:color="auto"/>
              <w:right w:val="single" w:sz="4" w:space="0" w:color="auto"/>
            </w:tcBorders>
          </w:tcPr>
          <w:p w:rsidR="002F187F" w:rsidRPr="00E807F5" w:rsidRDefault="002F187F" w:rsidP="00E807F5">
            <w:pPr>
              <w:spacing w:after="0" w:line="240" w:lineRule="auto"/>
              <w:jc w:val="center"/>
              <w:rPr>
                <w:rFonts w:ascii="Times New Roman" w:eastAsia="Times New Roman" w:hAnsi="Times New Roman" w:cs="Times New Roman"/>
                <w:color w:val="000000" w:themeColor="text1"/>
                <w:sz w:val="20"/>
                <w:szCs w:val="20"/>
                <w:lang w:eastAsia="sk-SK"/>
              </w:rPr>
            </w:pPr>
            <w:r>
              <w:rPr>
                <w:rFonts w:ascii="Times New Roman" w:eastAsia="Times New Roman" w:hAnsi="Times New Roman" w:cs="Times New Roman"/>
                <w:bCs/>
                <w:color w:val="000000" w:themeColor="text1"/>
                <w:sz w:val="20"/>
                <w:szCs w:val="20"/>
                <w:lang w:eastAsia="sk-SK"/>
              </w:rPr>
              <w:t>2 340 000</w:t>
            </w:r>
          </w:p>
        </w:tc>
        <w:tc>
          <w:tcPr>
            <w:tcW w:w="1650" w:type="dxa"/>
            <w:tcBorders>
              <w:top w:val="nil"/>
              <w:left w:val="nil"/>
              <w:bottom w:val="single" w:sz="4" w:space="0" w:color="auto"/>
              <w:right w:val="single" w:sz="4" w:space="0" w:color="auto"/>
            </w:tcBorders>
          </w:tcPr>
          <w:p w:rsidR="002F187F" w:rsidRPr="00E807F5" w:rsidRDefault="002F187F" w:rsidP="00E807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F187F" w:rsidRPr="00E807F5" w:rsidRDefault="002F187F" w:rsidP="00E807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2F187F" w:rsidRPr="00E807F5" w:rsidRDefault="002F187F" w:rsidP="00E807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2F187F" w:rsidRPr="00E807F5" w:rsidRDefault="002F187F" w:rsidP="00E807F5">
            <w:pPr>
              <w:spacing w:after="0" w:line="240" w:lineRule="auto"/>
              <w:rPr>
                <w:rFonts w:ascii="Times New Roman" w:eastAsia="Times New Roman" w:hAnsi="Times New Roman" w:cs="Times New Roman"/>
                <w:color w:val="000000" w:themeColor="text1"/>
                <w:sz w:val="24"/>
                <w:szCs w:val="24"/>
                <w:lang w:eastAsia="sk-SK"/>
              </w:rPr>
            </w:pPr>
          </w:p>
        </w:tc>
      </w:tr>
      <w:tr w:rsidR="00E807F5" w:rsidRPr="00E807F5" w:rsidTr="00E807F5">
        <w:trPr>
          <w:trHeight w:val="255"/>
        </w:trPr>
        <w:tc>
          <w:tcPr>
            <w:tcW w:w="7070" w:type="dxa"/>
            <w:tcBorders>
              <w:top w:val="nil"/>
              <w:left w:val="single" w:sz="4" w:space="0" w:color="auto"/>
              <w:bottom w:val="single" w:sz="4" w:space="0" w:color="auto"/>
              <w:right w:val="single" w:sz="4" w:space="0" w:color="auto"/>
            </w:tcBorders>
          </w:tcPr>
          <w:p w:rsidR="00E807F5" w:rsidRPr="00E807F5" w:rsidRDefault="00E807F5" w:rsidP="00E807F5">
            <w:pPr>
              <w:spacing w:after="0" w:line="240" w:lineRule="auto"/>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 xml:space="preserve">  Kapitálové transfery (720)</w:t>
            </w:r>
            <w:r w:rsidRPr="00E807F5">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65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0"/>
                <w:szCs w:val="20"/>
                <w:lang w:eastAsia="sk-SK"/>
              </w:rPr>
            </w:pPr>
            <w:r w:rsidRPr="00E807F5">
              <w:rPr>
                <w:rFonts w:ascii="Times New Roman" w:eastAsia="Times New Roman" w:hAnsi="Times New Roman" w:cs="Times New Roman"/>
                <w:color w:val="000000" w:themeColor="text1"/>
                <w:sz w:val="20"/>
                <w:szCs w:val="20"/>
                <w:lang w:eastAsia="sk-SK"/>
              </w:rPr>
              <w:t>0</w:t>
            </w:r>
          </w:p>
        </w:tc>
        <w:tc>
          <w:tcPr>
            <w:tcW w:w="1540" w:type="dxa"/>
            <w:tcBorders>
              <w:top w:val="nil"/>
              <w:left w:val="nil"/>
              <w:bottom w:val="single" w:sz="4" w:space="0" w:color="auto"/>
              <w:right w:val="single" w:sz="4" w:space="0" w:color="auto"/>
            </w:tcBorders>
          </w:tcPr>
          <w:p w:rsidR="00E807F5" w:rsidRPr="00E807F5" w:rsidRDefault="00E807F5" w:rsidP="00E807F5">
            <w:pPr>
              <w:spacing w:after="0" w:line="240" w:lineRule="auto"/>
              <w:jc w:val="center"/>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r w:rsidR="00E807F5" w:rsidRPr="00E807F5" w:rsidTr="00E807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2 340 000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E807F5" w:rsidRPr="00E807F5" w:rsidRDefault="00E807F5" w:rsidP="00E807F5">
            <w:pPr>
              <w:spacing w:after="0" w:line="240" w:lineRule="auto"/>
              <w:jc w:val="center"/>
              <w:rPr>
                <w:rFonts w:ascii="Times New Roman" w:eastAsia="Times New Roman" w:hAnsi="Times New Roman" w:cs="Times New Roman"/>
                <w:b/>
                <w:bCs/>
                <w:color w:val="000000" w:themeColor="text1"/>
                <w:sz w:val="20"/>
                <w:szCs w:val="20"/>
                <w:lang w:eastAsia="sk-SK"/>
              </w:rPr>
            </w:pPr>
            <w:r w:rsidRPr="00E807F5">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color w:val="000000" w:themeColor="text1"/>
                <w:sz w:val="20"/>
                <w:szCs w:val="20"/>
                <w:lang w:eastAsia="sk-SK"/>
              </w:rPr>
            </w:pPr>
            <w:r w:rsidRPr="00E807F5">
              <w:rPr>
                <w:rFonts w:ascii="Times New Roman" w:eastAsia="Times New Roman" w:hAnsi="Times New Roman" w:cs="Times New Roman"/>
                <w:b/>
                <w:color w:val="000000" w:themeColor="text1"/>
                <w:sz w:val="20"/>
                <w:szCs w:val="20"/>
                <w:lang w:eastAsia="sk-SK"/>
              </w:rPr>
              <w:t>25 931 324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E807F5" w:rsidRPr="00E807F5" w:rsidRDefault="00E807F5" w:rsidP="00E807F5">
            <w:pPr>
              <w:spacing w:after="0" w:line="240" w:lineRule="auto"/>
              <w:jc w:val="center"/>
              <w:rPr>
                <w:rFonts w:ascii="Times New Roman" w:eastAsia="Times New Roman" w:hAnsi="Times New Roman" w:cs="Times New Roman"/>
                <w:b/>
                <w:color w:val="000000" w:themeColor="text1"/>
                <w:sz w:val="20"/>
                <w:szCs w:val="20"/>
                <w:lang w:eastAsia="sk-SK"/>
              </w:rPr>
            </w:pPr>
            <w:r w:rsidRPr="00E807F5">
              <w:rPr>
                <w:rFonts w:ascii="Times New Roman" w:eastAsia="Times New Roman" w:hAnsi="Times New Roman" w:cs="Times New Roman"/>
                <w:b/>
                <w:color w:val="000000" w:themeColor="text1"/>
                <w:sz w:val="20"/>
                <w:szCs w:val="20"/>
                <w:lang w:eastAsia="sk-SK"/>
              </w:rPr>
              <w:t>53 131 940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807F5" w:rsidRPr="00E807F5" w:rsidRDefault="00E807F5" w:rsidP="00E807F5">
            <w:pPr>
              <w:spacing w:after="0" w:line="240" w:lineRule="auto"/>
              <w:rPr>
                <w:rFonts w:ascii="Times New Roman" w:eastAsia="Times New Roman" w:hAnsi="Times New Roman" w:cs="Times New Roman"/>
                <w:color w:val="000000" w:themeColor="text1"/>
                <w:sz w:val="24"/>
                <w:szCs w:val="24"/>
                <w:lang w:eastAsia="sk-SK"/>
              </w:rPr>
            </w:pPr>
            <w:r w:rsidRPr="00E807F5">
              <w:rPr>
                <w:rFonts w:ascii="Times New Roman" w:eastAsia="Times New Roman" w:hAnsi="Times New Roman" w:cs="Times New Roman"/>
                <w:color w:val="000000" w:themeColor="text1"/>
                <w:sz w:val="24"/>
                <w:szCs w:val="24"/>
                <w:lang w:eastAsia="sk-SK"/>
              </w:rPr>
              <w:t> </w:t>
            </w:r>
          </w:p>
        </w:tc>
      </w:tr>
    </w:tbl>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color w:val="000000" w:themeColor="text1"/>
          <w:sz w:val="20"/>
          <w:szCs w:val="20"/>
          <w:lang w:eastAsia="sk-SK"/>
        </w:rPr>
        <w:t xml:space="preserve">  2 –  výdavky rozpísať až do podpo</w:t>
      </w:r>
      <w:r w:rsidRPr="00E807F5">
        <w:rPr>
          <w:rFonts w:ascii="Times New Roman" w:eastAsia="Times New Roman" w:hAnsi="Times New Roman" w:cs="Times New Roman"/>
          <w:bCs/>
          <w:sz w:val="20"/>
          <w:szCs w:val="20"/>
          <w:lang w:eastAsia="sk-SK"/>
        </w:rPr>
        <w:t>ložiek platnej ekonomickej klasifikácie</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
          <w:bCs/>
          <w:sz w:val="24"/>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E807F5">
        <w:rPr>
          <w:rFonts w:ascii="Times New Roman" w:eastAsia="Times New Roman" w:hAnsi="Times New Roman" w:cs="Times New Roman"/>
          <w:b/>
          <w:bCs/>
          <w:sz w:val="24"/>
          <w:szCs w:val="20"/>
          <w:lang w:eastAsia="sk-SK"/>
        </w:rPr>
        <w:t xml:space="preserve"> Poznámka:</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E807F5">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Pr="00E807F5" w:rsidRDefault="00E807F5" w:rsidP="00E807F5">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697516" w:rsidRDefault="006975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Default="00E807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Default="00E807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Default="00E807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E807F5" w:rsidRDefault="00E807F5" w:rsidP="00027BB9">
      <w:pPr>
        <w:tabs>
          <w:tab w:val="num" w:pos="1080"/>
        </w:tabs>
        <w:spacing w:after="0" w:line="240" w:lineRule="auto"/>
        <w:jc w:val="both"/>
        <w:rPr>
          <w:rFonts w:ascii="Times New Roman" w:eastAsia="Times New Roman" w:hAnsi="Times New Roman" w:cs="Times New Roman"/>
          <w:bCs/>
          <w:sz w:val="20"/>
          <w:szCs w:val="20"/>
          <w:lang w:eastAsia="sk-SK"/>
        </w:rPr>
      </w:pPr>
    </w:p>
    <w:p w:rsidR="00E807F5" w:rsidRDefault="00E807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RDefault="009473C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RDefault="009473C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RDefault="009473C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RDefault="009473C0"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rsidTr="005E3699">
        <w:trPr>
          <w:trHeight w:val="255"/>
        </w:trPr>
        <w:tc>
          <w:tcPr>
            <w:tcW w:w="6188" w:type="dxa"/>
            <w:tcBorders>
              <w:top w:val="nil"/>
              <w:left w:val="single" w:sz="4" w:space="0" w:color="auto"/>
              <w:bottom w:val="single" w:sz="4" w:space="0" w:color="auto"/>
              <w:right w:val="single" w:sz="4" w:space="0" w:color="auto"/>
            </w:tcBorders>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rsidTr="005E3699">
        <w:trPr>
          <w:trHeight w:val="255"/>
        </w:trPr>
        <w:tc>
          <w:tcPr>
            <w:tcW w:w="61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6188" w:type="dxa"/>
            <w:tcBorders>
              <w:top w:val="nil"/>
              <w:left w:val="nil"/>
              <w:bottom w:val="nil"/>
              <w:right w:val="nil"/>
            </w:tcBorders>
          </w:tcPr>
          <w:p w:rsidR="007D5748"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007D5748"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13112" w:type="dxa"/>
            <w:gridSpan w:val="6"/>
            <w:tcBorders>
              <w:top w:val="nil"/>
              <w:left w:val="nil"/>
              <w:bottom w:val="nil"/>
              <w:right w:val="nil"/>
            </w:tcBorders>
            <w:noWrap/>
          </w:tcPr>
          <w:p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rsidTr="005E3699">
        <w:trPr>
          <w:trHeight w:val="255"/>
        </w:trPr>
        <w:tc>
          <w:tcPr>
            <w:tcW w:w="10394" w:type="dxa"/>
            <w:gridSpan w:val="4"/>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rsidR="002B63FD" w:rsidRDefault="002B63FD"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Default="00697516" w:rsidP="007D5748">
      <w:pPr>
        <w:spacing w:after="0" w:line="240" w:lineRule="auto"/>
        <w:rPr>
          <w:rFonts w:ascii="Times New Roman" w:eastAsia="Times New Roman" w:hAnsi="Times New Roman" w:cs="Times New Roman"/>
          <w:b/>
          <w:bCs/>
          <w:sz w:val="24"/>
          <w:szCs w:val="24"/>
          <w:lang w:eastAsia="sk-SK"/>
        </w:rPr>
      </w:pPr>
    </w:p>
    <w:p w:rsidR="00697516" w:rsidRPr="007B7470" w:rsidRDefault="00697516" w:rsidP="007D5748">
      <w:pPr>
        <w:spacing w:after="0" w:line="240" w:lineRule="auto"/>
        <w:rPr>
          <w:rFonts w:ascii="Times New Roman" w:eastAsia="Times New Roman" w:hAnsi="Times New Roman" w:cs="Times New Roman"/>
          <w:b/>
          <w:bCs/>
          <w:sz w:val="24"/>
          <w:szCs w:val="24"/>
          <w:lang w:eastAsia="sk-SK"/>
        </w:rPr>
      </w:pPr>
    </w:p>
    <w:p w:rsidR="002B63FD" w:rsidRPr="007B7470" w:rsidRDefault="00027BB9" w:rsidP="007D5748">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r w:rsidR="00D922E5" w:rsidRPr="007B7470">
        <w:rPr>
          <w:rFonts w:ascii="Times New Roman" w:eastAsia="Times New Roman" w:hAnsi="Times New Roman" w:cs="Times New Roman"/>
          <w:b/>
          <w:bCs/>
          <w:sz w:val="24"/>
          <w:szCs w:val="24"/>
          <w:lang w:eastAsia="sk-SK"/>
        </w:rPr>
        <w:t xml:space="preserve">                                          </w:t>
      </w:r>
    </w:p>
    <w:p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AE0851" w:rsidRPr="00AE0851" w:rsidRDefault="00FA0B10" w:rsidP="00AE0851">
      <w:pPr>
        <w:spacing w:after="0" w:line="240" w:lineRule="auto"/>
        <w:jc w:val="both"/>
        <w:rPr>
          <w:rFonts w:ascii="Times New Roman" w:eastAsia="Times New Roman" w:hAnsi="Times New Roman" w:cs="Times New Roman"/>
          <w:sz w:val="24"/>
          <w:szCs w:val="24"/>
          <w:lang w:eastAsia="sk-SK"/>
        </w:rPr>
      </w:pPr>
      <w:r w:rsidRPr="00FA0B10">
        <w:rPr>
          <w:rFonts w:ascii="Times New Roman" w:eastAsia="Times New Roman" w:hAnsi="Times New Roman" w:cs="Times New Roman"/>
          <w:sz w:val="24"/>
          <w:szCs w:val="24"/>
          <w:lang w:eastAsia="sk-SK"/>
        </w:rPr>
        <w:t xml:space="preserve">Analýza vplyvov na dlhodobú udržateľnosť kvantifikuje odchýlku fiškálnych ukazovateľov od scenára nezmenených politík v horizonte do roku 2070. Vplyv na výdavky, vyjadrený ako percentuálny bod HDP, predstavuje dodatočné náklady na dôchodkové dávky vyplývajúce z nového </w:t>
      </w:r>
      <w:r w:rsidR="000D4636">
        <w:rPr>
          <w:rFonts w:ascii="Times New Roman" w:eastAsia="Times New Roman" w:hAnsi="Times New Roman" w:cs="Times New Roman"/>
          <w:sz w:val="24"/>
          <w:szCs w:val="24"/>
          <w:lang w:eastAsia="sk-SK"/>
        </w:rPr>
        <w:t>spôsobu výpočtu dôchodkov</w:t>
      </w:r>
      <w:r w:rsidRPr="00FA0B10">
        <w:rPr>
          <w:rFonts w:ascii="Times New Roman" w:eastAsia="Times New Roman" w:hAnsi="Times New Roman" w:cs="Times New Roman"/>
          <w:sz w:val="24"/>
          <w:szCs w:val="24"/>
          <w:lang w:eastAsia="sk-SK"/>
        </w:rPr>
        <w:t>. Tento vplyv vykazuje rastúci trend, z 0,08 % HDP v roku 2030 na 0,16 % HDP v roku 2070.</w:t>
      </w:r>
      <w:r w:rsidR="00AE0851">
        <w:rPr>
          <w:rFonts w:ascii="Times New Roman" w:eastAsia="Times New Roman" w:hAnsi="Times New Roman" w:cs="Times New Roman"/>
          <w:sz w:val="24"/>
          <w:szCs w:val="24"/>
          <w:lang w:eastAsia="sk-SK"/>
        </w:rPr>
        <w:t xml:space="preserve"> </w:t>
      </w:r>
      <w:r w:rsidR="00AE0851" w:rsidRPr="00AE0851">
        <w:rPr>
          <w:rFonts w:ascii="Times New Roman" w:eastAsia="Times New Roman" w:hAnsi="Times New Roman" w:cs="Times New Roman"/>
          <w:sz w:val="24"/>
          <w:szCs w:val="24"/>
          <w:lang w:eastAsia="sk-SK"/>
        </w:rPr>
        <w:t xml:space="preserve">Rastúci trend výdavkov v dlhodobom horizonte je spôsobený najmä </w:t>
      </w:r>
      <w:proofErr w:type="spellStart"/>
      <w:r w:rsidR="00AE0851" w:rsidRPr="00AE0851">
        <w:rPr>
          <w:rFonts w:ascii="Times New Roman" w:eastAsia="Times New Roman" w:hAnsi="Times New Roman" w:cs="Times New Roman"/>
          <w:sz w:val="24"/>
          <w:szCs w:val="24"/>
          <w:lang w:eastAsia="sk-SK"/>
        </w:rPr>
        <w:t>kohortovým</w:t>
      </w:r>
      <w:proofErr w:type="spellEnd"/>
      <w:r w:rsidR="00AE0851" w:rsidRPr="00AE0851">
        <w:rPr>
          <w:rFonts w:ascii="Times New Roman" w:eastAsia="Times New Roman" w:hAnsi="Times New Roman" w:cs="Times New Roman"/>
          <w:sz w:val="24"/>
          <w:szCs w:val="24"/>
          <w:lang w:eastAsia="sk-SK"/>
        </w:rPr>
        <w:t xml:space="preserve"> efektom, teda rozdielnym dopadom reformy na jednotlivé generácie (kohorty) dôchodcov.</w:t>
      </w:r>
    </w:p>
    <w:p w:rsidR="00AE0851" w:rsidRPr="00AE0851" w:rsidRDefault="00AE0851" w:rsidP="00AE0851">
      <w:pPr>
        <w:spacing w:after="0" w:line="240" w:lineRule="auto"/>
        <w:jc w:val="both"/>
        <w:rPr>
          <w:rFonts w:ascii="Times New Roman" w:eastAsia="Times New Roman" w:hAnsi="Times New Roman" w:cs="Times New Roman"/>
          <w:sz w:val="24"/>
          <w:szCs w:val="24"/>
          <w:lang w:eastAsia="sk-SK"/>
        </w:rPr>
      </w:pPr>
      <w:r w:rsidRPr="00AE0851">
        <w:rPr>
          <w:rFonts w:ascii="Times New Roman" w:eastAsia="Times New Roman" w:hAnsi="Times New Roman" w:cs="Times New Roman"/>
          <w:sz w:val="24"/>
          <w:szCs w:val="24"/>
          <w:lang w:eastAsia="sk-SK"/>
        </w:rPr>
        <w:t>Súčasní poberatelia dôchodkov získali iba relatívne malú časť obdobia starostlivosti o dieťa po 1. januári 2004 – teda v období, ktorého sa týka negatívny vplyv pôvodného nastavenia a jeho následná korekcia. Z tohto dôvodu je priemerný finančný dopad prepočtu ich dôchodkov nižší.</w:t>
      </w:r>
      <w:r>
        <w:rPr>
          <w:rFonts w:ascii="Times New Roman" w:eastAsia="Times New Roman" w:hAnsi="Times New Roman" w:cs="Times New Roman"/>
          <w:sz w:val="24"/>
          <w:szCs w:val="24"/>
          <w:lang w:eastAsia="sk-SK"/>
        </w:rPr>
        <w:t xml:space="preserve"> </w:t>
      </w:r>
    </w:p>
    <w:p w:rsidR="00FA0B10" w:rsidRPr="00FA0B10" w:rsidRDefault="00AE0851" w:rsidP="00FA0B10">
      <w:pPr>
        <w:spacing w:after="0" w:line="240" w:lineRule="auto"/>
        <w:jc w:val="both"/>
        <w:rPr>
          <w:rFonts w:ascii="Times New Roman" w:eastAsia="Times New Roman" w:hAnsi="Times New Roman" w:cs="Times New Roman"/>
          <w:sz w:val="24"/>
          <w:szCs w:val="24"/>
          <w:lang w:eastAsia="sk-SK"/>
        </w:rPr>
      </w:pPr>
      <w:r w:rsidRPr="00AE0851">
        <w:rPr>
          <w:rFonts w:ascii="Times New Roman" w:eastAsia="Times New Roman" w:hAnsi="Times New Roman" w:cs="Times New Roman"/>
          <w:sz w:val="24"/>
          <w:szCs w:val="24"/>
          <w:lang w:eastAsia="sk-SK"/>
        </w:rPr>
        <w:t>Naopak, budúce generácie dôchodcov budú mať celé obdobie starostlivosti o dieťa posudzované už podľa nových, výhodnejších pravidiel. Keďže sa korekcia bude vzťahovať na podstatne väčšiu časť ich poistnej histórie, výsledkom bude výraznejší nárast ich individuálnych dôchodkových nárokov. Postupným vstupom týchto nových kohort do dôchodku tak bude narastať aj celkový objem výdavkov dôchodkového systému..</w:t>
      </w:r>
    </w:p>
    <w:p w:rsidR="00FA0B10" w:rsidRDefault="00FA0B10" w:rsidP="00FA0B10">
      <w:pPr>
        <w:spacing w:after="0" w:line="240" w:lineRule="auto"/>
        <w:jc w:val="both"/>
        <w:rPr>
          <w:rFonts w:ascii="Times New Roman" w:eastAsia="Times New Roman" w:hAnsi="Times New Roman" w:cs="Times New Roman"/>
          <w:sz w:val="24"/>
          <w:szCs w:val="24"/>
          <w:lang w:eastAsia="sk-SK"/>
        </w:rPr>
      </w:pPr>
      <w:r w:rsidRPr="00FA0B10">
        <w:rPr>
          <w:rFonts w:ascii="Times New Roman" w:eastAsia="Times New Roman" w:hAnsi="Times New Roman" w:cs="Times New Roman"/>
          <w:sz w:val="24"/>
          <w:szCs w:val="24"/>
          <w:lang w:eastAsia="sk-SK"/>
        </w:rPr>
        <w:t xml:space="preserve">Vplyv na príjmovú stranu kvantifikuje úsporu z titulu </w:t>
      </w:r>
      <w:r w:rsidR="000D4636">
        <w:rPr>
          <w:rFonts w:ascii="Times New Roman" w:eastAsia="Times New Roman" w:hAnsi="Times New Roman" w:cs="Times New Roman"/>
          <w:sz w:val="24"/>
          <w:szCs w:val="24"/>
          <w:lang w:eastAsia="sk-SK"/>
        </w:rPr>
        <w:t>neplatenia</w:t>
      </w:r>
      <w:r w:rsidRPr="00FA0B10">
        <w:rPr>
          <w:rFonts w:ascii="Times New Roman" w:eastAsia="Times New Roman" w:hAnsi="Times New Roman" w:cs="Times New Roman"/>
          <w:sz w:val="24"/>
          <w:szCs w:val="24"/>
          <w:lang w:eastAsia="sk-SK"/>
        </w:rPr>
        <w:t xml:space="preserve"> povinných príspevkov na starobné dôchodkové sporenie</w:t>
      </w:r>
      <w:r w:rsidR="000D4636">
        <w:rPr>
          <w:rFonts w:ascii="Times New Roman" w:eastAsia="Times New Roman" w:hAnsi="Times New Roman" w:cs="Times New Roman"/>
          <w:sz w:val="24"/>
          <w:szCs w:val="24"/>
          <w:lang w:eastAsia="sk-SK"/>
        </w:rPr>
        <w:t xml:space="preserve"> počas obdobia starostlivosti</w:t>
      </w:r>
      <w:r w:rsidR="002F5583">
        <w:rPr>
          <w:rFonts w:ascii="Times New Roman" w:eastAsia="Times New Roman" w:hAnsi="Times New Roman" w:cs="Times New Roman"/>
          <w:sz w:val="24"/>
          <w:szCs w:val="24"/>
          <w:lang w:eastAsia="sk-SK"/>
        </w:rPr>
        <w:t xml:space="preserve"> o dieťa, poberania peňažného príspevku na opatrovanie</w:t>
      </w:r>
      <w:r w:rsidR="000C3027">
        <w:rPr>
          <w:rFonts w:ascii="Times New Roman" w:eastAsia="Times New Roman" w:hAnsi="Times New Roman" w:cs="Times New Roman"/>
          <w:sz w:val="24"/>
          <w:szCs w:val="24"/>
          <w:lang w:eastAsia="sk-SK"/>
        </w:rPr>
        <w:t>,</w:t>
      </w:r>
      <w:r w:rsidR="002F5583">
        <w:rPr>
          <w:rFonts w:ascii="Times New Roman" w:eastAsia="Times New Roman" w:hAnsi="Times New Roman" w:cs="Times New Roman"/>
          <w:sz w:val="24"/>
          <w:szCs w:val="24"/>
          <w:lang w:eastAsia="sk-SK"/>
        </w:rPr>
        <w:t> osobnú asistenciu v rozsahu najmenej 140 mesačne</w:t>
      </w:r>
      <w:r w:rsidR="000C3027">
        <w:rPr>
          <w:rFonts w:ascii="Times New Roman" w:eastAsia="Times New Roman" w:hAnsi="Times New Roman" w:cs="Times New Roman"/>
          <w:sz w:val="24"/>
          <w:szCs w:val="24"/>
          <w:lang w:eastAsia="sk-SK"/>
        </w:rPr>
        <w:t xml:space="preserve"> a poberania kompenzačného príspevku baníkom</w:t>
      </w:r>
      <w:r w:rsidRPr="00FA0B10">
        <w:rPr>
          <w:rFonts w:ascii="Times New Roman" w:eastAsia="Times New Roman" w:hAnsi="Times New Roman" w:cs="Times New Roman"/>
          <w:sz w:val="24"/>
          <w:szCs w:val="24"/>
          <w:lang w:eastAsia="sk-SK"/>
        </w:rPr>
        <w:t>. Pre účely dlhodobej projekcie sa tento vplyv udržiava na konštantnej úrovni 0,03 % HDP počas celého horizontu. Tento predpoklad vychádza z očakávania, že počet dotknutých sporiteľov a ich agregovaný vymeriavací základ budú v dlhodobom horizonte rásť v súlade s rastom nominálneho HDP.</w:t>
      </w:r>
    </w:p>
    <w:p w:rsidR="000D4636" w:rsidRPr="00FA0B10" w:rsidRDefault="000D4636" w:rsidP="00FA0B10">
      <w:pPr>
        <w:spacing w:after="0" w:line="240" w:lineRule="auto"/>
        <w:jc w:val="both"/>
        <w:rPr>
          <w:rFonts w:ascii="Times New Roman" w:eastAsia="Times New Roman" w:hAnsi="Times New Roman" w:cs="Times New Roman"/>
          <w:sz w:val="24"/>
          <w:szCs w:val="24"/>
          <w:lang w:eastAsia="sk-SK"/>
        </w:rPr>
      </w:pPr>
    </w:p>
    <w:p w:rsidR="00FA0B10" w:rsidRPr="00FA0B10" w:rsidRDefault="00FA0B10" w:rsidP="00FA0B10">
      <w:pPr>
        <w:spacing w:after="0" w:line="240" w:lineRule="auto"/>
        <w:jc w:val="both"/>
        <w:rPr>
          <w:rFonts w:ascii="Times New Roman" w:eastAsia="Times New Roman" w:hAnsi="Times New Roman" w:cs="Times New Roman"/>
          <w:sz w:val="24"/>
          <w:szCs w:val="24"/>
          <w:lang w:eastAsia="sk-SK"/>
        </w:rPr>
      </w:pPr>
      <w:r w:rsidRPr="00FA0B10">
        <w:rPr>
          <w:rFonts w:ascii="Times New Roman" w:eastAsia="Times New Roman" w:hAnsi="Times New Roman" w:cs="Times New Roman"/>
          <w:sz w:val="24"/>
          <w:szCs w:val="24"/>
          <w:lang w:eastAsia="sk-SK"/>
        </w:rPr>
        <w:t xml:space="preserve">Výsledný </w:t>
      </w:r>
      <w:r w:rsidR="000D4636">
        <w:rPr>
          <w:rFonts w:ascii="Times New Roman" w:eastAsia="Times New Roman" w:hAnsi="Times New Roman" w:cs="Times New Roman"/>
          <w:sz w:val="24"/>
          <w:szCs w:val="24"/>
          <w:lang w:eastAsia="sk-SK"/>
        </w:rPr>
        <w:t xml:space="preserve">negatívny </w:t>
      </w:r>
      <w:r w:rsidRPr="00FA0B10">
        <w:rPr>
          <w:rFonts w:ascii="Times New Roman" w:eastAsia="Times New Roman" w:hAnsi="Times New Roman" w:cs="Times New Roman"/>
          <w:sz w:val="24"/>
          <w:szCs w:val="24"/>
          <w:lang w:eastAsia="sk-SK"/>
        </w:rPr>
        <w:t>vplyv na bilanciu</w:t>
      </w:r>
      <w:r w:rsidR="000D4636">
        <w:rPr>
          <w:rFonts w:ascii="Times New Roman" w:eastAsia="Times New Roman" w:hAnsi="Times New Roman" w:cs="Times New Roman"/>
          <w:sz w:val="24"/>
          <w:szCs w:val="24"/>
          <w:lang w:eastAsia="sk-SK"/>
        </w:rPr>
        <w:t xml:space="preserve"> dlhodobej udržateľnosti</w:t>
      </w:r>
      <w:r w:rsidRPr="00FA0B10">
        <w:rPr>
          <w:rFonts w:ascii="Times New Roman" w:eastAsia="Times New Roman" w:hAnsi="Times New Roman" w:cs="Times New Roman"/>
          <w:sz w:val="24"/>
          <w:szCs w:val="24"/>
          <w:lang w:eastAsia="sk-SK"/>
        </w:rPr>
        <w:t xml:space="preserve"> verejných financií, daný rozdielom medzi vplyvom na výdavky a vplyvom na príjmy, sa postupne zvyšuje z 0,05 % HDP v roku 2030 na 0,13 % HDP v roku 2070.</w:t>
      </w: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rsidTr="00697516">
        <w:trPr>
          <w:trHeight w:val="284"/>
        </w:trPr>
        <w:tc>
          <w:tcPr>
            <w:tcW w:w="2943" w:type="dxa"/>
            <w:vMerge w:val="restart"/>
            <w:shd w:val="clear" w:color="auto" w:fill="BFBFBF" w:themeFill="background1" w:themeFillShade="BF"/>
            <w:vAlign w:val="center"/>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vAlign w:val="center"/>
          </w:tcPr>
          <w:p w:rsidR="002B63FD" w:rsidRPr="007B7470" w:rsidRDefault="002B63FD"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rsidTr="00697516">
        <w:trPr>
          <w:trHeight w:val="284"/>
        </w:trPr>
        <w:tc>
          <w:tcPr>
            <w:tcW w:w="2943" w:type="dxa"/>
            <w:vMerge/>
            <w:shd w:val="clear" w:color="auto" w:fill="BFBFBF" w:themeFill="background1" w:themeFillShade="BF"/>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vAlign w:val="center"/>
          </w:tcPr>
          <w:p w:rsidR="002B63FD" w:rsidRPr="0049098C" w:rsidRDefault="0049098C"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9098C">
              <w:rPr>
                <w:rFonts w:ascii="Times New Roman" w:eastAsia="Times New Roman" w:hAnsi="Times New Roman" w:cs="Times New Roman"/>
                <w:b/>
                <w:sz w:val="24"/>
                <w:szCs w:val="24"/>
                <w:lang w:eastAsia="sk-SK"/>
              </w:rPr>
              <w:t>2030</w:t>
            </w:r>
          </w:p>
        </w:tc>
        <w:tc>
          <w:tcPr>
            <w:tcW w:w="1559" w:type="dxa"/>
            <w:shd w:val="clear" w:color="auto" w:fill="BFBFBF" w:themeFill="background1" w:themeFillShade="BF"/>
            <w:vAlign w:val="center"/>
          </w:tcPr>
          <w:p w:rsidR="002B63FD" w:rsidRPr="0049098C" w:rsidRDefault="0049098C"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9098C">
              <w:rPr>
                <w:rFonts w:ascii="Times New Roman" w:eastAsia="Times New Roman" w:hAnsi="Times New Roman" w:cs="Times New Roman"/>
                <w:b/>
                <w:sz w:val="24"/>
                <w:szCs w:val="24"/>
                <w:lang w:eastAsia="sk-SK"/>
              </w:rPr>
              <w:t>2040</w:t>
            </w:r>
          </w:p>
        </w:tc>
        <w:tc>
          <w:tcPr>
            <w:tcW w:w="1559" w:type="dxa"/>
            <w:shd w:val="clear" w:color="auto" w:fill="BFBFBF" w:themeFill="background1" w:themeFillShade="BF"/>
            <w:vAlign w:val="center"/>
          </w:tcPr>
          <w:p w:rsidR="002B63FD" w:rsidRPr="0049098C" w:rsidRDefault="0049098C"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9098C">
              <w:rPr>
                <w:rFonts w:ascii="Times New Roman" w:eastAsia="Times New Roman" w:hAnsi="Times New Roman" w:cs="Times New Roman"/>
                <w:b/>
                <w:sz w:val="24"/>
                <w:szCs w:val="24"/>
                <w:lang w:eastAsia="sk-SK"/>
              </w:rPr>
              <w:t>2050</w:t>
            </w:r>
          </w:p>
        </w:tc>
        <w:tc>
          <w:tcPr>
            <w:tcW w:w="1418" w:type="dxa"/>
            <w:shd w:val="clear" w:color="auto" w:fill="BFBFBF" w:themeFill="background1" w:themeFillShade="BF"/>
            <w:vAlign w:val="center"/>
          </w:tcPr>
          <w:p w:rsidR="002B63FD" w:rsidRPr="0049098C" w:rsidRDefault="0049098C"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9098C">
              <w:rPr>
                <w:rFonts w:ascii="Times New Roman" w:eastAsia="Times New Roman" w:hAnsi="Times New Roman" w:cs="Times New Roman"/>
                <w:b/>
                <w:sz w:val="24"/>
                <w:szCs w:val="24"/>
                <w:lang w:eastAsia="sk-SK"/>
              </w:rPr>
              <w:t>2060</w:t>
            </w:r>
          </w:p>
        </w:tc>
        <w:tc>
          <w:tcPr>
            <w:tcW w:w="1984" w:type="dxa"/>
            <w:shd w:val="clear" w:color="auto" w:fill="BFBFBF" w:themeFill="background1" w:themeFillShade="BF"/>
            <w:vAlign w:val="center"/>
          </w:tcPr>
          <w:p w:rsidR="002B63FD" w:rsidRPr="0049098C" w:rsidRDefault="0049098C"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49098C">
              <w:rPr>
                <w:rFonts w:ascii="Times New Roman" w:eastAsia="Times New Roman" w:hAnsi="Times New Roman" w:cs="Times New Roman"/>
                <w:b/>
                <w:sz w:val="24"/>
                <w:szCs w:val="24"/>
                <w:lang w:eastAsia="sk-SK"/>
              </w:rPr>
              <w:t>2070</w:t>
            </w:r>
          </w:p>
        </w:tc>
        <w:tc>
          <w:tcPr>
            <w:tcW w:w="3119" w:type="dxa"/>
            <w:vMerge/>
            <w:shd w:val="clear" w:color="auto" w:fill="BFBFBF" w:themeFill="background1" w:themeFillShade="BF"/>
          </w:tcPr>
          <w:p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86860" w:rsidRPr="007B7470" w:rsidTr="00697516">
        <w:trPr>
          <w:trHeight w:val="284"/>
        </w:trPr>
        <w:tc>
          <w:tcPr>
            <w:tcW w:w="2943" w:type="dxa"/>
            <w:shd w:val="clear" w:color="auto" w:fill="auto"/>
            <w:vAlign w:val="bottom"/>
          </w:tcPr>
          <w:p w:rsidR="00986860" w:rsidRPr="007B7470" w:rsidRDefault="00986860" w:rsidP="0098686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0,08</w:t>
            </w:r>
          </w:p>
        </w:tc>
        <w:tc>
          <w:tcPr>
            <w:tcW w:w="1559" w:type="dxa"/>
            <w:tcBorders>
              <w:top w:val="single" w:sz="4" w:space="0" w:color="auto"/>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0,11</w:t>
            </w:r>
          </w:p>
        </w:tc>
        <w:tc>
          <w:tcPr>
            <w:tcW w:w="1559" w:type="dxa"/>
            <w:tcBorders>
              <w:top w:val="single" w:sz="4" w:space="0" w:color="auto"/>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0,14</w:t>
            </w:r>
          </w:p>
        </w:tc>
        <w:tc>
          <w:tcPr>
            <w:tcW w:w="1418" w:type="dxa"/>
            <w:tcBorders>
              <w:top w:val="single" w:sz="4" w:space="0" w:color="auto"/>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0,15</w:t>
            </w:r>
          </w:p>
        </w:tc>
        <w:tc>
          <w:tcPr>
            <w:tcW w:w="1984" w:type="dxa"/>
            <w:tcBorders>
              <w:top w:val="single" w:sz="4" w:space="0" w:color="auto"/>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0,16</w:t>
            </w:r>
          </w:p>
        </w:tc>
        <w:tc>
          <w:tcPr>
            <w:tcW w:w="3119" w:type="dxa"/>
            <w:shd w:val="clear" w:color="auto" w:fill="auto"/>
          </w:tcPr>
          <w:p w:rsidR="00986860" w:rsidRPr="007B7470" w:rsidRDefault="00986860" w:rsidP="0098686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86860" w:rsidRPr="007B7470" w:rsidTr="00697516">
        <w:trPr>
          <w:trHeight w:val="284"/>
        </w:trPr>
        <w:tc>
          <w:tcPr>
            <w:tcW w:w="2943" w:type="dxa"/>
            <w:shd w:val="clear" w:color="auto" w:fill="auto"/>
          </w:tcPr>
          <w:p w:rsidR="00986860" w:rsidRPr="007B7470" w:rsidRDefault="00986860" w:rsidP="0098686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tcBorders>
              <w:top w:val="nil"/>
              <w:left w:val="single" w:sz="4" w:space="0" w:color="auto"/>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0,03</w:t>
            </w:r>
          </w:p>
        </w:tc>
        <w:tc>
          <w:tcPr>
            <w:tcW w:w="1559" w:type="dxa"/>
            <w:tcBorders>
              <w:top w:val="nil"/>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0,03</w:t>
            </w:r>
          </w:p>
        </w:tc>
        <w:tc>
          <w:tcPr>
            <w:tcW w:w="1559" w:type="dxa"/>
            <w:tcBorders>
              <w:top w:val="nil"/>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0,03</w:t>
            </w:r>
          </w:p>
        </w:tc>
        <w:tc>
          <w:tcPr>
            <w:tcW w:w="1418" w:type="dxa"/>
            <w:tcBorders>
              <w:top w:val="nil"/>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0,03</w:t>
            </w:r>
          </w:p>
        </w:tc>
        <w:tc>
          <w:tcPr>
            <w:tcW w:w="1984" w:type="dxa"/>
            <w:tcBorders>
              <w:top w:val="nil"/>
              <w:left w:val="nil"/>
              <w:bottom w:val="single" w:sz="4" w:space="0" w:color="auto"/>
              <w:right w:val="single" w:sz="4" w:space="0" w:color="auto"/>
            </w:tcBorders>
            <w:shd w:val="clear" w:color="auto" w:fill="auto"/>
            <w:vAlign w:val="center"/>
          </w:tcPr>
          <w:p w:rsidR="00986860" w:rsidRPr="00986860" w:rsidRDefault="00986860"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986860">
              <w:rPr>
                <w:rFonts w:ascii="Times New Roman" w:eastAsia="Times New Roman" w:hAnsi="Times New Roman" w:cs="Times New Roman"/>
                <w:sz w:val="24"/>
                <w:szCs w:val="24"/>
                <w:lang w:eastAsia="sk-SK"/>
              </w:rPr>
              <w:t>0,03</w:t>
            </w:r>
          </w:p>
        </w:tc>
        <w:tc>
          <w:tcPr>
            <w:tcW w:w="3119" w:type="dxa"/>
            <w:shd w:val="clear" w:color="auto" w:fill="auto"/>
          </w:tcPr>
          <w:p w:rsidR="00986860" w:rsidRPr="007B7470" w:rsidRDefault="00986860" w:rsidP="0098686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986860" w:rsidRPr="007B7470" w:rsidTr="00697516">
        <w:trPr>
          <w:trHeight w:val="284"/>
        </w:trPr>
        <w:tc>
          <w:tcPr>
            <w:tcW w:w="2943" w:type="dxa"/>
            <w:shd w:val="clear" w:color="auto" w:fill="auto"/>
          </w:tcPr>
          <w:p w:rsidR="00986860" w:rsidRPr="007B7470" w:rsidRDefault="00986860" w:rsidP="0098686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tcBorders>
              <w:top w:val="nil"/>
              <w:left w:val="single" w:sz="4" w:space="0" w:color="auto"/>
              <w:bottom w:val="single" w:sz="4" w:space="0" w:color="auto"/>
              <w:right w:val="single" w:sz="4" w:space="0" w:color="auto"/>
            </w:tcBorders>
            <w:shd w:val="clear" w:color="auto" w:fill="auto"/>
            <w:vAlign w:val="center"/>
          </w:tcPr>
          <w:p w:rsidR="00986860" w:rsidRPr="00697516" w:rsidRDefault="00697516"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986860" w:rsidRPr="00697516">
              <w:rPr>
                <w:rFonts w:ascii="Times New Roman" w:eastAsia="Times New Roman" w:hAnsi="Times New Roman" w:cs="Times New Roman"/>
                <w:sz w:val="24"/>
                <w:szCs w:val="24"/>
                <w:lang w:eastAsia="sk-SK"/>
              </w:rPr>
              <w:t>0,05</w:t>
            </w:r>
          </w:p>
        </w:tc>
        <w:tc>
          <w:tcPr>
            <w:tcW w:w="1559" w:type="dxa"/>
            <w:tcBorders>
              <w:top w:val="nil"/>
              <w:left w:val="nil"/>
              <w:bottom w:val="single" w:sz="4" w:space="0" w:color="auto"/>
              <w:right w:val="single" w:sz="4" w:space="0" w:color="auto"/>
            </w:tcBorders>
            <w:shd w:val="clear" w:color="auto" w:fill="auto"/>
            <w:vAlign w:val="center"/>
          </w:tcPr>
          <w:p w:rsidR="00986860" w:rsidRPr="00697516" w:rsidRDefault="00697516"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986860" w:rsidRPr="00697516">
              <w:rPr>
                <w:rFonts w:ascii="Times New Roman" w:eastAsia="Times New Roman" w:hAnsi="Times New Roman" w:cs="Times New Roman"/>
                <w:sz w:val="24"/>
                <w:szCs w:val="24"/>
                <w:lang w:eastAsia="sk-SK"/>
              </w:rPr>
              <w:t>0,08</w:t>
            </w:r>
          </w:p>
        </w:tc>
        <w:tc>
          <w:tcPr>
            <w:tcW w:w="1559" w:type="dxa"/>
            <w:tcBorders>
              <w:top w:val="nil"/>
              <w:left w:val="nil"/>
              <w:bottom w:val="single" w:sz="4" w:space="0" w:color="auto"/>
              <w:right w:val="single" w:sz="4" w:space="0" w:color="auto"/>
            </w:tcBorders>
            <w:shd w:val="clear" w:color="auto" w:fill="auto"/>
            <w:vAlign w:val="center"/>
          </w:tcPr>
          <w:p w:rsidR="00986860" w:rsidRPr="00697516" w:rsidRDefault="00697516"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986860" w:rsidRPr="00697516">
              <w:rPr>
                <w:rFonts w:ascii="Times New Roman" w:eastAsia="Times New Roman" w:hAnsi="Times New Roman" w:cs="Times New Roman"/>
                <w:sz w:val="24"/>
                <w:szCs w:val="24"/>
                <w:lang w:eastAsia="sk-SK"/>
              </w:rPr>
              <w:t>0,11</w:t>
            </w:r>
          </w:p>
        </w:tc>
        <w:tc>
          <w:tcPr>
            <w:tcW w:w="1418" w:type="dxa"/>
            <w:tcBorders>
              <w:top w:val="nil"/>
              <w:left w:val="nil"/>
              <w:bottom w:val="single" w:sz="4" w:space="0" w:color="auto"/>
              <w:right w:val="single" w:sz="4" w:space="0" w:color="auto"/>
            </w:tcBorders>
            <w:shd w:val="clear" w:color="auto" w:fill="auto"/>
            <w:vAlign w:val="center"/>
          </w:tcPr>
          <w:p w:rsidR="00986860" w:rsidRPr="00697516" w:rsidRDefault="00697516"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986860" w:rsidRPr="00697516">
              <w:rPr>
                <w:rFonts w:ascii="Times New Roman" w:eastAsia="Times New Roman" w:hAnsi="Times New Roman" w:cs="Times New Roman"/>
                <w:sz w:val="24"/>
                <w:szCs w:val="24"/>
                <w:lang w:eastAsia="sk-SK"/>
              </w:rPr>
              <w:t>0,12</w:t>
            </w:r>
          </w:p>
        </w:tc>
        <w:tc>
          <w:tcPr>
            <w:tcW w:w="1984" w:type="dxa"/>
            <w:tcBorders>
              <w:top w:val="nil"/>
              <w:left w:val="nil"/>
              <w:bottom w:val="single" w:sz="4" w:space="0" w:color="auto"/>
              <w:right w:val="single" w:sz="4" w:space="0" w:color="auto"/>
            </w:tcBorders>
            <w:shd w:val="clear" w:color="auto" w:fill="auto"/>
            <w:vAlign w:val="center"/>
          </w:tcPr>
          <w:p w:rsidR="00986860" w:rsidRPr="00697516" w:rsidRDefault="00697516" w:rsidP="0069751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697516">
              <w:rPr>
                <w:rFonts w:ascii="Times New Roman" w:eastAsia="Times New Roman" w:hAnsi="Times New Roman" w:cs="Times New Roman"/>
                <w:sz w:val="24"/>
                <w:szCs w:val="24"/>
                <w:lang w:eastAsia="sk-SK"/>
              </w:rPr>
              <w:t>-</w:t>
            </w:r>
            <w:r w:rsidR="00986860" w:rsidRPr="00697516">
              <w:rPr>
                <w:rFonts w:ascii="Times New Roman" w:eastAsia="Times New Roman" w:hAnsi="Times New Roman" w:cs="Times New Roman"/>
                <w:sz w:val="24"/>
                <w:szCs w:val="24"/>
                <w:lang w:eastAsia="sk-SK"/>
              </w:rPr>
              <w:t>0,13</w:t>
            </w:r>
          </w:p>
        </w:tc>
        <w:tc>
          <w:tcPr>
            <w:tcW w:w="3119" w:type="dxa"/>
            <w:shd w:val="clear" w:color="auto" w:fill="auto"/>
          </w:tcPr>
          <w:p w:rsidR="00986860" w:rsidRPr="007B7470" w:rsidRDefault="00986860" w:rsidP="0098686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rsidR="002B63FD" w:rsidRPr="007B7470" w:rsidRDefault="002B63FD" w:rsidP="007D5748">
      <w:pPr>
        <w:spacing w:after="0" w:line="240" w:lineRule="auto"/>
        <w:rPr>
          <w:rFonts w:ascii="Times New Roman" w:eastAsia="Times New Roman" w:hAnsi="Times New Roman" w:cs="Times New Roman"/>
          <w:b/>
          <w:bCs/>
          <w:sz w:val="24"/>
          <w:szCs w:val="24"/>
          <w:lang w:eastAsia="sk-SK"/>
        </w:rPr>
        <w:sectPr w:rsidR="002B63FD" w:rsidRPr="007B7470" w:rsidSect="00E82EB8">
          <w:pgSz w:w="16838" w:h="11906" w:orient="landscape"/>
          <w:pgMar w:top="1276" w:right="1418" w:bottom="1418" w:left="1418" w:header="709" w:footer="709" w:gutter="0"/>
          <w:cols w:space="708"/>
          <w:docGrid w:linePitch="360"/>
        </w:sectPr>
      </w:pPr>
    </w:p>
    <w:bookmarkEnd w:id="0"/>
    <w:p w:rsidR="00CB3623" w:rsidRPr="00A738C0" w:rsidRDefault="00CB3623" w:rsidP="000D4636">
      <w:pPr>
        <w:spacing w:after="0" w:line="240" w:lineRule="auto"/>
        <w:jc w:val="cente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040" w:rsidRDefault="00971040">
      <w:pPr>
        <w:spacing w:after="0" w:line="240" w:lineRule="auto"/>
      </w:pPr>
      <w:r>
        <w:separator/>
      </w:r>
    </w:p>
  </w:endnote>
  <w:endnote w:type="continuationSeparator" w:id="0">
    <w:p w:rsidR="00971040" w:rsidRDefault="0097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F6" w:rsidRDefault="00C35BF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C35BF6" w:rsidRDefault="00C35BF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F6" w:rsidRDefault="00C35BF6">
    <w:pPr>
      <w:pStyle w:val="Pta"/>
      <w:jc w:val="right"/>
    </w:pPr>
    <w:r>
      <w:fldChar w:fldCharType="begin"/>
    </w:r>
    <w:r>
      <w:instrText>PAGE   \* MERGEFORMAT</w:instrText>
    </w:r>
    <w:r>
      <w:fldChar w:fldCharType="separate"/>
    </w:r>
    <w:r w:rsidR="00057C1F">
      <w:rPr>
        <w:noProof/>
      </w:rPr>
      <w:t>18</w:t>
    </w:r>
    <w:r>
      <w:fldChar w:fldCharType="end"/>
    </w:r>
  </w:p>
  <w:p w:rsidR="00C35BF6" w:rsidRDefault="00C35BF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F6" w:rsidRDefault="00C35BF6">
    <w:pPr>
      <w:pStyle w:val="Pta"/>
      <w:jc w:val="right"/>
    </w:pPr>
    <w:r>
      <w:fldChar w:fldCharType="begin"/>
    </w:r>
    <w:r>
      <w:instrText>PAGE   \* MERGEFORMAT</w:instrText>
    </w:r>
    <w:r>
      <w:fldChar w:fldCharType="separate"/>
    </w:r>
    <w:r>
      <w:rPr>
        <w:noProof/>
      </w:rPr>
      <w:t>0</w:t>
    </w:r>
    <w:r>
      <w:fldChar w:fldCharType="end"/>
    </w:r>
  </w:p>
  <w:p w:rsidR="00C35BF6" w:rsidRDefault="00C35B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040" w:rsidRDefault="00971040">
      <w:pPr>
        <w:spacing w:after="0" w:line="240" w:lineRule="auto"/>
      </w:pPr>
      <w:r>
        <w:separator/>
      </w:r>
    </w:p>
  </w:footnote>
  <w:footnote w:type="continuationSeparator" w:id="0">
    <w:p w:rsidR="00971040" w:rsidRDefault="0097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F6" w:rsidRDefault="00C35BF6" w:rsidP="002B63FD">
    <w:pPr>
      <w:pStyle w:val="Hlavika"/>
      <w:jc w:val="right"/>
      <w:rPr>
        <w:sz w:val="24"/>
        <w:szCs w:val="24"/>
      </w:rPr>
    </w:pPr>
    <w:r>
      <w:rPr>
        <w:sz w:val="24"/>
        <w:szCs w:val="24"/>
      </w:rPr>
      <w:t>Príloha č. 2</w:t>
    </w:r>
  </w:p>
  <w:p w:rsidR="00C35BF6" w:rsidRPr="00EB59C8" w:rsidRDefault="00C35BF6"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BF6" w:rsidRPr="000A15AE" w:rsidRDefault="00C35BF6"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5A6"/>
    <w:multiLevelType w:val="hybridMultilevel"/>
    <w:tmpl w:val="1F0A4674"/>
    <w:lvl w:ilvl="0" w:tplc="E4FE7D6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A21EDA"/>
    <w:multiLevelType w:val="hybridMultilevel"/>
    <w:tmpl w:val="2702E84C"/>
    <w:lvl w:ilvl="0" w:tplc="54047BF0">
      <w:start w:val="52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BE74E3"/>
    <w:multiLevelType w:val="hybridMultilevel"/>
    <w:tmpl w:val="EE086BB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76AFE"/>
    <w:multiLevelType w:val="multilevel"/>
    <w:tmpl w:val="9BBE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A38E9"/>
    <w:multiLevelType w:val="hybridMultilevel"/>
    <w:tmpl w:val="3A5A158E"/>
    <w:lvl w:ilvl="0" w:tplc="041B0001">
      <w:start w:val="6"/>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3608E8"/>
    <w:multiLevelType w:val="hybridMultilevel"/>
    <w:tmpl w:val="89C4C12C"/>
    <w:lvl w:ilvl="0" w:tplc="465EE7D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962770"/>
    <w:multiLevelType w:val="multilevel"/>
    <w:tmpl w:val="794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87405"/>
    <w:multiLevelType w:val="hybridMultilevel"/>
    <w:tmpl w:val="B6BE3410"/>
    <w:lvl w:ilvl="0" w:tplc="4A6C973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22131B"/>
    <w:multiLevelType w:val="hybridMultilevel"/>
    <w:tmpl w:val="14A8BE7E"/>
    <w:lvl w:ilvl="0" w:tplc="365E2906">
      <w:start w:val="5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6CA7831"/>
    <w:multiLevelType w:val="multilevel"/>
    <w:tmpl w:val="8E2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E544E"/>
    <w:multiLevelType w:val="hybridMultilevel"/>
    <w:tmpl w:val="E222E6B2"/>
    <w:lvl w:ilvl="0" w:tplc="D35AC0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6043148"/>
    <w:multiLevelType w:val="multilevel"/>
    <w:tmpl w:val="C9B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814F7"/>
    <w:multiLevelType w:val="hybridMultilevel"/>
    <w:tmpl w:val="888AA2C6"/>
    <w:lvl w:ilvl="0" w:tplc="273A504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86799D"/>
    <w:multiLevelType w:val="hybridMultilevel"/>
    <w:tmpl w:val="CF903EE0"/>
    <w:lvl w:ilvl="0" w:tplc="25BE58EC">
      <w:numFmt w:val="bullet"/>
      <w:lvlText w:val="-"/>
      <w:lvlJc w:val="left"/>
      <w:pPr>
        <w:ind w:left="720" w:hanging="360"/>
      </w:pPr>
      <w:rPr>
        <w:rFonts w:ascii="Aptos" w:eastAsia="Aptos" w:hAnsi="Aptos"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13"/>
  </w:num>
  <w:num w:numId="5">
    <w:abstractNumId w:val="15"/>
  </w:num>
  <w:num w:numId="6">
    <w:abstractNumId w:val="0"/>
  </w:num>
  <w:num w:numId="7">
    <w:abstractNumId w:val="12"/>
  </w:num>
  <w:num w:numId="8">
    <w:abstractNumId w:val="8"/>
  </w:num>
  <w:num w:numId="9">
    <w:abstractNumId w:val="14"/>
  </w:num>
  <w:num w:numId="10">
    <w:abstractNumId w:val="11"/>
  </w:num>
  <w:num w:numId="11">
    <w:abstractNumId w:val="6"/>
  </w:num>
  <w:num w:numId="12">
    <w:abstractNumId w:val="4"/>
  </w:num>
  <w:num w:numId="13">
    <w:abstractNumId w:val="7"/>
  </w:num>
  <w:num w:numId="14">
    <w:abstractNumId w:val="9"/>
  </w:num>
  <w:num w:numId="15">
    <w:abstractNumId w:val="1"/>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682D"/>
    <w:rsid w:val="0001136C"/>
    <w:rsid w:val="000212C5"/>
    <w:rsid w:val="00021DFF"/>
    <w:rsid w:val="00024E31"/>
    <w:rsid w:val="00025858"/>
    <w:rsid w:val="00027BB9"/>
    <w:rsid w:val="00035EB6"/>
    <w:rsid w:val="00046831"/>
    <w:rsid w:val="00057135"/>
    <w:rsid w:val="00057C1F"/>
    <w:rsid w:val="00062DB2"/>
    <w:rsid w:val="00077A78"/>
    <w:rsid w:val="0008486C"/>
    <w:rsid w:val="00087A66"/>
    <w:rsid w:val="000A35C8"/>
    <w:rsid w:val="000B509B"/>
    <w:rsid w:val="000B5A21"/>
    <w:rsid w:val="000C3027"/>
    <w:rsid w:val="000D4636"/>
    <w:rsid w:val="000F00DA"/>
    <w:rsid w:val="001127A8"/>
    <w:rsid w:val="00116F99"/>
    <w:rsid w:val="001200C9"/>
    <w:rsid w:val="001331C0"/>
    <w:rsid w:val="00133AD3"/>
    <w:rsid w:val="00141192"/>
    <w:rsid w:val="00143EB6"/>
    <w:rsid w:val="00170D2B"/>
    <w:rsid w:val="001A4A64"/>
    <w:rsid w:val="001A6237"/>
    <w:rsid w:val="001B6212"/>
    <w:rsid w:val="001C721D"/>
    <w:rsid w:val="001D7E42"/>
    <w:rsid w:val="001E12A1"/>
    <w:rsid w:val="001E23BB"/>
    <w:rsid w:val="001F0CE1"/>
    <w:rsid w:val="001F3EA9"/>
    <w:rsid w:val="001F5D86"/>
    <w:rsid w:val="001F624A"/>
    <w:rsid w:val="00200898"/>
    <w:rsid w:val="0020389E"/>
    <w:rsid w:val="002064A6"/>
    <w:rsid w:val="0021218F"/>
    <w:rsid w:val="00212894"/>
    <w:rsid w:val="002135D4"/>
    <w:rsid w:val="002177DB"/>
    <w:rsid w:val="00221E14"/>
    <w:rsid w:val="00226548"/>
    <w:rsid w:val="002309F4"/>
    <w:rsid w:val="0027627C"/>
    <w:rsid w:val="002A153E"/>
    <w:rsid w:val="002A32E9"/>
    <w:rsid w:val="002A5479"/>
    <w:rsid w:val="002A5C4E"/>
    <w:rsid w:val="002B5AD4"/>
    <w:rsid w:val="002B63FD"/>
    <w:rsid w:val="002C256D"/>
    <w:rsid w:val="002D3F5F"/>
    <w:rsid w:val="002D7683"/>
    <w:rsid w:val="002E16D2"/>
    <w:rsid w:val="002E61A8"/>
    <w:rsid w:val="002E62AB"/>
    <w:rsid w:val="002F187F"/>
    <w:rsid w:val="002F331E"/>
    <w:rsid w:val="002F5583"/>
    <w:rsid w:val="002F5624"/>
    <w:rsid w:val="00301507"/>
    <w:rsid w:val="0030263A"/>
    <w:rsid w:val="00311FC2"/>
    <w:rsid w:val="00317B90"/>
    <w:rsid w:val="00327E47"/>
    <w:rsid w:val="0033067F"/>
    <w:rsid w:val="003408F5"/>
    <w:rsid w:val="00383F24"/>
    <w:rsid w:val="003A2B12"/>
    <w:rsid w:val="003A7D40"/>
    <w:rsid w:val="003B0F26"/>
    <w:rsid w:val="003B7684"/>
    <w:rsid w:val="003C5D33"/>
    <w:rsid w:val="003D55C4"/>
    <w:rsid w:val="003E57BE"/>
    <w:rsid w:val="003F35B7"/>
    <w:rsid w:val="00405F15"/>
    <w:rsid w:val="00410734"/>
    <w:rsid w:val="0042480F"/>
    <w:rsid w:val="00431457"/>
    <w:rsid w:val="00435708"/>
    <w:rsid w:val="00440A16"/>
    <w:rsid w:val="00446310"/>
    <w:rsid w:val="00447C49"/>
    <w:rsid w:val="00453BF9"/>
    <w:rsid w:val="00454055"/>
    <w:rsid w:val="004609EC"/>
    <w:rsid w:val="004641CA"/>
    <w:rsid w:val="00474F11"/>
    <w:rsid w:val="0047743E"/>
    <w:rsid w:val="00487203"/>
    <w:rsid w:val="0049098C"/>
    <w:rsid w:val="004917FD"/>
    <w:rsid w:val="004955CA"/>
    <w:rsid w:val="004A3F34"/>
    <w:rsid w:val="004A4209"/>
    <w:rsid w:val="004B0E06"/>
    <w:rsid w:val="004D0D32"/>
    <w:rsid w:val="004D169C"/>
    <w:rsid w:val="004E2A12"/>
    <w:rsid w:val="004E5E76"/>
    <w:rsid w:val="005005EC"/>
    <w:rsid w:val="00515185"/>
    <w:rsid w:val="00525EF2"/>
    <w:rsid w:val="005307FC"/>
    <w:rsid w:val="00547A68"/>
    <w:rsid w:val="00553992"/>
    <w:rsid w:val="00554808"/>
    <w:rsid w:val="00571A67"/>
    <w:rsid w:val="00572C19"/>
    <w:rsid w:val="00575272"/>
    <w:rsid w:val="0058005C"/>
    <w:rsid w:val="00592E96"/>
    <w:rsid w:val="005A05D0"/>
    <w:rsid w:val="005A45C2"/>
    <w:rsid w:val="005B051A"/>
    <w:rsid w:val="005C1A2B"/>
    <w:rsid w:val="005C7E95"/>
    <w:rsid w:val="005E3699"/>
    <w:rsid w:val="005F1784"/>
    <w:rsid w:val="005F2ACA"/>
    <w:rsid w:val="005F5834"/>
    <w:rsid w:val="00630808"/>
    <w:rsid w:val="006334E4"/>
    <w:rsid w:val="006458D9"/>
    <w:rsid w:val="006500C7"/>
    <w:rsid w:val="00671CC5"/>
    <w:rsid w:val="00673B90"/>
    <w:rsid w:val="00681A15"/>
    <w:rsid w:val="00691460"/>
    <w:rsid w:val="00697516"/>
    <w:rsid w:val="006A22F3"/>
    <w:rsid w:val="006A2947"/>
    <w:rsid w:val="006B04D7"/>
    <w:rsid w:val="006B293A"/>
    <w:rsid w:val="006C748E"/>
    <w:rsid w:val="006D2A80"/>
    <w:rsid w:val="006D659E"/>
    <w:rsid w:val="006E2756"/>
    <w:rsid w:val="006E35D7"/>
    <w:rsid w:val="006E3DDA"/>
    <w:rsid w:val="00704959"/>
    <w:rsid w:val="00706C52"/>
    <w:rsid w:val="00710873"/>
    <w:rsid w:val="00716BD7"/>
    <w:rsid w:val="00721BE0"/>
    <w:rsid w:val="007246BD"/>
    <w:rsid w:val="00727689"/>
    <w:rsid w:val="00733EEB"/>
    <w:rsid w:val="00733F24"/>
    <w:rsid w:val="00765D49"/>
    <w:rsid w:val="00773953"/>
    <w:rsid w:val="00774F6D"/>
    <w:rsid w:val="0077530D"/>
    <w:rsid w:val="00782B91"/>
    <w:rsid w:val="00785085"/>
    <w:rsid w:val="007B7470"/>
    <w:rsid w:val="007C21A5"/>
    <w:rsid w:val="007D5748"/>
    <w:rsid w:val="007E0FAA"/>
    <w:rsid w:val="007F0B38"/>
    <w:rsid w:val="008205B7"/>
    <w:rsid w:val="00832D80"/>
    <w:rsid w:val="00836377"/>
    <w:rsid w:val="00837E5E"/>
    <w:rsid w:val="00851DFC"/>
    <w:rsid w:val="00853089"/>
    <w:rsid w:val="00881B9F"/>
    <w:rsid w:val="00893B20"/>
    <w:rsid w:val="00893B76"/>
    <w:rsid w:val="00897BE7"/>
    <w:rsid w:val="008A67B6"/>
    <w:rsid w:val="008B0E1E"/>
    <w:rsid w:val="008B3ABC"/>
    <w:rsid w:val="008B55B8"/>
    <w:rsid w:val="008B66BD"/>
    <w:rsid w:val="008B7022"/>
    <w:rsid w:val="008C3FC3"/>
    <w:rsid w:val="008C4444"/>
    <w:rsid w:val="008C5460"/>
    <w:rsid w:val="008C79F0"/>
    <w:rsid w:val="008D1853"/>
    <w:rsid w:val="008D339D"/>
    <w:rsid w:val="008E2736"/>
    <w:rsid w:val="00903DB9"/>
    <w:rsid w:val="00914444"/>
    <w:rsid w:val="00914AB9"/>
    <w:rsid w:val="0091691E"/>
    <w:rsid w:val="0092453D"/>
    <w:rsid w:val="00926B03"/>
    <w:rsid w:val="00943733"/>
    <w:rsid w:val="00945A2A"/>
    <w:rsid w:val="00945E2B"/>
    <w:rsid w:val="00946BE9"/>
    <w:rsid w:val="0094729F"/>
    <w:rsid w:val="009473C0"/>
    <w:rsid w:val="00954BE3"/>
    <w:rsid w:val="00954F07"/>
    <w:rsid w:val="00957090"/>
    <w:rsid w:val="009706B7"/>
    <w:rsid w:val="009707CF"/>
    <w:rsid w:val="00971040"/>
    <w:rsid w:val="00973916"/>
    <w:rsid w:val="00980D63"/>
    <w:rsid w:val="00983327"/>
    <w:rsid w:val="00985F20"/>
    <w:rsid w:val="00986860"/>
    <w:rsid w:val="009C6DA0"/>
    <w:rsid w:val="009C7D97"/>
    <w:rsid w:val="009D670F"/>
    <w:rsid w:val="009E63A8"/>
    <w:rsid w:val="00A05C58"/>
    <w:rsid w:val="00A05DB7"/>
    <w:rsid w:val="00A31155"/>
    <w:rsid w:val="00A466A0"/>
    <w:rsid w:val="00A57375"/>
    <w:rsid w:val="00A71F23"/>
    <w:rsid w:val="00A72E75"/>
    <w:rsid w:val="00A738C0"/>
    <w:rsid w:val="00A82EFF"/>
    <w:rsid w:val="00A8366F"/>
    <w:rsid w:val="00A86333"/>
    <w:rsid w:val="00AA3F32"/>
    <w:rsid w:val="00AA6300"/>
    <w:rsid w:val="00AB0412"/>
    <w:rsid w:val="00AB3B68"/>
    <w:rsid w:val="00AB5919"/>
    <w:rsid w:val="00AC1AA1"/>
    <w:rsid w:val="00AD3E2C"/>
    <w:rsid w:val="00AE0851"/>
    <w:rsid w:val="00AE53CE"/>
    <w:rsid w:val="00AE7460"/>
    <w:rsid w:val="00AF0210"/>
    <w:rsid w:val="00AF19C8"/>
    <w:rsid w:val="00B013B4"/>
    <w:rsid w:val="00B02E66"/>
    <w:rsid w:val="00B100D5"/>
    <w:rsid w:val="00B1022E"/>
    <w:rsid w:val="00B12441"/>
    <w:rsid w:val="00B15B33"/>
    <w:rsid w:val="00B263BD"/>
    <w:rsid w:val="00B31D17"/>
    <w:rsid w:val="00B53F19"/>
    <w:rsid w:val="00B5535C"/>
    <w:rsid w:val="00B64558"/>
    <w:rsid w:val="00B67FF0"/>
    <w:rsid w:val="00B801BA"/>
    <w:rsid w:val="00B80515"/>
    <w:rsid w:val="00B8123C"/>
    <w:rsid w:val="00B83425"/>
    <w:rsid w:val="00B92F23"/>
    <w:rsid w:val="00BA5E77"/>
    <w:rsid w:val="00BB2FB4"/>
    <w:rsid w:val="00C03002"/>
    <w:rsid w:val="00C073EF"/>
    <w:rsid w:val="00C15212"/>
    <w:rsid w:val="00C15D88"/>
    <w:rsid w:val="00C16C1B"/>
    <w:rsid w:val="00C326C9"/>
    <w:rsid w:val="00C35BF6"/>
    <w:rsid w:val="00C455E9"/>
    <w:rsid w:val="00C464FF"/>
    <w:rsid w:val="00C51FD4"/>
    <w:rsid w:val="00C611AD"/>
    <w:rsid w:val="00C64BDB"/>
    <w:rsid w:val="00C653D7"/>
    <w:rsid w:val="00C67AC7"/>
    <w:rsid w:val="00C87385"/>
    <w:rsid w:val="00C90AD8"/>
    <w:rsid w:val="00C94C6C"/>
    <w:rsid w:val="00CA18F2"/>
    <w:rsid w:val="00CB04E9"/>
    <w:rsid w:val="00CB3623"/>
    <w:rsid w:val="00CB3F70"/>
    <w:rsid w:val="00CC0E46"/>
    <w:rsid w:val="00CC5225"/>
    <w:rsid w:val="00CE299A"/>
    <w:rsid w:val="00CE359E"/>
    <w:rsid w:val="00CF059F"/>
    <w:rsid w:val="00CF2C35"/>
    <w:rsid w:val="00D02C0D"/>
    <w:rsid w:val="00D03685"/>
    <w:rsid w:val="00D05D51"/>
    <w:rsid w:val="00D200BE"/>
    <w:rsid w:val="00D277C0"/>
    <w:rsid w:val="00D53162"/>
    <w:rsid w:val="00D638F5"/>
    <w:rsid w:val="00D64CCB"/>
    <w:rsid w:val="00D7236A"/>
    <w:rsid w:val="00D726D4"/>
    <w:rsid w:val="00D83558"/>
    <w:rsid w:val="00D85029"/>
    <w:rsid w:val="00D863E0"/>
    <w:rsid w:val="00D9171A"/>
    <w:rsid w:val="00D922E5"/>
    <w:rsid w:val="00DA57A1"/>
    <w:rsid w:val="00DB700D"/>
    <w:rsid w:val="00DC0BB8"/>
    <w:rsid w:val="00DD083D"/>
    <w:rsid w:val="00DE04C5"/>
    <w:rsid w:val="00DE5BF1"/>
    <w:rsid w:val="00DE6100"/>
    <w:rsid w:val="00E03640"/>
    <w:rsid w:val="00E05BF6"/>
    <w:rsid w:val="00E07CE9"/>
    <w:rsid w:val="00E14854"/>
    <w:rsid w:val="00E21E92"/>
    <w:rsid w:val="00E34408"/>
    <w:rsid w:val="00E4770B"/>
    <w:rsid w:val="00E532C8"/>
    <w:rsid w:val="00E5569A"/>
    <w:rsid w:val="00E55AA7"/>
    <w:rsid w:val="00E65183"/>
    <w:rsid w:val="00E74B5B"/>
    <w:rsid w:val="00E807F5"/>
    <w:rsid w:val="00E81E61"/>
    <w:rsid w:val="00E822AD"/>
    <w:rsid w:val="00E82EB8"/>
    <w:rsid w:val="00E876AE"/>
    <w:rsid w:val="00E93DBE"/>
    <w:rsid w:val="00E963A3"/>
    <w:rsid w:val="00EA1E90"/>
    <w:rsid w:val="00EA295A"/>
    <w:rsid w:val="00EB0337"/>
    <w:rsid w:val="00EB7255"/>
    <w:rsid w:val="00EC11DB"/>
    <w:rsid w:val="00EC6247"/>
    <w:rsid w:val="00ED2B29"/>
    <w:rsid w:val="00EE0CA3"/>
    <w:rsid w:val="00EE28EB"/>
    <w:rsid w:val="00EE2A24"/>
    <w:rsid w:val="00EF6DC1"/>
    <w:rsid w:val="00F03306"/>
    <w:rsid w:val="00F13CD8"/>
    <w:rsid w:val="00F140E5"/>
    <w:rsid w:val="00F20986"/>
    <w:rsid w:val="00F2530E"/>
    <w:rsid w:val="00F348E6"/>
    <w:rsid w:val="00F40136"/>
    <w:rsid w:val="00F61720"/>
    <w:rsid w:val="00F657C3"/>
    <w:rsid w:val="00F71A69"/>
    <w:rsid w:val="00F72B09"/>
    <w:rsid w:val="00F744DF"/>
    <w:rsid w:val="00F90926"/>
    <w:rsid w:val="00F9634C"/>
    <w:rsid w:val="00FA0B10"/>
    <w:rsid w:val="00FA5928"/>
    <w:rsid w:val="00FB4A4A"/>
    <w:rsid w:val="00FC4874"/>
    <w:rsid w:val="00FE6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7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3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C5460"/>
    <w:pPr>
      <w:ind w:left="720"/>
      <w:contextualSpacing/>
    </w:pPr>
  </w:style>
  <w:style w:type="character" w:styleId="Odkaznakomentr">
    <w:name w:val="annotation reference"/>
    <w:basedOn w:val="Predvolenpsmoodseku"/>
    <w:uiPriority w:val="99"/>
    <w:semiHidden/>
    <w:unhideWhenUsed/>
    <w:rsid w:val="006500C7"/>
    <w:rPr>
      <w:sz w:val="16"/>
      <w:szCs w:val="16"/>
    </w:rPr>
  </w:style>
  <w:style w:type="paragraph" w:styleId="Textkomentra">
    <w:name w:val="annotation text"/>
    <w:basedOn w:val="Normlny"/>
    <w:link w:val="TextkomentraChar"/>
    <w:uiPriority w:val="99"/>
    <w:semiHidden/>
    <w:unhideWhenUsed/>
    <w:rsid w:val="006500C7"/>
    <w:pPr>
      <w:spacing w:line="240" w:lineRule="auto"/>
    </w:pPr>
    <w:rPr>
      <w:sz w:val="20"/>
      <w:szCs w:val="20"/>
    </w:rPr>
  </w:style>
  <w:style w:type="character" w:customStyle="1" w:styleId="TextkomentraChar">
    <w:name w:val="Text komentára Char"/>
    <w:basedOn w:val="Predvolenpsmoodseku"/>
    <w:link w:val="Textkomentra"/>
    <w:uiPriority w:val="99"/>
    <w:semiHidden/>
    <w:rsid w:val="006500C7"/>
    <w:rPr>
      <w:sz w:val="20"/>
      <w:szCs w:val="20"/>
    </w:rPr>
  </w:style>
  <w:style w:type="paragraph" w:styleId="Predmetkomentra">
    <w:name w:val="annotation subject"/>
    <w:basedOn w:val="Textkomentra"/>
    <w:next w:val="Textkomentra"/>
    <w:link w:val="PredmetkomentraChar"/>
    <w:uiPriority w:val="99"/>
    <w:semiHidden/>
    <w:unhideWhenUsed/>
    <w:rsid w:val="006500C7"/>
    <w:rPr>
      <w:b/>
      <w:bCs/>
    </w:rPr>
  </w:style>
  <w:style w:type="character" w:customStyle="1" w:styleId="PredmetkomentraChar">
    <w:name w:val="Predmet komentára Char"/>
    <w:basedOn w:val="TextkomentraChar"/>
    <w:link w:val="Predmetkomentra"/>
    <w:uiPriority w:val="99"/>
    <w:semiHidden/>
    <w:rsid w:val="00650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91241867">
      <w:bodyDiv w:val="1"/>
      <w:marLeft w:val="0"/>
      <w:marRight w:val="0"/>
      <w:marTop w:val="0"/>
      <w:marBottom w:val="0"/>
      <w:divBdr>
        <w:top w:val="none" w:sz="0" w:space="0" w:color="auto"/>
        <w:left w:val="none" w:sz="0" w:space="0" w:color="auto"/>
        <w:bottom w:val="none" w:sz="0" w:space="0" w:color="auto"/>
        <w:right w:val="none" w:sz="0" w:space="0" w:color="auto"/>
      </w:divBdr>
    </w:div>
    <w:div w:id="398287596">
      <w:bodyDiv w:val="1"/>
      <w:marLeft w:val="0"/>
      <w:marRight w:val="0"/>
      <w:marTop w:val="0"/>
      <w:marBottom w:val="0"/>
      <w:divBdr>
        <w:top w:val="none" w:sz="0" w:space="0" w:color="auto"/>
        <w:left w:val="none" w:sz="0" w:space="0" w:color="auto"/>
        <w:bottom w:val="none" w:sz="0" w:space="0" w:color="auto"/>
        <w:right w:val="none" w:sz="0" w:space="0" w:color="auto"/>
      </w:divBdr>
    </w:div>
    <w:div w:id="472449083">
      <w:bodyDiv w:val="1"/>
      <w:marLeft w:val="0"/>
      <w:marRight w:val="0"/>
      <w:marTop w:val="0"/>
      <w:marBottom w:val="0"/>
      <w:divBdr>
        <w:top w:val="none" w:sz="0" w:space="0" w:color="auto"/>
        <w:left w:val="none" w:sz="0" w:space="0" w:color="auto"/>
        <w:bottom w:val="none" w:sz="0" w:space="0" w:color="auto"/>
        <w:right w:val="none" w:sz="0" w:space="0" w:color="auto"/>
      </w:divBdr>
    </w:div>
    <w:div w:id="523984491">
      <w:bodyDiv w:val="1"/>
      <w:marLeft w:val="0"/>
      <w:marRight w:val="0"/>
      <w:marTop w:val="0"/>
      <w:marBottom w:val="0"/>
      <w:divBdr>
        <w:top w:val="none" w:sz="0" w:space="0" w:color="auto"/>
        <w:left w:val="none" w:sz="0" w:space="0" w:color="auto"/>
        <w:bottom w:val="none" w:sz="0" w:space="0" w:color="auto"/>
        <w:right w:val="none" w:sz="0" w:space="0" w:color="auto"/>
      </w:divBdr>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095323737">
      <w:bodyDiv w:val="1"/>
      <w:marLeft w:val="0"/>
      <w:marRight w:val="0"/>
      <w:marTop w:val="0"/>
      <w:marBottom w:val="0"/>
      <w:divBdr>
        <w:top w:val="none" w:sz="0" w:space="0" w:color="auto"/>
        <w:left w:val="none" w:sz="0" w:space="0" w:color="auto"/>
        <w:bottom w:val="none" w:sz="0" w:space="0" w:color="auto"/>
        <w:right w:val="none" w:sz="0" w:space="0" w:color="auto"/>
      </w:divBdr>
    </w:div>
    <w:div w:id="1336955774">
      <w:bodyDiv w:val="1"/>
      <w:marLeft w:val="0"/>
      <w:marRight w:val="0"/>
      <w:marTop w:val="0"/>
      <w:marBottom w:val="0"/>
      <w:divBdr>
        <w:top w:val="none" w:sz="0" w:space="0" w:color="auto"/>
        <w:left w:val="none" w:sz="0" w:space="0" w:color="auto"/>
        <w:bottom w:val="none" w:sz="0" w:space="0" w:color="auto"/>
        <w:right w:val="none" w:sz="0" w:space="0" w:color="auto"/>
      </w:divBdr>
    </w:div>
    <w:div w:id="1435127106">
      <w:bodyDiv w:val="1"/>
      <w:marLeft w:val="0"/>
      <w:marRight w:val="0"/>
      <w:marTop w:val="0"/>
      <w:marBottom w:val="0"/>
      <w:divBdr>
        <w:top w:val="none" w:sz="0" w:space="0" w:color="auto"/>
        <w:left w:val="none" w:sz="0" w:space="0" w:color="auto"/>
        <w:bottom w:val="none" w:sz="0" w:space="0" w:color="auto"/>
        <w:right w:val="none" w:sz="0" w:space="0" w:color="auto"/>
      </w:divBdr>
    </w:div>
    <w:div w:id="1760834914">
      <w:bodyDiv w:val="1"/>
      <w:marLeft w:val="0"/>
      <w:marRight w:val="0"/>
      <w:marTop w:val="0"/>
      <w:marBottom w:val="0"/>
      <w:divBdr>
        <w:top w:val="none" w:sz="0" w:space="0" w:color="auto"/>
        <w:left w:val="none" w:sz="0" w:space="0" w:color="auto"/>
        <w:bottom w:val="none" w:sz="0" w:space="0" w:color="auto"/>
        <w:right w:val="none" w:sz="0" w:space="0" w:color="auto"/>
      </w:divBdr>
    </w:div>
    <w:div w:id="1808664629">
      <w:bodyDiv w:val="1"/>
      <w:marLeft w:val="0"/>
      <w:marRight w:val="0"/>
      <w:marTop w:val="0"/>
      <w:marBottom w:val="0"/>
      <w:divBdr>
        <w:top w:val="none" w:sz="0" w:space="0" w:color="auto"/>
        <w:left w:val="none" w:sz="0" w:space="0" w:color="auto"/>
        <w:bottom w:val="none" w:sz="0" w:space="0" w:color="auto"/>
        <w:right w:val="none" w:sz="0" w:space="0" w:color="auto"/>
      </w:divBdr>
    </w:div>
    <w:div w:id="1987783355">
      <w:bodyDiv w:val="1"/>
      <w:marLeft w:val="0"/>
      <w:marRight w:val="0"/>
      <w:marTop w:val="0"/>
      <w:marBottom w:val="0"/>
      <w:divBdr>
        <w:top w:val="none" w:sz="0" w:space="0" w:color="auto"/>
        <w:left w:val="none" w:sz="0" w:space="0" w:color="auto"/>
        <w:bottom w:val="none" w:sz="0" w:space="0" w:color="auto"/>
        <w:right w:val="none" w:sz="0" w:space="0" w:color="auto"/>
      </w:divBdr>
    </w:div>
    <w:div w:id="20974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5.xml><?xml version="1.0" encoding="utf-8"?>
<ds:datastoreItem xmlns:ds="http://schemas.openxmlformats.org/officeDocument/2006/customXml" ds:itemID="{0A67DD3E-E50C-4C8C-B5CF-D0DA61CB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5035</Words>
  <Characters>28704</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Hornáček Vladimír</cp:lastModifiedBy>
  <cp:revision>6</cp:revision>
  <cp:lastPrinted>2022-02-25T09:22:00Z</cp:lastPrinted>
  <dcterms:created xsi:type="dcterms:W3CDTF">2025-09-05T09:40:00Z</dcterms:created>
  <dcterms:modified xsi:type="dcterms:W3CDTF">2025-09-12T07:37:00Z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