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0800FC">
        <w:tc>
          <w:tcPr>
            <w:tcW w:w="9180" w:type="dxa"/>
            <w:gridSpan w:val="11"/>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rsidTr="000800FC">
        <w:tc>
          <w:tcPr>
            <w:tcW w:w="9180" w:type="dxa"/>
            <w:gridSpan w:val="11"/>
            <w:tcBorders>
              <w:top w:val="single" w:sz="4" w:space="0" w:color="FFFFFF"/>
              <w:bottom w:val="single" w:sz="4" w:space="0" w:color="auto"/>
            </w:tcBorders>
          </w:tcPr>
          <w:p w:rsidR="001B23B7" w:rsidRPr="003853F1" w:rsidRDefault="00601B44" w:rsidP="003853F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Vládny návrh z</w:t>
            </w:r>
            <w:r w:rsidRPr="00970E1F">
              <w:rPr>
                <w:rFonts w:ascii="Times New Roman" w:eastAsia="Times New Roman" w:hAnsi="Times New Roman" w:cs="Times New Roman"/>
                <w:sz w:val="20"/>
                <w:szCs w:val="20"/>
                <w:lang w:eastAsia="sk-SK"/>
              </w:rPr>
              <w:t>ákon</w:t>
            </w:r>
            <w:r>
              <w:rPr>
                <w:rFonts w:ascii="Times New Roman" w:eastAsia="Times New Roman" w:hAnsi="Times New Roman" w:cs="Times New Roman"/>
                <w:sz w:val="20"/>
                <w:szCs w:val="20"/>
                <w:lang w:eastAsia="sk-SK"/>
              </w:rPr>
              <w:t>a</w:t>
            </w:r>
            <w:r w:rsidR="00970E1F" w:rsidRPr="00970E1F">
              <w:rPr>
                <w:rFonts w:ascii="Times New Roman" w:eastAsia="Times New Roman" w:hAnsi="Times New Roman" w:cs="Times New Roman"/>
                <w:sz w:val="20"/>
                <w:szCs w:val="20"/>
                <w:lang w:eastAsia="sk-SK"/>
              </w:rPr>
              <w:t>, ktorým sa mení a dopĺňa zákon č. 461/2003 Z. z. o sociálnom poistení v znení neskorších predpisov a ktorým sa menia</w:t>
            </w:r>
            <w:r w:rsidR="00856C67">
              <w:rPr>
                <w:rFonts w:ascii="Times New Roman" w:eastAsia="Times New Roman" w:hAnsi="Times New Roman" w:cs="Times New Roman"/>
                <w:sz w:val="20"/>
                <w:szCs w:val="20"/>
                <w:lang w:eastAsia="sk-SK"/>
              </w:rPr>
              <w:t xml:space="preserve"> a dopĺňajú</w:t>
            </w:r>
            <w:r w:rsidR="00970E1F" w:rsidRPr="00970E1F">
              <w:rPr>
                <w:rFonts w:ascii="Times New Roman" w:eastAsia="Times New Roman" w:hAnsi="Times New Roman" w:cs="Times New Roman"/>
                <w:sz w:val="20"/>
                <w:szCs w:val="20"/>
                <w:lang w:eastAsia="sk-SK"/>
              </w:rPr>
              <w:t xml:space="preserve"> niektoré zákony </w:t>
            </w:r>
            <w:r w:rsidR="007B073C">
              <w:rPr>
                <w:rFonts w:ascii="Times New Roman" w:eastAsia="Times New Roman" w:hAnsi="Times New Roman" w:cs="Times New Roman"/>
                <w:sz w:val="20"/>
                <w:szCs w:val="20"/>
                <w:lang w:eastAsia="sk-SK"/>
              </w:rPr>
              <w:t>(ďalej len „návrh zákona“)</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612E08" w:rsidRDefault="00D6004E"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5A086B">
              <w:rPr>
                <w:rFonts w:ascii="Times New Roman" w:eastAsia="Times New Roman" w:hAnsi="Times New Roman" w:cs="Times New Roman"/>
                <w:sz w:val="20"/>
                <w:szCs w:val="20"/>
                <w:lang w:eastAsia="sk-SK"/>
              </w:rPr>
              <w:t xml:space="preserve"> S</w:t>
            </w:r>
            <w:r w:rsidR="007B073C">
              <w:rPr>
                <w:rFonts w:ascii="Times New Roman" w:eastAsia="Times New Roman" w:hAnsi="Times New Roman" w:cs="Times New Roman"/>
                <w:sz w:val="20"/>
                <w:szCs w:val="20"/>
                <w:lang w:eastAsia="sk-SK"/>
              </w:rPr>
              <w:t xml:space="preserve">lovenskej republiky </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rsidTr="000800FC">
        <w:tc>
          <w:tcPr>
            <w:tcW w:w="4212" w:type="dxa"/>
            <w:gridSpan w:val="2"/>
            <w:vMerge/>
            <w:tcBorders>
              <w:top w:val="nil"/>
              <w:left w:val="single" w:sz="4" w:space="0" w:color="auto"/>
              <w:bottom w:val="single" w:sz="4" w:space="0" w:color="FFFFFF"/>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5A086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rsidTr="000800FC">
        <w:tc>
          <w:tcPr>
            <w:tcW w:w="4212" w:type="dxa"/>
            <w:gridSpan w:val="2"/>
            <w:vMerge/>
            <w:tcBorders>
              <w:top w:val="nil"/>
              <w:left w:val="single" w:sz="4" w:space="0" w:color="auto"/>
              <w:bottom w:val="single" w:sz="4" w:space="0" w:color="auto"/>
            </w:tcBorders>
            <w:shd w:val="clear" w:color="auto" w:fill="E2E2E2"/>
          </w:tcPr>
          <w:p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A90A32" w:rsidRDefault="0002291B" w:rsidP="0002291B">
            <w:pPr>
              <w:rPr>
                <w:rFonts w:ascii="Times New Roman" w:eastAsia="Times New Roman" w:hAnsi="Times New Roman" w:cs="Times New Roman"/>
                <w:i/>
                <w:sz w:val="20"/>
                <w:szCs w:val="20"/>
                <w:lang w:eastAsia="sk-SK"/>
              </w:rPr>
            </w:pPr>
            <w:r w:rsidRPr="00A90A32">
              <w:rPr>
                <w:rFonts w:ascii="Times New Roman" w:eastAsia="Times New Roman" w:hAnsi="Times New Roman" w:cs="Times New Roman"/>
                <w:i/>
                <w:sz w:val="20"/>
                <w:szCs w:val="20"/>
                <w:lang w:eastAsia="sk-SK"/>
              </w:rPr>
              <w:t>4</w:t>
            </w:r>
            <w:r w:rsidR="001E7AC8" w:rsidRPr="00A90A32">
              <w:rPr>
                <w:rFonts w:ascii="Times New Roman" w:eastAsia="Times New Roman" w:hAnsi="Times New Roman" w:cs="Times New Roman"/>
                <w:i/>
                <w:sz w:val="20"/>
                <w:szCs w:val="20"/>
                <w:lang w:eastAsia="sk-SK"/>
              </w:rPr>
              <w:t>.7.2025 – 1</w:t>
            </w:r>
            <w:r w:rsidRPr="00A90A32">
              <w:rPr>
                <w:rFonts w:ascii="Times New Roman" w:eastAsia="Times New Roman" w:hAnsi="Times New Roman" w:cs="Times New Roman"/>
                <w:i/>
                <w:sz w:val="20"/>
                <w:szCs w:val="20"/>
                <w:lang w:eastAsia="sk-SK"/>
              </w:rPr>
              <w:t>4</w:t>
            </w:r>
            <w:r w:rsidR="001E7AC8" w:rsidRPr="00A90A32">
              <w:rPr>
                <w:rFonts w:ascii="Times New Roman" w:eastAsia="Times New Roman" w:hAnsi="Times New Roman" w:cs="Times New Roman"/>
                <w:i/>
                <w:sz w:val="20"/>
                <w:szCs w:val="20"/>
                <w:lang w:eastAsia="sk-SK"/>
              </w:rPr>
              <w:t>.7.2025</w:t>
            </w: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0448F"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w:t>
            </w:r>
            <w:r w:rsidR="001E7AC8">
              <w:rPr>
                <w:rFonts w:ascii="Times New Roman" w:eastAsia="Times New Roman" w:hAnsi="Times New Roman" w:cs="Times New Roman"/>
                <w:i/>
                <w:sz w:val="20"/>
                <w:szCs w:val="20"/>
                <w:lang w:eastAsia="sk-SK"/>
              </w:rPr>
              <w:t>.</w:t>
            </w:r>
            <w:r w:rsidR="00B67F83">
              <w:rPr>
                <w:rFonts w:ascii="Times New Roman" w:eastAsia="Times New Roman" w:hAnsi="Times New Roman" w:cs="Times New Roman"/>
                <w:i/>
                <w:sz w:val="20"/>
                <w:szCs w:val="20"/>
                <w:lang w:eastAsia="sk-SK"/>
              </w:rPr>
              <w:t>8</w:t>
            </w:r>
            <w:r w:rsidR="001E7AC8">
              <w:rPr>
                <w:rFonts w:ascii="Times New Roman" w:eastAsia="Times New Roman" w:hAnsi="Times New Roman" w:cs="Times New Roman"/>
                <w:i/>
                <w:sz w:val="20"/>
                <w:szCs w:val="20"/>
                <w:lang w:eastAsia="sk-SK"/>
              </w:rPr>
              <w:t xml:space="preserve">.2025 – </w:t>
            </w:r>
            <w:r w:rsidR="00B67F83">
              <w:rPr>
                <w:rFonts w:ascii="Times New Roman" w:eastAsia="Times New Roman" w:hAnsi="Times New Roman" w:cs="Times New Roman"/>
                <w:i/>
                <w:sz w:val="20"/>
                <w:szCs w:val="20"/>
                <w:lang w:eastAsia="sk-SK"/>
              </w:rPr>
              <w:t>21</w:t>
            </w:r>
            <w:r w:rsidR="001E7AC8">
              <w:rPr>
                <w:rFonts w:ascii="Times New Roman" w:eastAsia="Times New Roman" w:hAnsi="Times New Roman" w:cs="Times New Roman"/>
                <w:i/>
                <w:sz w:val="20"/>
                <w:szCs w:val="20"/>
                <w:lang w:eastAsia="sk-SK"/>
              </w:rPr>
              <w:t>.8.2025</w:t>
            </w:r>
          </w:p>
        </w:tc>
      </w:tr>
      <w:tr w:rsidR="00612E08" w:rsidRPr="00612E08"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1B23B7">
            <w:pPr>
              <w:rPr>
                <w:rFonts w:ascii="Times New Roman" w:eastAsia="Times New Roman" w:hAnsi="Times New Roman" w:cs="Times New Roman"/>
                <w:i/>
                <w:sz w:val="20"/>
                <w:szCs w:val="20"/>
                <w:lang w:eastAsia="sk-SK"/>
              </w:rPr>
            </w:pPr>
          </w:p>
        </w:tc>
      </w:tr>
      <w:tr w:rsidR="00612E08" w:rsidRPr="00612E08"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612E08" w:rsidRDefault="005437C1"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10</w:t>
            </w:r>
            <w:r w:rsidR="001E7AC8" w:rsidRPr="00374583">
              <w:rPr>
                <w:rFonts w:ascii="Times New Roman" w:eastAsia="Times New Roman" w:hAnsi="Times New Roman" w:cs="Times New Roman"/>
                <w:i/>
                <w:sz w:val="20"/>
                <w:szCs w:val="20"/>
                <w:lang w:eastAsia="sk-SK"/>
              </w:rPr>
              <w:t>.9.2025</w:t>
            </w:r>
          </w:p>
        </w:tc>
      </w:tr>
      <w:tr w:rsidR="00612E08" w:rsidRPr="00612E08" w:rsidTr="000800FC">
        <w:tc>
          <w:tcPr>
            <w:tcW w:w="9180" w:type="dxa"/>
            <w:gridSpan w:val="11"/>
            <w:tcBorders>
              <w:top w:val="single" w:sz="4" w:space="0" w:color="auto"/>
              <w:left w:val="nil"/>
              <w:bottom w:val="single" w:sz="4" w:space="0" w:color="auto"/>
              <w:right w:val="nil"/>
            </w:tcBorders>
            <w:shd w:val="clear" w:color="auto" w:fill="FFFFFF"/>
          </w:tcPr>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C4CD3" w:rsidRPr="000C4CD3" w:rsidRDefault="000C4CD3" w:rsidP="000C4CD3">
            <w:pPr>
              <w:jc w:val="both"/>
              <w:rPr>
                <w:rFonts w:ascii="Times New Roman" w:eastAsia="Times New Roman" w:hAnsi="Times New Roman" w:cs="Times New Roman"/>
                <w:sz w:val="20"/>
                <w:szCs w:val="20"/>
                <w:lang w:eastAsia="sk-SK"/>
              </w:rPr>
            </w:pPr>
            <w:r w:rsidRPr="000C4CD3">
              <w:rPr>
                <w:rFonts w:ascii="Times New Roman" w:eastAsia="Times New Roman" w:hAnsi="Times New Roman" w:cs="Times New Roman"/>
                <w:sz w:val="20"/>
                <w:szCs w:val="20"/>
                <w:lang w:eastAsia="sk-SK"/>
              </w:rPr>
              <w:t xml:space="preserve">Podľa platnej právnej úpravy sú obdobia starostlivosti o dieťa, </w:t>
            </w:r>
            <w:r w:rsidR="007B073C">
              <w:rPr>
                <w:rFonts w:ascii="Times New Roman" w:eastAsia="Times New Roman" w:hAnsi="Times New Roman" w:cs="Times New Roman"/>
                <w:sz w:val="20"/>
                <w:szCs w:val="20"/>
                <w:lang w:eastAsia="sk-SK"/>
              </w:rPr>
              <w:t xml:space="preserve">obdobia </w:t>
            </w:r>
            <w:r w:rsidRPr="000C4CD3">
              <w:rPr>
                <w:rFonts w:ascii="Times New Roman" w:eastAsia="Times New Roman" w:hAnsi="Times New Roman" w:cs="Times New Roman"/>
                <w:sz w:val="20"/>
                <w:szCs w:val="20"/>
                <w:lang w:eastAsia="sk-SK"/>
              </w:rPr>
              <w:t>poberania peňažného príspevku na opatrovanie</w:t>
            </w:r>
            <w:r w:rsidR="00A9031B">
              <w:rPr>
                <w:rFonts w:ascii="Times New Roman" w:eastAsia="Times New Roman" w:hAnsi="Times New Roman" w:cs="Times New Roman"/>
                <w:sz w:val="20"/>
                <w:szCs w:val="20"/>
                <w:lang w:eastAsia="sk-SK"/>
              </w:rPr>
              <w:t xml:space="preserve">, </w:t>
            </w:r>
            <w:r w:rsidR="007B073C">
              <w:rPr>
                <w:rFonts w:ascii="Times New Roman" w:eastAsia="Times New Roman" w:hAnsi="Times New Roman" w:cs="Times New Roman"/>
                <w:sz w:val="20"/>
                <w:szCs w:val="20"/>
                <w:lang w:eastAsia="sk-SK"/>
              </w:rPr>
              <w:t xml:space="preserve">obdobia </w:t>
            </w:r>
            <w:r w:rsidRPr="000C4CD3">
              <w:rPr>
                <w:rFonts w:ascii="Times New Roman" w:eastAsia="Times New Roman" w:hAnsi="Times New Roman" w:cs="Times New Roman"/>
                <w:sz w:val="20"/>
                <w:szCs w:val="20"/>
                <w:lang w:eastAsia="sk-SK"/>
              </w:rPr>
              <w:t xml:space="preserve">výkonu osobnej asistencie </w:t>
            </w:r>
            <w:r w:rsidR="007B073C">
              <w:rPr>
                <w:rFonts w:ascii="Times New Roman" w:eastAsia="Times New Roman" w:hAnsi="Times New Roman" w:cs="Times New Roman"/>
                <w:sz w:val="20"/>
                <w:szCs w:val="20"/>
                <w:lang w:eastAsia="sk-SK"/>
              </w:rPr>
              <w:t>fyzickej osoby s ťažkým zdravotným postihnutím v rozsahu najmenej 140 hodí</w:t>
            </w:r>
            <w:r w:rsidR="00E06729">
              <w:rPr>
                <w:rFonts w:ascii="Times New Roman" w:eastAsia="Times New Roman" w:hAnsi="Times New Roman" w:cs="Times New Roman"/>
                <w:sz w:val="20"/>
                <w:szCs w:val="20"/>
                <w:lang w:eastAsia="sk-SK"/>
              </w:rPr>
              <w:t>n</w:t>
            </w:r>
            <w:r w:rsidR="007B073C">
              <w:rPr>
                <w:rFonts w:ascii="Times New Roman" w:eastAsia="Times New Roman" w:hAnsi="Times New Roman" w:cs="Times New Roman"/>
                <w:sz w:val="20"/>
                <w:szCs w:val="20"/>
                <w:lang w:eastAsia="sk-SK"/>
              </w:rPr>
              <w:t xml:space="preserve"> mesačne</w:t>
            </w:r>
            <w:r w:rsidR="00A9031B">
              <w:rPr>
                <w:rFonts w:ascii="Times New Roman" w:eastAsia="Times New Roman" w:hAnsi="Times New Roman" w:cs="Times New Roman"/>
                <w:sz w:val="20"/>
                <w:szCs w:val="20"/>
                <w:lang w:eastAsia="sk-SK"/>
              </w:rPr>
              <w:t xml:space="preserve"> </w:t>
            </w:r>
            <w:r w:rsidR="00A9031B" w:rsidRPr="00A9031B">
              <w:rPr>
                <w:rFonts w:ascii="Times New Roman" w:eastAsia="Times New Roman" w:hAnsi="Times New Roman" w:cs="Times New Roman"/>
                <w:sz w:val="20"/>
                <w:szCs w:val="20"/>
                <w:lang w:eastAsia="sk-SK"/>
              </w:rPr>
              <w:t>a obdobia poberania kompenzačného príspevku baníkom</w:t>
            </w:r>
            <w:r w:rsidR="007B073C">
              <w:rPr>
                <w:rFonts w:ascii="Times New Roman" w:eastAsia="Times New Roman" w:hAnsi="Times New Roman" w:cs="Times New Roman"/>
                <w:sz w:val="20"/>
                <w:szCs w:val="20"/>
                <w:lang w:eastAsia="sk-SK"/>
              </w:rPr>
              <w:t xml:space="preserve"> </w:t>
            </w:r>
            <w:r w:rsidR="00E428B1">
              <w:rPr>
                <w:rFonts w:ascii="Times New Roman" w:eastAsia="Times New Roman" w:hAnsi="Times New Roman" w:cs="Times New Roman"/>
                <w:sz w:val="20"/>
                <w:szCs w:val="20"/>
                <w:lang w:eastAsia="sk-SK"/>
              </w:rPr>
              <w:t xml:space="preserve">obdobiami </w:t>
            </w:r>
            <w:r w:rsidRPr="000C4CD3">
              <w:rPr>
                <w:rFonts w:ascii="Times New Roman" w:eastAsia="Times New Roman" w:hAnsi="Times New Roman" w:cs="Times New Roman"/>
                <w:sz w:val="20"/>
                <w:szCs w:val="20"/>
                <w:lang w:eastAsia="sk-SK"/>
              </w:rPr>
              <w:t>dôchodkového poistenia, za ktoré platí poistné štát</w:t>
            </w:r>
            <w:r w:rsidR="007B073C">
              <w:rPr>
                <w:rFonts w:ascii="Times New Roman" w:eastAsia="Times New Roman" w:hAnsi="Times New Roman" w:cs="Times New Roman"/>
                <w:sz w:val="20"/>
                <w:szCs w:val="20"/>
                <w:lang w:eastAsia="sk-SK"/>
              </w:rPr>
              <w:t xml:space="preserve"> (poistné na starobné poistenie, na invalidné poistenie, do rezervného fondu solidarity a v prípade sporiteľov aj príspevky na starobné dôchodkové sporenie do II. piliera)</w:t>
            </w:r>
            <w:r w:rsidRPr="000C4CD3">
              <w:rPr>
                <w:rFonts w:ascii="Times New Roman" w:eastAsia="Times New Roman" w:hAnsi="Times New Roman" w:cs="Times New Roman"/>
                <w:sz w:val="20"/>
                <w:szCs w:val="20"/>
                <w:lang w:eastAsia="sk-SK"/>
              </w:rPr>
              <w:t xml:space="preserve">. Spôsob, akým je toto </w:t>
            </w:r>
            <w:r w:rsidR="00E428B1">
              <w:rPr>
                <w:rFonts w:ascii="Times New Roman" w:eastAsia="Times New Roman" w:hAnsi="Times New Roman" w:cs="Times New Roman"/>
                <w:sz w:val="20"/>
                <w:szCs w:val="20"/>
                <w:lang w:eastAsia="sk-SK"/>
              </w:rPr>
              <w:t xml:space="preserve">obdobie </w:t>
            </w:r>
            <w:r w:rsidR="00E428B1" w:rsidRPr="000C4CD3">
              <w:rPr>
                <w:rFonts w:ascii="Times New Roman" w:eastAsia="Times New Roman" w:hAnsi="Times New Roman" w:cs="Times New Roman"/>
                <w:sz w:val="20"/>
                <w:szCs w:val="20"/>
                <w:lang w:eastAsia="sk-SK"/>
              </w:rPr>
              <w:t>poisteni</w:t>
            </w:r>
            <w:r w:rsidR="00E428B1">
              <w:rPr>
                <w:rFonts w:ascii="Times New Roman" w:eastAsia="Times New Roman" w:hAnsi="Times New Roman" w:cs="Times New Roman"/>
                <w:sz w:val="20"/>
                <w:szCs w:val="20"/>
                <w:lang w:eastAsia="sk-SK"/>
              </w:rPr>
              <w:t>a</w:t>
            </w:r>
            <w:r w:rsidR="00E428B1" w:rsidRPr="000C4CD3">
              <w:rPr>
                <w:rFonts w:ascii="Times New Roman" w:eastAsia="Times New Roman" w:hAnsi="Times New Roman" w:cs="Times New Roman"/>
                <w:sz w:val="20"/>
                <w:szCs w:val="20"/>
                <w:lang w:eastAsia="sk-SK"/>
              </w:rPr>
              <w:t xml:space="preserve"> </w:t>
            </w:r>
            <w:r w:rsidRPr="000C4CD3">
              <w:rPr>
                <w:rFonts w:ascii="Times New Roman" w:eastAsia="Times New Roman" w:hAnsi="Times New Roman" w:cs="Times New Roman"/>
                <w:sz w:val="20"/>
                <w:szCs w:val="20"/>
                <w:lang w:eastAsia="sk-SK"/>
              </w:rPr>
              <w:t>hodnotené pri výpočte dôchodku, však v</w:t>
            </w:r>
            <w:r w:rsidR="007B073C">
              <w:rPr>
                <w:rFonts w:ascii="Times New Roman" w:eastAsia="Times New Roman" w:hAnsi="Times New Roman" w:cs="Times New Roman"/>
                <w:sz w:val="20"/>
                <w:szCs w:val="20"/>
                <w:lang w:eastAsia="sk-SK"/>
              </w:rPr>
              <w:t>o väčšine</w:t>
            </w:r>
            <w:r w:rsidRPr="000C4CD3">
              <w:rPr>
                <w:rFonts w:ascii="Times New Roman" w:eastAsia="Times New Roman" w:hAnsi="Times New Roman" w:cs="Times New Roman"/>
                <w:sz w:val="20"/>
                <w:szCs w:val="20"/>
                <w:lang w:eastAsia="sk-SK"/>
              </w:rPr>
              <w:t xml:space="preserve">  prípado</w:t>
            </w:r>
            <w:r w:rsidR="007B073C">
              <w:rPr>
                <w:rFonts w:ascii="Times New Roman" w:eastAsia="Times New Roman" w:hAnsi="Times New Roman" w:cs="Times New Roman"/>
                <w:sz w:val="20"/>
                <w:szCs w:val="20"/>
                <w:lang w:eastAsia="sk-SK"/>
              </w:rPr>
              <w:t>v</w:t>
            </w:r>
            <w:r w:rsidRPr="000C4CD3">
              <w:rPr>
                <w:rFonts w:ascii="Times New Roman" w:eastAsia="Times New Roman" w:hAnsi="Times New Roman" w:cs="Times New Roman"/>
                <w:sz w:val="20"/>
                <w:szCs w:val="20"/>
                <w:lang w:eastAsia="sk-SK"/>
              </w:rPr>
              <w:t xml:space="preserve"> vedie k zníženiu celkovej sumy dôchodkovej dávky poistenca.</w:t>
            </w:r>
          </w:p>
          <w:p w:rsidR="000C4CD3" w:rsidRPr="000C4CD3" w:rsidRDefault="000C4CD3" w:rsidP="000C4CD3">
            <w:pPr>
              <w:jc w:val="both"/>
              <w:rPr>
                <w:rFonts w:ascii="Times New Roman" w:eastAsia="Times New Roman" w:hAnsi="Times New Roman" w:cs="Times New Roman"/>
                <w:sz w:val="20"/>
                <w:szCs w:val="20"/>
                <w:lang w:eastAsia="sk-SK"/>
              </w:rPr>
            </w:pPr>
            <w:r w:rsidRPr="000C4CD3">
              <w:rPr>
                <w:rFonts w:ascii="Times New Roman" w:eastAsia="Times New Roman" w:hAnsi="Times New Roman" w:cs="Times New Roman"/>
                <w:sz w:val="20"/>
                <w:szCs w:val="20"/>
                <w:lang w:eastAsia="sk-SK"/>
              </w:rPr>
              <w:t xml:space="preserve">Problém </w:t>
            </w:r>
            <w:r w:rsidR="007B073C">
              <w:rPr>
                <w:rFonts w:ascii="Times New Roman" w:eastAsia="Times New Roman" w:hAnsi="Times New Roman" w:cs="Times New Roman"/>
                <w:sz w:val="20"/>
                <w:szCs w:val="20"/>
                <w:lang w:eastAsia="sk-SK"/>
              </w:rPr>
              <w:t>spočíva</w:t>
            </w:r>
            <w:r w:rsidR="007B073C" w:rsidRPr="000C4CD3">
              <w:rPr>
                <w:rFonts w:ascii="Times New Roman" w:eastAsia="Times New Roman" w:hAnsi="Times New Roman" w:cs="Times New Roman"/>
                <w:sz w:val="20"/>
                <w:szCs w:val="20"/>
                <w:lang w:eastAsia="sk-SK"/>
              </w:rPr>
              <w:t xml:space="preserve"> </w:t>
            </w:r>
            <w:r w:rsidR="007B073C">
              <w:rPr>
                <w:rFonts w:ascii="Times New Roman" w:eastAsia="Times New Roman" w:hAnsi="Times New Roman" w:cs="Times New Roman"/>
                <w:sz w:val="20"/>
                <w:szCs w:val="20"/>
                <w:lang w:eastAsia="sk-SK"/>
              </w:rPr>
              <w:t>v</w:t>
            </w:r>
            <w:r w:rsidRPr="000C4CD3">
              <w:rPr>
                <w:rFonts w:ascii="Times New Roman" w:eastAsia="Times New Roman" w:hAnsi="Times New Roman" w:cs="Times New Roman"/>
                <w:sz w:val="20"/>
                <w:szCs w:val="20"/>
                <w:lang w:eastAsia="sk-SK"/>
              </w:rPr>
              <w:t xml:space="preserve"> dvoch hlavných mechanizmo</w:t>
            </w:r>
            <w:r w:rsidR="007B073C">
              <w:rPr>
                <w:rFonts w:ascii="Times New Roman" w:eastAsia="Times New Roman" w:hAnsi="Times New Roman" w:cs="Times New Roman"/>
                <w:sz w:val="20"/>
                <w:szCs w:val="20"/>
                <w:lang w:eastAsia="sk-SK"/>
              </w:rPr>
              <w:t>ch</w:t>
            </w:r>
            <w:r w:rsidRPr="000C4CD3">
              <w:rPr>
                <w:rFonts w:ascii="Times New Roman" w:eastAsia="Times New Roman" w:hAnsi="Times New Roman" w:cs="Times New Roman"/>
                <w:sz w:val="20"/>
                <w:szCs w:val="20"/>
                <w:lang w:eastAsia="sk-SK"/>
              </w:rPr>
              <w:t xml:space="preserve"> súčasného </w:t>
            </w:r>
            <w:r w:rsidR="007B073C">
              <w:rPr>
                <w:rFonts w:ascii="Times New Roman" w:eastAsia="Times New Roman" w:hAnsi="Times New Roman" w:cs="Times New Roman"/>
                <w:sz w:val="20"/>
                <w:szCs w:val="20"/>
                <w:lang w:eastAsia="sk-SK"/>
              </w:rPr>
              <w:t>nastavenia</w:t>
            </w:r>
            <w:r w:rsidRPr="000C4CD3">
              <w:rPr>
                <w:rFonts w:ascii="Times New Roman" w:eastAsia="Times New Roman" w:hAnsi="Times New Roman" w:cs="Times New Roman"/>
                <w:sz w:val="20"/>
                <w:szCs w:val="20"/>
                <w:lang w:eastAsia="sk-SK"/>
              </w:rPr>
              <w:t>. Po prvé, vymeriavací základ, z ktorého štát platí poistné za osobu starajúcu sa o dieťa, je stanovený na úrovni 60 % priemernej mesačnej mzdy v</w:t>
            </w:r>
            <w:r w:rsidR="007B073C">
              <w:rPr>
                <w:rFonts w:ascii="Times New Roman" w:eastAsia="Times New Roman" w:hAnsi="Times New Roman" w:cs="Times New Roman"/>
                <w:sz w:val="20"/>
                <w:szCs w:val="20"/>
                <w:lang w:eastAsia="sk-SK"/>
              </w:rPr>
              <w:t> </w:t>
            </w:r>
            <w:r w:rsidRPr="000C4CD3">
              <w:rPr>
                <w:rFonts w:ascii="Times New Roman" w:eastAsia="Times New Roman" w:hAnsi="Times New Roman" w:cs="Times New Roman"/>
                <w:sz w:val="20"/>
                <w:szCs w:val="20"/>
                <w:lang w:eastAsia="sk-SK"/>
              </w:rPr>
              <w:t>hospodárstve</w:t>
            </w:r>
            <w:r w:rsidR="007B073C">
              <w:rPr>
                <w:rFonts w:ascii="Times New Roman" w:eastAsia="Times New Roman" w:hAnsi="Times New Roman" w:cs="Times New Roman"/>
                <w:sz w:val="20"/>
                <w:szCs w:val="20"/>
                <w:lang w:eastAsia="sk-SK"/>
              </w:rPr>
              <w:t xml:space="preserve"> Slovenskej republiky</w:t>
            </w:r>
            <w:r w:rsidRPr="000C4CD3">
              <w:rPr>
                <w:rFonts w:ascii="Times New Roman" w:eastAsia="Times New Roman" w:hAnsi="Times New Roman" w:cs="Times New Roman"/>
                <w:sz w:val="20"/>
                <w:szCs w:val="20"/>
                <w:lang w:eastAsia="sk-SK"/>
              </w:rPr>
              <w:t xml:space="preserve"> spred dvoch rokov. Pre poistencov, ktorých vymeriavacie základy zo zárobkovej činnosti v </w:t>
            </w:r>
            <w:r w:rsidR="00094D9C">
              <w:t> </w:t>
            </w:r>
            <w:r w:rsidR="00E428B1">
              <w:rPr>
                <w:rFonts w:ascii="Times New Roman" w:eastAsia="Times New Roman" w:hAnsi="Times New Roman" w:cs="Times New Roman"/>
                <w:sz w:val="20"/>
                <w:szCs w:val="20"/>
                <w:lang w:eastAsia="sk-SK"/>
              </w:rPr>
              <w:t>iných</w:t>
            </w:r>
            <w:r w:rsidR="00E428B1" w:rsidRPr="000C4CD3">
              <w:rPr>
                <w:rFonts w:ascii="Times New Roman" w:eastAsia="Times New Roman" w:hAnsi="Times New Roman" w:cs="Times New Roman"/>
                <w:sz w:val="20"/>
                <w:szCs w:val="20"/>
                <w:lang w:eastAsia="sk-SK"/>
              </w:rPr>
              <w:t xml:space="preserve"> </w:t>
            </w:r>
            <w:r w:rsidRPr="000C4CD3">
              <w:rPr>
                <w:rFonts w:ascii="Times New Roman" w:eastAsia="Times New Roman" w:hAnsi="Times New Roman" w:cs="Times New Roman"/>
                <w:sz w:val="20"/>
                <w:szCs w:val="20"/>
                <w:lang w:eastAsia="sk-SK"/>
              </w:rPr>
              <w:t>obdobiach</w:t>
            </w:r>
            <w:r w:rsidR="007B073C">
              <w:rPr>
                <w:rFonts w:ascii="Times New Roman" w:eastAsia="Times New Roman" w:hAnsi="Times New Roman" w:cs="Times New Roman"/>
                <w:sz w:val="20"/>
                <w:szCs w:val="20"/>
                <w:lang w:eastAsia="sk-SK"/>
              </w:rPr>
              <w:t xml:space="preserve"> dôchodkového poistenia</w:t>
            </w:r>
            <w:r w:rsidRPr="000C4CD3">
              <w:rPr>
                <w:rFonts w:ascii="Times New Roman" w:eastAsia="Times New Roman" w:hAnsi="Times New Roman" w:cs="Times New Roman"/>
                <w:sz w:val="20"/>
                <w:szCs w:val="20"/>
                <w:lang w:eastAsia="sk-SK"/>
              </w:rPr>
              <w:t xml:space="preserve"> presahujú túto úroveň, má zaradenie obdobia starostlivosti o dieťa do rozhodujúceho obdobia</w:t>
            </w:r>
            <w:r w:rsidR="007B073C">
              <w:rPr>
                <w:rFonts w:ascii="Times New Roman" w:eastAsia="Times New Roman" w:hAnsi="Times New Roman" w:cs="Times New Roman"/>
                <w:sz w:val="20"/>
                <w:szCs w:val="20"/>
                <w:lang w:eastAsia="sk-SK"/>
              </w:rPr>
              <w:t xml:space="preserve"> na výpočet priemerného osobného mzdového bodu (ďalej len „POMB“)</w:t>
            </w:r>
            <w:r w:rsidRPr="000C4CD3">
              <w:rPr>
                <w:rFonts w:ascii="Times New Roman" w:eastAsia="Times New Roman" w:hAnsi="Times New Roman" w:cs="Times New Roman"/>
                <w:sz w:val="20"/>
                <w:szCs w:val="20"/>
                <w:lang w:eastAsia="sk-SK"/>
              </w:rPr>
              <w:t xml:space="preserve"> za následok zníženie ich </w:t>
            </w:r>
            <w:r w:rsidR="007B073C">
              <w:rPr>
                <w:rFonts w:ascii="Times New Roman" w:eastAsia="Times New Roman" w:hAnsi="Times New Roman" w:cs="Times New Roman"/>
                <w:sz w:val="20"/>
                <w:szCs w:val="20"/>
                <w:lang w:eastAsia="sk-SK"/>
              </w:rPr>
              <w:t>POMB</w:t>
            </w:r>
            <w:r w:rsidR="007B073C" w:rsidRPr="000C4CD3">
              <w:rPr>
                <w:rFonts w:ascii="Times New Roman" w:eastAsia="Times New Roman" w:hAnsi="Times New Roman" w:cs="Times New Roman"/>
                <w:sz w:val="20"/>
                <w:szCs w:val="20"/>
                <w:lang w:eastAsia="sk-SK"/>
              </w:rPr>
              <w:t xml:space="preserve"> </w:t>
            </w:r>
            <w:r w:rsidRPr="000C4CD3">
              <w:rPr>
                <w:rFonts w:ascii="Times New Roman" w:eastAsia="Times New Roman" w:hAnsi="Times New Roman" w:cs="Times New Roman"/>
                <w:sz w:val="20"/>
                <w:szCs w:val="20"/>
                <w:lang w:eastAsia="sk-SK"/>
              </w:rPr>
              <w:t xml:space="preserve">, ktorý je kľúčovou veličinou pre výpočet sumy dôchodku. V prípade osôb poberajúcich </w:t>
            </w:r>
            <w:r w:rsidR="00621EB2">
              <w:rPr>
                <w:rFonts w:ascii="Times New Roman" w:eastAsia="Times New Roman" w:hAnsi="Times New Roman" w:cs="Times New Roman"/>
                <w:sz w:val="20"/>
                <w:szCs w:val="20"/>
                <w:lang w:eastAsia="sk-SK"/>
              </w:rPr>
              <w:t xml:space="preserve">peňažný </w:t>
            </w:r>
            <w:r w:rsidRPr="000C4CD3">
              <w:rPr>
                <w:rFonts w:ascii="Times New Roman" w:eastAsia="Times New Roman" w:hAnsi="Times New Roman" w:cs="Times New Roman"/>
                <w:sz w:val="20"/>
                <w:szCs w:val="20"/>
                <w:lang w:eastAsia="sk-SK"/>
              </w:rPr>
              <w:t>príspevok na opatrovanie</w:t>
            </w:r>
            <w:r w:rsidR="00A9031B">
              <w:rPr>
                <w:rFonts w:ascii="Times New Roman" w:eastAsia="Times New Roman" w:hAnsi="Times New Roman" w:cs="Times New Roman"/>
                <w:sz w:val="20"/>
                <w:szCs w:val="20"/>
                <w:lang w:eastAsia="sk-SK"/>
              </w:rPr>
              <w:t>,</w:t>
            </w:r>
            <w:r w:rsidRPr="000C4CD3">
              <w:rPr>
                <w:rFonts w:ascii="Times New Roman" w:eastAsia="Times New Roman" w:hAnsi="Times New Roman" w:cs="Times New Roman"/>
                <w:sz w:val="20"/>
                <w:szCs w:val="20"/>
                <w:lang w:eastAsia="sk-SK"/>
              </w:rPr>
              <w:t xml:space="preserve"> vykonávajúcich osobnú asistenciu</w:t>
            </w:r>
            <w:r w:rsidR="00C659EE">
              <w:rPr>
                <w:rFonts w:ascii="Times New Roman" w:eastAsia="Times New Roman" w:hAnsi="Times New Roman" w:cs="Times New Roman"/>
                <w:sz w:val="20"/>
                <w:szCs w:val="20"/>
                <w:lang w:eastAsia="sk-SK"/>
              </w:rPr>
              <w:t>,</w:t>
            </w:r>
            <w:r w:rsidR="00A9031B">
              <w:rPr>
                <w:rFonts w:ascii="Times New Roman" w:eastAsia="Times New Roman" w:hAnsi="Times New Roman" w:cs="Times New Roman"/>
                <w:sz w:val="20"/>
                <w:szCs w:val="20"/>
                <w:lang w:eastAsia="sk-SK"/>
              </w:rPr>
              <w:t xml:space="preserve"> ale aj poberateľov kompenzačného príspevku baníkom</w:t>
            </w:r>
            <w:r w:rsidRPr="000C4CD3">
              <w:rPr>
                <w:rFonts w:ascii="Times New Roman" w:eastAsia="Times New Roman" w:hAnsi="Times New Roman" w:cs="Times New Roman"/>
                <w:sz w:val="20"/>
                <w:szCs w:val="20"/>
                <w:lang w:eastAsia="sk-SK"/>
              </w:rPr>
              <w:t xml:space="preserve"> je tento efekt ešte výraznejší, keďže vymeriavací základ</w:t>
            </w:r>
            <w:r w:rsidR="00621EB2">
              <w:rPr>
                <w:rFonts w:ascii="Times New Roman" w:eastAsia="Times New Roman" w:hAnsi="Times New Roman" w:cs="Times New Roman"/>
                <w:sz w:val="20"/>
                <w:szCs w:val="20"/>
                <w:lang w:eastAsia="sk-SK"/>
              </w:rPr>
              <w:t xml:space="preserve"> štátu</w:t>
            </w:r>
            <w:r w:rsidRPr="000C4CD3">
              <w:rPr>
                <w:rFonts w:ascii="Times New Roman" w:eastAsia="Times New Roman" w:hAnsi="Times New Roman" w:cs="Times New Roman"/>
                <w:sz w:val="20"/>
                <w:szCs w:val="20"/>
                <w:lang w:eastAsia="sk-SK"/>
              </w:rPr>
              <w:t xml:space="preserve"> je stanovený na 50 % priemernej </w:t>
            </w:r>
            <w:r w:rsidR="00EE59E1">
              <w:rPr>
                <w:rFonts w:ascii="Times New Roman" w:eastAsia="Times New Roman" w:hAnsi="Times New Roman" w:cs="Times New Roman"/>
                <w:sz w:val="20"/>
                <w:szCs w:val="20"/>
                <w:lang w:eastAsia="sk-SK"/>
              </w:rPr>
              <w:t xml:space="preserve">mesačnej </w:t>
            </w:r>
            <w:r w:rsidRPr="000C4CD3">
              <w:rPr>
                <w:rFonts w:ascii="Times New Roman" w:eastAsia="Times New Roman" w:hAnsi="Times New Roman" w:cs="Times New Roman"/>
                <w:sz w:val="20"/>
                <w:szCs w:val="20"/>
                <w:lang w:eastAsia="sk-SK"/>
              </w:rPr>
              <w:t>mzdy</w:t>
            </w:r>
            <w:r w:rsidR="00621EB2">
              <w:rPr>
                <w:rFonts w:ascii="Times New Roman" w:eastAsia="Times New Roman" w:hAnsi="Times New Roman" w:cs="Times New Roman"/>
                <w:sz w:val="20"/>
                <w:szCs w:val="20"/>
                <w:lang w:eastAsia="sk-SK"/>
              </w:rPr>
              <w:t xml:space="preserve"> v hospodárstve Slovenskej republiky spred dvoch rokov</w:t>
            </w:r>
            <w:r w:rsidRPr="000C4CD3">
              <w:rPr>
                <w:rFonts w:ascii="Times New Roman" w:eastAsia="Times New Roman" w:hAnsi="Times New Roman" w:cs="Times New Roman"/>
                <w:sz w:val="20"/>
                <w:szCs w:val="20"/>
                <w:lang w:eastAsia="sk-SK"/>
              </w:rPr>
              <w:t>.</w:t>
            </w:r>
          </w:p>
          <w:p w:rsidR="000C4CD3" w:rsidRPr="000C4CD3" w:rsidRDefault="000C4CD3" w:rsidP="000C4CD3">
            <w:pPr>
              <w:jc w:val="both"/>
              <w:rPr>
                <w:rFonts w:ascii="Times New Roman" w:eastAsia="Times New Roman" w:hAnsi="Times New Roman" w:cs="Times New Roman"/>
                <w:sz w:val="20"/>
                <w:szCs w:val="20"/>
                <w:lang w:eastAsia="sk-SK"/>
              </w:rPr>
            </w:pPr>
            <w:r w:rsidRPr="000C4CD3">
              <w:rPr>
                <w:rFonts w:ascii="Times New Roman" w:eastAsia="Times New Roman" w:hAnsi="Times New Roman" w:cs="Times New Roman"/>
                <w:sz w:val="20"/>
                <w:szCs w:val="20"/>
                <w:lang w:eastAsia="sk-SK"/>
              </w:rPr>
              <w:t>Po druhé, súčasná právna úprava neumožňuje súbeh povinného dôchodkového poistenia plateného štátom s povinným dôchodkovým poistením zamestnanca alebo samostatne zárobkovo činnej osoby. Ak poistenec v období starostlivosti začne vykonávať zárobkovú činnosť,</w:t>
            </w:r>
            <w:r w:rsidR="00621EB2">
              <w:rPr>
                <w:rFonts w:ascii="Times New Roman" w:eastAsia="Times New Roman" w:hAnsi="Times New Roman" w:cs="Times New Roman"/>
                <w:sz w:val="20"/>
                <w:szCs w:val="20"/>
                <w:lang w:eastAsia="sk-SK"/>
              </w:rPr>
              <w:t xml:space="preserve"> z ktorej je povinne dôchodkovo poistený,</w:t>
            </w:r>
            <w:r w:rsidRPr="000C4CD3">
              <w:rPr>
                <w:rFonts w:ascii="Times New Roman" w:eastAsia="Times New Roman" w:hAnsi="Times New Roman" w:cs="Times New Roman"/>
                <w:sz w:val="20"/>
                <w:szCs w:val="20"/>
                <w:lang w:eastAsia="sk-SK"/>
              </w:rPr>
              <w:t xml:space="preserve"> poistenie platené štátom zaniká, a to bez ohľadu na výšku dosiahnutého príjmu. V situáciách, keď je vymeriavací základ zo zárobkovej činnosti nižší ako vymeriavací základ, z ktorého by poistné platil štát, dochádza k zníženiu hodnoty </w:t>
            </w:r>
            <w:r w:rsidR="00094D9C">
              <w:rPr>
                <w:rFonts w:ascii="Times New Roman" w:eastAsia="Times New Roman" w:hAnsi="Times New Roman" w:cs="Times New Roman"/>
                <w:sz w:val="20"/>
                <w:szCs w:val="20"/>
                <w:lang w:eastAsia="sk-SK"/>
              </w:rPr>
              <w:t xml:space="preserve">osobného mzdového bodu </w:t>
            </w:r>
            <w:r w:rsidRPr="000C4CD3">
              <w:rPr>
                <w:rFonts w:ascii="Times New Roman" w:eastAsia="Times New Roman" w:hAnsi="Times New Roman" w:cs="Times New Roman"/>
                <w:sz w:val="20"/>
                <w:szCs w:val="20"/>
                <w:lang w:eastAsia="sk-SK"/>
              </w:rPr>
              <w:t xml:space="preserve">daného obdobia pre výpočet dôchodku v porovnaní s hypotetickou situáciou, ak by osoba nepracovala vôbec a bola </w:t>
            </w:r>
            <w:r w:rsidR="00621EB2">
              <w:rPr>
                <w:rFonts w:ascii="Times New Roman" w:eastAsia="Times New Roman" w:hAnsi="Times New Roman" w:cs="Times New Roman"/>
                <w:sz w:val="20"/>
                <w:szCs w:val="20"/>
                <w:lang w:eastAsia="sk-SK"/>
              </w:rPr>
              <w:t xml:space="preserve">len </w:t>
            </w:r>
            <w:r w:rsidRPr="000C4CD3">
              <w:rPr>
                <w:rFonts w:ascii="Times New Roman" w:eastAsia="Times New Roman" w:hAnsi="Times New Roman" w:cs="Times New Roman"/>
                <w:sz w:val="20"/>
                <w:szCs w:val="20"/>
                <w:lang w:eastAsia="sk-SK"/>
              </w:rPr>
              <w:t xml:space="preserve">poistencom štátu. Tento prvok tak </w:t>
            </w:r>
            <w:r w:rsidR="00094D9C">
              <w:rPr>
                <w:rFonts w:ascii="Times New Roman" w:eastAsia="Times New Roman" w:hAnsi="Times New Roman" w:cs="Times New Roman"/>
                <w:sz w:val="20"/>
                <w:szCs w:val="20"/>
                <w:lang w:eastAsia="sk-SK"/>
              </w:rPr>
              <w:t>môže viesť</w:t>
            </w:r>
            <w:r w:rsidRPr="000C4CD3">
              <w:rPr>
                <w:rFonts w:ascii="Times New Roman" w:eastAsia="Times New Roman" w:hAnsi="Times New Roman" w:cs="Times New Roman"/>
                <w:sz w:val="20"/>
                <w:szCs w:val="20"/>
                <w:lang w:eastAsia="sk-SK"/>
              </w:rPr>
              <w:t xml:space="preserve"> k znižovaniu dôchodkových nárokov v </w:t>
            </w:r>
            <w:r w:rsidR="00094D9C">
              <w:rPr>
                <w:rFonts w:ascii="Times New Roman" w:eastAsia="Times New Roman" w:hAnsi="Times New Roman" w:cs="Times New Roman"/>
                <w:sz w:val="20"/>
                <w:szCs w:val="20"/>
                <w:lang w:eastAsia="sk-SK"/>
              </w:rPr>
              <w:t> </w:t>
            </w:r>
            <w:r w:rsidRPr="000C4CD3">
              <w:rPr>
                <w:rFonts w:ascii="Times New Roman" w:eastAsia="Times New Roman" w:hAnsi="Times New Roman" w:cs="Times New Roman"/>
                <w:sz w:val="20"/>
                <w:szCs w:val="20"/>
                <w:lang w:eastAsia="sk-SK"/>
              </w:rPr>
              <w:t>prípade ekonomickej aktivity</w:t>
            </w:r>
            <w:r w:rsidR="000A3D52">
              <w:rPr>
                <w:rFonts w:ascii="Times New Roman" w:eastAsia="Times New Roman" w:hAnsi="Times New Roman" w:cs="Times New Roman"/>
                <w:sz w:val="20"/>
                <w:szCs w:val="20"/>
                <w:lang w:eastAsia="sk-SK"/>
              </w:rPr>
              <w:t xml:space="preserve"> najmä</w:t>
            </w:r>
            <w:r w:rsidRPr="000C4CD3">
              <w:rPr>
                <w:rFonts w:ascii="Times New Roman" w:eastAsia="Times New Roman" w:hAnsi="Times New Roman" w:cs="Times New Roman"/>
                <w:sz w:val="20"/>
                <w:szCs w:val="20"/>
                <w:lang w:eastAsia="sk-SK"/>
              </w:rPr>
              <w:t xml:space="preserve"> počas obdobia starostlivosti.</w:t>
            </w:r>
          </w:p>
          <w:p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b/>
                <w:bCs/>
                <w:sz w:val="20"/>
                <w:szCs w:val="20"/>
                <w:lang w:eastAsia="sk-SK"/>
              </w:rPr>
              <w:t>Ciele</w:t>
            </w: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Predkladaný návrh zákona sleduje cieľ modifikovať systém sociálneho poistenia tak, aby obdobia, počas ktorých sa fyzická osoba stará o</w:t>
            </w:r>
            <w:r w:rsidR="00FE5154">
              <w:rPr>
                <w:rFonts w:ascii="Times New Roman" w:eastAsia="Times New Roman" w:hAnsi="Times New Roman" w:cs="Times New Roman"/>
                <w:sz w:val="20"/>
                <w:szCs w:val="20"/>
                <w:lang w:eastAsia="sk-SK"/>
              </w:rPr>
              <w:t> </w:t>
            </w:r>
            <w:r w:rsidRPr="00094D9C">
              <w:rPr>
                <w:rFonts w:ascii="Times New Roman" w:eastAsia="Times New Roman" w:hAnsi="Times New Roman" w:cs="Times New Roman"/>
                <w:sz w:val="20"/>
                <w:szCs w:val="20"/>
                <w:lang w:eastAsia="sk-SK"/>
              </w:rPr>
              <w:t>dieťa</w:t>
            </w:r>
            <w:r w:rsidR="00FE5154">
              <w:rPr>
                <w:rFonts w:ascii="Times New Roman" w:eastAsia="Times New Roman" w:hAnsi="Times New Roman" w:cs="Times New Roman"/>
                <w:sz w:val="20"/>
                <w:szCs w:val="20"/>
                <w:lang w:eastAsia="sk-SK"/>
              </w:rPr>
              <w:t>,</w:t>
            </w:r>
            <w:r w:rsidRPr="00094D9C">
              <w:rPr>
                <w:rFonts w:ascii="Times New Roman" w:eastAsia="Times New Roman" w:hAnsi="Times New Roman" w:cs="Times New Roman"/>
                <w:sz w:val="20"/>
                <w:szCs w:val="20"/>
                <w:lang w:eastAsia="sk-SK"/>
              </w:rPr>
              <w:t xml:space="preserve"> neovplyvňovali negatívne výšku jej dôchodkovej dávky. Úprava sa zameriava na spôsob, akým sú tieto obdobia zohľadňované pri výpočte </w:t>
            </w:r>
            <w:r w:rsidR="00621EB2">
              <w:rPr>
                <w:rFonts w:ascii="Times New Roman" w:eastAsia="Times New Roman" w:hAnsi="Times New Roman" w:cs="Times New Roman"/>
                <w:sz w:val="20"/>
                <w:szCs w:val="20"/>
                <w:lang w:eastAsia="sk-SK"/>
              </w:rPr>
              <w:t>POMB</w:t>
            </w:r>
            <w:r w:rsidR="00FE5154">
              <w:rPr>
                <w:rFonts w:ascii="Times New Roman" w:eastAsia="Times New Roman" w:hAnsi="Times New Roman" w:cs="Times New Roman"/>
                <w:sz w:val="20"/>
                <w:szCs w:val="20"/>
                <w:lang w:eastAsia="sk-SK"/>
              </w:rPr>
              <w:t xml:space="preserve"> ako aj obdobia poberania peňažného príspevku na opatrovanie</w:t>
            </w:r>
            <w:r w:rsidR="0049701B">
              <w:rPr>
                <w:rFonts w:ascii="Times New Roman" w:eastAsia="Times New Roman" w:hAnsi="Times New Roman" w:cs="Times New Roman"/>
                <w:sz w:val="20"/>
                <w:szCs w:val="20"/>
                <w:lang w:eastAsia="sk-SK"/>
              </w:rPr>
              <w:t xml:space="preserve">, </w:t>
            </w:r>
            <w:r w:rsidR="00FE5154">
              <w:rPr>
                <w:rFonts w:ascii="Times New Roman" w:eastAsia="Times New Roman" w:hAnsi="Times New Roman" w:cs="Times New Roman"/>
                <w:sz w:val="20"/>
                <w:szCs w:val="20"/>
                <w:lang w:eastAsia="sk-SK"/>
              </w:rPr>
              <w:t xml:space="preserve">  obdobia výkonu osobnej asistencie</w:t>
            </w:r>
            <w:r w:rsidR="0049701B">
              <w:rPr>
                <w:rFonts w:ascii="Times New Roman" w:eastAsia="Times New Roman" w:hAnsi="Times New Roman" w:cs="Times New Roman"/>
                <w:sz w:val="20"/>
                <w:szCs w:val="20"/>
                <w:lang w:eastAsia="sk-SK"/>
              </w:rPr>
              <w:t xml:space="preserve"> a obdobia poberania kompenzačného príspevku baníkom</w:t>
            </w:r>
            <w:r w:rsidRPr="00094D9C">
              <w:rPr>
                <w:rFonts w:ascii="Times New Roman" w:eastAsia="Times New Roman" w:hAnsi="Times New Roman" w:cs="Times New Roman"/>
                <w:sz w:val="20"/>
                <w:szCs w:val="20"/>
                <w:lang w:eastAsia="sk-SK"/>
              </w:rPr>
              <w:t>.</w:t>
            </w: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Na dosiahnutie tohto stavu sú definované nasledujúce čiastkové ciele:</w:t>
            </w:r>
          </w:p>
          <w:p w:rsidR="00094D9C" w:rsidRPr="00094D9C" w:rsidRDefault="00094D9C" w:rsidP="00094D9C">
            <w:pPr>
              <w:numPr>
                <w:ilvl w:val="0"/>
                <w:numId w:val="2"/>
              </w:num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lastRenderedPageBreak/>
              <w:t xml:space="preserve">Zavedenie alternatívneho postupu na určenie sumy dôchodku, ktorý spočíva vo vylúčení obdobia starostlivosti o dieťa (do 3 rokov veku, resp. do 18 rokov veku pri dieťati s dlhodobo nepriaznivým zdravotným stavom) z rozhodujúceho obdobia pre výpočet </w:t>
            </w:r>
            <w:r w:rsidR="00FE5154">
              <w:rPr>
                <w:rFonts w:ascii="Times New Roman" w:eastAsia="Times New Roman" w:hAnsi="Times New Roman" w:cs="Times New Roman"/>
                <w:sz w:val="20"/>
                <w:szCs w:val="20"/>
                <w:lang w:eastAsia="sk-SK"/>
              </w:rPr>
              <w:t>POMB</w:t>
            </w:r>
            <w:r w:rsidRPr="00094D9C">
              <w:rPr>
                <w:rFonts w:ascii="Times New Roman" w:eastAsia="Times New Roman" w:hAnsi="Times New Roman" w:cs="Times New Roman"/>
                <w:sz w:val="20"/>
                <w:szCs w:val="20"/>
                <w:lang w:eastAsia="sk-SK"/>
              </w:rPr>
              <w:t>.</w:t>
            </w:r>
            <w:r w:rsidR="00621EB2">
              <w:rPr>
                <w:rFonts w:ascii="Times New Roman" w:eastAsia="Times New Roman" w:hAnsi="Times New Roman" w:cs="Times New Roman"/>
                <w:sz w:val="20"/>
                <w:szCs w:val="20"/>
                <w:lang w:eastAsia="sk-SK"/>
              </w:rPr>
              <w:t xml:space="preserve"> K</w:t>
            </w:r>
            <w:r w:rsidR="00066E67">
              <w:rPr>
                <w:rFonts w:ascii="Times New Roman" w:eastAsia="Times New Roman" w:hAnsi="Times New Roman" w:cs="Times New Roman"/>
                <w:sz w:val="20"/>
                <w:szCs w:val="20"/>
                <w:lang w:eastAsia="sk-SK"/>
              </w:rPr>
              <w:t xml:space="preserve"> uplatneniu</w:t>
            </w:r>
            <w:r w:rsidR="00621EB2">
              <w:rPr>
                <w:rFonts w:ascii="Times New Roman" w:eastAsia="Times New Roman" w:hAnsi="Times New Roman" w:cs="Times New Roman"/>
                <w:sz w:val="20"/>
                <w:szCs w:val="20"/>
                <w:lang w:eastAsia="sk-SK"/>
              </w:rPr>
              <w:t> </w:t>
            </w:r>
            <w:r w:rsidR="00066E67">
              <w:rPr>
                <w:rFonts w:ascii="Times New Roman" w:eastAsia="Times New Roman" w:hAnsi="Times New Roman" w:cs="Times New Roman"/>
                <w:sz w:val="20"/>
                <w:szCs w:val="20"/>
                <w:lang w:eastAsia="sk-SK"/>
              </w:rPr>
              <w:t>vylúčenia</w:t>
            </w:r>
            <w:r w:rsidR="00621EB2">
              <w:rPr>
                <w:rFonts w:ascii="Times New Roman" w:eastAsia="Times New Roman" w:hAnsi="Times New Roman" w:cs="Times New Roman"/>
                <w:sz w:val="20"/>
                <w:szCs w:val="20"/>
                <w:lang w:eastAsia="sk-SK"/>
              </w:rPr>
              <w:t xml:space="preserve"> obdobia v prípade starostlivosti o dieťa do 3 rokov jeho veku však bude potrebné získať obdobie z výkonu zárobkovej činnosti najmenej v rozsahu zodpovedajúcom úhrnu obdobia dôchodkového poistenia získaného z dôvodu starostlivosti o</w:t>
            </w:r>
            <w:r w:rsidR="003C41DA">
              <w:rPr>
                <w:rFonts w:ascii="Times New Roman" w:eastAsia="Times New Roman" w:hAnsi="Times New Roman" w:cs="Times New Roman"/>
                <w:sz w:val="20"/>
                <w:szCs w:val="20"/>
                <w:lang w:eastAsia="sk-SK"/>
              </w:rPr>
              <w:t> </w:t>
            </w:r>
            <w:r w:rsidR="00621EB2">
              <w:rPr>
                <w:rFonts w:ascii="Times New Roman" w:eastAsia="Times New Roman" w:hAnsi="Times New Roman" w:cs="Times New Roman"/>
                <w:sz w:val="20"/>
                <w:szCs w:val="20"/>
                <w:lang w:eastAsia="sk-SK"/>
              </w:rPr>
              <w:t>dieťa</w:t>
            </w:r>
            <w:r w:rsidR="003C41DA">
              <w:rPr>
                <w:rFonts w:ascii="Times New Roman" w:eastAsia="Times New Roman" w:hAnsi="Times New Roman" w:cs="Times New Roman"/>
                <w:sz w:val="20"/>
                <w:szCs w:val="20"/>
                <w:lang w:eastAsia="sk-SK"/>
              </w:rPr>
              <w:t xml:space="preserve"> (uvedené sa neuplatní pri invalidných dôchodkoch a v prípade starostlivosti o dieťa s dlhodobo nepriaznivým zdravotným stavom)</w:t>
            </w:r>
            <w:r w:rsidR="00621EB2">
              <w:rPr>
                <w:rFonts w:ascii="Times New Roman" w:eastAsia="Times New Roman" w:hAnsi="Times New Roman" w:cs="Times New Roman"/>
                <w:sz w:val="20"/>
                <w:szCs w:val="20"/>
                <w:lang w:eastAsia="sk-SK"/>
              </w:rPr>
              <w:t>.</w:t>
            </w:r>
          </w:p>
          <w:p w:rsidR="00094D9C" w:rsidRPr="00094D9C" w:rsidRDefault="00094D9C" w:rsidP="00094D9C">
            <w:pPr>
              <w:numPr>
                <w:ilvl w:val="0"/>
                <w:numId w:val="2"/>
              </w:num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 xml:space="preserve">Umožnenie súbehu povinného dôchodkového poistenia z titulu starostlivosti o dieťa, </w:t>
            </w:r>
            <w:r w:rsidR="00621EB2">
              <w:rPr>
                <w:rFonts w:ascii="Times New Roman" w:eastAsia="Times New Roman" w:hAnsi="Times New Roman" w:cs="Times New Roman"/>
                <w:sz w:val="20"/>
                <w:szCs w:val="20"/>
                <w:lang w:eastAsia="sk-SK"/>
              </w:rPr>
              <w:t xml:space="preserve">poberania peňažného príspevku na </w:t>
            </w:r>
            <w:r w:rsidRPr="00094D9C">
              <w:rPr>
                <w:rFonts w:ascii="Times New Roman" w:eastAsia="Times New Roman" w:hAnsi="Times New Roman" w:cs="Times New Roman"/>
                <w:sz w:val="20"/>
                <w:szCs w:val="20"/>
                <w:lang w:eastAsia="sk-SK"/>
              </w:rPr>
              <w:t>opatrovani</w:t>
            </w:r>
            <w:r w:rsidR="00621EB2">
              <w:rPr>
                <w:rFonts w:ascii="Times New Roman" w:eastAsia="Times New Roman" w:hAnsi="Times New Roman" w:cs="Times New Roman"/>
                <w:sz w:val="20"/>
                <w:szCs w:val="20"/>
                <w:lang w:eastAsia="sk-SK"/>
              </w:rPr>
              <w:t>e</w:t>
            </w:r>
            <w:r w:rsidR="00D6779C">
              <w:rPr>
                <w:rFonts w:ascii="Times New Roman" w:eastAsia="Times New Roman" w:hAnsi="Times New Roman" w:cs="Times New Roman"/>
                <w:sz w:val="20"/>
                <w:szCs w:val="20"/>
                <w:lang w:eastAsia="sk-SK"/>
              </w:rPr>
              <w:t>,</w:t>
            </w:r>
            <w:r w:rsidRPr="00094D9C">
              <w:rPr>
                <w:rFonts w:ascii="Times New Roman" w:eastAsia="Times New Roman" w:hAnsi="Times New Roman" w:cs="Times New Roman"/>
                <w:sz w:val="20"/>
                <w:szCs w:val="20"/>
                <w:lang w:eastAsia="sk-SK"/>
              </w:rPr>
              <w:t xml:space="preserve"> </w:t>
            </w:r>
            <w:r w:rsidR="00621EB2">
              <w:rPr>
                <w:rFonts w:ascii="Times New Roman" w:eastAsia="Times New Roman" w:hAnsi="Times New Roman" w:cs="Times New Roman"/>
                <w:sz w:val="20"/>
                <w:szCs w:val="20"/>
                <w:lang w:eastAsia="sk-SK"/>
              </w:rPr>
              <w:t>obdobia výkonu</w:t>
            </w:r>
            <w:r w:rsidRPr="00094D9C">
              <w:rPr>
                <w:rFonts w:ascii="Times New Roman" w:eastAsia="Times New Roman" w:hAnsi="Times New Roman" w:cs="Times New Roman"/>
                <w:sz w:val="20"/>
                <w:szCs w:val="20"/>
                <w:lang w:eastAsia="sk-SK"/>
              </w:rPr>
              <w:t xml:space="preserve"> osobnej asistencie</w:t>
            </w:r>
            <w:r w:rsidR="00D6779C">
              <w:rPr>
                <w:rFonts w:ascii="Times New Roman" w:eastAsia="Times New Roman" w:hAnsi="Times New Roman" w:cs="Times New Roman"/>
                <w:sz w:val="20"/>
                <w:szCs w:val="20"/>
                <w:lang w:eastAsia="sk-SK"/>
              </w:rPr>
              <w:t xml:space="preserve"> alebo poberania kompenzačného príspevku baníkom</w:t>
            </w:r>
            <w:r w:rsidRPr="00094D9C">
              <w:rPr>
                <w:rFonts w:ascii="Times New Roman" w:eastAsia="Times New Roman" w:hAnsi="Times New Roman" w:cs="Times New Roman"/>
                <w:sz w:val="20"/>
                <w:szCs w:val="20"/>
                <w:lang w:eastAsia="sk-SK"/>
              </w:rPr>
              <w:t xml:space="preserve"> s povinným dôchodkovým poistením </w:t>
            </w:r>
            <w:r>
              <w:rPr>
                <w:rFonts w:ascii="Times New Roman" w:eastAsia="Times New Roman" w:hAnsi="Times New Roman" w:cs="Times New Roman"/>
                <w:sz w:val="20"/>
                <w:szCs w:val="20"/>
                <w:lang w:eastAsia="sk-SK"/>
              </w:rPr>
              <w:t>z</w:t>
            </w:r>
            <w:r w:rsidR="00621EB2">
              <w:rPr>
                <w:rFonts w:ascii="Times New Roman" w:eastAsia="Times New Roman" w:hAnsi="Times New Roman" w:cs="Times New Roman"/>
                <w:sz w:val="20"/>
                <w:szCs w:val="20"/>
                <w:lang w:eastAsia="sk-SK"/>
              </w:rPr>
              <w:t xml:space="preserve"> výkonu</w:t>
            </w:r>
            <w:r>
              <w:rPr>
                <w:rFonts w:ascii="Times New Roman" w:eastAsia="Times New Roman" w:hAnsi="Times New Roman" w:cs="Times New Roman"/>
                <w:sz w:val="20"/>
                <w:szCs w:val="20"/>
                <w:lang w:eastAsia="sk-SK"/>
              </w:rPr>
              <w:t xml:space="preserve"> zárobkovej činnosti</w:t>
            </w:r>
            <w:r w:rsidRPr="00094D9C">
              <w:rPr>
                <w:rFonts w:ascii="Times New Roman" w:eastAsia="Times New Roman" w:hAnsi="Times New Roman" w:cs="Times New Roman"/>
                <w:sz w:val="20"/>
                <w:szCs w:val="20"/>
                <w:lang w:eastAsia="sk-SK"/>
              </w:rPr>
              <w:t>.</w:t>
            </w:r>
          </w:p>
          <w:p w:rsidR="00094D9C" w:rsidRDefault="00094D9C" w:rsidP="00094D9C">
            <w:pPr>
              <w:numPr>
                <w:ilvl w:val="0"/>
                <w:numId w:val="2"/>
              </w:num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Zabezpečenie, aby sa pri súbehu poistenia na výpočet dôchodku použil vymeriavací základ, ktorý nie je nižší ako zákonom stanovená úroveň vymeriavacieho základu, z ktorého v súčasnosti platí poistné štát.</w:t>
            </w:r>
          </w:p>
          <w:p w:rsidR="00621EB2" w:rsidRPr="00094D9C" w:rsidRDefault="00621EB2" w:rsidP="00094D9C">
            <w:pPr>
              <w:numPr>
                <w:ilvl w:val="0"/>
                <w:numId w:val="2"/>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Zjednotenie vymeriavacieho základu poistného</w:t>
            </w:r>
            <w:r w:rsidR="00066E67">
              <w:rPr>
                <w:rFonts w:ascii="Times New Roman" w:eastAsia="Times New Roman" w:hAnsi="Times New Roman" w:cs="Times New Roman"/>
                <w:sz w:val="20"/>
                <w:szCs w:val="20"/>
                <w:lang w:eastAsia="sk-SK"/>
              </w:rPr>
              <w:t xml:space="preserve"> plateného štátom</w:t>
            </w:r>
            <w:r>
              <w:rPr>
                <w:rFonts w:ascii="Times New Roman" w:eastAsia="Times New Roman" w:hAnsi="Times New Roman" w:cs="Times New Roman"/>
                <w:sz w:val="20"/>
                <w:szCs w:val="20"/>
                <w:lang w:eastAsia="sk-SK"/>
              </w:rPr>
              <w:t xml:space="preserve"> na 60 % priemernej mesačnej mzdy v hospodárstve Slovenskej republiky spred dvoch rokov </w:t>
            </w:r>
            <w:r w:rsidR="003C41DA">
              <w:rPr>
                <w:rFonts w:ascii="Times New Roman" w:eastAsia="Times New Roman" w:hAnsi="Times New Roman" w:cs="Times New Roman"/>
                <w:sz w:val="20"/>
                <w:szCs w:val="20"/>
                <w:lang w:eastAsia="sk-SK"/>
              </w:rPr>
              <w:t>aj pre obdobia poberania peňažného príspevku na opatrovanie</w:t>
            </w:r>
            <w:r w:rsidR="00D6779C">
              <w:rPr>
                <w:rFonts w:ascii="Times New Roman" w:eastAsia="Times New Roman" w:hAnsi="Times New Roman" w:cs="Times New Roman"/>
                <w:sz w:val="20"/>
                <w:szCs w:val="20"/>
                <w:lang w:eastAsia="sk-SK"/>
              </w:rPr>
              <w:t xml:space="preserve">, </w:t>
            </w:r>
            <w:r w:rsidR="003C41DA">
              <w:rPr>
                <w:rFonts w:ascii="Times New Roman" w:eastAsia="Times New Roman" w:hAnsi="Times New Roman" w:cs="Times New Roman"/>
                <w:sz w:val="20"/>
                <w:szCs w:val="20"/>
                <w:lang w:eastAsia="sk-SK"/>
              </w:rPr>
              <w:t>obdobia výkonu osobnej asistencie</w:t>
            </w:r>
            <w:r w:rsidR="00D6779C">
              <w:rPr>
                <w:rFonts w:ascii="Times New Roman" w:eastAsia="Times New Roman" w:hAnsi="Times New Roman" w:cs="Times New Roman"/>
                <w:sz w:val="20"/>
                <w:szCs w:val="20"/>
                <w:lang w:eastAsia="sk-SK"/>
              </w:rPr>
              <w:t xml:space="preserve"> v rozsahu minimálne 140 hodín mesačne ako aj obdobia poberania kompenzačného príspevku baníkom</w:t>
            </w:r>
            <w:r w:rsidR="00FE5154">
              <w:rPr>
                <w:rFonts w:ascii="Times New Roman" w:eastAsia="Times New Roman" w:hAnsi="Times New Roman" w:cs="Times New Roman"/>
                <w:sz w:val="20"/>
                <w:szCs w:val="20"/>
                <w:lang w:eastAsia="sk-SK"/>
              </w:rPr>
              <w:t>.</w:t>
            </w:r>
            <w:r w:rsidR="003C41DA">
              <w:rPr>
                <w:rFonts w:ascii="Times New Roman" w:eastAsia="Times New Roman" w:hAnsi="Times New Roman" w:cs="Times New Roman"/>
                <w:sz w:val="20"/>
                <w:szCs w:val="20"/>
                <w:lang w:eastAsia="sk-SK"/>
              </w:rPr>
              <w:t xml:space="preserve"> </w:t>
            </w:r>
          </w:p>
          <w:p w:rsidR="00094D9C" w:rsidRPr="00094D9C" w:rsidRDefault="00094D9C" w:rsidP="00094D9C">
            <w:pPr>
              <w:numPr>
                <w:ilvl w:val="0"/>
                <w:numId w:val="2"/>
              </w:num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 xml:space="preserve">Synchronizácia </w:t>
            </w:r>
            <w:r w:rsidR="00FE5154">
              <w:rPr>
                <w:rFonts w:ascii="Times New Roman" w:eastAsia="Times New Roman" w:hAnsi="Times New Roman" w:cs="Times New Roman"/>
                <w:sz w:val="20"/>
                <w:szCs w:val="20"/>
                <w:lang w:eastAsia="sk-SK"/>
              </w:rPr>
              <w:t xml:space="preserve">navrhovanej </w:t>
            </w:r>
            <w:r w:rsidRPr="00094D9C">
              <w:rPr>
                <w:rFonts w:ascii="Times New Roman" w:eastAsia="Times New Roman" w:hAnsi="Times New Roman" w:cs="Times New Roman"/>
                <w:sz w:val="20"/>
                <w:szCs w:val="20"/>
                <w:lang w:eastAsia="sk-SK"/>
              </w:rPr>
              <w:t>úpravy s II. pilierom prostredníctvom mechanizmu, ktorý zabezpečí, aby zníženie dôchodku z I. piliera zodpovedalo len reálne odvedeným príspevkom počas sledovaných období.</w:t>
            </w:r>
          </w:p>
          <w:p w:rsidR="00FE5154" w:rsidRDefault="00FE5154" w:rsidP="00094D9C">
            <w:pPr>
              <w:jc w:val="both"/>
              <w:rPr>
                <w:rFonts w:ascii="Times New Roman" w:eastAsia="Times New Roman" w:hAnsi="Times New Roman" w:cs="Times New Roman"/>
                <w:b/>
                <w:bCs/>
                <w:sz w:val="20"/>
                <w:szCs w:val="20"/>
                <w:lang w:eastAsia="sk-SK"/>
              </w:rPr>
            </w:pP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b/>
                <w:bCs/>
                <w:sz w:val="20"/>
                <w:szCs w:val="20"/>
                <w:lang w:eastAsia="sk-SK"/>
              </w:rPr>
              <w:t>Výsledný stav</w:t>
            </w: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 xml:space="preserve">Aplikáciou navrhovaných zmien sa od 1. januára 2026 zmení spôsob zhodnotenia období starostlivosti o dieťa, </w:t>
            </w:r>
            <w:r w:rsidR="003C41DA">
              <w:rPr>
                <w:rFonts w:ascii="Times New Roman" w:eastAsia="Times New Roman" w:hAnsi="Times New Roman" w:cs="Times New Roman"/>
                <w:sz w:val="20"/>
                <w:szCs w:val="20"/>
                <w:lang w:eastAsia="sk-SK"/>
              </w:rPr>
              <w:t xml:space="preserve">období poberania peňažného príspevku na </w:t>
            </w:r>
            <w:r w:rsidRPr="00094D9C">
              <w:rPr>
                <w:rFonts w:ascii="Times New Roman" w:eastAsia="Times New Roman" w:hAnsi="Times New Roman" w:cs="Times New Roman"/>
                <w:sz w:val="20"/>
                <w:szCs w:val="20"/>
                <w:lang w:eastAsia="sk-SK"/>
              </w:rPr>
              <w:t>opatrovani</w:t>
            </w:r>
            <w:r w:rsidR="003C41DA">
              <w:rPr>
                <w:rFonts w:ascii="Times New Roman" w:eastAsia="Times New Roman" w:hAnsi="Times New Roman" w:cs="Times New Roman"/>
                <w:sz w:val="20"/>
                <w:szCs w:val="20"/>
                <w:lang w:eastAsia="sk-SK"/>
              </w:rPr>
              <w:t>e</w:t>
            </w:r>
            <w:r w:rsidRPr="00094D9C">
              <w:rPr>
                <w:rFonts w:ascii="Times New Roman" w:eastAsia="Times New Roman" w:hAnsi="Times New Roman" w:cs="Times New Roman"/>
                <w:sz w:val="20"/>
                <w:szCs w:val="20"/>
                <w:lang w:eastAsia="sk-SK"/>
              </w:rPr>
              <w:t xml:space="preserve"> </w:t>
            </w:r>
            <w:r w:rsidR="00D6779C">
              <w:rPr>
                <w:rFonts w:ascii="Times New Roman" w:eastAsia="Times New Roman" w:hAnsi="Times New Roman" w:cs="Times New Roman"/>
                <w:sz w:val="20"/>
                <w:szCs w:val="20"/>
                <w:lang w:eastAsia="sk-SK"/>
              </w:rPr>
              <w:t>,</w:t>
            </w:r>
            <w:r w:rsidR="003C41DA">
              <w:rPr>
                <w:rFonts w:ascii="Times New Roman" w:eastAsia="Times New Roman" w:hAnsi="Times New Roman" w:cs="Times New Roman"/>
                <w:sz w:val="20"/>
                <w:szCs w:val="20"/>
                <w:lang w:eastAsia="sk-SK"/>
              </w:rPr>
              <w:t>období výkonu</w:t>
            </w:r>
            <w:r w:rsidRPr="00094D9C">
              <w:rPr>
                <w:rFonts w:ascii="Times New Roman" w:eastAsia="Times New Roman" w:hAnsi="Times New Roman" w:cs="Times New Roman"/>
                <w:sz w:val="20"/>
                <w:szCs w:val="20"/>
                <w:lang w:eastAsia="sk-SK"/>
              </w:rPr>
              <w:t xml:space="preserve"> osobnej asistencie</w:t>
            </w:r>
            <w:r w:rsidR="00D6779C">
              <w:rPr>
                <w:rFonts w:ascii="Times New Roman" w:eastAsia="Times New Roman" w:hAnsi="Times New Roman" w:cs="Times New Roman"/>
                <w:sz w:val="20"/>
                <w:szCs w:val="20"/>
                <w:lang w:eastAsia="sk-SK"/>
              </w:rPr>
              <w:t xml:space="preserve"> </w:t>
            </w:r>
            <w:r w:rsidR="0049701B">
              <w:rPr>
                <w:rFonts w:ascii="Times New Roman" w:eastAsia="Times New Roman" w:hAnsi="Times New Roman" w:cs="Times New Roman"/>
                <w:sz w:val="20"/>
                <w:szCs w:val="20"/>
                <w:lang w:eastAsia="sk-SK"/>
              </w:rPr>
              <w:t xml:space="preserve">a </w:t>
            </w:r>
            <w:r w:rsidR="00D6779C">
              <w:rPr>
                <w:rFonts w:ascii="Times New Roman" w:eastAsia="Times New Roman" w:hAnsi="Times New Roman" w:cs="Times New Roman"/>
                <w:sz w:val="20"/>
                <w:szCs w:val="20"/>
                <w:lang w:eastAsia="sk-SK"/>
              </w:rPr>
              <w:t>období poberania kompenzačného príspevku baníkom</w:t>
            </w:r>
            <w:r w:rsidRPr="00094D9C">
              <w:rPr>
                <w:rFonts w:ascii="Times New Roman" w:eastAsia="Times New Roman" w:hAnsi="Times New Roman" w:cs="Times New Roman"/>
                <w:sz w:val="20"/>
                <w:szCs w:val="20"/>
                <w:lang w:eastAsia="sk-SK"/>
              </w:rPr>
              <w:t xml:space="preserve"> na dôchodkové účely. Tieto obdobia sa budú naďalej započítavať ako obdobie dôchodkového poistenia pre účely posúdenia nároku na dôchodkovú dávku. Štát však prestane za tieto obdobia platiť poistné na dôchodkové poistenie a povinné príspevky na starobné dôchodkové sporenie.</w:t>
            </w: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 xml:space="preserve">Namiesto platby poistného štátom sa zavedie nový </w:t>
            </w:r>
            <w:r w:rsidR="003C41DA">
              <w:rPr>
                <w:rFonts w:ascii="Times New Roman" w:eastAsia="Times New Roman" w:hAnsi="Times New Roman" w:cs="Times New Roman"/>
                <w:sz w:val="20"/>
                <w:szCs w:val="20"/>
                <w:lang w:eastAsia="sk-SK"/>
              </w:rPr>
              <w:t>alternatívny postup výpočtu dôchodku</w:t>
            </w:r>
            <w:r w:rsidR="00FE5154">
              <w:rPr>
                <w:rFonts w:ascii="Times New Roman" w:eastAsia="Times New Roman" w:hAnsi="Times New Roman" w:cs="Times New Roman"/>
                <w:sz w:val="20"/>
                <w:szCs w:val="20"/>
                <w:lang w:eastAsia="sk-SK"/>
              </w:rPr>
              <w:t xml:space="preserve"> </w:t>
            </w:r>
            <w:r w:rsidR="00FE5154" w:rsidRPr="006121AA">
              <w:rPr>
                <w:rFonts w:ascii="Times New Roman" w:eastAsia="Times New Roman" w:hAnsi="Times New Roman" w:cs="Times New Roman"/>
                <w:sz w:val="20"/>
                <w:szCs w:val="20"/>
                <w:lang w:eastAsia="sk-SK"/>
              </w:rPr>
              <w:t>v prípade starostlivosti o dieťa</w:t>
            </w:r>
            <w:r w:rsidRPr="006121AA">
              <w:rPr>
                <w:rFonts w:ascii="Times New Roman" w:eastAsia="Times New Roman" w:hAnsi="Times New Roman" w:cs="Times New Roman"/>
                <w:sz w:val="20"/>
                <w:szCs w:val="20"/>
                <w:lang w:eastAsia="sk-SK"/>
              </w:rPr>
              <w:t>.</w:t>
            </w:r>
            <w:r w:rsidRPr="00094D9C">
              <w:rPr>
                <w:rFonts w:ascii="Times New Roman" w:eastAsia="Times New Roman" w:hAnsi="Times New Roman" w:cs="Times New Roman"/>
                <w:sz w:val="20"/>
                <w:szCs w:val="20"/>
                <w:lang w:eastAsia="sk-SK"/>
              </w:rPr>
              <w:t xml:space="preserve"> Pri určení sumy dôchodku bude Sociálna poisťovňa postupovať duálne. V prvom kroku vypočíta </w:t>
            </w:r>
            <w:r w:rsidR="003C41DA">
              <w:rPr>
                <w:rFonts w:ascii="Times New Roman" w:eastAsia="Times New Roman" w:hAnsi="Times New Roman" w:cs="Times New Roman"/>
                <w:sz w:val="20"/>
                <w:szCs w:val="20"/>
                <w:lang w:eastAsia="sk-SK"/>
              </w:rPr>
              <w:t>POMB</w:t>
            </w:r>
            <w:r w:rsidR="003C41DA" w:rsidRPr="00094D9C">
              <w:rPr>
                <w:rFonts w:ascii="Times New Roman" w:eastAsia="Times New Roman" w:hAnsi="Times New Roman" w:cs="Times New Roman"/>
                <w:sz w:val="20"/>
                <w:szCs w:val="20"/>
                <w:lang w:eastAsia="sk-SK"/>
              </w:rPr>
              <w:t xml:space="preserve"> </w:t>
            </w:r>
            <w:r w:rsidRPr="00094D9C">
              <w:rPr>
                <w:rFonts w:ascii="Times New Roman" w:eastAsia="Times New Roman" w:hAnsi="Times New Roman" w:cs="Times New Roman"/>
                <w:sz w:val="20"/>
                <w:szCs w:val="20"/>
                <w:lang w:eastAsia="sk-SK"/>
              </w:rPr>
              <w:t>s vylúčením špecifikovaných období starostlivosti o dieťa z rozhodujúceho obdobia</w:t>
            </w:r>
            <w:r w:rsidR="00F50F61">
              <w:rPr>
                <w:rFonts w:ascii="Times New Roman" w:eastAsia="Times New Roman" w:hAnsi="Times New Roman" w:cs="Times New Roman"/>
                <w:sz w:val="20"/>
                <w:szCs w:val="20"/>
                <w:lang w:eastAsia="sk-SK"/>
              </w:rPr>
              <w:t>.</w:t>
            </w:r>
            <w:r w:rsidRPr="00094D9C">
              <w:rPr>
                <w:rFonts w:ascii="Times New Roman" w:eastAsia="Times New Roman" w:hAnsi="Times New Roman" w:cs="Times New Roman"/>
                <w:sz w:val="20"/>
                <w:szCs w:val="20"/>
                <w:lang w:eastAsia="sk-SK"/>
              </w:rPr>
              <w:t xml:space="preserve"> Tento postup je podmienený získaním obdobia</w:t>
            </w:r>
            <w:r w:rsidR="003C41DA">
              <w:rPr>
                <w:rFonts w:ascii="Times New Roman" w:eastAsia="Times New Roman" w:hAnsi="Times New Roman" w:cs="Times New Roman"/>
                <w:sz w:val="20"/>
                <w:szCs w:val="20"/>
                <w:lang w:eastAsia="sk-SK"/>
              </w:rPr>
              <w:t xml:space="preserve"> povinného</w:t>
            </w:r>
            <w:r w:rsidRPr="00094D9C">
              <w:rPr>
                <w:rFonts w:ascii="Times New Roman" w:eastAsia="Times New Roman" w:hAnsi="Times New Roman" w:cs="Times New Roman"/>
                <w:sz w:val="20"/>
                <w:szCs w:val="20"/>
                <w:lang w:eastAsia="sk-SK"/>
              </w:rPr>
              <w:t xml:space="preserve"> </w:t>
            </w:r>
            <w:r w:rsidR="003C41DA">
              <w:rPr>
                <w:rFonts w:ascii="Times New Roman" w:eastAsia="Times New Roman" w:hAnsi="Times New Roman" w:cs="Times New Roman"/>
                <w:sz w:val="20"/>
                <w:szCs w:val="20"/>
                <w:lang w:eastAsia="sk-SK"/>
              </w:rPr>
              <w:t xml:space="preserve">dôchodkového </w:t>
            </w:r>
            <w:r w:rsidRPr="00094D9C">
              <w:rPr>
                <w:rFonts w:ascii="Times New Roman" w:eastAsia="Times New Roman" w:hAnsi="Times New Roman" w:cs="Times New Roman"/>
                <w:sz w:val="20"/>
                <w:szCs w:val="20"/>
                <w:lang w:eastAsia="sk-SK"/>
              </w:rPr>
              <w:t>poistenia z</w:t>
            </w:r>
            <w:r w:rsidR="003C41DA">
              <w:rPr>
                <w:rFonts w:ascii="Times New Roman" w:eastAsia="Times New Roman" w:hAnsi="Times New Roman" w:cs="Times New Roman"/>
                <w:sz w:val="20"/>
                <w:szCs w:val="20"/>
                <w:lang w:eastAsia="sk-SK"/>
              </w:rPr>
              <w:t xml:space="preserve"> výkonu</w:t>
            </w:r>
            <w:r w:rsidRPr="00094D9C">
              <w:rPr>
                <w:rFonts w:ascii="Times New Roman" w:eastAsia="Times New Roman" w:hAnsi="Times New Roman" w:cs="Times New Roman"/>
                <w:sz w:val="20"/>
                <w:szCs w:val="20"/>
                <w:lang w:eastAsia="sk-SK"/>
              </w:rPr>
              <w:t xml:space="preserve"> zárobkovej činnosti v definovanom rozsahu (s výnimkami pre invalidný dôchodok a starostlivosť o dieťa s dlhodobo nepriaznivým zdravotným stavom).</w:t>
            </w:r>
          </w:p>
          <w:p w:rsidR="00094D9C"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V druhom kroku Sociálna poisťovňa vykoná kontrolný výpočet podľa právneho stavu účinného k 31. decembru 2025, t.</w:t>
            </w:r>
            <w:r w:rsidR="00AB006D">
              <w:rPr>
                <w:rFonts w:ascii="Times New Roman" w:eastAsia="Times New Roman" w:hAnsi="Times New Roman" w:cs="Times New Roman"/>
                <w:sz w:val="20"/>
                <w:szCs w:val="20"/>
                <w:lang w:eastAsia="sk-SK"/>
              </w:rPr>
              <w:t xml:space="preserve"> </w:t>
            </w:r>
            <w:r w:rsidRPr="00094D9C">
              <w:rPr>
                <w:rFonts w:ascii="Times New Roman" w:eastAsia="Times New Roman" w:hAnsi="Times New Roman" w:cs="Times New Roman"/>
                <w:sz w:val="20"/>
                <w:szCs w:val="20"/>
                <w:lang w:eastAsia="sk-SK"/>
              </w:rPr>
              <w:t xml:space="preserve">j. bez vylúčenia období starostlivosti a s ich ohodnotením na úrovni </w:t>
            </w:r>
            <w:r w:rsidR="00E14786">
              <w:rPr>
                <w:rFonts w:ascii="Times New Roman" w:eastAsia="Times New Roman" w:hAnsi="Times New Roman" w:cs="Times New Roman"/>
                <w:sz w:val="20"/>
                <w:szCs w:val="20"/>
                <w:lang w:eastAsia="sk-SK"/>
              </w:rPr>
              <w:t xml:space="preserve">najmenej </w:t>
            </w:r>
            <w:r w:rsidRPr="00094D9C">
              <w:rPr>
                <w:rFonts w:ascii="Times New Roman" w:eastAsia="Times New Roman" w:hAnsi="Times New Roman" w:cs="Times New Roman"/>
                <w:sz w:val="20"/>
                <w:szCs w:val="20"/>
                <w:lang w:eastAsia="sk-SK"/>
              </w:rPr>
              <w:t>60 % všeobecného vymeriavacieho základu</w:t>
            </w:r>
            <w:r w:rsidR="003848CF">
              <w:rPr>
                <w:rFonts w:ascii="Times New Roman" w:eastAsia="Times New Roman" w:hAnsi="Times New Roman" w:cs="Times New Roman"/>
                <w:sz w:val="20"/>
                <w:szCs w:val="20"/>
                <w:lang w:eastAsia="sk-SK"/>
              </w:rPr>
              <w:t xml:space="preserve"> spred dvoch rokov</w:t>
            </w:r>
            <w:r w:rsidR="00E14786">
              <w:rPr>
                <w:rFonts w:ascii="Times New Roman" w:eastAsia="Times New Roman" w:hAnsi="Times New Roman" w:cs="Times New Roman"/>
                <w:sz w:val="20"/>
                <w:szCs w:val="20"/>
                <w:lang w:eastAsia="sk-SK"/>
              </w:rPr>
              <w:t>.</w:t>
            </w:r>
            <w:r w:rsidRPr="00094D9C">
              <w:rPr>
                <w:rFonts w:ascii="Times New Roman" w:eastAsia="Times New Roman" w:hAnsi="Times New Roman" w:cs="Times New Roman"/>
                <w:sz w:val="20"/>
                <w:szCs w:val="20"/>
                <w:lang w:eastAsia="sk-SK"/>
              </w:rPr>
              <w:t xml:space="preserve"> Na finálny výpočet dôchodku sa použije ten </w:t>
            </w:r>
            <w:r w:rsidR="00066E67">
              <w:rPr>
                <w:rFonts w:ascii="Times New Roman" w:eastAsia="Times New Roman" w:hAnsi="Times New Roman" w:cs="Times New Roman"/>
                <w:sz w:val="20"/>
                <w:szCs w:val="20"/>
                <w:lang w:eastAsia="sk-SK"/>
              </w:rPr>
              <w:t>POMB</w:t>
            </w:r>
            <w:r w:rsidRPr="00094D9C">
              <w:rPr>
                <w:rFonts w:ascii="Times New Roman" w:eastAsia="Times New Roman" w:hAnsi="Times New Roman" w:cs="Times New Roman"/>
                <w:sz w:val="20"/>
                <w:szCs w:val="20"/>
                <w:lang w:eastAsia="sk-SK"/>
              </w:rPr>
              <w:t>, ktorého hodnota bude pre poistenca priaznivejšia.</w:t>
            </w:r>
          </w:p>
          <w:p w:rsidR="00E14786" w:rsidRPr="00094D9C" w:rsidRDefault="00094D9C" w:rsidP="00094D9C">
            <w:pPr>
              <w:jc w:val="both"/>
              <w:rPr>
                <w:rFonts w:ascii="Times New Roman" w:eastAsia="Times New Roman" w:hAnsi="Times New Roman" w:cs="Times New Roman"/>
                <w:sz w:val="20"/>
                <w:szCs w:val="20"/>
                <w:lang w:eastAsia="sk-SK"/>
              </w:rPr>
            </w:pPr>
            <w:r w:rsidRPr="00094D9C">
              <w:rPr>
                <w:rFonts w:ascii="Times New Roman" w:eastAsia="Times New Roman" w:hAnsi="Times New Roman" w:cs="Times New Roman"/>
                <w:sz w:val="20"/>
                <w:szCs w:val="20"/>
                <w:lang w:eastAsia="sk-SK"/>
              </w:rPr>
              <w:t>Výsledný stav takisto zahŕňa ex offo prepočet starobných, predčasných starobných a invalidných dôchodkov priznaných podľa zákona č. 461/2003 Z. z.</w:t>
            </w:r>
            <w:r w:rsidR="00AB006D">
              <w:rPr>
                <w:rFonts w:ascii="Times New Roman" w:eastAsia="Times New Roman" w:hAnsi="Times New Roman" w:cs="Times New Roman"/>
                <w:sz w:val="20"/>
                <w:szCs w:val="20"/>
                <w:lang w:eastAsia="sk-SK"/>
              </w:rPr>
              <w:t xml:space="preserve"> </w:t>
            </w:r>
            <w:r w:rsidR="00AB006D" w:rsidRPr="00AB006D">
              <w:rPr>
                <w:rFonts w:ascii="Times New Roman" w:eastAsia="Times New Roman" w:hAnsi="Times New Roman" w:cs="Times New Roman"/>
                <w:sz w:val="20"/>
                <w:szCs w:val="20"/>
                <w:lang w:eastAsia="sk-SK"/>
              </w:rPr>
              <w:t>o sociálnom poistení v znení neskorších predpisov</w:t>
            </w:r>
            <w:r w:rsidRPr="00094D9C">
              <w:rPr>
                <w:rFonts w:ascii="Times New Roman" w:eastAsia="Times New Roman" w:hAnsi="Times New Roman" w:cs="Times New Roman"/>
                <w:sz w:val="20"/>
                <w:szCs w:val="20"/>
                <w:lang w:eastAsia="sk-SK"/>
              </w:rPr>
              <w:t>, ktoré obsahujú obdobie starostlivosti o dieťa. Prepočty budú vykonané v lehote do 31. decembra 2031. Prepočítanie dôchodkov priznaných podľa právnej úpravy účinnej do 31. decembra 2003 sa nepredpokladá, nakoľko ich výpočet sa riadil odlišnými princípmi.</w:t>
            </w:r>
          </w:p>
          <w:p w:rsidR="001B23B7" w:rsidRDefault="001B23B7" w:rsidP="00094D9C">
            <w:pPr>
              <w:jc w:val="both"/>
              <w:rPr>
                <w:rFonts w:ascii="Times New Roman" w:eastAsia="Times New Roman" w:hAnsi="Times New Roman" w:cs="Times New Roman"/>
                <w:sz w:val="20"/>
                <w:szCs w:val="20"/>
                <w:lang w:eastAsia="sk-SK"/>
              </w:rPr>
            </w:pPr>
          </w:p>
          <w:p w:rsidR="009A3EC5" w:rsidRPr="00094D9C" w:rsidRDefault="009A3EC5" w:rsidP="00D6779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získania období poberania peňažného príspevku na opatrovanie</w:t>
            </w:r>
            <w:r w:rsidR="00D6779C">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výkonu osobnej asistencie</w:t>
            </w:r>
            <w:r w:rsidR="00D6779C">
              <w:rPr>
                <w:rFonts w:ascii="Times New Roman" w:eastAsia="Times New Roman" w:hAnsi="Times New Roman" w:cs="Times New Roman"/>
                <w:sz w:val="20"/>
                <w:szCs w:val="20"/>
                <w:lang w:eastAsia="sk-SK"/>
              </w:rPr>
              <w:t xml:space="preserve"> a  poberania kompenzačného príspevku baníkom</w:t>
            </w:r>
            <w:r>
              <w:rPr>
                <w:rFonts w:ascii="Times New Roman" w:eastAsia="Times New Roman" w:hAnsi="Times New Roman" w:cs="Times New Roman"/>
                <w:sz w:val="20"/>
                <w:szCs w:val="20"/>
                <w:lang w:eastAsia="sk-SK"/>
              </w:rPr>
              <w:t xml:space="preserve"> budú tieto obdobia</w:t>
            </w:r>
            <w:r w:rsidR="006121AA">
              <w:rPr>
                <w:rFonts w:ascii="Times New Roman" w:eastAsia="Times New Roman" w:hAnsi="Times New Roman" w:cs="Times New Roman"/>
                <w:sz w:val="20"/>
                <w:szCs w:val="20"/>
                <w:lang w:eastAsia="sk-SK"/>
              </w:rPr>
              <w:t xml:space="preserve"> do budúcnosti s účinnosťou od 1. januára 2026</w:t>
            </w:r>
            <w:r>
              <w:rPr>
                <w:rFonts w:ascii="Times New Roman" w:eastAsia="Times New Roman" w:hAnsi="Times New Roman" w:cs="Times New Roman"/>
                <w:sz w:val="20"/>
                <w:szCs w:val="20"/>
                <w:lang w:eastAsia="sk-SK"/>
              </w:rPr>
              <w:t xml:space="preserve"> na účely výpočtu dôchodku ohodnotené na úrovni najmenej 60 % všeobecného vymeriavacieho základu</w:t>
            </w:r>
            <w:r w:rsidR="003848CF">
              <w:rPr>
                <w:rFonts w:ascii="Times New Roman" w:eastAsia="Times New Roman" w:hAnsi="Times New Roman" w:cs="Times New Roman"/>
                <w:sz w:val="20"/>
                <w:szCs w:val="20"/>
                <w:lang w:eastAsia="sk-SK"/>
              </w:rPr>
              <w:t xml:space="preserve"> spred dvoch rokov</w:t>
            </w:r>
            <w:r>
              <w:rPr>
                <w:rFonts w:ascii="Times New Roman" w:eastAsia="Times New Roman" w:hAnsi="Times New Roman" w:cs="Times New Roman"/>
                <w:sz w:val="20"/>
                <w:szCs w:val="20"/>
                <w:lang w:eastAsia="sk-SK"/>
              </w:rPr>
              <w:t xml:space="preserve">. </w:t>
            </w: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0B3BED" w:rsidRPr="00CE0B94"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Fyzické osoby, ktoré sa starajú o dieťa.</w:t>
            </w:r>
          </w:p>
          <w:p w:rsidR="000B3BED" w:rsidRPr="00CE0B94"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Fyzické osoby, ktorým sa poskytuje peňažný príspevok na opatrovanie</w:t>
            </w:r>
            <w:r w:rsidR="00D6779C">
              <w:rPr>
                <w:rFonts w:ascii="Times New Roman" w:eastAsia="Times New Roman" w:hAnsi="Times New Roman" w:cs="Times New Roman"/>
                <w:sz w:val="20"/>
                <w:szCs w:val="20"/>
                <w:lang w:eastAsia="sk-SK"/>
              </w:rPr>
              <w:t>;</w:t>
            </w:r>
            <w:r w:rsidR="00D6779C" w:rsidRPr="00CE0B94">
              <w:rPr>
                <w:rFonts w:ascii="Times New Roman" w:eastAsia="Times New Roman" w:hAnsi="Times New Roman" w:cs="Times New Roman"/>
                <w:sz w:val="20"/>
                <w:szCs w:val="20"/>
                <w:lang w:eastAsia="sk-SK"/>
              </w:rPr>
              <w:t xml:space="preserve"> </w:t>
            </w:r>
            <w:r w:rsidRPr="00CE0B94">
              <w:rPr>
                <w:rFonts w:ascii="Times New Roman" w:eastAsia="Times New Roman" w:hAnsi="Times New Roman" w:cs="Times New Roman"/>
                <w:sz w:val="20"/>
                <w:szCs w:val="20"/>
                <w:lang w:eastAsia="sk-SK"/>
              </w:rPr>
              <w:t xml:space="preserve"> fyzické osoby, ktoré vykonávajú osobnú asistenciu</w:t>
            </w:r>
            <w:r w:rsidR="003C41DA">
              <w:rPr>
                <w:rFonts w:ascii="Times New Roman" w:eastAsia="Times New Roman" w:hAnsi="Times New Roman" w:cs="Times New Roman"/>
                <w:sz w:val="20"/>
                <w:szCs w:val="20"/>
                <w:lang w:eastAsia="sk-SK"/>
              </w:rPr>
              <w:t xml:space="preserve"> fyzickej osoby s ťažkým zdravotným postihnutím v rozsahu najmenej 140 hodín mesačne</w:t>
            </w:r>
            <w:r w:rsidR="00D6779C">
              <w:rPr>
                <w:rFonts w:ascii="Times New Roman" w:eastAsia="Times New Roman" w:hAnsi="Times New Roman" w:cs="Times New Roman"/>
                <w:sz w:val="20"/>
                <w:szCs w:val="20"/>
                <w:lang w:eastAsia="sk-SK"/>
              </w:rPr>
              <w:t xml:space="preserve"> a</w:t>
            </w:r>
            <w:r w:rsidR="00D6779C" w:rsidRPr="00D6779C">
              <w:rPr>
                <w:rFonts w:ascii="Times New Roman" w:eastAsia="Times New Roman" w:hAnsi="Times New Roman" w:cs="Times New Roman"/>
                <w:sz w:val="24"/>
                <w:szCs w:val="24"/>
                <w:lang w:eastAsia="sk-SK"/>
              </w:rPr>
              <w:t xml:space="preserve"> </w:t>
            </w:r>
            <w:r w:rsidR="00D6779C">
              <w:rPr>
                <w:rFonts w:ascii="Times New Roman" w:eastAsia="Times New Roman" w:hAnsi="Times New Roman" w:cs="Times New Roman"/>
                <w:sz w:val="20"/>
                <w:szCs w:val="20"/>
                <w:lang w:eastAsia="sk-SK"/>
              </w:rPr>
              <w:t>fyzické osoby, ktoré majú</w:t>
            </w:r>
            <w:r w:rsidR="00D6779C" w:rsidRPr="00D6779C">
              <w:rPr>
                <w:rFonts w:ascii="Times New Roman" w:eastAsia="Times New Roman" w:hAnsi="Times New Roman" w:cs="Times New Roman"/>
                <w:sz w:val="20"/>
                <w:szCs w:val="20"/>
                <w:lang w:eastAsia="sk-SK"/>
              </w:rPr>
              <w:t xml:space="preserve"> priznaný kompenzačný príspevok zamestnancom, ktorí ukončili zamestnanie so stálym pracoviskom v podzemí z dôvodu útlmu banskej činnosti</w:t>
            </w:r>
            <w:r w:rsidRPr="00CE0B94">
              <w:rPr>
                <w:rFonts w:ascii="Times New Roman" w:eastAsia="Times New Roman" w:hAnsi="Times New Roman" w:cs="Times New Roman"/>
                <w:sz w:val="20"/>
                <w:szCs w:val="20"/>
                <w:lang w:eastAsia="sk-SK"/>
              </w:rPr>
              <w:t>.</w:t>
            </w:r>
          </w:p>
          <w:p w:rsidR="000B3BED" w:rsidRPr="00CE0B94"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Poistenci a</w:t>
            </w:r>
            <w:r w:rsidR="00CE0B94" w:rsidRPr="00CE0B94">
              <w:rPr>
                <w:rFonts w:ascii="Times New Roman" w:eastAsia="Times New Roman" w:hAnsi="Times New Roman" w:cs="Times New Roman"/>
                <w:sz w:val="20"/>
                <w:szCs w:val="20"/>
                <w:lang w:eastAsia="sk-SK"/>
              </w:rPr>
              <w:t> </w:t>
            </w:r>
            <w:r w:rsidRPr="00CE0B94">
              <w:rPr>
                <w:rFonts w:ascii="Times New Roman" w:eastAsia="Times New Roman" w:hAnsi="Times New Roman" w:cs="Times New Roman"/>
                <w:sz w:val="20"/>
                <w:szCs w:val="20"/>
                <w:lang w:eastAsia="sk-SK"/>
              </w:rPr>
              <w:t>poberatelia</w:t>
            </w:r>
            <w:r w:rsidR="00CE0B94" w:rsidRPr="00CE0B94">
              <w:rPr>
                <w:rFonts w:ascii="Times New Roman" w:eastAsia="Times New Roman" w:hAnsi="Times New Roman" w:cs="Times New Roman"/>
                <w:sz w:val="20"/>
                <w:szCs w:val="20"/>
                <w:lang w:eastAsia="sk-SK"/>
              </w:rPr>
              <w:t xml:space="preserve"> starobných, predčasných starobných a invalidných </w:t>
            </w:r>
            <w:r w:rsidRPr="00CE0B94">
              <w:rPr>
                <w:rFonts w:ascii="Times New Roman" w:eastAsia="Times New Roman" w:hAnsi="Times New Roman" w:cs="Times New Roman"/>
                <w:sz w:val="20"/>
                <w:szCs w:val="20"/>
                <w:lang w:eastAsia="sk-SK"/>
              </w:rPr>
              <w:t xml:space="preserve"> dôchodkov.</w:t>
            </w:r>
          </w:p>
          <w:p w:rsidR="000B3BED" w:rsidRPr="00CE0B94"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Sporitelia v systéme starobného dôchodkového sporenia.</w:t>
            </w:r>
          </w:p>
          <w:p w:rsidR="000B3BED" w:rsidRPr="00CE0B94"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Sociálna poisťovňa</w:t>
            </w:r>
          </w:p>
          <w:p w:rsidR="000B3BED" w:rsidRPr="00CE0B94" w:rsidRDefault="00E06729" w:rsidP="00ED4C8A">
            <w:pPr>
              <w:pStyle w:val="Odsekzoznamu"/>
              <w:numPr>
                <w:ilvl w:val="0"/>
                <w:numId w:val="3"/>
              </w:numPr>
              <w:ind w:left="447"/>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M</w:t>
            </w:r>
            <w:r w:rsidR="00D6004E">
              <w:rPr>
                <w:rFonts w:ascii="Times New Roman" w:eastAsia="Times New Roman" w:hAnsi="Times New Roman" w:cs="Times New Roman"/>
                <w:sz w:val="20"/>
                <w:szCs w:val="20"/>
                <w:lang w:eastAsia="sk-SK"/>
              </w:rPr>
              <w:t>inisterstvo práce, sociálnych vecí a rodiny Slovenskej republiky (ďalej len „M</w:t>
            </w:r>
            <w:r>
              <w:rPr>
                <w:rFonts w:ascii="Times New Roman" w:eastAsia="Times New Roman" w:hAnsi="Times New Roman" w:cs="Times New Roman"/>
                <w:sz w:val="20"/>
                <w:szCs w:val="20"/>
                <w:lang w:eastAsia="sk-SK"/>
              </w:rPr>
              <w:t>PSVR</w:t>
            </w:r>
            <w:r w:rsidR="000B3BED" w:rsidRPr="00CE0B94">
              <w:rPr>
                <w:rFonts w:ascii="Times New Roman" w:eastAsia="Times New Roman" w:hAnsi="Times New Roman" w:cs="Times New Roman"/>
                <w:sz w:val="20"/>
                <w:szCs w:val="20"/>
                <w:lang w:eastAsia="sk-SK"/>
              </w:rPr>
              <w:t xml:space="preserve"> SR</w:t>
            </w:r>
            <w:r w:rsidR="00D6004E">
              <w:rPr>
                <w:rFonts w:ascii="Times New Roman" w:eastAsia="Times New Roman" w:hAnsi="Times New Roman" w:cs="Times New Roman"/>
                <w:sz w:val="20"/>
                <w:szCs w:val="20"/>
                <w:lang w:eastAsia="sk-SK"/>
              </w:rPr>
              <w:t>“)</w:t>
            </w:r>
            <w:r w:rsidR="000B3BED" w:rsidRPr="00CE0B94">
              <w:rPr>
                <w:rFonts w:ascii="Times New Roman" w:eastAsia="Times New Roman" w:hAnsi="Times New Roman" w:cs="Times New Roman"/>
                <w:sz w:val="20"/>
                <w:szCs w:val="20"/>
                <w:lang w:eastAsia="sk-SK"/>
              </w:rPr>
              <w:t xml:space="preserve">. </w:t>
            </w:r>
          </w:p>
          <w:p w:rsidR="00CC0D5F" w:rsidRDefault="000B3BED" w:rsidP="00ED4C8A">
            <w:pPr>
              <w:pStyle w:val="Odsekzoznamu"/>
              <w:numPr>
                <w:ilvl w:val="0"/>
                <w:numId w:val="3"/>
              </w:numPr>
              <w:ind w:left="447"/>
              <w:jc w:val="both"/>
              <w:rPr>
                <w:rFonts w:ascii="Times New Roman" w:eastAsia="Times New Roman" w:hAnsi="Times New Roman" w:cs="Times New Roman"/>
                <w:sz w:val="20"/>
                <w:szCs w:val="20"/>
                <w:lang w:eastAsia="sk-SK"/>
              </w:rPr>
            </w:pPr>
            <w:r w:rsidRPr="00CE0B94">
              <w:rPr>
                <w:rFonts w:ascii="Times New Roman" w:eastAsia="Times New Roman" w:hAnsi="Times New Roman" w:cs="Times New Roman"/>
                <w:sz w:val="20"/>
                <w:szCs w:val="20"/>
                <w:lang w:eastAsia="sk-SK"/>
              </w:rPr>
              <w:t>Dôchodkové správcovské spoločnosti</w:t>
            </w:r>
            <w:r w:rsidR="00CC0D5F">
              <w:rPr>
                <w:rFonts w:ascii="Times New Roman" w:eastAsia="Times New Roman" w:hAnsi="Times New Roman" w:cs="Times New Roman"/>
                <w:sz w:val="20"/>
                <w:szCs w:val="20"/>
                <w:lang w:eastAsia="sk-SK"/>
              </w:rPr>
              <w:t>,</w:t>
            </w:r>
          </w:p>
          <w:p w:rsidR="00CC0D5F" w:rsidRDefault="00CC0D5F" w:rsidP="00ED4C8A">
            <w:pPr>
              <w:pStyle w:val="Odsekzoznamu"/>
              <w:numPr>
                <w:ilvl w:val="0"/>
                <w:numId w:val="3"/>
              </w:numPr>
              <w:ind w:left="44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Slovenskej republiky,</w:t>
            </w:r>
          </w:p>
          <w:p w:rsidR="001B23B7" w:rsidRPr="00CE0B94" w:rsidRDefault="00CC0D5F" w:rsidP="00ED4C8A">
            <w:pPr>
              <w:pStyle w:val="Odsekzoznamu"/>
              <w:numPr>
                <w:ilvl w:val="0"/>
                <w:numId w:val="3"/>
              </w:numPr>
              <w:ind w:left="447"/>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obrany Slovenskej republiky</w:t>
            </w:r>
            <w:r w:rsidR="000B3BED" w:rsidRPr="00CE0B94">
              <w:rPr>
                <w:rFonts w:ascii="Times New Roman" w:eastAsia="Times New Roman" w:hAnsi="Times New Roman" w:cs="Times New Roman"/>
                <w:sz w:val="20"/>
                <w:szCs w:val="20"/>
                <w:lang w:eastAsia="sk-SK"/>
              </w:rPr>
              <w:t xml:space="preserve">. </w:t>
            </w:r>
          </w:p>
          <w:p w:rsidR="000B3BED" w:rsidRDefault="000B3BED" w:rsidP="000B3BED">
            <w:pPr>
              <w:pStyle w:val="Odsekzoznamu"/>
              <w:ind w:left="765"/>
              <w:rPr>
                <w:rFonts w:ascii="Times New Roman" w:eastAsia="Times New Roman" w:hAnsi="Times New Roman" w:cs="Times New Roman"/>
                <w:i/>
                <w:sz w:val="20"/>
                <w:szCs w:val="20"/>
                <w:lang w:eastAsia="sk-SK"/>
              </w:rPr>
            </w:pPr>
          </w:p>
          <w:p w:rsidR="00D6779C" w:rsidRDefault="00D6779C" w:rsidP="000B3BED">
            <w:pPr>
              <w:pStyle w:val="Odsekzoznamu"/>
              <w:ind w:left="765"/>
              <w:rPr>
                <w:rFonts w:ascii="Times New Roman" w:eastAsia="Times New Roman" w:hAnsi="Times New Roman" w:cs="Times New Roman"/>
                <w:i/>
                <w:sz w:val="20"/>
                <w:szCs w:val="20"/>
                <w:lang w:eastAsia="sk-SK"/>
              </w:rPr>
            </w:pPr>
          </w:p>
          <w:p w:rsidR="00D6779C" w:rsidRPr="00612E08" w:rsidRDefault="00D6779C" w:rsidP="000B3BED">
            <w:pPr>
              <w:pStyle w:val="Odsekzoznamu"/>
              <w:ind w:left="765"/>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Alternatívne riešenia</w:t>
            </w:r>
          </w:p>
        </w:tc>
      </w:tr>
      <w:tr w:rsidR="00612E08" w:rsidRPr="00612E08"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AA6C80" w:rsidRPr="00AA6C80" w:rsidRDefault="00AA6C80" w:rsidP="00AA6C80">
            <w:pPr>
              <w:jc w:val="both"/>
              <w:rPr>
                <w:rFonts w:ascii="Times New Roman" w:eastAsia="Times New Roman" w:hAnsi="Times New Roman" w:cs="Times New Roman"/>
                <w:sz w:val="20"/>
                <w:szCs w:val="20"/>
                <w:lang w:eastAsia="sk-SK"/>
              </w:rPr>
            </w:pPr>
            <w:r w:rsidRPr="00AA6C80">
              <w:rPr>
                <w:rFonts w:ascii="Times New Roman" w:eastAsia="Times New Roman" w:hAnsi="Times New Roman" w:cs="Times New Roman"/>
                <w:sz w:val="20"/>
                <w:szCs w:val="20"/>
                <w:lang w:eastAsia="sk-SK"/>
              </w:rPr>
              <w:t xml:space="preserve">Prvou posudzovanou alternatívou je zachovanie súčasného právneho stavu (nulový variant). Tento postup by znamenal pokračovanie v existujúcom modeli, v ktorom štát platí poistné na dôchodkové poistenie </w:t>
            </w:r>
            <w:r w:rsidR="00E06729">
              <w:rPr>
                <w:rFonts w:ascii="Times New Roman" w:eastAsia="Times New Roman" w:hAnsi="Times New Roman" w:cs="Times New Roman"/>
                <w:sz w:val="20"/>
                <w:szCs w:val="20"/>
                <w:lang w:eastAsia="sk-SK"/>
              </w:rPr>
              <w:t xml:space="preserve">a do rezervného fondu solidarity </w:t>
            </w:r>
            <w:r w:rsidRPr="00AA6C80">
              <w:rPr>
                <w:rFonts w:ascii="Times New Roman" w:eastAsia="Times New Roman" w:hAnsi="Times New Roman" w:cs="Times New Roman"/>
                <w:sz w:val="20"/>
                <w:szCs w:val="20"/>
                <w:lang w:eastAsia="sk-SK"/>
              </w:rPr>
              <w:t>za definované skupiny osôb z vymeriavacieho základu stanoveného na úrovni 60 % (resp. 50 %) priemernej mesačnej mzdy</w:t>
            </w:r>
            <w:r w:rsidR="00E06729">
              <w:rPr>
                <w:rFonts w:ascii="Times New Roman" w:eastAsia="Times New Roman" w:hAnsi="Times New Roman" w:cs="Times New Roman"/>
                <w:sz w:val="20"/>
                <w:szCs w:val="20"/>
                <w:lang w:eastAsia="sk-SK"/>
              </w:rPr>
              <w:t xml:space="preserve"> v hospodárstve Slovenskej republiky</w:t>
            </w:r>
            <w:r w:rsidRPr="00AA6C80">
              <w:rPr>
                <w:rFonts w:ascii="Times New Roman" w:eastAsia="Times New Roman" w:hAnsi="Times New Roman" w:cs="Times New Roman"/>
                <w:sz w:val="20"/>
                <w:szCs w:val="20"/>
                <w:lang w:eastAsia="sk-SK"/>
              </w:rPr>
              <w:t xml:space="preserve"> spred dvoch rokov. Pretrvával by aj stav, ktorý neumožňuje súbeh povinného dôchodkového poistenia plateného štátom s</w:t>
            </w:r>
            <w:r w:rsidR="00E06729">
              <w:rPr>
                <w:rFonts w:ascii="Times New Roman" w:eastAsia="Times New Roman" w:hAnsi="Times New Roman" w:cs="Times New Roman"/>
                <w:sz w:val="20"/>
                <w:szCs w:val="20"/>
                <w:lang w:eastAsia="sk-SK"/>
              </w:rPr>
              <w:t> povinným dôchodkovým</w:t>
            </w:r>
            <w:r w:rsidRPr="00AA6C80">
              <w:rPr>
                <w:rFonts w:ascii="Times New Roman" w:eastAsia="Times New Roman" w:hAnsi="Times New Roman" w:cs="Times New Roman"/>
                <w:sz w:val="20"/>
                <w:szCs w:val="20"/>
                <w:lang w:eastAsia="sk-SK"/>
              </w:rPr>
              <w:t xml:space="preserve"> poistením z</w:t>
            </w:r>
            <w:r w:rsidR="00E06729">
              <w:rPr>
                <w:rFonts w:ascii="Times New Roman" w:eastAsia="Times New Roman" w:hAnsi="Times New Roman" w:cs="Times New Roman"/>
                <w:sz w:val="20"/>
                <w:szCs w:val="20"/>
                <w:lang w:eastAsia="sk-SK"/>
              </w:rPr>
              <w:t xml:space="preserve"> výkonu</w:t>
            </w:r>
            <w:r w:rsidRPr="00AA6C80">
              <w:rPr>
                <w:rFonts w:ascii="Times New Roman" w:eastAsia="Times New Roman" w:hAnsi="Times New Roman" w:cs="Times New Roman"/>
                <w:sz w:val="20"/>
                <w:szCs w:val="20"/>
                <w:lang w:eastAsia="sk-SK"/>
              </w:rPr>
              <w:t xml:space="preserve"> zárobkovej činnosti. Ponechanie súčasného stavu by tak konzervovalo prvky, ktoré vedú k znižovaniu dôchodkových nárokov u dotknutých poistencov, a neriešilo by identifikovaný problém. </w:t>
            </w:r>
          </w:p>
          <w:p w:rsidR="00AA6C80" w:rsidRDefault="00AA6C80" w:rsidP="00AA6C80">
            <w:pPr>
              <w:jc w:val="both"/>
              <w:rPr>
                <w:rFonts w:ascii="Times New Roman" w:eastAsia="Times New Roman" w:hAnsi="Times New Roman" w:cs="Times New Roman"/>
                <w:sz w:val="20"/>
                <w:szCs w:val="20"/>
                <w:lang w:eastAsia="sk-SK"/>
              </w:rPr>
            </w:pPr>
          </w:p>
          <w:p w:rsidR="00AA6C80" w:rsidRDefault="00AA6C80" w:rsidP="00AA6C80">
            <w:pPr>
              <w:jc w:val="both"/>
              <w:rPr>
                <w:rFonts w:ascii="Times New Roman" w:eastAsia="Times New Roman" w:hAnsi="Times New Roman" w:cs="Times New Roman"/>
                <w:sz w:val="20"/>
                <w:szCs w:val="20"/>
                <w:lang w:eastAsia="sk-SK"/>
              </w:rPr>
            </w:pPr>
            <w:r w:rsidRPr="00AA6C80">
              <w:rPr>
                <w:rFonts w:ascii="Times New Roman" w:eastAsia="Times New Roman" w:hAnsi="Times New Roman" w:cs="Times New Roman"/>
                <w:sz w:val="20"/>
                <w:szCs w:val="20"/>
                <w:lang w:eastAsia="sk-SK"/>
              </w:rPr>
              <w:t>Navrhované riešenie</w:t>
            </w:r>
            <w:r w:rsidR="005B41DC">
              <w:rPr>
                <w:rFonts w:ascii="Times New Roman" w:eastAsia="Times New Roman" w:hAnsi="Times New Roman" w:cs="Times New Roman"/>
                <w:sz w:val="20"/>
                <w:szCs w:val="20"/>
                <w:lang w:eastAsia="sk-SK"/>
              </w:rPr>
              <w:t xml:space="preserve"> je</w:t>
            </w:r>
            <w:r w:rsidRPr="00AA6C80">
              <w:rPr>
                <w:rFonts w:ascii="Times New Roman" w:eastAsia="Times New Roman" w:hAnsi="Times New Roman" w:cs="Times New Roman"/>
                <w:sz w:val="20"/>
                <w:szCs w:val="20"/>
                <w:lang w:eastAsia="sk-SK"/>
              </w:rPr>
              <w:t xml:space="preserve"> založené na vylúčení obdobia </w:t>
            </w:r>
            <w:r w:rsidR="00E06729">
              <w:rPr>
                <w:rFonts w:ascii="Times New Roman" w:eastAsia="Times New Roman" w:hAnsi="Times New Roman" w:cs="Times New Roman"/>
                <w:sz w:val="20"/>
                <w:szCs w:val="20"/>
                <w:lang w:eastAsia="sk-SK"/>
              </w:rPr>
              <w:t xml:space="preserve">starostlivosti </w:t>
            </w:r>
            <w:r w:rsidRPr="00AA6C80">
              <w:rPr>
                <w:rFonts w:ascii="Times New Roman" w:eastAsia="Times New Roman" w:hAnsi="Times New Roman" w:cs="Times New Roman"/>
                <w:sz w:val="20"/>
                <w:szCs w:val="20"/>
                <w:lang w:eastAsia="sk-SK"/>
              </w:rPr>
              <w:t>z rozhodujúceho obdobia</w:t>
            </w:r>
            <w:r w:rsidR="00E06729">
              <w:rPr>
                <w:rFonts w:ascii="Times New Roman" w:eastAsia="Times New Roman" w:hAnsi="Times New Roman" w:cs="Times New Roman"/>
                <w:sz w:val="20"/>
                <w:szCs w:val="20"/>
                <w:lang w:eastAsia="sk-SK"/>
              </w:rPr>
              <w:t xml:space="preserve"> na účely výpočtu POMB</w:t>
            </w:r>
            <w:r w:rsidRPr="00AA6C80">
              <w:rPr>
                <w:rFonts w:ascii="Times New Roman" w:eastAsia="Times New Roman" w:hAnsi="Times New Roman" w:cs="Times New Roman"/>
                <w:sz w:val="20"/>
                <w:szCs w:val="20"/>
                <w:lang w:eastAsia="sk-SK"/>
              </w:rPr>
              <w:t>. Oproti alternatívnym modelom úpravy parametrov alebo paušálneho ohodnotenia zachováva vo väčšej miere princíp zásluhovosti, keďže hodnota obdobia starostlivosti</w:t>
            </w:r>
            <w:r w:rsidR="00E06729">
              <w:rPr>
                <w:rFonts w:ascii="Times New Roman" w:eastAsia="Times New Roman" w:hAnsi="Times New Roman" w:cs="Times New Roman"/>
                <w:sz w:val="20"/>
                <w:szCs w:val="20"/>
                <w:lang w:eastAsia="sk-SK"/>
              </w:rPr>
              <w:t xml:space="preserve"> o dieťa</w:t>
            </w:r>
            <w:r w:rsidRPr="00AA6C80">
              <w:rPr>
                <w:rFonts w:ascii="Times New Roman" w:eastAsia="Times New Roman" w:hAnsi="Times New Roman" w:cs="Times New Roman"/>
                <w:sz w:val="20"/>
                <w:szCs w:val="20"/>
                <w:lang w:eastAsia="sk-SK"/>
              </w:rPr>
              <w:t xml:space="preserve"> sa odvíja od individuálnej</w:t>
            </w:r>
            <w:r w:rsidR="00E06729">
              <w:rPr>
                <w:rFonts w:ascii="Times New Roman" w:eastAsia="Times New Roman" w:hAnsi="Times New Roman" w:cs="Times New Roman"/>
                <w:sz w:val="20"/>
                <w:szCs w:val="20"/>
                <w:lang w:eastAsia="sk-SK"/>
              </w:rPr>
              <w:t xml:space="preserve"> pracovnej</w:t>
            </w:r>
            <w:r w:rsidRPr="00AA6C80">
              <w:rPr>
                <w:rFonts w:ascii="Times New Roman" w:eastAsia="Times New Roman" w:hAnsi="Times New Roman" w:cs="Times New Roman"/>
                <w:sz w:val="20"/>
                <w:szCs w:val="20"/>
                <w:lang w:eastAsia="sk-SK"/>
              </w:rPr>
              <w:t xml:space="preserve"> kariéry poistenca. Zároveň komplexne rieši aj otázku súbehu s</w:t>
            </w:r>
            <w:r w:rsidR="00E06729">
              <w:rPr>
                <w:rFonts w:ascii="Times New Roman" w:eastAsia="Times New Roman" w:hAnsi="Times New Roman" w:cs="Times New Roman"/>
                <w:sz w:val="20"/>
                <w:szCs w:val="20"/>
                <w:lang w:eastAsia="sk-SK"/>
              </w:rPr>
              <w:t xml:space="preserve"> výkonom</w:t>
            </w:r>
            <w:r w:rsidRPr="00AA6C80">
              <w:rPr>
                <w:rFonts w:ascii="Times New Roman" w:eastAsia="Times New Roman" w:hAnsi="Times New Roman" w:cs="Times New Roman"/>
                <w:sz w:val="20"/>
                <w:szCs w:val="20"/>
                <w:lang w:eastAsia="sk-SK"/>
              </w:rPr>
              <w:t xml:space="preserve"> zárobkov</w:t>
            </w:r>
            <w:r w:rsidR="00AC676B">
              <w:rPr>
                <w:rFonts w:ascii="Times New Roman" w:eastAsia="Times New Roman" w:hAnsi="Times New Roman" w:cs="Times New Roman"/>
                <w:sz w:val="20"/>
                <w:szCs w:val="20"/>
                <w:lang w:eastAsia="sk-SK"/>
              </w:rPr>
              <w:t>ej</w:t>
            </w:r>
            <w:r w:rsidRPr="00AA6C80">
              <w:rPr>
                <w:rFonts w:ascii="Times New Roman" w:eastAsia="Times New Roman" w:hAnsi="Times New Roman" w:cs="Times New Roman"/>
                <w:sz w:val="20"/>
                <w:szCs w:val="20"/>
                <w:lang w:eastAsia="sk-SK"/>
              </w:rPr>
              <w:t xml:space="preserve"> činnos</w:t>
            </w:r>
            <w:r w:rsidR="00AC676B">
              <w:rPr>
                <w:rFonts w:ascii="Times New Roman" w:eastAsia="Times New Roman" w:hAnsi="Times New Roman" w:cs="Times New Roman"/>
                <w:sz w:val="20"/>
                <w:szCs w:val="20"/>
                <w:lang w:eastAsia="sk-SK"/>
              </w:rPr>
              <w:t>ti</w:t>
            </w:r>
            <w:r w:rsidRPr="00AA6C80">
              <w:rPr>
                <w:rFonts w:ascii="Times New Roman" w:eastAsia="Times New Roman" w:hAnsi="Times New Roman" w:cs="Times New Roman"/>
                <w:sz w:val="20"/>
                <w:szCs w:val="20"/>
                <w:lang w:eastAsia="sk-SK"/>
              </w:rPr>
              <w:t xml:space="preserve"> a prostredníctvom porovnávacieho výpočtu zabezpečuje, že výsledné riešenie nebude pre žiadneho poistenca menej výhodné ako súčasný stav.</w:t>
            </w:r>
          </w:p>
          <w:p w:rsidR="003F2214" w:rsidRDefault="003F2214" w:rsidP="00AA6C80">
            <w:pPr>
              <w:jc w:val="both"/>
              <w:rPr>
                <w:rFonts w:ascii="Times New Roman" w:eastAsia="Times New Roman" w:hAnsi="Times New Roman" w:cs="Times New Roman"/>
                <w:sz w:val="20"/>
                <w:szCs w:val="20"/>
                <w:lang w:eastAsia="sk-SK"/>
              </w:rPr>
            </w:pPr>
          </w:p>
          <w:p w:rsidR="00DC4011" w:rsidRPr="00DC4011" w:rsidRDefault="00DC4011" w:rsidP="00DC4011">
            <w:pPr>
              <w:jc w:val="both"/>
              <w:rPr>
                <w:rFonts w:ascii="Times New Roman" w:eastAsia="Times New Roman" w:hAnsi="Times New Roman" w:cs="Times New Roman"/>
                <w:sz w:val="20"/>
                <w:szCs w:val="20"/>
                <w:lang w:eastAsia="sk-SK"/>
              </w:rPr>
            </w:pPr>
            <w:r w:rsidRPr="00DC4011">
              <w:rPr>
                <w:rFonts w:ascii="Times New Roman" w:eastAsia="Times New Roman" w:hAnsi="Times New Roman" w:cs="Times New Roman"/>
                <w:sz w:val="20"/>
                <w:szCs w:val="20"/>
                <w:lang w:eastAsia="sk-SK"/>
              </w:rPr>
              <w:t>Navrhované riešenie predstavuje koncepčnú redefiníciu toho, ako štát zhodnocuje obdobia starostlivosti. Kľúčová zmena spočíva v prechode od modelu priamych platieb (ex-ante) k modelu spätného ocenenia (ex-post).</w:t>
            </w:r>
          </w:p>
          <w:p w:rsidR="00DC4011" w:rsidRPr="00DC4011" w:rsidRDefault="00DC4011" w:rsidP="00DC4011">
            <w:pPr>
              <w:jc w:val="both"/>
              <w:rPr>
                <w:rFonts w:ascii="Times New Roman" w:eastAsia="Times New Roman" w:hAnsi="Times New Roman" w:cs="Times New Roman"/>
                <w:sz w:val="20"/>
                <w:szCs w:val="20"/>
                <w:lang w:eastAsia="sk-SK"/>
              </w:rPr>
            </w:pPr>
          </w:p>
          <w:p w:rsidR="00DC4011" w:rsidRDefault="00DC4011" w:rsidP="00DC4011">
            <w:pPr>
              <w:jc w:val="both"/>
              <w:rPr>
                <w:rFonts w:ascii="Times New Roman" w:eastAsia="Times New Roman" w:hAnsi="Times New Roman" w:cs="Times New Roman"/>
                <w:sz w:val="20"/>
                <w:szCs w:val="20"/>
                <w:lang w:eastAsia="sk-SK"/>
              </w:rPr>
            </w:pPr>
            <w:r w:rsidRPr="00DC4011">
              <w:rPr>
                <w:rFonts w:ascii="Times New Roman" w:eastAsia="Times New Roman" w:hAnsi="Times New Roman" w:cs="Times New Roman"/>
                <w:sz w:val="20"/>
                <w:szCs w:val="20"/>
                <w:lang w:eastAsia="sk-SK"/>
              </w:rPr>
              <w:t>V novom prístupe hodnota obdobia starostlivosti nie je určená paušálnym vymeriavacím základom, ale je odvodená od individuálneho profilu celoživotných zárobkov poistenca prostredníctvom mechanizmu vylúčenia. Táto štrukturálna zmena spôsobuje, že pôvodná prax priamych platieb štátom do I. piliera stráca svoje opodstatnenie.</w:t>
            </w:r>
          </w:p>
          <w:p w:rsidR="00DC4011" w:rsidRDefault="00DC4011" w:rsidP="00DC4011">
            <w:pPr>
              <w:jc w:val="both"/>
              <w:rPr>
                <w:rFonts w:ascii="Times New Roman" w:eastAsia="Times New Roman" w:hAnsi="Times New Roman" w:cs="Times New Roman"/>
                <w:sz w:val="20"/>
                <w:szCs w:val="20"/>
                <w:lang w:eastAsia="sk-SK"/>
              </w:rPr>
            </w:pPr>
            <w:r w:rsidRPr="00DC4011">
              <w:rPr>
                <w:rFonts w:ascii="Times New Roman" w:eastAsia="Times New Roman" w:hAnsi="Times New Roman" w:cs="Times New Roman"/>
                <w:sz w:val="20"/>
                <w:szCs w:val="20"/>
                <w:lang w:eastAsia="sk-SK"/>
              </w:rPr>
              <w:t>Zánik priamej platby poistného štátom do I. piliera vyvolal potrebu riešiť nadväzujúce príspevky do II. piliera. Pri príprave návrhu boli analyzované nasledujúce možnosti:</w:t>
            </w:r>
          </w:p>
          <w:p w:rsidR="00DC4011" w:rsidRPr="00DC4011" w:rsidRDefault="00DC4011" w:rsidP="00DC4011">
            <w:pPr>
              <w:jc w:val="both"/>
              <w:rPr>
                <w:rFonts w:ascii="Times New Roman" w:eastAsia="Times New Roman" w:hAnsi="Times New Roman" w:cs="Times New Roman"/>
                <w:sz w:val="20"/>
                <w:szCs w:val="20"/>
                <w:lang w:eastAsia="sk-SK"/>
              </w:rPr>
            </w:pPr>
          </w:p>
          <w:p w:rsidR="00DC4011" w:rsidRPr="00DC4011" w:rsidRDefault="005B41DC" w:rsidP="00DC4011">
            <w:pPr>
              <w:numPr>
                <w:ilvl w:val="0"/>
                <w:numId w:val="6"/>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Jednou</w:t>
            </w:r>
            <w:r w:rsidR="00DC4011" w:rsidRPr="00DC4011">
              <w:rPr>
                <w:rFonts w:ascii="Times New Roman" w:eastAsia="Times New Roman" w:hAnsi="Times New Roman" w:cs="Times New Roman"/>
                <w:bCs/>
                <w:sz w:val="20"/>
                <w:szCs w:val="20"/>
                <w:lang w:eastAsia="sk-SK"/>
              </w:rPr>
              <w:t xml:space="preserve"> možnosťou bolo, aby štát naďalej platil príspevky do II. piliera</w:t>
            </w:r>
            <w:r>
              <w:rPr>
                <w:rFonts w:ascii="Times New Roman" w:eastAsia="Times New Roman" w:hAnsi="Times New Roman" w:cs="Times New Roman"/>
                <w:bCs/>
                <w:sz w:val="20"/>
                <w:szCs w:val="20"/>
                <w:lang w:eastAsia="sk-SK"/>
              </w:rPr>
              <w:t xml:space="preserve"> za všetkých sporiteľov, ktorí sa starajú o dieťa</w:t>
            </w:r>
            <w:r w:rsidR="00DC4011" w:rsidRPr="00DC4011">
              <w:rPr>
                <w:rFonts w:ascii="Times New Roman" w:eastAsia="Times New Roman" w:hAnsi="Times New Roman" w:cs="Times New Roman"/>
                <w:bCs/>
                <w:sz w:val="20"/>
                <w:szCs w:val="20"/>
                <w:lang w:eastAsia="sk-SK"/>
              </w:rPr>
              <w:t>, aj keď už neplatí poistné do I. piliera.</w:t>
            </w:r>
            <w:r w:rsidR="00DC4011" w:rsidRPr="00DC4011">
              <w:rPr>
                <w:rFonts w:ascii="Times New Roman" w:eastAsia="Times New Roman" w:hAnsi="Times New Roman" w:cs="Times New Roman"/>
                <w:sz w:val="20"/>
                <w:szCs w:val="20"/>
                <w:lang w:eastAsia="sk-SK"/>
              </w:rPr>
              <w:t xml:space="preserve"> </w:t>
            </w:r>
          </w:p>
          <w:p w:rsidR="00DC4011" w:rsidRPr="00DC4011" w:rsidRDefault="005B41DC" w:rsidP="00DC4011">
            <w:pPr>
              <w:numPr>
                <w:ilvl w:val="0"/>
                <w:numId w:val="6"/>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Inou</w:t>
            </w:r>
            <w:r w:rsidR="00DC4011" w:rsidRPr="00DC4011">
              <w:rPr>
                <w:rFonts w:ascii="Times New Roman" w:eastAsia="Times New Roman" w:hAnsi="Times New Roman" w:cs="Times New Roman"/>
                <w:bCs/>
                <w:sz w:val="20"/>
                <w:szCs w:val="20"/>
                <w:lang w:eastAsia="sk-SK"/>
              </w:rPr>
              <w:t xml:space="preserve"> možnosťou bolo umožniť sporiteľom</w:t>
            </w:r>
            <w:r>
              <w:rPr>
                <w:rFonts w:ascii="Times New Roman" w:eastAsia="Times New Roman" w:hAnsi="Times New Roman" w:cs="Times New Roman"/>
                <w:bCs/>
                <w:sz w:val="20"/>
                <w:szCs w:val="20"/>
                <w:lang w:eastAsia="sk-SK"/>
              </w:rPr>
              <w:t>, ktorí sa starajú o dieťa,</w:t>
            </w:r>
            <w:r w:rsidR="00DC4011" w:rsidRPr="00DC4011">
              <w:rPr>
                <w:rFonts w:ascii="Times New Roman" w:eastAsia="Times New Roman" w:hAnsi="Times New Roman" w:cs="Times New Roman"/>
                <w:bCs/>
                <w:sz w:val="20"/>
                <w:szCs w:val="20"/>
                <w:lang w:eastAsia="sk-SK"/>
              </w:rPr>
              <w:t xml:space="preserve"> zvoliť si, či chcú, aby štát za nich naďalej platil príspevky do II. piliera.</w:t>
            </w:r>
            <w:r w:rsidR="00DC4011" w:rsidRPr="00DC4011">
              <w:rPr>
                <w:rFonts w:ascii="Times New Roman" w:eastAsia="Times New Roman" w:hAnsi="Times New Roman" w:cs="Times New Roman"/>
                <w:sz w:val="20"/>
                <w:szCs w:val="20"/>
                <w:lang w:eastAsia="sk-SK"/>
              </w:rPr>
              <w:t xml:space="preserve"> Tento postup by znamenal zavedenie dvoch paralelných mechanizmov pre výpočet dôchodku. Jeden pre sporiteľov, ktorí by si zvolili pokračovanie platieb s následným krátením dôchodku z I. piliera, a druhý pre tých, ktorí by si túto možnosť nezvolili.</w:t>
            </w:r>
          </w:p>
          <w:p w:rsidR="005D06ED" w:rsidRDefault="005D06ED" w:rsidP="005D06ED">
            <w:pPr>
              <w:jc w:val="both"/>
              <w:rPr>
                <w:rFonts w:ascii="Times New Roman" w:eastAsia="Times New Roman" w:hAnsi="Times New Roman" w:cs="Times New Roman"/>
                <w:bCs/>
                <w:sz w:val="20"/>
                <w:szCs w:val="20"/>
                <w:lang w:eastAsia="sk-SK"/>
              </w:rPr>
            </w:pPr>
          </w:p>
          <w:p w:rsidR="00DC4011" w:rsidRPr="00DC4011" w:rsidRDefault="00DC4011" w:rsidP="005D06ED">
            <w:pPr>
              <w:jc w:val="both"/>
              <w:rPr>
                <w:rFonts w:ascii="Times New Roman" w:eastAsia="Times New Roman" w:hAnsi="Times New Roman" w:cs="Times New Roman"/>
                <w:sz w:val="20"/>
                <w:szCs w:val="20"/>
                <w:lang w:eastAsia="sk-SK"/>
              </w:rPr>
            </w:pPr>
            <w:r w:rsidRPr="00DC4011">
              <w:rPr>
                <w:rFonts w:ascii="Times New Roman" w:eastAsia="Times New Roman" w:hAnsi="Times New Roman" w:cs="Times New Roman"/>
                <w:bCs/>
                <w:sz w:val="20"/>
                <w:szCs w:val="20"/>
                <w:lang w:eastAsia="sk-SK"/>
              </w:rPr>
              <w:t xml:space="preserve">Zvolené riešenie ruší platbu </w:t>
            </w:r>
            <w:r w:rsidR="005D06ED">
              <w:rPr>
                <w:rFonts w:ascii="Times New Roman" w:eastAsia="Times New Roman" w:hAnsi="Times New Roman" w:cs="Times New Roman"/>
                <w:bCs/>
                <w:sz w:val="20"/>
                <w:szCs w:val="20"/>
                <w:lang w:eastAsia="sk-SK"/>
              </w:rPr>
              <w:t xml:space="preserve">poistného a povinných </w:t>
            </w:r>
            <w:r w:rsidRPr="00DC4011">
              <w:rPr>
                <w:rFonts w:ascii="Times New Roman" w:eastAsia="Times New Roman" w:hAnsi="Times New Roman" w:cs="Times New Roman"/>
                <w:bCs/>
                <w:sz w:val="20"/>
                <w:szCs w:val="20"/>
                <w:lang w:eastAsia="sk-SK"/>
              </w:rPr>
              <w:t>príspevkov do II. piliera a zároveň ruší zodpovedajúce krátenie dôchodku z I. piliera</w:t>
            </w:r>
            <w:r w:rsidR="005D06ED">
              <w:rPr>
                <w:rFonts w:ascii="Times New Roman" w:eastAsia="Times New Roman" w:hAnsi="Times New Roman" w:cs="Times New Roman"/>
                <w:bCs/>
                <w:sz w:val="20"/>
                <w:szCs w:val="20"/>
                <w:lang w:eastAsia="sk-SK"/>
              </w:rPr>
              <w:t xml:space="preserve"> za obdobie starostlivosti</w:t>
            </w:r>
            <w:r w:rsidRPr="00DC4011">
              <w:rPr>
                <w:rFonts w:ascii="Times New Roman" w:eastAsia="Times New Roman" w:hAnsi="Times New Roman" w:cs="Times New Roman"/>
                <w:bCs/>
                <w:sz w:val="20"/>
                <w:szCs w:val="20"/>
                <w:lang w:eastAsia="sk-SK"/>
              </w:rPr>
              <w:t>.</w:t>
            </w:r>
            <w:r w:rsidRPr="00DC4011">
              <w:rPr>
                <w:rFonts w:ascii="Times New Roman" w:eastAsia="Times New Roman" w:hAnsi="Times New Roman" w:cs="Times New Roman"/>
                <w:sz w:val="20"/>
                <w:szCs w:val="20"/>
                <w:lang w:eastAsia="sk-SK"/>
              </w:rPr>
              <w:t xml:space="preserve"> Pre sporiteľa to znamená, že namiesto príspevku na jeho</w:t>
            </w:r>
            <w:r>
              <w:rPr>
                <w:rFonts w:ascii="Times New Roman" w:eastAsia="Times New Roman" w:hAnsi="Times New Roman" w:cs="Times New Roman"/>
                <w:sz w:val="20"/>
                <w:szCs w:val="20"/>
                <w:lang w:eastAsia="sk-SK"/>
              </w:rPr>
              <w:t xml:space="preserve"> osobný dôchodkový</w:t>
            </w:r>
            <w:r w:rsidRPr="00DC4011">
              <w:rPr>
                <w:rFonts w:ascii="Times New Roman" w:eastAsia="Times New Roman" w:hAnsi="Times New Roman" w:cs="Times New Roman"/>
                <w:sz w:val="20"/>
                <w:szCs w:val="20"/>
                <w:lang w:eastAsia="sk-SK"/>
              </w:rPr>
              <w:t xml:space="preserve"> účet v II. pilieri získa vyšší nárok v I. pilieri, keďže ten nepodlieha kráteniu. </w:t>
            </w:r>
            <w:r w:rsidR="00D943B7" w:rsidRPr="00D943B7">
              <w:rPr>
                <w:rFonts w:ascii="Times New Roman" w:eastAsia="Times New Roman" w:hAnsi="Times New Roman" w:cs="Times New Roman"/>
                <w:sz w:val="20"/>
                <w:szCs w:val="20"/>
                <w:lang w:eastAsia="sk-SK"/>
              </w:rPr>
              <w:t>Tento prístup zachováva zásadu, že v II. pilieri sa nárok odvíja len od skutočne zaplatených príspevkov, kým v I. pilieri sa zohľadňujú aj obdobia starostlivosti, hoci sa za ne poistné neplatí.</w:t>
            </w:r>
          </w:p>
          <w:p w:rsidR="00DC4011" w:rsidRDefault="00DC4011" w:rsidP="00DC4011">
            <w:pPr>
              <w:jc w:val="both"/>
              <w:rPr>
                <w:rFonts w:ascii="Times New Roman" w:eastAsia="Times New Roman" w:hAnsi="Times New Roman" w:cs="Times New Roman"/>
                <w:sz w:val="20"/>
                <w:szCs w:val="20"/>
                <w:lang w:eastAsia="sk-SK"/>
              </w:rPr>
            </w:pPr>
          </w:p>
          <w:p w:rsidR="00DC4011" w:rsidRPr="00AA6C80" w:rsidRDefault="005B41DC" w:rsidP="00DC4011">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kontexte uvedeného zvolené riešenie najvhodnejším spôsobom zabezpečuje zohľadnenie celoživotných zárobkov pri výpočte dôchodkov pre osoby, ktoré sa starali o dieťa.</w:t>
            </w:r>
          </w:p>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rsidTr="000800FC">
        <w:tc>
          <w:tcPr>
            <w:tcW w:w="6203" w:type="dxa"/>
            <w:gridSpan w:val="7"/>
            <w:tcBorders>
              <w:top w:val="single" w:sz="4" w:space="0" w:color="FFFFFF"/>
              <w:left w:val="single" w:sz="4" w:space="0" w:color="auto"/>
              <w:bottom w:val="nil"/>
              <w:right w:val="nil"/>
            </w:tcBorders>
            <w:shd w:val="clear" w:color="auto" w:fill="FFFFFF"/>
          </w:tcPr>
          <w:p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612E08" w:rsidRDefault="00EB2658"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CB608E">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612E08" w:rsidRDefault="00EB265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CB608E">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CB608E" w:rsidRDefault="00CB608E" w:rsidP="000800FC">
            <w:pPr>
              <w:rPr>
                <w:rFonts w:ascii="Times New Roman" w:eastAsia="Times New Roman" w:hAnsi="Times New Roman" w:cs="Times New Roman"/>
                <w:i/>
                <w:sz w:val="20"/>
                <w:szCs w:val="20"/>
                <w:lang w:eastAsia="sk-SK"/>
              </w:rPr>
            </w:pPr>
          </w:p>
          <w:p w:rsidR="00CC0D5F" w:rsidRDefault="00CB608E" w:rsidP="00CC0D5F">
            <w:pPr>
              <w:pStyle w:val="Odsekzoznamu"/>
              <w:numPr>
                <w:ilvl w:val="0"/>
                <w:numId w:val="4"/>
              </w:numPr>
              <w:jc w:val="both"/>
              <w:rPr>
                <w:rFonts w:ascii="Times New Roman" w:eastAsia="Times New Roman" w:hAnsi="Times New Roman" w:cs="Times New Roman"/>
                <w:sz w:val="20"/>
                <w:szCs w:val="20"/>
                <w:lang w:eastAsia="sk-SK"/>
              </w:rPr>
            </w:pPr>
            <w:r w:rsidRPr="00CC0D5F">
              <w:rPr>
                <w:rFonts w:ascii="Times New Roman" w:eastAsia="Times New Roman" w:hAnsi="Times New Roman" w:cs="Times New Roman"/>
                <w:sz w:val="20"/>
                <w:szCs w:val="20"/>
                <w:lang w:eastAsia="sk-SK"/>
              </w:rPr>
              <w:t>Vyhláška č. 392/2004 Z. z. Ministerstva práce, sociálnych vecí a rodiny Slovenskej republiky</w:t>
            </w:r>
            <w:r w:rsidR="003848CF">
              <w:rPr>
                <w:rFonts w:ascii="Times New Roman" w:eastAsia="Times New Roman" w:hAnsi="Times New Roman" w:cs="Times New Roman"/>
                <w:sz w:val="20"/>
                <w:szCs w:val="20"/>
                <w:lang w:eastAsia="sk-SK"/>
              </w:rPr>
              <w:t>,</w:t>
            </w:r>
            <w:r w:rsidRPr="00CC0D5F">
              <w:rPr>
                <w:rFonts w:ascii="Times New Roman" w:eastAsia="Times New Roman" w:hAnsi="Times New Roman" w:cs="Times New Roman"/>
                <w:sz w:val="20"/>
                <w:szCs w:val="20"/>
                <w:lang w:eastAsia="sk-SK"/>
              </w:rPr>
              <w:t xml:space="preserve"> ktorou sa</w:t>
            </w:r>
            <w:r w:rsidR="00F27F3F" w:rsidRPr="00CC0D5F">
              <w:rPr>
                <w:rFonts w:ascii="Times New Roman" w:eastAsia="Times New Roman" w:hAnsi="Times New Roman" w:cs="Times New Roman"/>
                <w:sz w:val="20"/>
                <w:szCs w:val="20"/>
                <w:lang w:eastAsia="sk-SK"/>
              </w:rPr>
              <w:t xml:space="preserve"> </w:t>
            </w:r>
            <w:r w:rsidRPr="00CC0D5F">
              <w:rPr>
                <w:rFonts w:ascii="Times New Roman" w:eastAsia="Times New Roman" w:hAnsi="Times New Roman" w:cs="Times New Roman"/>
                <w:sz w:val="20"/>
                <w:szCs w:val="20"/>
                <w:lang w:eastAsia="sk-SK"/>
              </w:rPr>
              <w:t xml:space="preserve"> ustanovuje vzor dôchodkovej prognózy</w:t>
            </w:r>
            <w:r w:rsidR="00CC0D5F" w:rsidRPr="00CC0D5F">
              <w:rPr>
                <w:rFonts w:ascii="Times New Roman" w:eastAsia="Times New Roman" w:hAnsi="Times New Roman" w:cs="Times New Roman"/>
                <w:sz w:val="20"/>
                <w:szCs w:val="20"/>
                <w:lang w:eastAsia="sk-SK"/>
              </w:rPr>
              <w:t>;</w:t>
            </w:r>
          </w:p>
          <w:p w:rsidR="00CC0D5F" w:rsidRPr="00CC0D5F" w:rsidRDefault="00CC0D5F" w:rsidP="00CC0D5F">
            <w:pPr>
              <w:pStyle w:val="Odsekzoznamu"/>
              <w:numPr>
                <w:ilvl w:val="0"/>
                <w:numId w:val="4"/>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Výnos Ministerstva práce, sociálnych vecí a rodiny Slovenskej republiky z 21. marca 2005, o zúčtovaní poistného na starobné poistenie a príspevkov na starobné dôchodkové sporenie, poistného na invalidné poistenie a poistného do rezervného fondu solidarity plateného štátom</w:t>
            </w:r>
            <w:r w:rsidR="00AD6C39">
              <w:rPr>
                <w:rFonts w:ascii="Times New Roman" w:eastAsia="Times New Roman" w:hAnsi="Times New Roman" w:cs="Times New Roman"/>
                <w:sz w:val="20"/>
                <w:szCs w:val="20"/>
                <w:lang w:eastAsia="sk-SK"/>
              </w:rPr>
              <w:t>.</w:t>
            </w:r>
          </w:p>
          <w:p w:rsidR="00CB608E" w:rsidRPr="00CB608E" w:rsidRDefault="00F27F3F" w:rsidP="00F27F3F">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p w:rsidR="001B23B7" w:rsidRPr="00612E08" w:rsidRDefault="001B23B7" w:rsidP="000800FC">
            <w:pP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trPr>
                <w:trHeight w:val="90"/>
              </w:trPr>
              <w:tc>
                <w:tcPr>
                  <w:tcW w:w="8643" w:type="dxa"/>
                </w:tcPr>
                <w:p w:rsidR="00A7788F" w:rsidRPr="00612E08" w:rsidRDefault="00A7788F" w:rsidP="007C5312">
                  <w:pPr>
                    <w:pStyle w:val="Default"/>
                    <w:rPr>
                      <w:color w:val="auto"/>
                      <w:sz w:val="20"/>
                      <w:szCs w:val="20"/>
                    </w:rPr>
                  </w:pPr>
                  <w:r w:rsidRPr="00612E08">
                    <w:rPr>
                      <w:i/>
                      <w:iCs/>
                      <w:color w:val="auto"/>
                      <w:sz w:val="20"/>
                      <w:szCs w:val="20"/>
                    </w:rPr>
                    <w:t>Uveďte, či v predkladanom návrhu právneho predpisu dochádza ku goldplatingu</w:t>
                  </w:r>
                  <w:r w:rsidR="007C5312" w:rsidRPr="00612E08">
                    <w:rPr>
                      <w:i/>
                      <w:iCs/>
                      <w:color w:val="auto"/>
                      <w:sz w:val="20"/>
                      <w:szCs w:val="20"/>
                    </w:rPr>
                    <w:t xml:space="preserve"> podľa tabuľky zhody</w:t>
                  </w:r>
                  <w:r w:rsidR="00C86714" w:rsidRPr="00612E08">
                    <w:rPr>
                      <w:i/>
                      <w:iCs/>
                      <w:color w:val="auto"/>
                      <w:sz w:val="20"/>
                      <w:szCs w:val="20"/>
                    </w:rPr>
                    <w:t>, resp. či ku goldplatingu dochádza pri implementácii práva EÚ</w:t>
                  </w:r>
                  <w:r w:rsidRPr="00612E08">
                    <w:rPr>
                      <w:i/>
                      <w:iCs/>
                      <w:color w:val="auto"/>
                      <w:sz w:val="20"/>
                      <w:szCs w:val="20"/>
                    </w:rPr>
                    <w:t xml:space="preserve">. </w:t>
                  </w:r>
                </w:p>
              </w:tc>
            </w:tr>
            <w:tr w:rsidR="00612E08" w:rsidRPr="00612E08">
              <w:trPr>
                <w:trHeight w:val="296"/>
              </w:trPr>
              <w:tc>
                <w:tcPr>
                  <w:tcW w:w="8643" w:type="dxa"/>
                </w:tcPr>
                <w:p w:rsidR="00A7788F" w:rsidRPr="00612E08" w:rsidRDefault="00A7788F" w:rsidP="00A7788F">
                  <w:pPr>
                    <w:pStyle w:val="Default"/>
                    <w:rPr>
                      <w:b/>
                      <w:iCs/>
                      <w:color w:val="auto"/>
                      <w:sz w:val="20"/>
                      <w:szCs w:val="20"/>
                    </w:rPr>
                  </w:pPr>
                  <w:r w:rsidRPr="00612E08">
                    <w:rPr>
                      <w:b/>
                      <w:iCs/>
                      <w:color w:val="auto"/>
                      <w:sz w:val="20"/>
                      <w:szCs w:val="20"/>
                    </w:rPr>
                    <w:lastRenderedPageBreak/>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C216A8">
                        <w:rPr>
                          <w:rFonts w:ascii="MS Gothic" w:eastAsia="MS Gothic" w:hAnsi="MS Gothic" w:hint="eastAsia"/>
                          <w:b/>
                          <w:iCs/>
                          <w:color w:val="auto"/>
                          <w:sz w:val="20"/>
                          <w:szCs w:val="20"/>
                        </w:rPr>
                        <w:t>☒</w:t>
                      </w:r>
                    </w:sdtContent>
                  </w:sdt>
                  <w:r w:rsidRPr="00612E08">
                    <w:rPr>
                      <w:b/>
                      <w:iCs/>
                      <w:color w:val="auto"/>
                      <w:sz w:val="20"/>
                      <w:szCs w:val="20"/>
                    </w:rPr>
                    <w:t xml:space="preserve"> Nie</w:t>
                  </w:r>
                </w:p>
                <w:p w:rsidR="00A7788F" w:rsidRPr="00612E08" w:rsidRDefault="00A7788F" w:rsidP="00A7788F">
                  <w:pPr>
                    <w:pStyle w:val="Default"/>
                    <w:rPr>
                      <w:i/>
                      <w:iCs/>
                      <w:color w:val="auto"/>
                      <w:sz w:val="20"/>
                      <w:szCs w:val="20"/>
                    </w:rPr>
                  </w:pPr>
                </w:p>
                <w:p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goldplating týka: </w:t>
                  </w:r>
                </w:p>
              </w:tc>
            </w:tr>
            <w:tr w:rsidR="00612E08" w:rsidRPr="00612E08">
              <w:trPr>
                <w:trHeight w:val="296"/>
              </w:trPr>
              <w:tc>
                <w:tcPr>
                  <w:tcW w:w="8643" w:type="dxa"/>
                </w:tcPr>
                <w:p w:rsidR="00A7788F" w:rsidRPr="00612E08" w:rsidRDefault="00A7788F" w:rsidP="00A7788F">
                  <w:pPr>
                    <w:pStyle w:val="Default"/>
                    <w:rPr>
                      <w:rFonts w:ascii="Segoe UI Symbol" w:hAnsi="Segoe UI Symbol" w:cs="Segoe UI Symbol"/>
                      <w:color w:val="auto"/>
                      <w:sz w:val="20"/>
                      <w:szCs w:val="20"/>
                    </w:rPr>
                  </w:pPr>
                </w:p>
              </w:tc>
            </w:tr>
          </w:tbl>
          <w:p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C216A8" w:rsidRDefault="00C216A8" w:rsidP="00C216A8">
            <w:pPr>
              <w:jc w:val="both"/>
              <w:rPr>
                <w:rFonts w:ascii="Times New Roman" w:eastAsia="Times New Roman" w:hAnsi="Times New Roman" w:cs="Times New Roman"/>
                <w:sz w:val="20"/>
                <w:szCs w:val="20"/>
                <w:lang w:eastAsia="sk-SK"/>
              </w:rPr>
            </w:pPr>
            <w:r w:rsidRPr="00C216A8">
              <w:rPr>
                <w:rFonts w:ascii="Times New Roman" w:eastAsia="Times New Roman" w:hAnsi="Times New Roman" w:cs="Times New Roman"/>
                <w:sz w:val="20"/>
                <w:szCs w:val="20"/>
                <w:lang w:eastAsia="sk-SK"/>
              </w:rPr>
              <w:t>Návrh zákona je posúdený ako účelný, keďže navrhované mechanizmy priamo reagujú na identifikované problémy v systéme sociálneho poistenia. Úprava je cielená, systémovo konzistentná a zabezpečuje, že obdobia starostlivosti nebudú znižovať dôchodkové nároky, pričom rešpektuje princíp zásluhovosti a odstraňuje bariéry pre čiastočnú participáciu na trhu práce. Zavedenie porovnávacieho výpočtu zároveň garantuje ochranu poistenca pred akýmkoľvek znevýhodnením oproti súčasnému stavu.</w:t>
            </w:r>
            <w:r w:rsidR="00A57D79">
              <w:rPr>
                <w:rFonts w:ascii="Times New Roman" w:eastAsia="Times New Roman" w:hAnsi="Times New Roman" w:cs="Times New Roman"/>
                <w:sz w:val="20"/>
                <w:szCs w:val="20"/>
                <w:lang w:eastAsia="sk-SK"/>
              </w:rPr>
              <w:t xml:space="preserve"> </w:t>
            </w:r>
          </w:p>
          <w:p w:rsidR="00C216A8" w:rsidRPr="00C216A8" w:rsidRDefault="00C216A8" w:rsidP="00C216A8">
            <w:pPr>
              <w:jc w:val="both"/>
              <w:rPr>
                <w:rFonts w:ascii="Times New Roman" w:eastAsia="Times New Roman" w:hAnsi="Times New Roman" w:cs="Times New Roman"/>
                <w:sz w:val="20"/>
                <w:szCs w:val="20"/>
                <w:lang w:eastAsia="sk-SK"/>
              </w:rPr>
            </w:pPr>
            <w:r w:rsidRPr="00C216A8">
              <w:rPr>
                <w:rFonts w:ascii="Times New Roman" w:eastAsia="Times New Roman" w:hAnsi="Times New Roman" w:cs="Times New Roman"/>
                <w:sz w:val="20"/>
                <w:szCs w:val="20"/>
                <w:lang w:eastAsia="sk-SK"/>
              </w:rPr>
              <w:t>Preskúmanie účelnosti a úči</w:t>
            </w:r>
            <w:r w:rsidR="00535FF4">
              <w:rPr>
                <w:rFonts w:ascii="Times New Roman" w:eastAsia="Times New Roman" w:hAnsi="Times New Roman" w:cs="Times New Roman"/>
                <w:sz w:val="20"/>
                <w:szCs w:val="20"/>
                <w:lang w:eastAsia="sk-SK"/>
              </w:rPr>
              <w:t>nnosti nebude jednorazovou aktivitou</w:t>
            </w:r>
            <w:r w:rsidRPr="00C216A8">
              <w:rPr>
                <w:rFonts w:ascii="Times New Roman" w:eastAsia="Times New Roman" w:hAnsi="Times New Roman" w:cs="Times New Roman"/>
                <w:sz w:val="20"/>
                <w:szCs w:val="20"/>
                <w:lang w:eastAsia="sk-SK"/>
              </w:rPr>
              <w:t>, ale bude prebiehať priebežne. Vyhodnotenie dopadov bude integrovanou súčasťou štandardných monitorovacích mechanizmov a strategických dokumentov, ako sú napríklad Správa o primeranosti dôchodkov alebo</w:t>
            </w:r>
            <w:r w:rsidR="00535FF4">
              <w:rPr>
                <w:rFonts w:ascii="Times New Roman" w:eastAsia="Times New Roman" w:hAnsi="Times New Roman" w:cs="Times New Roman"/>
                <w:sz w:val="20"/>
                <w:szCs w:val="20"/>
                <w:lang w:eastAsia="sk-SK"/>
              </w:rPr>
              <w:t xml:space="preserve"> Správa o starnutí</w:t>
            </w:r>
            <w:r w:rsidRPr="00C216A8">
              <w:rPr>
                <w:rFonts w:ascii="Times New Roman" w:eastAsia="Times New Roman" w:hAnsi="Times New Roman" w:cs="Times New Roman"/>
                <w:sz w:val="20"/>
                <w:szCs w:val="20"/>
                <w:lang w:eastAsia="sk-SK"/>
              </w:rPr>
              <w:t xml:space="preserve">, ktoré pravidelne pripravuje </w:t>
            </w:r>
            <w:r w:rsidR="00535FF4">
              <w:rPr>
                <w:rFonts w:ascii="Times New Roman" w:eastAsia="Times New Roman" w:hAnsi="Times New Roman" w:cs="Times New Roman"/>
                <w:sz w:val="20"/>
                <w:szCs w:val="20"/>
                <w:lang w:eastAsia="sk-SK"/>
              </w:rPr>
              <w:t xml:space="preserve">Európska komisia </w:t>
            </w:r>
            <w:r w:rsidRPr="00C216A8">
              <w:rPr>
                <w:rFonts w:ascii="Times New Roman" w:eastAsia="Times New Roman" w:hAnsi="Times New Roman" w:cs="Times New Roman"/>
                <w:sz w:val="20"/>
                <w:szCs w:val="20"/>
                <w:lang w:eastAsia="sk-SK"/>
              </w:rPr>
              <w:t>a ďalšie relevantné inštitúcie.</w:t>
            </w:r>
          </w:p>
          <w:p w:rsidR="00C216A8" w:rsidRPr="00C216A8" w:rsidRDefault="00C216A8" w:rsidP="00C216A8">
            <w:pPr>
              <w:jc w:val="both"/>
              <w:rPr>
                <w:rFonts w:ascii="Times New Roman" w:eastAsia="Times New Roman" w:hAnsi="Times New Roman" w:cs="Times New Roman"/>
                <w:sz w:val="20"/>
                <w:szCs w:val="20"/>
                <w:lang w:eastAsia="sk-SK"/>
              </w:rPr>
            </w:pPr>
            <w:r w:rsidRPr="00C216A8">
              <w:rPr>
                <w:rFonts w:ascii="Times New Roman" w:eastAsia="Times New Roman" w:hAnsi="Times New Roman" w:cs="Times New Roman"/>
                <w:sz w:val="20"/>
                <w:szCs w:val="20"/>
                <w:lang w:eastAsia="sk-SK"/>
              </w:rPr>
              <w:t xml:space="preserve">V rámci týchto materiálov sa budú analyzovať kľúčové ukazovatele, ako sú vplyv na výšku dôchodkov dotknutých skupín, zmeny v správaní poistencov na trhu práce a celkové fiškálne dopady </w:t>
            </w:r>
            <w:r w:rsidR="00535FF4">
              <w:rPr>
                <w:rFonts w:ascii="Times New Roman" w:eastAsia="Times New Roman" w:hAnsi="Times New Roman" w:cs="Times New Roman"/>
                <w:sz w:val="20"/>
                <w:szCs w:val="20"/>
                <w:lang w:eastAsia="sk-SK"/>
              </w:rPr>
              <w:t xml:space="preserve">opatrenia </w:t>
            </w:r>
            <w:r w:rsidRPr="00C216A8">
              <w:rPr>
                <w:rFonts w:ascii="Times New Roman" w:eastAsia="Times New Roman" w:hAnsi="Times New Roman" w:cs="Times New Roman"/>
                <w:sz w:val="20"/>
                <w:szCs w:val="20"/>
                <w:lang w:eastAsia="sk-SK"/>
              </w:rPr>
              <w:t xml:space="preserve"> </w:t>
            </w:r>
            <w:r w:rsidR="00535FF4">
              <w:rPr>
                <w:rFonts w:ascii="Times New Roman" w:eastAsia="Times New Roman" w:hAnsi="Times New Roman" w:cs="Times New Roman"/>
                <w:sz w:val="20"/>
                <w:szCs w:val="20"/>
                <w:lang w:eastAsia="sk-SK"/>
              </w:rPr>
              <w:t>n</w:t>
            </w:r>
            <w:r w:rsidRPr="00C216A8">
              <w:rPr>
                <w:rFonts w:ascii="Times New Roman" w:eastAsia="Times New Roman" w:hAnsi="Times New Roman" w:cs="Times New Roman"/>
                <w:sz w:val="20"/>
                <w:szCs w:val="20"/>
                <w:lang w:eastAsia="sk-SK"/>
              </w:rPr>
              <w:t>a verejné financie.</w:t>
            </w:r>
          </w:p>
          <w:p w:rsidR="00C216A8" w:rsidRPr="00C216A8" w:rsidRDefault="00C216A8" w:rsidP="00C216A8">
            <w:pPr>
              <w:jc w:val="both"/>
              <w:rPr>
                <w:rFonts w:ascii="Times New Roman" w:eastAsia="Times New Roman" w:hAnsi="Times New Roman" w:cs="Times New Roman"/>
                <w:sz w:val="20"/>
                <w:szCs w:val="20"/>
                <w:lang w:eastAsia="sk-SK"/>
              </w:rPr>
            </w:pPr>
          </w:p>
        </w:tc>
      </w:tr>
      <w:tr w:rsidR="00612E08" w:rsidRPr="00612E08" w:rsidTr="000800FC">
        <w:tc>
          <w:tcPr>
            <w:tcW w:w="9180" w:type="dxa"/>
            <w:gridSpan w:val="11"/>
            <w:tcBorders>
              <w:top w:val="nil"/>
              <w:left w:val="nil"/>
              <w:bottom w:val="single" w:sz="4" w:space="0" w:color="auto"/>
              <w:right w:val="nil"/>
            </w:tcBorders>
            <w:shd w:val="clear" w:color="auto" w:fill="FFFFFF"/>
          </w:tcPr>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p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612E08" w:rsidRDefault="004C6831" w:rsidP="00A7788F">
            <w:pPr>
              <w:jc w:val="both"/>
              <w:rPr>
                <w:rFonts w:ascii="Times New Roman" w:eastAsia="Times New Roman" w:hAnsi="Times New Roman" w:cs="Times New Roman"/>
                <w:sz w:val="20"/>
                <w:szCs w:val="20"/>
                <w:lang w:eastAsia="sk-SK"/>
              </w:rPr>
            </w:pPr>
          </w:p>
          <w:p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612E08" w:rsidRDefault="00C216A8"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612E08" w:rsidRDefault="00203EE3" w:rsidP="000800F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612E08" w:rsidRDefault="00C216A8"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612E08" w:rsidRDefault="00E06729"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F50F61">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4C6831">
        <w:tc>
          <w:tcPr>
            <w:tcW w:w="3812" w:type="dxa"/>
            <w:tcBorders>
              <w:top w:val="nil"/>
              <w:left w:val="single" w:sz="4" w:space="0" w:color="auto"/>
              <w:bottom w:val="nil"/>
              <w:right w:val="single" w:sz="4" w:space="0" w:color="auto"/>
            </w:tcBorders>
            <w:shd w:val="clear" w:color="auto" w:fill="E2E2E2"/>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612E08" w:rsidRDefault="00C216A8"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nil"/>
              <w:left w:val="single" w:sz="4" w:space="0" w:color="auto"/>
              <w:bottom w:val="single" w:sz="4" w:space="0" w:color="auto"/>
              <w:right w:val="single" w:sz="4" w:space="0" w:color="auto"/>
            </w:tcBorders>
            <w:shd w:val="clear" w:color="auto" w:fill="E2E2E2"/>
          </w:tcPr>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612E08" w:rsidRDefault="00C216A8" w:rsidP="001B4FB5">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F50F61"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F50F61" w:rsidP="007F587A">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A7788F">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587A" w:rsidRPr="00612E08" w:rsidRDefault="00C216A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203EE3">
        <w:tc>
          <w:tcPr>
            <w:tcW w:w="3812" w:type="dxa"/>
            <w:tcBorders>
              <w:top w:val="nil"/>
              <w:left w:val="single" w:sz="4" w:space="0" w:color="000000"/>
              <w:bottom w:val="nil"/>
              <w:right w:val="single" w:sz="4" w:space="0" w:color="000000"/>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587A" w:rsidRPr="00612E08" w:rsidRDefault="00E06729"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rsidTr="00203EE3">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587A" w:rsidRPr="00612E08" w:rsidRDefault="00E06729"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C216A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single" w:sz="4" w:space="0" w:color="auto"/>
              <w:left w:val="single" w:sz="4" w:space="0" w:color="auto"/>
              <w:bottom w:val="nil"/>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C216A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CD6E04">
        <w:tc>
          <w:tcPr>
            <w:tcW w:w="3812" w:type="dxa"/>
            <w:tcBorders>
              <w:top w:val="nil"/>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sz w:val="20"/>
                <w:szCs w:val="20"/>
                <w:lang w:eastAsia="sk-SK"/>
              </w:rPr>
            </w:pPr>
          </w:p>
          <w:p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587A" w:rsidRPr="00612E08" w:rsidRDefault="00C216A8"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lastRenderedPageBreak/>
              <w:t>Vplyvy na služby verejnej správy pre občana, z</w:t>
            </w:r>
            <w:r w:rsidR="00ED4C8A">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C216A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C216A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ED4C8A">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C216A8"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A0896" w:rsidP="001A0896">
            <w:pPr>
              <w:ind w:left="22"/>
              <w:contextualSpacing/>
              <w:jc w:val="both"/>
              <w:rPr>
                <w:rFonts w:ascii="Times New Roman" w:eastAsia="Times New Roman" w:hAnsi="Times New Roman" w:cs="Times New Roman"/>
                <w:sz w:val="20"/>
                <w:szCs w:val="20"/>
                <w:lang w:eastAsia="sk-SK"/>
              </w:rPr>
            </w:pPr>
            <w:r w:rsidRPr="001A0896">
              <w:rPr>
                <w:rFonts w:ascii="Times New Roman" w:eastAsia="Times New Roman" w:hAnsi="Times New Roman" w:cs="Times New Roman"/>
                <w:sz w:val="20"/>
                <w:szCs w:val="20"/>
                <w:lang w:eastAsia="sk-SK"/>
              </w:rPr>
              <w:t>Predkladaný návrh zákona má identifikované priame</w:t>
            </w:r>
            <w:r>
              <w:rPr>
                <w:rFonts w:ascii="Times New Roman" w:eastAsia="Times New Roman" w:hAnsi="Times New Roman" w:cs="Times New Roman"/>
                <w:sz w:val="20"/>
                <w:szCs w:val="20"/>
                <w:lang w:eastAsia="sk-SK"/>
              </w:rPr>
              <w:t xml:space="preserve"> sociálne vplyvy, tiež vplyvy  na rozpočet verejnej správy,</w:t>
            </w:r>
            <w:r w:rsidRPr="001A0896">
              <w:rPr>
                <w:rFonts w:ascii="Times New Roman" w:eastAsia="Times New Roman" w:hAnsi="Times New Roman" w:cs="Times New Roman"/>
                <w:sz w:val="20"/>
                <w:szCs w:val="20"/>
                <w:lang w:eastAsia="sk-SK"/>
              </w:rPr>
              <w:t xml:space="preserve"> na podnikateľské prostredie</w:t>
            </w:r>
            <w:r>
              <w:rPr>
                <w:rFonts w:ascii="Times New Roman" w:eastAsia="Times New Roman" w:hAnsi="Times New Roman" w:cs="Times New Roman"/>
                <w:sz w:val="20"/>
                <w:szCs w:val="20"/>
                <w:lang w:eastAsia="sk-SK"/>
              </w:rPr>
              <w:t>, na informatizáciu spoločnosti a vplyvy na manželstvo, rodičovstvo a rodinu</w:t>
            </w:r>
            <w:r w:rsidRPr="001A0896">
              <w:rPr>
                <w:rFonts w:ascii="Times New Roman" w:eastAsia="Times New Roman" w:hAnsi="Times New Roman" w:cs="Times New Roman"/>
                <w:sz w:val="20"/>
                <w:szCs w:val="20"/>
                <w:lang w:eastAsia="sk-SK"/>
              </w:rPr>
              <w:t>. Podrobná špecifikácia a kvantifikácia týchto vplyvov je predmetom príslušných samostatných analýz, ktoré tvoria súčasť tejto doložky.</w:t>
            </w:r>
          </w:p>
          <w:p w:rsidR="001A0896" w:rsidRPr="001A0896" w:rsidRDefault="001A0896" w:rsidP="001A0896">
            <w:pPr>
              <w:ind w:left="22"/>
              <w:contextualSpacing/>
              <w:jc w:val="both"/>
              <w:rPr>
                <w:rFonts w:ascii="Times New Roman" w:eastAsia="Calibri" w:hAnsi="Times New Roman" w:cs="Times New Roman"/>
                <w:b/>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3799E" w:rsidRDefault="0023799E" w:rsidP="001A089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Ing. Jaroslav Hudcovský, PhD. </w:t>
            </w:r>
          </w:p>
          <w:p w:rsidR="0023799E" w:rsidRDefault="0023799E" w:rsidP="001A089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Odbor analýz/Sekcia sociálneho poistenia a dôchodkového sporenia</w:t>
            </w:r>
          </w:p>
          <w:p w:rsidR="001A0896" w:rsidRPr="00136B7E" w:rsidRDefault="001A0896" w:rsidP="001A0896">
            <w:pPr>
              <w:rPr>
                <w:rFonts w:ascii="Times New Roman" w:eastAsia="Times New Roman" w:hAnsi="Times New Roman" w:cs="Times New Roman"/>
                <w:sz w:val="20"/>
                <w:szCs w:val="20"/>
                <w:lang w:eastAsia="sk-SK"/>
              </w:rPr>
            </w:pPr>
            <w:r w:rsidRPr="00136B7E">
              <w:rPr>
                <w:rFonts w:ascii="Times New Roman" w:eastAsia="Times New Roman" w:hAnsi="Times New Roman" w:cs="Times New Roman"/>
                <w:sz w:val="20"/>
                <w:szCs w:val="20"/>
                <w:lang w:eastAsia="sk-SK"/>
              </w:rPr>
              <w:t xml:space="preserve">email: </w:t>
            </w:r>
            <w:hyperlink r:id="rId9" w:history="1">
              <w:r w:rsidRPr="001A0896">
                <w:rPr>
                  <w:rStyle w:val="Hypertextovprepojenie"/>
                  <w:rFonts w:ascii="Times New Roman" w:eastAsia="Times New Roman" w:hAnsi="Times New Roman" w:cs="Times New Roman"/>
                  <w:color w:val="auto"/>
                  <w:sz w:val="20"/>
                  <w:szCs w:val="20"/>
                  <w:u w:val="none"/>
                  <w:lang w:eastAsia="sk-SK"/>
                </w:rPr>
                <w:t>jaroslav.hudcovsky@employment.gov.sk</w:t>
              </w:r>
            </w:hyperlink>
            <w:r w:rsidRPr="001A0896">
              <w:rPr>
                <w:rStyle w:val="Hypertextovprepojenie"/>
                <w:rFonts w:ascii="Times New Roman" w:eastAsia="Times New Roman" w:hAnsi="Times New Roman" w:cs="Times New Roman"/>
                <w:color w:val="auto"/>
                <w:sz w:val="20"/>
                <w:szCs w:val="20"/>
                <w:lang w:eastAsia="sk-SK"/>
              </w:rPr>
              <w:t xml:space="preserve"> </w:t>
            </w:r>
          </w:p>
          <w:p w:rsidR="001A0896" w:rsidRPr="001A0896" w:rsidRDefault="001A0896" w:rsidP="001A0896">
            <w:pPr>
              <w:rPr>
                <w:rFonts w:ascii="Times New Roman" w:eastAsia="Times New Roman" w:hAnsi="Times New Roman" w:cs="Times New Roman"/>
                <w:sz w:val="20"/>
                <w:szCs w:val="20"/>
                <w:lang w:eastAsia="sk-SK"/>
              </w:rPr>
            </w:pPr>
            <w:r w:rsidRPr="00136B7E">
              <w:rPr>
                <w:rFonts w:ascii="Times New Roman" w:eastAsia="Times New Roman" w:hAnsi="Times New Roman" w:cs="Times New Roman"/>
                <w:sz w:val="20"/>
                <w:szCs w:val="20"/>
                <w:lang w:eastAsia="sk-SK"/>
              </w:rPr>
              <w:t>tel. číslo: 02/2046 1925</w:t>
            </w: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AF0C72" w:rsidRDefault="00AF0C72" w:rsidP="00AF0C72">
            <w:pPr>
              <w:jc w:val="both"/>
              <w:rPr>
                <w:rFonts w:ascii="Times New Roman" w:eastAsia="Times New Roman" w:hAnsi="Times New Roman" w:cs="Times New Roman"/>
                <w:sz w:val="20"/>
                <w:szCs w:val="20"/>
                <w:lang w:eastAsia="sk-SK"/>
              </w:rPr>
            </w:pPr>
            <w:r w:rsidRPr="00AF0C72">
              <w:rPr>
                <w:rFonts w:ascii="Times New Roman" w:eastAsia="Times New Roman" w:hAnsi="Times New Roman" w:cs="Times New Roman"/>
                <w:sz w:val="20"/>
                <w:szCs w:val="20"/>
                <w:lang w:eastAsia="sk-SK"/>
              </w:rPr>
              <w:t xml:space="preserve">Vypracovanie návrhu zákona a príslušných analýz vplyvov vychádzalo z dátových podkladov Sociálnej poisťovne a Ústredia práce, sociálnych vecí a rodiny. </w:t>
            </w:r>
            <w:r>
              <w:rPr>
                <w:rFonts w:ascii="Times New Roman" w:eastAsia="Times New Roman" w:hAnsi="Times New Roman" w:cs="Times New Roman"/>
                <w:sz w:val="20"/>
                <w:szCs w:val="20"/>
                <w:lang w:eastAsia="sk-SK"/>
              </w:rPr>
              <w:t>M</w:t>
            </w:r>
            <w:r w:rsidRPr="00AF0C72">
              <w:rPr>
                <w:rFonts w:ascii="Times New Roman" w:eastAsia="Times New Roman" w:hAnsi="Times New Roman" w:cs="Times New Roman"/>
                <w:sz w:val="20"/>
                <w:szCs w:val="20"/>
                <w:lang w:eastAsia="sk-SK"/>
              </w:rPr>
              <w:t xml:space="preserve">ikrodátové súbory Sociálnej poisťovne poskytli údaje o individuálnych vymeriavacích základoch a dĺžke období poistenia plateného štátom, ktoré boli využité pri modelovaní a kvantifikácii dopadov na dôchodkový systém. </w:t>
            </w:r>
            <w:r>
              <w:rPr>
                <w:rFonts w:ascii="Times New Roman" w:eastAsia="Times New Roman" w:hAnsi="Times New Roman" w:cs="Times New Roman"/>
                <w:sz w:val="20"/>
                <w:szCs w:val="20"/>
                <w:lang w:eastAsia="sk-SK"/>
              </w:rPr>
              <w:t>Mikro</w:t>
            </w:r>
            <w:r w:rsidRPr="00AF0C72">
              <w:rPr>
                <w:rFonts w:ascii="Times New Roman" w:eastAsia="Times New Roman" w:hAnsi="Times New Roman" w:cs="Times New Roman"/>
                <w:sz w:val="20"/>
                <w:szCs w:val="20"/>
                <w:lang w:eastAsia="sk-SK"/>
              </w:rPr>
              <w:t>údaje z Ústredia práce, sociálnych vecí a rodiny obsahovali informácie o počtoch a štruktúre poberateľov rodičovského príspevku, peňažného príspevku na opatrovanie</w:t>
            </w:r>
            <w:r w:rsidR="00CE26C1">
              <w:rPr>
                <w:rFonts w:ascii="Times New Roman" w:eastAsia="Times New Roman" w:hAnsi="Times New Roman" w:cs="Times New Roman"/>
                <w:sz w:val="20"/>
                <w:szCs w:val="20"/>
                <w:lang w:eastAsia="sk-SK"/>
              </w:rPr>
              <w:t>,</w:t>
            </w:r>
            <w:r w:rsidRPr="00AF0C72">
              <w:rPr>
                <w:rFonts w:ascii="Times New Roman" w:eastAsia="Times New Roman" w:hAnsi="Times New Roman" w:cs="Times New Roman"/>
                <w:sz w:val="20"/>
                <w:szCs w:val="20"/>
                <w:lang w:eastAsia="sk-SK"/>
              </w:rPr>
              <w:t xml:space="preserve"> osôb vykonávajúcich osobnú asistenciu</w:t>
            </w:r>
            <w:r w:rsidR="00CE26C1">
              <w:rPr>
                <w:rFonts w:ascii="Times New Roman" w:eastAsia="Times New Roman" w:hAnsi="Times New Roman" w:cs="Times New Roman"/>
                <w:sz w:val="20"/>
                <w:szCs w:val="20"/>
                <w:lang w:eastAsia="sk-SK"/>
              </w:rPr>
              <w:t xml:space="preserve"> a poberateľov kompenzačného príspevku baníkom</w:t>
            </w:r>
            <w:r w:rsidRPr="00AF0C72">
              <w:rPr>
                <w:rFonts w:ascii="Times New Roman" w:eastAsia="Times New Roman" w:hAnsi="Times New Roman" w:cs="Times New Roman"/>
                <w:sz w:val="20"/>
                <w:szCs w:val="20"/>
                <w:lang w:eastAsia="sk-SK"/>
              </w:rPr>
              <w:t>, ktoré umožnili</w:t>
            </w:r>
            <w:r>
              <w:rPr>
                <w:rFonts w:ascii="Times New Roman" w:eastAsia="Times New Roman" w:hAnsi="Times New Roman" w:cs="Times New Roman"/>
                <w:sz w:val="20"/>
                <w:szCs w:val="20"/>
                <w:lang w:eastAsia="sk-SK"/>
              </w:rPr>
              <w:t xml:space="preserve"> </w:t>
            </w:r>
            <w:r w:rsidRPr="00AF0C72">
              <w:rPr>
                <w:rFonts w:ascii="Times New Roman" w:eastAsia="Times New Roman" w:hAnsi="Times New Roman" w:cs="Times New Roman"/>
                <w:sz w:val="20"/>
                <w:szCs w:val="20"/>
                <w:lang w:eastAsia="sk-SK"/>
              </w:rPr>
              <w:t>vymedzenie rozsahu dotknutých skupín osôb.</w:t>
            </w:r>
            <w:r w:rsidR="000C1953" w:rsidRPr="000C1953">
              <w:rPr>
                <w:rFonts w:ascii="Arial" w:hAnsi="Arial" w:cs="Arial"/>
                <w:color w:val="1A1C1E"/>
                <w:sz w:val="21"/>
                <w:szCs w:val="21"/>
                <w:shd w:val="clear" w:color="auto" w:fill="FFFFFF"/>
              </w:rPr>
              <w:t xml:space="preserve"> </w:t>
            </w:r>
            <w:r w:rsidR="000C1953" w:rsidRPr="000C1953">
              <w:rPr>
                <w:rFonts w:ascii="Times New Roman" w:eastAsia="Times New Roman" w:hAnsi="Times New Roman" w:cs="Times New Roman"/>
                <w:sz w:val="20"/>
                <w:szCs w:val="20"/>
                <w:lang w:eastAsia="sk-SK"/>
              </w:rPr>
              <w:t>Pre účely projekcií a kvantifikácie fiškálnych dopadov bola zároveň použitá makroekonomická prognóza Ministerstva financií S</w:t>
            </w:r>
            <w:r w:rsidR="00E06729">
              <w:rPr>
                <w:rFonts w:ascii="Times New Roman" w:eastAsia="Times New Roman" w:hAnsi="Times New Roman" w:cs="Times New Roman"/>
                <w:sz w:val="20"/>
                <w:szCs w:val="20"/>
                <w:lang w:eastAsia="sk-SK"/>
              </w:rPr>
              <w:t>lovenskej republiky</w:t>
            </w:r>
            <w:r w:rsidR="000C1953" w:rsidRPr="000C1953">
              <w:rPr>
                <w:rFonts w:ascii="Times New Roman" w:eastAsia="Times New Roman" w:hAnsi="Times New Roman" w:cs="Times New Roman"/>
                <w:sz w:val="20"/>
                <w:szCs w:val="20"/>
                <w:lang w:eastAsia="sk-SK"/>
              </w:rPr>
              <w:t xml:space="preserve"> z júna 2025.</w:t>
            </w:r>
            <w:r w:rsidRPr="00AF0C72">
              <w:rPr>
                <w:rFonts w:ascii="Times New Roman" w:eastAsia="Times New Roman" w:hAnsi="Times New Roman" w:cs="Times New Roman"/>
                <w:sz w:val="20"/>
                <w:szCs w:val="20"/>
                <w:lang w:eastAsia="sk-SK"/>
              </w:rPr>
              <w:t> </w:t>
            </w:r>
          </w:p>
          <w:p w:rsidR="00AF0C72" w:rsidRPr="00612E08" w:rsidRDefault="00AF0C72" w:rsidP="000800FC">
            <w:pPr>
              <w:rPr>
                <w:rFonts w:ascii="Times New Roman" w:eastAsia="Times New Roman" w:hAnsi="Times New Roman" w:cs="Times New Roman"/>
                <w:b/>
                <w:sz w:val="20"/>
                <w:szCs w:val="20"/>
                <w:lang w:eastAsia="sk-SK"/>
              </w:rPr>
            </w:pPr>
          </w:p>
        </w:tc>
      </w:tr>
      <w:tr w:rsidR="00612E08" w:rsidRPr="00612E08"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9D76C1">
              <w:rPr>
                <w:rFonts w:ascii="Times New Roman" w:eastAsia="Calibri" w:hAnsi="Times New Roman" w:cs="Times New Roman"/>
                <w:b/>
              </w:rPr>
              <w:t>107/2025</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9D76C1"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9D76C1" w:rsidTr="000800FC">
              <w:trPr>
                <w:trHeight w:val="396"/>
              </w:trPr>
              <w:tc>
                <w:tcPr>
                  <w:tcW w:w="2552" w:type="dxa"/>
                </w:tcPr>
                <w:p w:rsidR="001B23B7" w:rsidRPr="009D76C1" w:rsidRDefault="00EB265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9D76C1">
                        <w:rPr>
                          <w:rFonts w:ascii="Segoe UI Symbol" w:eastAsia="MS Gothic" w:hAnsi="Segoe UI Symbol" w:cs="Segoe UI Symbol"/>
                          <w:b/>
                          <w:sz w:val="20"/>
                          <w:szCs w:val="20"/>
                          <w:lang w:eastAsia="sk-SK"/>
                        </w:rPr>
                        <w:t>☐</w:t>
                      </w:r>
                    </w:sdtContent>
                  </w:sdt>
                  <w:r w:rsidR="0023360B" w:rsidRPr="009D76C1">
                    <w:rPr>
                      <w:rFonts w:ascii="Times New Roman" w:eastAsia="Times New Roman" w:hAnsi="Times New Roman" w:cs="Times New Roman"/>
                      <w:b/>
                      <w:sz w:val="20"/>
                      <w:szCs w:val="20"/>
                      <w:lang w:eastAsia="sk-SK"/>
                    </w:rPr>
                    <w:t xml:space="preserve">  </w:t>
                  </w:r>
                  <w:r w:rsidR="001B23B7" w:rsidRPr="009D76C1">
                    <w:rPr>
                      <w:rFonts w:ascii="Times New Roman" w:eastAsia="Times New Roman" w:hAnsi="Times New Roman" w:cs="Times New Roman"/>
                      <w:b/>
                      <w:sz w:val="20"/>
                      <w:szCs w:val="20"/>
                      <w:lang w:eastAsia="sk-SK"/>
                    </w:rPr>
                    <w:t xml:space="preserve">Súhlasné </w:t>
                  </w:r>
                </w:p>
              </w:tc>
              <w:tc>
                <w:tcPr>
                  <w:tcW w:w="3827" w:type="dxa"/>
                </w:tcPr>
                <w:p w:rsidR="001B23B7" w:rsidRPr="009D76C1" w:rsidRDefault="00EB265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9D76C1">
                        <w:rPr>
                          <w:rFonts w:ascii="Segoe UI Symbol" w:eastAsia="MS Gothic" w:hAnsi="Segoe UI Symbol" w:cs="Segoe UI Symbol"/>
                          <w:b/>
                          <w:sz w:val="20"/>
                          <w:szCs w:val="20"/>
                          <w:lang w:eastAsia="sk-SK"/>
                        </w:rPr>
                        <w:t>☐</w:t>
                      </w:r>
                    </w:sdtContent>
                  </w:sdt>
                  <w:r w:rsidR="0023360B" w:rsidRPr="009D76C1">
                    <w:rPr>
                      <w:rFonts w:ascii="Times New Roman" w:eastAsia="Times New Roman" w:hAnsi="Times New Roman" w:cs="Times New Roman"/>
                      <w:b/>
                      <w:sz w:val="20"/>
                      <w:szCs w:val="20"/>
                      <w:lang w:eastAsia="sk-SK"/>
                    </w:rPr>
                    <w:t xml:space="preserve">  </w:t>
                  </w:r>
                  <w:r w:rsidR="001B23B7" w:rsidRPr="009D76C1">
                    <w:rPr>
                      <w:rFonts w:ascii="Times New Roman" w:eastAsia="Times New Roman" w:hAnsi="Times New Roman" w:cs="Times New Roman"/>
                      <w:b/>
                      <w:sz w:val="20"/>
                      <w:szCs w:val="20"/>
                      <w:lang w:eastAsia="sk-SK"/>
                    </w:rPr>
                    <w:t>Súhlasné s návrhom na dopracovanie</w:t>
                  </w:r>
                </w:p>
              </w:tc>
              <w:tc>
                <w:tcPr>
                  <w:tcW w:w="2534" w:type="dxa"/>
                </w:tcPr>
                <w:p w:rsidR="001B23B7" w:rsidRPr="009D76C1" w:rsidRDefault="00EB265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9D76C1" w:rsidRPr="009D76C1">
                        <w:rPr>
                          <w:rFonts w:ascii="Segoe UI Symbol" w:eastAsia="MS Gothic" w:hAnsi="Segoe UI Symbol" w:cs="Segoe UI Symbol"/>
                          <w:b/>
                          <w:sz w:val="20"/>
                          <w:szCs w:val="20"/>
                          <w:lang w:eastAsia="sk-SK"/>
                        </w:rPr>
                        <w:t>☒</w:t>
                      </w:r>
                    </w:sdtContent>
                  </w:sdt>
                  <w:r w:rsidR="0023360B" w:rsidRPr="009D76C1">
                    <w:rPr>
                      <w:rFonts w:ascii="Times New Roman" w:eastAsia="Times New Roman" w:hAnsi="Times New Roman" w:cs="Times New Roman"/>
                      <w:b/>
                      <w:sz w:val="20"/>
                      <w:szCs w:val="20"/>
                      <w:lang w:eastAsia="sk-SK"/>
                    </w:rPr>
                    <w:t xml:space="preserve">  </w:t>
                  </w:r>
                  <w:r w:rsidR="001B23B7" w:rsidRPr="009D76C1">
                    <w:rPr>
                      <w:rFonts w:ascii="Times New Roman" w:eastAsia="Times New Roman" w:hAnsi="Times New Roman" w:cs="Times New Roman"/>
                      <w:b/>
                      <w:sz w:val="20"/>
                      <w:szCs w:val="20"/>
                      <w:lang w:eastAsia="sk-SK"/>
                    </w:rPr>
                    <w:t>Nesúhlasné</w:t>
                  </w:r>
                </w:p>
              </w:tc>
            </w:tr>
          </w:tbl>
          <w:p w:rsidR="001B23B7" w:rsidRPr="009D76C1" w:rsidRDefault="001B23B7" w:rsidP="000800FC">
            <w:pPr>
              <w:jc w:val="both"/>
              <w:rPr>
                <w:rFonts w:ascii="Times New Roman" w:eastAsia="Times New Roman" w:hAnsi="Times New Roman" w:cs="Times New Roman"/>
                <w:b/>
                <w:sz w:val="20"/>
                <w:szCs w:val="20"/>
                <w:lang w:eastAsia="sk-SK"/>
              </w:rPr>
            </w:pPr>
            <w:r w:rsidRPr="009D76C1">
              <w:rPr>
                <w:rFonts w:ascii="Times New Roman" w:eastAsia="Times New Roman" w:hAnsi="Times New Roman" w:cs="Times New Roman"/>
                <w:b/>
                <w:sz w:val="20"/>
                <w:szCs w:val="20"/>
                <w:lang w:eastAsia="sk-SK"/>
              </w:rPr>
              <w:t>Uveďte pripomienky zo stanoviska Komisie z časti II. spolu s Vaším vyhodnotením:</w:t>
            </w:r>
          </w:p>
          <w:p w:rsidR="009D76C1" w:rsidRPr="009D76C1" w:rsidRDefault="009D76C1" w:rsidP="000800FC">
            <w:pPr>
              <w:jc w:val="both"/>
              <w:rPr>
                <w:rFonts w:ascii="Times New Roman" w:eastAsia="Times New Roman" w:hAnsi="Times New Roman" w:cs="Times New Roman"/>
                <w:b/>
                <w:sz w:val="20"/>
                <w:szCs w:val="20"/>
                <w:lang w:eastAsia="sk-SK"/>
              </w:rPr>
            </w:pPr>
          </w:p>
          <w:p w:rsidR="009D76C1" w:rsidRPr="009D76C1" w:rsidRDefault="009D76C1" w:rsidP="009D76C1">
            <w:pPr>
              <w:keepNext/>
              <w:numPr>
                <w:ilvl w:val="3"/>
                <w:numId w:val="5"/>
              </w:numPr>
              <w:suppressAutoHyphens/>
              <w:spacing w:line="100" w:lineRule="atLeast"/>
              <w:ind w:right="-2"/>
              <w:jc w:val="center"/>
              <w:outlineLvl w:val="3"/>
              <w:rPr>
                <w:rFonts w:ascii="Times New Roman" w:eastAsia="Times New Roman" w:hAnsi="Times New Roman" w:cs="Times New Roman"/>
                <w:b/>
                <w:smallCaps/>
                <w:sz w:val="20"/>
                <w:szCs w:val="20"/>
                <w:lang w:eastAsia="ar-SA"/>
              </w:rPr>
            </w:pPr>
            <w:r w:rsidRPr="009D76C1">
              <w:rPr>
                <w:rFonts w:ascii="Times New Roman" w:eastAsia="Times New Roman" w:hAnsi="Times New Roman" w:cs="Times New Roman"/>
                <w:b/>
                <w:smallCaps/>
                <w:spacing w:val="20"/>
                <w:sz w:val="20"/>
                <w:szCs w:val="20"/>
                <w:lang w:eastAsia="ar-SA"/>
              </w:rPr>
              <w:t>stanovisko komisie</w:t>
            </w:r>
            <w:r w:rsidRPr="009D76C1">
              <w:rPr>
                <w:rFonts w:ascii="Times New Roman" w:eastAsia="Times New Roman" w:hAnsi="Times New Roman" w:cs="Times New Roman"/>
                <w:b/>
                <w:smallCaps/>
                <w:sz w:val="20"/>
                <w:szCs w:val="20"/>
                <w:lang w:eastAsia="ar-SA"/>
              </w:rPr>
              <w:t xml:space="preserve"> </w:t>
            </w:r>
          </w:p>
          <w:p w:rsidR="009D76C1" w:rsidRPr="009D76C1" w:rsidRDefault="009D76C1" w:rsidP="009D76C1">
            <w:pPr>
              <w:suppressAutoHyphens/>
              <w:spacing w:line="100" w:lineRule="atLeast"/>
              <w:ind w:right="-2"/>
              <w:jc w:val="center"/>
              <w:rPr>
                <w:rFonts w:ascii="Times New Roman" w:eastAsia="Times New Roman" w:hAnsi="Times New Roman" w:cs="Times New Roman"/>
                <w:b/>
                <w:smallCaps/>
                <w:sz w:val="20"/>
                <w:szCs w:val="20"/>
                <w:lang w:eastAsia="ar-SA"/>
              </w:rPr>
            </w:pPr>
          </w:p>
          <w:p w:rsidR="009D76C1" w:rsidRPr="009D76C1" w:rsidRDefault="009D76C1" w:rsidP="009D76C1">
            <w:pPr>
              <w:suppressAutoHyphens/>
              <w:spacing w:line="100" w:lineRule="atLeast"/>
              <w:ind w:right="-2"/>
              <w:jc w:val="center"/>
              <w:rPr>
                <w:rFonts w:ascii="Times New Roman" w:eastAsia="Times New Roman" w:hAnsi="Times New Roman" w:cs="Times New Roman"/>
                <w:sz w:val="20"/>
                <w:szCs w:val="20"/>
                <w:lang w:eastAsia="ar-SA"/>
              </w:rPr>
            </w:pPr>
            <w:r w:rsidRPr="009D76C1">
              <w:rPr>
                <w:rFonts w:ascii="Times New Roman" w:eastAsia="Times New Roman" w:hAnsi="Times New Roman" w:cs="Times New Roman"/>
                <w:b/>
                <w:smallCaps/>
                <w:sz w:val="20"/>
                <w:szCs w:val="20"/>
                <w:lang w:eastAsia="ar-SA"/>
              </w:rPr>
              <w:t>(predbežné pripomienkové konanie)</w:t>
            </w:r>
          </w:p>
          <w:p w:rsidR="009D76C1" w:rsidRPr="009D76C1" w:rsidRDefault="009D76C1" w:rsidP="009D76C1">
            <w:pPr>
              <w:suppressAutoHyphens/>
              <w:spacing w:line="100" w:lineRule="atLeast"/>
              <w:ind w:right="-2"/>
              <w:jc w:val="center"/>
              <w:rPr>
                <w:rFonts w:ascii="Times New Roman" w:eastAsia="Times New Roman" w:hAnsi="Times New Roman" w:cs="Times New Roman"/>
                <w:b/>
                <w:smallCaps/>
                <w:sz w:val="20"/>
                <w:szCs w:val="20"/>
                <w:lang w:eastAsia="ar-SA"/>
              </w:rPr>
            </w:pPr>
          </w:p>
          <w:p w:rsidR="009D76C1" w:rsidRPr="009D76C1" w:rsidRDefault="009D76C1" w:rsidP="009D76C1">
            <w:pPr>
              <w:suppressAutoHyphens/>
              <w:spacing w:line="100" w:lineRule="atLeast"/>
              <w:ind w:right="-2"/>
              <w:jc w:val="center"/>
              <w:rPr>
                <w:rFonts w:ascii="Times New Roman" w:eastAsia="Times New Roman" w:hAnsi="Times New Roman" w:cs="Times New Roman"/>
                <w:b/>
                <w:smallCaps/>
                <w:sz w:val="20"/>
                <w:szCs w:val="20"/>
                <w:lang w:eastAsia="ar-SA"/>
              </w:rPr>
            </w:pPr>
            <w:r w:rsidRPr="009D76C1">
              <w:rPr>
                <w:rFonts w:ascii="Times New Roman" w:eastAsia="Times New Roman" w:hAnsi="Times New Roman" w:cs="Times New Roman"/>
                <w:b/>
                <w:smallCaps/>
                <w:sz w:val="20"/>
                <w:szCs w:val="20"/>
                <w:lang w:eastAsia="ar-SA"/>
              </w:rPr>
              <w:t>k materiálu</w:t>
            </w:r>
          </w:p>
          <w:p w:rsidR="009D76C1" w:rsidRPr="009D76C1" w:rsidRDefault="009D76C1" w:rsidP="009D76C1">
            <w:pPr>
              <w:suppressAutoHyphens/>
              <w:spacing w:line="100" w:lineRule="atLeast"/>
              <w:ind w:right="-2"/>
              <w:jc w:val="center"/>
              <w:rPr>
                <w:rFonts w:ascii="Times New Roman" w:eastAsia="Times New Roman" w:hAnsi="Times New Roman" w:cs="Times New Roman"/>
                <w:sz w:val="20"/>
                <w:szCs w:val="20"/>
                <w:lang w:eastAsia="ar-SA"/>
              </w:rPr>
            </w:pPr>
          </w:p>
          <w:p w:rsidR="009D76C1" w:rsidRPr="009D76C1" w:rsidRDefault="009D76C1" w:rsidP="009D76C1">
            <w:pPr>
              <w:pBdr>
                <w:bottom w:val="single" w:sz="4" w:space="1" w:color="auto"/>
              </w:pBdr>
              <w:suppressAutoHyphens/>
              <w:spacing w:line="100" w:lineRule="atLeast"/>
              <w:jc w:val="center"/>
              <w:rPr>
                <w:rFonts w:ascii="Times New Roman" w:eastAsia="Times New Roman" w:hAnsi="Times New Roman" w:cs="Times New Roman"/>
                <w:b/>
                <w:smallCaps/>
                <w:sz w:val="20"/>
                <w:szCs w:val="20"/>
                <w:lang w:eastAsia="ar-SA"/>
              </w:rPr>
            </w:pPr>
            <w:r w:rsidRPr="009D76C1">
              <w:rPr>
                <w:rFonts w:ascii="Times New Roman" w:eastAsia="Times New Roman" w:hAnsi="Times New Roman" w:cs="Times New Roman"/>
                <w:b/>
                <w:smallCaps/>
                <w:sz w:val="20"/>
                <w:szCs w:val="20"/>
                <w:lang w:eastAsia="ar-SA"/>
              </w:rPr>
              <w:t xml:space="preserve">Návrh zákona, ktorým sa mení a dopĺňa zákon č. 461/2003 Z. z. o sociálnom poistení v znení neskorších predpisov </w:t>
            </w:r>
          </w:p>
          <w:p w:rsidR="009D76C1" w:rsidRPr="009D76C1" w:rsidRDefault="009D76C1" w:rsidP="009D76C1">
            <w:pPr>
              <w:suppressAutoHyphens/>
              <w:spacing w:line="100" w:lineRule="atLeast"/>
              <w:jc w:val="both"/>
              <w:rPr>
                <w:rFonts w:ascii="Times New Roman" w:eastAsia="Times New Roman" w:hAnsi="Times New Roman" w:cs="Times New Roman"/>
                <w:b/>
                <w:bCs/>
                <w:sz w:val="20"/>
                <w:szCs w:val="20"/>
                <w:lang w:eastAsia="ar-SA"/>
              </w:rPr>
            </w:pP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
                <w:bCs/>
                <w:sz w:val="20"/>
                <w:szCs w:val="20"/>
                <w:lang w:eastAsia="ar-SA"/>
              </w:rPr>
              <w:t xml:space="preserve">I. Úvod: </w:t>
            </w:r>
            <w:r w:rsidRPr="009D76C1">
              <w:rPr>
                <w:rFonts w:ascii="Times New Roman" w:eastAsia="Times New Roman" w:hAnsi="Times New Roman" w:cs="Times New Roman"/>
                <w:bCs/>
                <w:sz w:val="20"/>
                <w:szCs w:val="20"/>
                <w:lang w:eastAsia="ar-SA"/>
              </w:rPr>
              <w:t xml:space="preserve">Ministerstvo práce, sociálnych vecí a rodiny Slovenskej republiky dňa 3. júla 2025 predložilo na PPK materiál: </w:t>
            </w:r>
            <w:r w:rsidRPr="009D76C1">
              <w:rPr>
                <w:rFonts w:ascii="Times New Roman" w:eastAsia="Times New Roman" w:hAnsi="Times New Roman" w:cs="Times New Roman"/>
                <w:bCs/>
                <w:i/>
                <w:sz w:val="20"/>
                <w:szCs w:val="20"/>
                <w:lang w:eastAsia="ar-SA"/>
              </w:rPr>
              <w:t>„Návrh zákona, ktorým sa mení a dopĺňa zákon č. 461/2003 Z. z. o sociálnom poistení v znení neskorších predpisov“</w:t>
            </w:r>
            <w:r w:rsidRPr="009D76C1">
              <w:rPr>
                <w:rFonts w:ascii="Times New Roman" w:eastAsia="Times New Roman" w:hAnsi="Times New Roman" w:cs="Times New Roman"/>
                <w:bCs/>
                <w:sz w:val="20"/>
                <w:szCs w:val="20"/>
                <w:lang w:eastAsia="ar-SA"/>
              </w:rPr>
              <w:t>. Materiál predpokladá pozitívno-negatívne vplyvy rozpočet verejnej správy, ktoré sú rozpočtovo zabezpečené, pozitívne vplyvy na limit verejných výdavkov, negatívne vplyvy na podnikateľské prostredie, pozitívne sociálne vplyvy, pozitívne vplyvy na informatizáciu spoločnosti a pozitívne vplyvy na manželstvo, rodičovstvo a rodinu.</w:t>
            </w:r>
          </w:p>
          <w:p w:rsidR="009D76C1" w:rsidRPr="009D76C1" w:rsidRDefault="009D76C1" w:rsidP="009D76C1">
            <w:pPr>
              <w:suppressAutoHyphens/>
              <w:spacing w:line="100" w:lineRule="atLeast"/>
              <w:jc w:val="both"/>
              <w:rPr>
                <w:rFonts w:ascii="Times New Roman" w:eastAsia="Times New Roman" w:hAnsi="Times New Roman" w:cs="Times New Roman"/>
                <w:b/>
                <w:bCs/>
                <w:sz w:val="20"/>
                <w:szCs w:val="20"/>
                <w:lang w:eastAsia="ar-SA"/>
              </w:rPr>
            </w:pP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
                <w:bCs/>
                <w:sz w:val="20"/>
                <w:szCs w:val="20"/>
                <w:lang w:eastAsia="ar-SA"/>
              </w:rPr>
              <w:t>II. P</w:t>
            </w:r>
            <w:r w:rsidRPr="009D76C1">
              <w:rPr>
                <w:rFonts w:ascii="Times New Roman" w:eastAsia="Times New Roman" w:hAnsi="Times New Roman" w:cs="Times New Roman"/>
                <w:b/>
                <w:sz w:val="20"/>
                <w:szCs w:val="20"/>
                <w:lang w:eastAsia="ar-SA"/>
              </w:rPr>
              <w:t>r</w:t>
            </w:r>
            <w:r w:rsidRPr="009D76C1">
              <w:rPr>
                <w:rFonts w:ascii="Times New Roman" w:eastAsia="Times New Roman" w:hAnsi="Times New Roman" w:cs="Times New Roman"/>
                <w:b/>
                <w:bCs/>
                <w:sz w:val="20"/>
                <w:szCs w:val="20"/>
                <w:lang w:eastAsia="ar-SA"/>
              </w:rPr>
              <w:t>ipomienky a návrhy zm</w:t>
            </w:r>
            <w:r w:rsidRPr="009D76C1">
              <w:rPr>
                <w:rFonts w:ascii="Times New Roman" w:eastAsia="Times New Roman" w:hAnsi="Times New Roman" w:cs="Times New Roman"/>
                <w:b/>
                <w:sz w:val="20"/>
                <w:szCs w:val="20"/>
                <w:lang w:eastAsia="ar-SA"/>
              </w:rPr>
              <w:t>ie</w:t>
            </w:r>
            <w:r w:rsidRPr="009D76C1">
              <w:rPr>
                <w:rFonts w:ascii="Times New Roman" w:eastAsia="Times New Roman" w:hAnsi="Times New Roman" w:cs="Times New Roman"/>
                <w:b/>
                <w:bCs/>
                <w:sz w:val="20"/>
                <w:szCs w:val="20"/>
                <w:lang w:eastAsia="ar-SA"/>
              </w:rPr>
              <w:t xml:space="preserve">n: </w:t>
            </w:r>
            <w:r w:rsidRPr="009D76C1">
              <w:rPr>
                <w:rFonts w:ascii="Times New Roman" w:eastAsia="Times New Roman" w:hAnsi="Times New Roman" w:cs="Times New Roman"/>
                <w:bCs/>
                <w:sz w:val="20"/>
                <w:szCs w:val="20"/>
                <w:lang w:eastAsia="ar-SA"/>
              </w:rPr>
              <w:t>Komisia uplatňuje k materiálu nasledovné pripomienky a odporúčania:</w:t>
            </w: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p>
          <w:p w:rsidR="009D76C1" w:rsidRPr="009D76C1" w:rsidRDefault="009D76C1" w:rsidP="009D76C1">
            <w:pPr>
              <w:suppressAutoHyphens/>
              <w:spacing w:line="100" w:lineRule="atLeast"/>
              <w:jc w:val="both"/>
              <w:rPr>
                <w:rFonts w:ascii="Times New Roman" w:eastAsia="Times New Roman" w:hAnsi="Times New Roman" w:cs="Times New Roman"/>
                <w:b/>
                <w:bCs/>
                <w:sz w:val="20"/>
                <w:szCs w:val="20"/>
                <w:lang w:eastAsia="ar-SA"/>
              </w:rPr>
            </w:pPr>
            <w:r w:rsidRPr="009D76C1">
              <w:rPr>
                <w:rFonts w:ascii="Times New Roman" w:eastAsia="Times New Roman" w:hAnsi="Times New Roman" w:cs="Times New Roman"/>
                <w:b/>
                <w:bCs/>
                <w:sz w:val="20"/>
                <w:szCs w:val="20"/>
                <w:lang w:eastAsia="ar-SA"/>
              </w:rPr>
              <w:t>K doložke vybraných vplyvov</w:t>
            </w: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Komisia odporúča predkladateľovi materiálu v časti 1. Základné údaje vypustiť  predpokladaný termín ZP.</w:t>
            </w:r>
          </w:p>
          <w:p w:rsid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Materiál nie je potrebné predložiť na ZP, keďže je predložený riadne na PPK a nejde o porušenie procesu v zmysle Jednotnej metodiky na posudzovanie vybraných vplyvov. </w:t>
            </w:r>
          </w:p>
          <w:p w:rsidR="0023799E" w:rsidRDefault="0023799E" w:rsidP="009D76C1">
            <w:pPr>
              <w:suppressAutoHyphens/>
              <w:spacing w:line="100" w:lineRule="atLeast"/>
              <w:jc w:val="both"/>
              <w:rPr>
                <w:rFonts w:ascii="Times New Roman" w:eastAsia="Times New Roman" w:hAnsi="Times New Roman" w:cs="Times New Roman"/>
                <w:bCs/>
                <w:sz w:val="20"/>
                <w:szCs w:val="20"/>
                <w:lang w:eastAsia="ar-SA"/>
              </w:rPr>
            </w:pPr>
          </w:p>
          <w:p w:rsidR="0023799E" w:rsidRPr="0023799E" w:rsidRDefault="0023799E" w:rsidP="009D76C1">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w:t>
            </w:r>
            <w:r w:rsidR="00B70563">
              <w:rPr>
                <w:rFonts w:ascii="Times New Roman" w:eastAsia="Times New Roman" w:hAnsi="Times New Roman" w:cs="Times New Roman"/>
                <w:bCs/>
                <w:i/>
                <w:sz w:val="20"/>
                <w:szCs w:val="20"/>
                <w:lang w:eastAsia="ar-SA"/>
              </w:rPr>
              <w:t>Akceptované.</w:t>
            </w: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Komisia odporúča v časti 11. Kontakt na spracovateľa doplniť chýbajúci útvar/odbor MPSVR SR, prípadne funkciu. </w:t>
            </w:r>
          </w:p>
          <w:p w:rsid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Potrebný údaj v zmysle Jednotnej metodiky na posudzovanie vybraných vplyvov.</w:t>
            </w:r>
          </w:p>
          <w:p w:rsidR="0023799E" w:rsidRDefault="0023799E" w:rsidP="009D76C1">
            <w:pPr>
              <w:suppressAutoHyphens/>
              <w:spacing w:line="100" w:lineRule="atLeast"/>
              <w:jc w:val="both"/>
              <w:rPr>
                <w:rFonts w:ascii="Times New Roman" w:eastAsia="Times New Roman" w:hAnsi="Times New Roman" w:cs="Times New Roman"/>
                <w:bCs/>
                <w:sz w:val="20"/>
                <w:szCs w:val="20"/>
                <w:lang w:eastAsia="ar-SA"/>
              </w:rPr>
            </w:pPr>
          </w:p>
          <w:p w:rsidR="0023799E" w:rsidRPr="0023799E" w:rsidRDefault="0023799E" w:rsidP="009D76C1">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Akceptované.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
                <w:bCs/>
                <w:sz w:val="20"/>
                <w:szCs w:val="20"/>
                <w:lang w:eastAsia="ar-SA"/>
              </w:rPr>
            </w:pPr>
            <w:r w:rsidRPr="009D76C1">
              <w:rPr>
                <w:rFonts w:ascii="Times New Roman" w:eastAsia="Times New Roman" w:hAnsi="Times New Roman" w:cs="Times New Roman"/>
                <w:b/>
                <w:bCs/>
                <w:sz w:val="20"/>
                <w:szCs w:val="20"/>
                <w:lang w:eastAsia="ar-SA"/>
              </w:rPr>
              <w:t>K vplyvom na rozpočet verejnej správy</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1. Komisia žiada rozdeliť vplyv zvýšenia výdavkov Sociálnej poisťovne na relevantné dotknuté skupiny. </w:t>
            </w:r>
          </w:p>
          <w:p w:rsidR="009D76C1" w:rsidRPr="009D76C1" w:rsidRDefault="009D76C1" w:rsidP="009D76C1">
            <w:pPr>
              <w:spacing w:line="200" w:lineRule="atLeast"/>
              <w:jc w:val="both"/>
              <w:rPr>
                <w:rFonts w:ascii="Times New Roman" w:eastAsia="Times New Roman" w:hAnsi="Times New Roman" w:cs="Times New Roman"/>
                <w:bCs/>
                <w:sz w:val="20"/>
                <w:szCs w:val="20"/>
                <w:u w:val="single"/>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Návrh zavádza fiktívny vymeriavací základ pre rôzne skupiny poistencov štátu, pre ktoré môže mať rozdielny vplyv na výšku dôchodku. Analýza vplyvov na rozpočet verejnej správy však uvádza len jednotný vplyv na novopriznané a existujúce dôchodky.</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Rôzne skupiny poistencov štátu majú podľa návrhu získať rozdielne osobné mzdové body (OMB) za obdobie, v ktorom by dnes alebo v minulosti za nich platil poistné štát. Pre matky starajúce sa o dieťa do 6 rokov alebo do 18 rokov s dlhodobo nepriaznivým zdravotným stavom sa toto obdobie vo väčšine prípadov vylučuje z výpočtu priemerného osobného mzdového bodu (POMB), inak sa ponechá hranica minimálne 60 % priemernej mzdy spred dvoch rokov. Pre ostatných poistencov štátu, ako sú prijímatelia príspevku na opatrovanie, osobní asistenti a iní, sa zvyšuje spodná hranica OMB z 50 % priemernej mzdy spred dvoch rokov na 60 %. Zároveň sa všetkým skupinám umožňuje vykonávať pracovnú činnosť bez toho, aby prišli o nárok na spomínanú spodnú hranicu OMB. Ide tak o viacero rôznych benefitov, ktoré budú mať rôzne vplyvy na dotknuté osoby. Komisia preto žiada uviesť tieto skupiny a vplyv na ich dôchodkové dávky (úroveň zvýšenia dávok) do analýzy vplyvov na rozpočet verejnej správy nad rámec len celkového vplyvu.</w:t>
            </w:r>
          </w:p>
          <w:p w:rsidR="00215089" w:rsidRDefault="00215089" w:rsidP="009D76C1">
            <w:pPr>
              <w:spacing w:line="200" w:lineRule="atLeast"/>
              <w:jc w:val="both"/>
              <w:rPr>
                <w:rFonts w:ascii="Times New Roman" w:eastAsia="Times New Roman" w:hAnsi="Times New Roman" w:cs="Times New Roman"/>
                <w:bCs/>
                <w:sz w:val="20"/>
                <w:szCs w:val="20"/>
                <w:lang w:eastAsia="ar-SA"/>
              </w:rPr>
            </w:pPr>
          </w:p>
          <w:p w:rsidR="00215089" w:rsidRPr="00AA7C78" w:rsidRDefault="00215089" w:rsidP="00215089">
            <w:pPr>
              <w:spacing w:line="200" w:lineRule="atLeast"/>
              <w:jc w:val="both"/>
              <w:rPr>
                <w:rFonts w:ascii="Times New Roman" w:eastAsia="Times New Roman" w:hAnsi="Times New Roman" w:cs="Times New Roman"/>
                <w:bCs/>
                <w:i/>
                <w:sz w:val="20"/>
                <w:szCs w:val="20"/>
                <w:lang w:eastAsia="ar-SA"/>
              </w:rPr>
            </w:pPr>
            <w:r w:rsidRPr="00AA7C78">
              <w:rPr>
                <w:rFonts w:ascii="Times New Roman" w:eastAsia="Times New Roman" w:hAnsi="Times New Roman" w:cs="Times New Roman"/>
                <w:bCs/>
                <w:i/>
                <w:sz w:val="20"/>
                <w:szCs w:val="20"/>
                <w:lang w:eastAsia="ar-SA"/>
              </w:rPr>
              <w:t>MPSVR SR: Neakceptované. Komisia správne identifikuje, že návrh zákona obsahuje dva odlišné mechanizmy na zlepšenie dôchodkového zabezpečenia pre rôzne skupiny poistencov štátu. Je však nevyhnutné zdôrazniť, že tieto dva mechanizmy majú štrukturálne odlišný časový horizont, ktorý určuje, v ktorej časti doložky vybraných vplyvov je ich fiškálny dopad kvantifikovaný.</w:t>
            </w:r>
            <w:r w:rsidR="008C7DCE" w:rsidRPr="00AA7C78">
              <w:rPr>
                <w:rFonts w:ascii="Times New Roman" w:eastAsia="Times New Roman" w:hAnsi="Times New Roman" w:cs="Times New Roman"/>
                <w:bCs/>
                <w:i/>
                <w:sz w:val="20"/>
                <w:szCs w:val="20"/>
                <w:lang w:eastAsia="ar-SA"/>
              </w:rPr>
              <w:t xml:space="preserve"> </w:t>
            </w:r>
            <w:r w:rsidRPr="00AA7C78">
              <w:rPr>
                <w:rFonts w:ascii="Times New Roman" w:eastAsia="Times New Roman" w:hAnsi="Times New Roman" w:cs="Times New Roman"/>
                <w:bCs/>
                <w:i/>
                <w:sz w:val="20"/>
                <w:szCs w:val="20"/>
                <w:lang w:eastAsia="ar-SA"/>
              </w:rPr>
              <w:t>Mechanizmus vylúčenia období starostlivosti o dieťa má okamžitý a retrospektívny charakter. Vzťahuje sa na všetky relevantné obdobia získané v minulosti, a preto sa jeho vplyv prejavuje priamo pri novopriznaných dôchodkoch a najmä prostredníctvom ex offo prepočtu existujúcich dávok. Nárast výdavkov Sociálnej poisťovne, ktorý je kvantifikovaný v analýze vplyvov na rozpočet, je tak v sledovanom období (2026 – 2028) v plnej miere spôsobený práve týmto mechanizmom.</w:t>
            </w:r>
            <w:r w:rsidR="008C7DCE" w:rsidRPr="00AA7C78">
              <w:rPr>
                <w:rFonts w:ascii="Times New Roman" w:eastAsia="Times New Roman" w:hAnsi="Times New Roman" w:cs="Times New Roman"/>
                <w:bCs/>
                <w:i/>
                <w:sz w:val="20"/>
                <w:szCs w:val="20"/>
                <w:lang w:eastAsia="ar-SA"/>
              </w:rPr>
              <w:t xml:space="preserve"> </w:t>
            </w:r>
            <w:r w:rsidRPr="00AA7C78">
              <w:rPr>
                <w:rFonts w:ascii="Times New Roman" w:eastAsia="Times New Roman" w:hAnsi="Times New Roman" w:cs="Times New Roman"/>
                <w:bCs/>
                <w:i/>
                <w:sz w:val="20"/>
                <w:szCs w:val="20"/>
                <w:lang w:eastAsia="ar-SA"/>
              </w:rPr>
              <w:t>Naopak, zvýšenie hodnoty vymeriavacieho základu z 50 % na 60 % pre ostatných poistencov štátu (poberatelia peňažného príspevku na opatrovanie, osobní asistenti a poberatelia kompenzačného príspevku baníkom) má výlučne prospektívny charakter. Vzťahuje sa len na obdobia poistenia získané po 1. januári 2026. Z tohto dôvodu nemá v sledovanom rozpočtovom období (2026 – 2028) materiálny vplyv na výdavky, keďže jeho efekt sa prejaví až postupným odchodom týchto osôb do dôchodku.. Podrobný popis benefitov pre jednotlivé dotknuté skupiny je systematicky rozpracovaný v Analýze sociálnych vplyvov.</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2. Komisia žiada sprecizovať mechanizmus zvýšenia dôchodkových dávok </w:t>
            </w:r>
            <w:r w:rsidRPr="009D76C1">
              <w:rPr>
                <w:rFonts w:ascii="Times New Roman" w:eastAsia="Times New Roman" w:hAnsi="Times New Roman" w:cs="Times New Roman"/>
                <w:bCs/>
                <w:sz w:val="20"/>
                <w:szCs w:val="20"/>
                <w:lang w:eastAsia="ar-SA"/>
              </w:rPr>
              <w:br/>
              <w:t xml:space="preserve">a predpoklady použité pri kvantifikácii vplyvu na zvýšenie výdavkov Sociálnej poisťovne.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Analýza vplyvov na rozpočet verejnej správy uvádza celkový vplyv na novopriznané a existujúce dôchodky z dôvodu ich prepočtu podľa navrhovaných zmien. Z návrhu však nie je zrejmý mechanizmus prepočtu dôchodkových dávok existujúcich poberateľov. </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Text návrhu a sprievodných dokumentov implikuje, že aktuálnym dôchodcom, ktorí počas pracovnej kariéry získali doby poistenia štátom, sa budú ich existujúce dôchodky prepočítavať nanovo. To by znamenalo použitie aktuálne platných parametrov, ako je aktuálna dôchodková hodnota. Alternatívne by sa prepočet mohol dotknúť len úrovne priznaného dôchodku, ktorý by musel byť následne valorizovaný v čase, prípadne iný spôsob prepočtu. Komisia preto žiada spresniť mechanizmus, aký sa použije pri prepočte dôchodkových dávok existujúcich poberateľov.</w:t>
            </w:r>
          </w:p>
          <w:p w:rsidR="00274243" w:rsidRDefault="00274243" w:rsidP="009D76C1">
            <w:pPr>
              <w:spacing w:line="200" w:lineRule="atLeast"/>
              <w:jc w:val="both"/>
              <w:rPr>
                <w:rFonts w:ascii="Times New Roman" w:eastAsia="Times New Roman" w:hAnsi="Times New Roman" w:cs="Times New Roman"/>
                <w:bCs/>
                <w:sz w:val="20"/>
                <w:szCs w:val="20"/>
                <w:lang w:eastAsia="ar-SA"/>
              </w:rPr>
            </w:pPr>
          </w:p>
          <w:p w:rsidR="00B70563" w:rsidRPr="00AA7C78" w:rsidRDefault="00B70563" w:rsidP="009D76C1">
            <w:pPr>
              <w:spacing w:line="200" w:lineRule="atLeast"/>
              <w:jc w:val="both"/>
              <w:rPr>
                <w:rFonts w:ascii="Times New Roman" w:eastAsia="Times New Roman" w:hAnsi="Times New Roman" w:cs="Times New Roman"/>
                <w:bCs/>
                <w:i/>
                <w:sz w:val="20"/>
                <w:szCs w:val="20"/>
                <w:lang w:eastAsia="ar-SA"/>
              </w:rPr>
            </w:pPr>
            <w:r w:rsidRPr="00AA7C78">
              <w:rPr>
                <w:rFonts w:ascii="Times New Roman" w:eastAsia="Times New Roman" w:hAnsi="Times New Roman" w:cs="Times New Roman"/>
                <w:bCs/>
                <w:i/>
                <w:sz w:val="20"/>
                <w:szCs w:val="20"/>
                <w:lang w:eastAsia="ar-SA"/>
              </w:rPr>
              <w:t xml:space="preserve">MPSVR SR: </w:t>
            </w:r>
            <w:r w:rsidR="00BB6873">
              <w:rPr>
                <w:rFonts w:ascii="Times New Roman" w:eastAsia="Times New Roman" w:hAnsi="Times New Roman" w:cs="Times New Roman"/>
                <w:bCs/>
                <w:i/>
                <w:sz w:val="20"/>
                <w:szCs w:val="20"/>
                <w:lang w:eastAsia="ar-SA"/>
              </w:rPr>
              <w:t>Nea</w:t>
            </w:r>
            <w:r w:rsidRPr="00AA7C78">
              <w:rPr>
                <w:rFonts w:ascii="Times New Roman" w:eastAsia="Times New Roman" w:hAnsi="Times New Roman" w:cs="Times New Roman"/>
                <w:bCs/>
                <w:i/>
                <w:sz w:val="20"/>
                <w:szCs w:val="20"/>
                <w:lang w:eastAsia="ar-SA"/>
              </w:rPr>
              <w:t xml:space="preserve">kceptované. Mechanizmus prepočtu dôchodkových dávok je rozpracovaný v  sprievodných materiáloch k návrhu zákona, najmä v osobitnej časti dôvodovej správy k prechodným ustanoveniam (§ 293go).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3. Komisia odporúča doplniť medzigeneračný vplyv prepočtu dôchodkov v závislosti od konkrétneho mechanizmu.</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Zvolený mechanizmus prepočtu dávok môže mať rozdielny vplyv na generácie existujúcich dôchodcov.</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lastRenderedPageBreak/>
              <w:t>Spôsob prepočtu dávok môže mať rozdielne vplyvy na rozdielne skupiny dôchodcov nielen z dôvodu rôznych dôb poistenia štátom (starostlivosť o dieťa, poberanie príspevku za opatrovanie a iné), ale aj doby poberania dôchodku. V prípade prepočtu dôchodku na základe aktuálne platných parametrov si ľudia, poberajúci dôchodok dlhšie, môžu prilepšiť viac. Komisia preto odporúča uviesť predpokladaný vplyv na zvýšenie dôchodkových dávok pre rôzne generácie dôchodcov.</w:t>
            </w:r>
          </w:p>
          <w:p w:rsidR="00B70563" w:rsidRDefault="00B70563" w:rsidP="009D76C1">
            <w:pPr>
              <w:spacing w:line="200" w:lineRule="atLeast"/>
              <w:jc w:val="both"/>
              <w:rPr>
                <w:rFonts w:ascii="Times New Roman" w:eastAsia="Times New Roman" w:hAnsi="Times New Roman" w:cs="Times New Roman"/>
                <w:bCs/>
                <w:sz w:val="20"/>
                <w:szCs w:val="20"/>
                <w:lang w:eastAsia="ar-SA"/>
              </w:rPr>
            </w:pPr>
          </w:p>
          <w:p w:rsidR="00B70563" w:rsidRPr="00AA7C78" w:rsidRDefault="00B70563" w:rsidP="009D76C1">
            <w:pPr>
              <w:spacing w:line="200" w:lineRule="atLeast"/>
              <w:jc w:val="both"/>
              <w:rPr>
                <w:rFonts w:ascii="Times New Roman" w:eastAsia="Times New Roman" w:hAnsi="Times New Roman" w:cs="Times New Roman"/>
                <w:bCs/>
                <w:i/>
                <w:sz w:val="20"/>
                <w:szCs w:val="20"/>
                <w:lang w:eastAsia="ar-SA"/>
              </w:rPr>
            </w:pPr>
            <w:r w:rsidRPr="00AA7C78">
              <w:rPr>
                <w:rFonts w:ascii="Times New Roman" w:eastAsia="Times New Roman" w:hAnsi="Times New Roman" w:cs="Times New Roman"/>
                <w:bCs/>
                <w:i/>
                <w:sz w:val="20"/>
                <w:szCs w:val="20"/>
                <w:lang w:eastAsia="ar-SA"/>
              </w:rPr>
              <w:t>MPSVR SR: Akceptované. Uvedené bude zohľadnené v </w:t>
            </w:r>
            <w:r w:rsidR="00EA2885" w:rsidRPr="00AA7C78">
              <w:rPr>
                <w:rFonts w:ascii="Times New Roman" w:eastAsia="Times New Roman" w:hAnsi="Times New Roman" w:cs="Times New Roman"/>
                <w:bCs/>
                <w:i/>
                <w:sz w:val="20"/>
                <w:szCs w:val="20"/>
                <w:lang w:eastAsia="ar-SA"/>
              </w:rPr>
              <w:t>a</w:t>
            </w:r>
            <w:r w:rsidRPr="00AA7C78">
              <w:rPr>
                <w:rFonts w:ascii="Times New Roman" w:eastAsia="Times New Roman" w:hAnsi="Times New Roman" w:cs="Times New Roman"/>
                <w:bCs/>
                <w:i/>
                <w:sz w:val="20"/>
                <w:szCs w:val="20"/>
                <w:lang w:eastAsia="ar-SA"/>
              </w:rPr>
              <w:t xml:space="preserve">nalýze sociálnych vplyvov.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134AD8"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4. V analýze vplyvov na rozpočet Komisia žiada uviesť finančný tok zo štátneho rozpočtu (z kapitoly Všeobecná pokladničná správa) Sociálnej poisťovni (SP). </w:t>
            </w: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V analýze vplyvov je identifikovaná úspora výdavkov kapitoly MPSVR SR z dôvodu zrušenia poistného plateného štátom, zároveň k tomu prináleží zníženie príjmov SP. Komisia upozorňuje, že z hľadiska hospodárenia SP uvedený výpadok príjmov bude potrebné hradiť zo zdrojov štátneho rozpočtu (kapitoly VPS) prostredníctvom dofinancovania deficitu základných fondov SP (základný fond dôchodkového a nemocenského poistenia) v súlade s § 157 ods. 4, podľa ktorého v prípade platobnej neschopnosti niektorého zo základných fondov poskytne štát Sociálnej poisťovni finančnú výpomoc.</w:t>
            </w:r>
          </w:p>
          <w:p w:rsidR="00134AD8" w:rsidRDefault="00134AD8" w:rsidP="009D76C1">
            <w:pPr>
              <w:spacing w:line="200" w:lineRule="atLeast"/>
              <w:jc w:val="both"/>
              <w:rPr>
                <w:rFonts w:ascii="Times New Roman" w:eastAsia="Times New Roman" w:hAnsi="Times New Roman" w:cs="Times New Roman"/>
                <w:bCs/>
                <w:sz w:val="20"/>
                <w:szCs w:val="20"/>
                <w:lang w:eastAsia="ar-SA"/>
              </w:rPr>
            </w:pPr>
          </w:p>
          <w:p w:rsidR="00134AD8" w:rsidRPr="00AA7C78" w:rsidRDefault="009D76C1" w:rsidP="00134AD8">
            <w:pPr>
              <w:suppressAutoHyphens/>
              <w:spacing w:line="100" w:lineRule="atLeast"/>
              <w:jc w:val="both"/>
              <w:rPr>
                <w:rFonts w:ascii="Times New Roman" w:eastAsia="Times New Roman" w:hAnsi="Times New Roman" w:cs="Times New Roman"/>
                <w:bCs/>
                <w:i/>
                <w:sz w:val="20"/>
                <w:szCs w:val="20"/>
                <w:lang w:eastAsia="ar-SA"/>
              </w:rPr>
            </w:pPr>
            <w:r w:rsidRPr="00AA7C78">
              <w:rPr>
                <w:rFonts w:ascii="Times New Roman" w:eastAsia="Times New Roman" w:hAnsi="Times New Roman" w:cs="Times New Roman"/>
                <w:bCs/>
                <w:sz w:val="20"/>
                <w:szCs w:val="20"/>
                <w:lang w:eastAsia="ar-SA"/>
              </w:rPr>
              <w:t xml:space="preserve"> </w:t>
            </w:r>
            <w:r w:rsidR="00134AD8" w:rsidRPr="00AA7C78">
              <w:rPr>
                <w:rFonts w:ascii="Times New Roman" w:eastAsia="Times New Roman" w:hAnsi="Times New Roman" w:cs="Times New Roman"/>
                <w:bCs/>
                <w:i/>
                <w:sz w:val="20"/>
                <w:szCs w:val="20"/>
                <w:lang w:eastAsia="ar-SA"/>
              </w:rPr>
              <w:t xml:space="preserve">MPSVR SR: Akceptované.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5. Komisia zároveň žiada vo všetkých tabuľkách analýzy vplyvov na rozpočet vychádzať z najaktuálnejšieho rozpisu návrhu rozpočtu verejnej správy na roky 2026 až 2028. </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V aktuálnej etape prípravy návrhu rozpočtu verejnej správy na roky 2026 až 2028 sa v nadväznosti na prognózu Výboru pre makroekonomické prognózy z júna rozpočtuje na poistné platené štátom suma 586 471 654 eur v roku 2026, suma 620 610 432 eur v roku 2027 a suma 654 582 296 eur v roku 2028.</w:t>
            </w:r>
          </w:p>
          <w:p w:rsidR="00B9544C" w:rsidRDefault="00B9544C" w:rsidP="009D76C1">
            <w:pPr>
              <w:spacing w:line="200" w:lineRule="atLeast"/>
              <w:jc w:val="both"/>
              <w:rPr>
                <w:rFonts w:ascii="Times New Roman" w:eastAsia="Times New Roman" w:hAnsi="Times New Roman" w:cs="Times New Roman"/>
                <w:bCs/>
                <w:sz w:val="20"/>
                <w:szCs w:val="20"/>
                <w:lang w:eastAsia="ar-SA"/>
              </w:rPr>
            </w:pPr>
          </w:p>
          <w:p w:rsidR="00B9544C" w:rsidRPr="00AA7C78" w:rsidRDefault="00B9544C" w:rsidP="00B9544C">
            <w:pPr>
              <w:spacing w:line="200" w:lineRule="atLeast"/>
              <w:jc w:val="both"/>
              <w:rPr>
                <w:rFonts w:ascii="Times New Roman" w:eastAsia="Times New Roman" w:hAnsi="Times New Roman" w:cs="Times New Roman"/>
                <w:bCs/>
                <w:i/>
                <w:sz w:val="20"/>
                <w:szCs w:val="20"/>
                <w:lang w:eastAsia="ar-SA"/>
              </w:rPr>
            </w:pPr>
            <w:r w:rsidRPr="00AA7C78">
              <w:rPr>
                <w:rFonts w:ascii="Times New Roman" w:eastAsia="Times New Roman" w:hAnsi="Times New Roman" w:cs="Times New Roman"/>
                <w:bCs/>
                <w:i/>
                <w:sz w:val="20"/>
                <w:szCs w:val="20"/>
                <w:lang w:eastAsia="ar-SA"/>
              </w:rPr>
              <w:t>MPSVR SR: Neakceptované. Kvantifikácia vplyvov v predloženej doložke je vypracovaná na základe mikroúdajov Sociálnej poisťovne. Navrhované agregované sumy z rozpisu rozpočtu nie je možné pre účely tejto analýzy priamo použiť, nakoľko komisia neuviedla rozpis v členení na jednotlivé kategórie poistencov štátu  a osobitne na časť týkajúcu sa povinných príspevkov na starobné dôchodkové sporenie. Z tohto dôvodu sa navrhuje ponechať v doložke kvantifikáci</w:t>
            </w:r>
            <w:r w:rsidR="00AA7C78">
              <w:rPr>
                <w:rFonts w:ascii="Times New Roman" w:eastAsia="Times New Roman" w:hAnsi="Times New Roman" w:cs="Times New Roman"/>
                <w:b/>
                <w:bCs/>
                <w:i/>
                <w:sz w:val="20"/>
                <w:szCs w:val="20"/>
                <w:lang w:eastAsia="ar-SA"/>
              </w:rPr>
              <w:t>a</w:t>
            </w:r>
            <w:r w:rsidRPr="00AA7C78">
              <w:rPr>
                <w:rFonts w:ascii="Times New Roman" w:eastAsia="Times New Roman" w:hAnsi="Times New Roman" w:cs="Times New Roman"/>
                <w:bCs/>
                <w:i/>
                <w:sz w:val="20"/>
                <w:szCs w:val="20"/>
                <w:lang w:eastAsia="ar-SA"/>
              </w:rPr>
              <w:t xml:space="preserve"> vychádzajúc</w:t>
            </w:r>
            <w:r w:rsidR="00AA7C78">
              <w:rPr>
                <w:rFonts w:ascii="Times New Roman" w:eastAsia="Times New Roman" w:hAnsi="Times New Roman" w:cs="Times New Roman"/>
                <w:b/>
                <w:bCs/>
                <w:i/>
                <w:sz w:val="20"/>
                <w:szCs w:val="20"/>
                <w:lang w:eastAsia="ar-SA"/>
              </w:rPr>
              <w:t>a</w:t>
            </w:r>
            <w:r w:rsidRPr="00AA7C78">
              <w:rPr>
                <w:rFonts w:ascii="Times New Roman" w:eastAsia="Times New Roman" w:hAnsi="Times New Roman" w:cs="Times New Roman"/>
                <w:bCs/>
                <w:i/>
                <w:sz w:val="20"/>
                <w:szCs w:val="20"/>
                <w:lang w:eastAsia="ar-SA"/>
              </w:rPr>
              <w:t xml:space="preserve"> z analýzy mikroúdajov. </w:t>
            </w:r>
          </w:p>
          <w:p w:rsidR="00B9544C" w:rsidRDefault="00B9544C" w:rsidP="00B9544C">
            <w:pPr>
              <w:spacing w:line="200" w:lineRule="atLeast"/>
              <w:jc w:val="both"/>
              <w:rPr>
                <w:rFonts w:ascii="Times New Roman" w:eastAsia="Times New Roman" w:hAnsi="Times New Roman" w:cs="Times New Roman"/>
                <w:bCs/>
                <w:i/>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6. Celkové sumy uvedené v tabuľke č. 1/A v riadku „rozpočtovo nekrytý vplyv/úspora“ Komisia žiada rozdeliť samostatne na vplyvy na príjmy a výdavky kapitoly MPSVR SR a samostatne na príjmy a výdavky SP s uvedením, či ide o úsporu výdavkov alebo rozpočtovo nekryté výdavky, resp. úbytok príjmov.</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u w:val="single"/>
                <w:lang w:eastAsia="ar-SA"/>
              </w:rPr>
              <w:t>Odôvodnenie:</w:t>
            </w:r>
            <w:r w:rsidRPr="009D76C1">
              <w:rPr>
                <w:rFonts w:ascii="Times New Roman" w:eastAsia="Times New Roman" w:hAnsi="Times New Roman" w:cs="Times New Roman"/>
                <w:bCs/>
                <w:sz w:val="20"/>
                <w:szCs w:val="20"/>
                <w:lang w:eastAsia="ar-SA"/>
              </w:rPr>
              <w:t xml:space="preserve"> Vzhľadom na to, že materiál má negatívny vplyv na príjmy a pozitívny aj negatívny vplyv na výdavky rozpočtu verejnej správy, celkové sumy uvedené v tabuľke č. 1/A, v riadku „rozpočtovo nekrytý vplyv/úspora“ sú neprehľadné. Predkladateľ v súvislosti s týmito sumami hovorí o úspore, ale mínusové znamienka v týchto sumách neznamenajú úsporu výdavkov, ale predstavujú len rozdiel medzi vplyvom na príjmy a výdavky rozpočtu verejnej správy (teda vyjadrujú len bilanciu príjmov a výdavkov).</w:t>
            </w:r>
          </w:p>
          <w:p w:rsidR="00134AD8" w:rsidRDefault="00134AD8" w:rsidP="009D76C1">
            <w:pPr>
              <w:spacing w:line="200" w:lineRule="atLeast"/>
              <w:jc w:val="both"/>
              <w:rPr>
                <w:rFonts w:ascii="Times New Roman" w:eastAsia="Times New Roman" w:hAnsi="Times New Roman" w:cs="Times New Roman"/>
                <w:bCs/>
                <w:sz w:val="20"/>
                <w:szCs w:val="20"/>
                <w:lang w:eastAsia="ar-SA"/>
              </w:rPr>
            </w:pPr>
          </w:p>
          <w:p w:rsidR="00134AD8" w:rsidRPr="0023799E" w:rsidRDefault="00134AD8" w:rsidP="00134AD8">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MPSVR SR:</w:t>
            </w:r>
            <w:r w:rsidR="00604993">
              <w:rPr>
                <w:rFonts w:ascii="Times New Roman" w:eastAsia="Times New Roman" w:hAnsi="Times New Roman" w:cs="Times New Roman"/>
                <w:bCs/>
                <w:i/>
                <w:sz w:val="20"/>
                <w:szCs w:val="20"/>
                <w:lang w:eastAsia="ar-SA"/>
              </w:rPr>
              <w:t xml:space="preserve"> </w:t>
            </w:r>
            <w:r w:rsidR="00BB6873">
              <w:rPr>
                <w:rFonts w:ascii="Times New Roman" w:eastAsia="Times New Roman" w:hAnsi="Times New Roman" w:cs="Times New Roman"/>
                <w:bCs/>
                <w:i/>
                <w:sz w:val="20"/>
                <w:szCs w:val="20"/>
                <w:lang w:eastAsia="ar-SA"/>
              </w:rPr>
              <w:t>A</w:t>
            </w:r>
            <w:r>
              <w:rPr>
                <w:rFonts w:ascii="Times New Roman" w:eastAsia="Times New Roman" w:hAnsi="Times New Roman" w:cs="Times New Roman"/>
                <w:bCs/>
                <w:i/>
                <w:sz w:val="20"/>
                <w:szCs w:val="20"/>
                <w:lang w:eastAsia="ar-SA"/>
              </w:rPr>
              <w:t xml:space="preserve">kceptované.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7. V nadväznosti na pripomienku č. 6 Komisia žiada preformulovať odsek v časti 2.1.1. analýzy vplyvov na rozpočet „V horizonte rokov 2026 až 2028 generuje navrhovaná zmena pozitívny vplyv na saldo rozpočtu verejnej správy, teda úsporu...“ a to tak, aby tento odsek neobsahoval vyjadrenie o úspore. O úsporu by išlo len v prípade výdavkov. V tomto prípade však ide iba o saldo príjmov a výdavkov.</w:t>
            </w:r>
          </w:p>
          <w:p w:rsidR="004062DB" w:rsidRDefault="004062DB" w:rsidP="009D76C1">
            <w:pPr>
              <w:spacing w:line="200" w:lineRule="atLeast"/>
              <w:jc w:val="both"/>
              <w:rPr>
                <w:rFonts w:ascii="Times New Roman" w:eastAsia="Times New Roman" w:hAnsi="Times New Roman" w:cs="Times New Roman"/>
                <w:bCs/>
                <w:sz w:val="20"/>
                <w:szCs w:val="20"/>
                <w:lang w:eastAsia="ar-SA"/>
              </w:rPr>
            </w:pPr>
          </w:p>
          <w:p w:rsidR="004062DB" w:rsidRPr="0023799E" w:rsidRDefault="004062DB" w:rsidP="004062DB">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Akceptované.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8. Komisia žiada tiež upraviť tabuľku č. 1/B analýzy vplyvov a následne aj tabuľku č. 4/B (zásadná pripomienka):</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nad rámec úspory v MPSVR SR je potrebné uviesť zvýšené výdavky VPS (dofinancovanie z dôvodu výpadku poistného plateného štátom na I. pilier),</w:t>
            </w: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 pokiaľ ide o limit verejných výdavkov SP, neuvádzať saldo príjmov a výdavkov SP, ale len rozpočtovo nekryté výdavky SP, t. j. v roku 2027 sumu 23,8 mil. eur a v roku 2028 sumu 50,9 mil. eur. </w:t>
            </w:r>
          </w:p>
          <w:p w:rsidR="00AA2F5A" w:rsidRDefault="00AA2F5A" w:rsidP="009D76C1">
            <w:pPr>
              <w:spacing w:line="200" w:lineRule="atLeast"/>
              <w:jc w:val="both"/>
              <w:rPr>
                <w:rFonts w:ascii="Times New Roman" w:eastAsia="Times New Roman" w:hAnsi="Times New Roman" w:cs="Times New Roman"/>
                <w:bCs/>
                <w:sz w:val="20"/>
                <w:szCs w:val="20"/>
                <w:lang w:eastAsia="ar-SA"/>
              </w:rPr>
            </w:pPr>
          </w:p>
          <w:p w:rsidR="00AA2F5A" w:rsidRPr="0023799E" w:rsidRDefault="00AA2F5A" w:rsidP="00AA2F5A">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MPSVR SR: Čiastočne akceptované.</w:t>
            </w:r>
            <w:r w:rsidR="00CC4611">
              <w:t xml:space="preserve"> </w:t>
            </w:r>
            <w:r w:rsidR="00CC4611">
              <w:rPr>
                <w:rFonts w:ascii="Times New Roman" w:eastAsia="Times New Roman" w:hAnsi="Times New Roman" w:cs="Times New Roman"/>
                <w:bCs/>
                <w:i/>
                <w:sz w:val="20"/>
                <w:szCs w:val="20"/>
                <w:lang w:eastAsia="ar-SA"/>
              </w:rPr>
              <w:t>Tabuľka</w:t>
            </w:r>
            <w:r w:rsidR="00CC4611" w:rsidRPr="00CC4611">
              <w:rPr>
                <w:rFonts w:ascii="Times New Roman" w:eastAsia="Times New Roman" w:hAnsi="Times New Roman" w:cs="Times New Roman"/>
                <w:bCs/>
                <w:i/>
                <w:sz w:val="20"/>
                <w:szCs w:val="20"/>
                <w:lang w:eastAsia="ar-SA"/>
              </w:rPr>
              <w:t xml:space="preserve"> č. 1/B </w:t>
            </w:r>
            <w:r w:rsidR="00CC4611">
              <w:rPr>
                <w:rFonts w:ascii="Times New Roman" w:eastAsia="Times New Roman" w:hAnsi="Times New Roman" w:cs="Times New Roman"/>
                <w:bCs/>
                <w:i/>
                <w:sz w:val="20"/>
                <w:szCs w:val="20"/>
                <w:lang w:eastAsia="ar-SA"/>
              </w:rPr>
              <w:t xml:space="preserve">je rozdelená </w:t>
            </w:r>
            <w:r w:rsidR="00CC4611" w:rsidRPr="00CC4611">
              <w:rPr>
                <w:rFonts w:ascii="Times New Roman" w:eastAsia="Times New Roman" w:hAnsi="Times New Roman" w:cs="Times New Roman"/>
                <w:bCs/>
                <w:i/>
                <w:sz w:val="20"/>
                <w:szCs w:val="20"/>
                <w:lang w:eastAsia="ar-SA"/>
              </w:rPr>
              <w:t>na samostatné položky pre kapitoly MPSVR SR, VPS a Sociálnu poisťovňu. Zároveň sme doplnili tabuľku č. 4/A-2, ktorá nový výdavok kapitoly VPS detailne špecifikuje podľa platnej ekonomickej klasifikácie</w:t>
            </w:r>
            <w:r w:rsidR="0035297B">
              <w:rPr>
                <w:rFonts w:ascii="Times New Roman" w:eastAsia="Times New Roman" w:hAnsi="Times New Roman" w:cs="Times New Roman"/>
                <w:bCs/>
                <w:i/>
                <w:sz w:val="20"/>
                <w:szCs w:val="20"/>
                <w:lang w:eastAsia="ar-SA"/>
              </w:rPr>
              <w:t>.</w:t>
            </w:r>
            <w:r w:rsidR="00CC4611">
              <w:rPr>
                <w:rFonts w:ascii="Times New Roman" w:eastAsia="Times New Roman" w:hAnsi="Times New Roman" w:cs="Times New Roman"/>
                <w:bCs/>
                <w:i/>
                <w:sz w:val="20"/>
                <w:szCs w:val="20"/>
                <w:lang w:eastAsia="ar-SA"/>
              </w:rPr>
              <w:t xml:space="preserve"> </w:t>
            </w:r>
            <w:r>
              <w:rPr>
                <w:rFonts w:ascii="Times New Roman" w:eastAsia="Times New Roman" w:hAnsi="Times New Roman" w:cs="Times New Roman"/>
                <w:bCs/>
                <w:i/>
                <w:sz w:val="20"/>
                <w:szCs w:val="20"/>
                <w:lang w:eastAsia="ar-SA"/>
              </w:rPr>
              <w:t xml:space="preserve">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9. V časti 2.1.1. sa uvádza, že financovanie rozpočtovo nekrytých vplyvov na kapitolu MPSVR SR, ktoré môžu vzniknúť z dôvodu dodatočného uplatnenia nárokov na platbu poistného štátom za obdobia pred 1. januárom </w:t>
            </w:r>
            <w:r w:rsidRPr="009D76C1">
              <w:rPr>
                <w:rFonts w:ascii="Times New Roman" w:eastAsia="Times New Roman" w:hAnsi="Times New Roman" w:cs="Times New Roman"/>
                <w:bCs/>
                <w:sz w:val="20"/>
                <w:szCs w:val="20"/>
                <w:lang w:eastAsia="ar-SA"/>
              </w:rPr>
              <w:lastRenderedPageBreak/>
              <w:t xml:space="preserve">2026 (t. j. štátom platené poistné - doplatky), sa zabezpečí prostredníctvom rozpočtových opatrení v objeme kvantifikovanom podľa reálnych úhrad Sociálnej poisťovne. Komisia žiada do tabuliek analýzy vplyvov na rozpočet zahrnúť alebo aspoň do textu uviesť kvalifikovaný predpoklad potenciálnych vplyvov na rozpočet nasledujúceho roku, prípadne ďalších rokov. </w:t>
            </w:r>
          </w:p>
          <w:p w:rsidR="00604993" w:rsidRDefault="00604993" w:rsidP="009D76C1">
            <w:pPr>
              <w:spacing w:line="200" w:lineRule="atLeast"/>
              <w:jc w:val="both"/>
              <w:rPr>
                <w:rFonts w:ascii="Times New Roman" w:eastAsia="Times New Roman" w:hAnsi="Times New Roman" w:cs="Times New Roman"/>
                <w:bCs/>
                <w:sz w:val="20"/>
                <w:szCs w:val="20"/>
                <w:lang w:eastAsia="ar-SA"/>
              </w:rPr>
            </w:pPr>
          </w:p>
          <w:p w:rsidR="009D76C1" w:rsidRDefault="00604993" w:rsidP="00B9544C">
            <w:pPr>
              <w:spacing w:line="2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w:t>
            </w:r>
            <w:r w:rsidR="00B9544C">
              <w:rPr>
                <w:rFonts w:ascii="Times New Roman" w:eastAsia="Times New Roman" w:hAnsi="Times New Roman" w:cs="Times New Roman"/>
                <w:bCs/>
                <w:i/>
                <w:sz w:val="20"/>
                <w:szCs w:val="20"/>
                <w:lang w:eastAsia="ar-SA"/>
              </w:rPr>
              <w:t>Čiastočne akceptované</w:t>
            </w:r>
            <w:r w:rsidR="00BB6873">
              <w:rPr>
                <w:rFonts w:ascii="Times New Roman" w:eastAsia="Times New Roman" w:hAnsi="Times New Roman" w:cs="Times New Roman"/>
                <w:bCs/>
                <w:i/>
                <w:sz w:val="20"/>
                <w:szCs w:val="20"/>
                <w:lang w:eastAsia="ar-SA"/>
              </w:rPr>
              <w:t xml:space="preserve"> rozšírením príslušného textu.</w:t>
            </w:r>
          </w:p>
          <w:p w:rsidR="00B9544C" w:rsidRPr="009D76C1" w:rsidRDefault="00B9544C" w:rsidP="00B9544C">
            <w:pPr>
              <w:spacing w:line="200" w:lineRule="atLeast"/>
              <w:jc w:val="both"/>
              <w:rPr>
                <w:rFonts w:ascii="Times New Roman" w:eastAsia="Times New Roman" w:hAnsi="Times New Roman" w:cs="Times New Roman"/>
                <w:bCs/>
                <w:sz w:val="20"/>
                <w:szCs w:val="20"/>
                <w:lang w:eastAsia="ar-SA"/>
              </w:rPr>
            </w:pPr>
          </w:p>
          <w:p w:rsidR="004062DB"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10. Zároveň sa v časti 2.1.1. uvádza, že budúce administratívne náklady SP spojené s distribúciou rozhodnutí o zmene sumy dávky, ktoré vyplynú z rozsiahleho ex offo prepočtu, v súčasnosti nie je možné kvantifikovať. Tieto náklady sa budú materializovať postupne, v súlade s priebehom samotných prepočtov. Komisia upozorňuje, že uvedené výdavky predstavujú ďalší dodatočný negatívny vplyv na rozpočet verejnej správy.</w:t>
            </w:r>
          </w:p>
          <w:p w:rsidR="004062DB" w:rsidRDefault="004062DB" w:rsidP="009D76C1">
            <w:pPr>
              <w:spacing w:line="200" w:lineRule="atLeast"/>
              <w:jc w:val="both"/>
              <w:rPr>
                <w:rFonts w:ascii="Times New Roman" w:eastAsia="Times New Roman" w:hAnsi="Times New Roman" w:cs="Times New Roman"/>
                <w:bCs/>
                <w:sz w:val="20"/>
                <w:szCs w:val="20"/>
                <w:lang w:eastAsia="ar-SA"/>
              </w:rPr>
            </w:pPr>
          </w:p>
          <w:p w:rsidR="004062DB" w:rsidRPr="0023799E" w:rsidRDefault="004062DB" w:rsidP="004062DB">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MPSVR SR: Nemá charakter pripomienky.</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11. Vzhľadom na vyššie uvedené pripomienky Komisia žiada všetky výdavky súvisiace s realizáciou materiálu zabezpečiť v rámci limitov rozpočtu verejnej správy na príslušné rozpočtové roky, bez nekrytého vplyvu na rozpočet verejnej správy a bez vplyvu na limit verejných výdavkov. </w:t>
            </w:r>
          </w:p>
          <w:p w:rsidR="009D76C1" w:rsidRDefault="009D76C1" w:rsidP="009D76C1">
            <w:pPr>
              <w:spacing w:line="200" w:lineRule="atLeast"/>
              <w:jc w:val="both"/>
              <w:rPr>
                <w:rFonts w:ascii="Times New Roman" w:eastAsia="Times New Roman" w:hAnsi="Times New Roman" w:cs="Times New Roman"/>
                <w:bCs/>
                <w:sz w:val="20"/>
                <w:szCs w:val="20"/>
                <w:lang w:eastAsia="ar-SA"/>
              </w:rPr>
            </w:pPr>
          </w:p>
          <w:p w:rsidR="004062DB" w:rsidRPr="0023799E" w:rsidRDefault="004062DB" w:rsidP="004062DB">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Akceptované. </w:t>
            </w:r>
          </w:p>
          <w:p w:rsidR="009D76C1" w:rsidRPr="009D76C1" w:rsidRDefault="009D76C1" w:rsidP="009D76C1">
            <w:pPr>
              <w:spacing w:line="200" w:lineRule="atLeast"/>
              <w:jc w:val="both"/>
              <w:rPr>
                <w:rFonts w:ascii="Times New Roman" w:eastAsia="Times New Roman" w:hAnsi="Times New Roman" w:cs="Times New Roman"/>
                <w:bCs/>
                <w:sz w:val="20"/>
                <w:szCs w:val="20"/>
                <w:lang w:eastAsia="ar-SA"/>
              </w:rPr>
            </w:pPr>
          </w:p>
          <w:p w:rsidR="009D76C1" w:rsidRDefault="009D76C1" w:rsidP="009D76C1">
            <w:pPr>
              <w:spacing w:line="200" w:lineRule="atLeast"/>
              <w:jc w:val="both"/>
              <w:rPr>
                <w:rFonts w:ascii="Times New Roman" w:eastAsia="Times New Roman" w:hAnsi="Times New Roman" w:cs="Times New Roman"/>
                <w:b/>
                <w:bCs/>
                <w:sz w:val="20"/>
                <w:szCs w:val="20"/>
                <w:lang w:eastAsia="ar-SA"/>
              </w:rPr>
            </w:pPr>
            <w:r w:rsidRPr="009D76C1">
              <w:rPr>
                <w:rFonts w:ascii="Times New Roman" w:eastAsia="Times New Roman" w:hAnsi="Times New Roman" w:cs="Times New Roman"/>
                <w:b/>
                <w:bCs/>
                <w:sz w:val="20"/>
                <w:szCs w:val="20"/>
                <w:lang w:eastAsia="ar-SA"/>
              </w:rPr>
              <w:t>K vplyvom na manželstvo, rodičovstvo a</w:t>
            </w:r>
            <w:r>
              <w:rPr>
                <w:rFonts w:ascii="Times New Roman" w:eastAsia="Times New Roman" w:hAnsi="Times New Roman" w:cs="Times New Roman"/>
                <w:b/>
                <w:bCs/>
                <w:sz w:val="20"/>
                <w:szCs w:val="20"/>
                <w:lang w:eastAsia="ar-SA"/>
              </w:rPr>
              <w:t> </w:t>
            </w:r>
            <w:r w:rsidRPr="009D76C1">
              <w:rPr>
                <w:rFonts w:ascii="Times New Roman" w:eastAsia="Times New Roman" w:hAnsi="Times New Roman" w:cs="Times New Roman"/>
                <w:b/>
                <w:bCs/>
                <w:sz w:val="20"/>
                <w:szCs w:val="20"/>
                <w:lang w:eastAsia="ar-SA"/>
              </w:rPr>
              <w:t>rodinu</w:t>
            </w:r>
          </w:p>
          <w:p w:rsidR="009D76C1" w:rsidRPr="009D76C1" w:rsidRDefault="009D76C1" w:rsidP="009D76C1">
            <w:pPr>
              <w:spacing w:line="200" w:lineRule="atLeast"/>
              <w:jc w:val="both"/>
              <w:rPr>
                <w:rFonts w:ascii="Times New Roman" w:eastAsia="Times New Roman" w:hAnsi="Times New Roman" w:cs="Times New Roman"/>
                <w:b/>
                <w:bCs/>
                <w:sz w:val="20"/>
                <w:szCs w:val="20"/>
                <w:lang w:eastAsia="ar-SA"/>
              </w:rPr>
            </w:pPr>
          </w:p>
          <w:p w:rsidR="009D76C1" w:rsidRPr="009D76C1" w:rsidRDefault="009D76C1" w:rsidP="009D76C1">
            <w:pPr>
              <w:suppressAutoHyphens/>
              <w:spacing w:line="100" w:lineRule="atLeast"/>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 xml:space="preserve">Navrhovaná právna úprava výrazne posilňuje dôchodkové zabezpečenie rodín a zvyšuje právnu istotu osôb, ktoré sa venujú výchove detí a starostlivosti o blízkych. </w:t>
            </w:r>
            <w:r w:rsidRPr="009D76C1">
              <w:rPr>
                <w:rFonts w:ascii="Times New Roman" w:eastAsia="Times New Roman" w:hAnsi="Times New Roman" w:cs="Times New Roman"/>
                <w:bCs/>
                <w:sz w:val="20"/>
                <w:szCs w:val="20"/>
                <w:lang w:eastAsia="ar-SA"/>
              </w:rPr>
              <w:br/>
              <w:t>Z hľadiska dopadov ide o prorodinne orientovanú úpravu, ktorá je v súlade s ústavným princípom ochrany manželstva, rodičovstva a rodiny (čl. 41 Ústavy SR).</w:t>
            </w:r>
          </w:p>
          <w:p w:rsidR="009D76C1" w:rsidRP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p>
          <w:p w:rsidR="009D76C1" w:rsidRDefault="009D76C1" w:rsidP="009D76C1">
            <w:pPr>
              <w:suppressAutoHyphens/>
              <w:spacing w:line="100" w:lineRule="atLeast"/>
              <w:jc w:val="both"/>
              <w:rPr>
                <w:rFonts w:ascii="Times New Roman" w:eastAsia="Times New Roman" w:hAnsi="Times New Roman" w:cs="Times New Roman"/>
                <w:bCs/>
                <w:sz w:val="20"/>
                <w:szCs w:val="20"/>
                <w:lang w:eastAsia="ar-SA"/>
              </w:rPr>
            </w:pPr>
            <w:r w:rsidRPr="009D76C1">
              <w:rPr>
                <w:rFonts w:ascii="Times New Roman" w:eastAsia="Times New Roman" w:hAnsi="Times New Roman" w:cs="Times New Roman"/>
                <w:bCs/>
                <w:sz w:val="20"/>
                <w:szCs w:val="20"/>
                <w:lang w:eastAsia="ar-SA"/>
              </w:rPr>
              <w:t>Pre presnejšie posúdenie dopadov pre konkrétne skupiny osôb Komisia navrhuje doplniť presný počet osôb, ktoré nie sú v pracovnom pomere, ale sú v pozícii rodiča zabezpečujúceho každodennú starostlivosť o dieťa do šiestich rokov veku. Koľko je osôb vykonávajúcich osobnú asistenciu, opatrovateľov, ako aj iné skupiny fyzických osôb závislých na štátnej pomoci alebo poberajúcich štátne dávky. Taktiež by bolo vhodné rozlíšiť skupiny medzi rodičmi s jedným dieťaťom a rodičmi s viacerými deťmi, alebo medzi opatrovateľmi rôznych typov. Takéto doplnenie umožní lepšie posúdiť rozsah a dopad navrhovaných zmien na konkrétne segmenty spoločnosti a potvrdilo by to celkový pozitívny vplyv na rodiny v rôznych situáciách.</w:t>
            </w:r>
          </w:p>
          <w:p w:rsidR="004062DB" w:rsidRDefault="004062DB" w:rsidP="009D76C1">
            <w:pPr>
              <w:suppressAutoHyphens/>
              <w:spacing w:line="100" w:lineRule="atLeast"/>
              <w:jc w:val="both"/>
              <w:rPr>
                <w:rFonts w:ascii="Times New Roman" w:eastAsia="Times New Roman" w:hAnsi="Times New Roman" w:cs="Times New Roman"/>
                <w:bCs/>
                <w:sz w:val="20"/>
                <w:szCs w:val="20"/>
                <w:lang w:eastAsia="ar-SA"/>
              </w:rPr>
            </w:pPr>
          </w:p>
          <w:p w:rsidR="004062DB" w:rsidRPr="0023799E" w:rsidRDefault="004062DB" w:rsidP="004062DB">
            <w:pPr>
              <w:suppressAutoHyphens/>
              <w:spacing w:line="100" w:lineRule="atLeast"/>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 xml:space="preserve">MPSVR SR: Akceptované. </w:t>
            </w:r>
          </w:p>
          <w:p w:rsidR="004062DB" w:rsidRDefault="004062DB" w:rsidP="009D76C1">
            <w:pPr>
              <w:suppressAutoHyphens/>
              <w:spacing w:line="100" w:lineRule="atLeast"/>
              <w:jc w:val="both"/>
              <w:rPr>
                <w:rFonts w:ascii="Times New Roman" w:eastAsia="Times New Roman" w:hAnsi="Times New Roman" w:cs="Times New Roman"/>
                <w:bCs/>
                <w:sz w:val="20"/>
                <w:szCs w:val="20"/>
                <w:lang w:eastAsia="ar-SA"/>
              </w:rPr>
            </w:pPr>
          </w:p>
          <w:p w:rsidR="004062DB" w:rsidRPr="009D76C1" w:rsidRDefault="004062DB" w:rsidP="009D76C1">
            <w:pPr>
              <w:suppressAutoHyphens/>
              <w:spacing w:line="100" w:lineRule="atLeast"/>
              <w:jc w:val="both"/>
              <w:rPr>
                <w:rFonts w:ascii="Times New Roman" w:eastAsia="Times New Roman" w:hAnsi="Times New Roman" w:cs="Times New Roman"/>
                <w:bCs/>
                <w:sz w:val="20"/>
                <w:szCs w:val="20"/>
                <w:lang w:eastAsia="ar-SA"/>
              </w:rPr>
            </w:pPr>
          </w:p>
          <w:p w:rsidR="009D76C1" w:rsidRPr="009D76C1" w:rsidRDefault="009D76C1" w:rsidP="009D76C1">
            <w:pPr>
              <w:suppressAutoHyphens/>
              <w:spacing w:line="100" w:lineRule="atLeast"/>
              <w:jc w:val="both"/>
              <w:rPr>
                <w:rFonts w:ascii="Times New Roman" w:eastAsia="Times New Roman" w:hAnsi="Times New Roman" w:cs="Times New Roman"/>
                <w:sz w:val="20"/>
                <w:szCs w:val="20"/>
                <w:lang w:eastAsia="ar-SA"/>
              </w:rPr>
            </w:pPr>
            <w:r w:rsidRPr="009D76C1">
              <w:rPr>
                <w:rFonts w:ascii="Times New Roman" w:eastAsia="Times New Roman" w:hAnsi="Times New Roman" w:cs="Times New Roman"/>
                <w:b/>
                <w:bCs/>
                <w:sz w:val="20"/>
                <w:szCs w:val="20"/>
                <w:lang w:eastAsia="ar-SA"/>
              </w:rPr>
              <w:t xml:space="preserve">III. Záver: </w:t>
            </w:r>
            <w:r w:rsidRPr="009D76C1">
              <w:rPr>
                <w:rFonts w:ascii="Times New Roman" w:eastAsia="Times New Roman" w:hAnsi="Times New Roman" w:cs="Times New Roman"/>
                <w:sz w:val="20"/>
                <w:szCs w:val="20"/>
                <w:lang w:eastAsia="ar-SA"/>
              </w:rPr>
              <w:t xml:space="preserve">Stála pracovná komisia na posudzovanie vybraných vplyvov vyjadruje </w:t>
            </w:r>
          </w:p>
          <w:p w:rsidR="009D76C1" w:rsidRPr="009D76C1" w:rsidRDefault="009D76C1" w:rsidP="009D76C1">
            <w:pPr>
              <w:spacing w:line="200" w:lineRule="atLeast"/>
              <w:rPr>
                <w:rFonts w:ascii="Times New Roman" w:eastAsia="Times New Roman" w:hAnsi="Times New Roman" w:cs="Times New Roman"/>
                <w:b/>
                <w:bCs/>
                <w:sz w:val="20"/>
                <w:szCs w:val="20"/>
                <w:lang w:eastAsia="sk-SK"/>
              </w:rPr>
            </w:pPr>
            <w:r w:rsidRPr="009D76C1">
              <w:rPr>
                <w:rFonts w:ascii="Times New Roman" w:eastAsia="Times New Roman" w:hAnsi="Times New Roman" w:cs="Times New Roman"/>
                <w:sz w:val="20"/>
                <w:szCs w:val="20"/>
                <w:lang w:eastAsia="sk-SK"/>
              </w:rPr>
              <w:t> </w:t>
            </w:r>
          </w:p>
          <w:p w:rsidR="009D76C1" w:rsidRPr="009D76C1" w:rsidRDefault="009D76C1" w:rsidP="009D76C1">
            <w:pPr>
              <w:spacing w:line="240" w:lineRule="atLeast"/>
              <w:jc w:val="center"/>
              <w:rPr>
                <w:rFonts w:ascii="Times New Roman" w:eastAsia="Times New Roman" w:hAnsi="Times New Roman" w:cs="Times New Roman"/>
                <w:sz w:val="20"/>
                <w:szCs w:val="20"/>
                <w:lang w:eastAsia="sk-SK"/>
              </w:rPr>
            </w:pPr>
            <w:r w:rsidRPr="009D76C1">
              <w:rPr>
                <w:rFonts w:ascii="Times New Roman" w:eastAsia="Times New Roman" w:hAnsi="Times New Roman" w:cs="Times New Roman"/>
                <w:b/>
                <w:bCs/>
                <w:sz w:val="20"/>
                <w:szCs w:val="20"/>
                <w:lang w:eastAsia="sk-SK"/>
              </w:rPr>
              <w:t>nesúhlasné stanovisko</w:t>
            </w:r>
          </w:p>
          <w:p w:rsidR="009D76C1" w:rsidRPr="009D76C1" w:rsidRDefault="009D76C1" w:rsidP="009D76C1">
            <w:pPr>
              <w:spacing w:line="240" w:lineRule="atLeast"/>
              <w:jc w:val="both"/>
              <w:rPr>
                <w:rFonts w:ascii="Times New Roman" w:eastAsia="Times New Roman" w:hAnsi="Times New Roman" w:cs="Times New Roman"/>
                <w:sz w:val="20"/>
                <w:szCs w:val="20"/>
                <w:lang w:eastAsia="sk-SK"/>
              </w:rPr>
            </w:pPr>
          </w:p>
          <w:p w:rsidR="009D76C1" w:rsidRPr="009D76C1" w:rsidRDefault="009D76C1" w:rsidP="009D76C1">
            <w:pPr>
              <w:spacing w:line="240" w:lineRule="atLeast"/>
              <w:jc w:val="both"/>
              <w:rPr>
                <w:rFonts w:ascii="Times New Roman" w:eastAsia="Times New Roman" w:hAnsi="Times New Roman" w:cs="Times New Roman"/>
                <w:sz w:val="20"/>
                <w:szCs w:val="20"/>
                <w:lang w:eastAsia="sk-SK"/>
              </w:rPr>
            </w:pPr>
            <w:r w:rsidRPr="009D76C1">
              <w:rPr>
                <w:rFonts w:ascii="Times New Roman" w:eastAsia="Times New Roman" w:hAnsi="Times New Roman" w:cs="Times New Roman"/>
                <w:sz w:val="20"/>
                <w:szCs w:val="20"/>
                <w:lang w:eastAsia="sk-SK"/>
              </w:rPr>
              <w:t>s materiálom predloženým na predbežné pripomienkové konanie s odporúčaním na jeho dopracovanie podľa pripomienok v bode II.</w:t>
            </w:r>
          </w:p>
          <w:p w:rsidR="009D76C1" w:rsidRPr="009D76C1" w:rsidRDefault="009D76C1" w:rsidP="009D76C1">
            <w:pPr>
              <w:spacing w:line="200" w:lineRule="atLeast"/>
              <w:rPr>
                <w:rFonts w:ascii="Times New Roman" w:eastAsia="Times New Roman" w:hAnsi="Times New Roman" w:cs="Times New Roman"/>
                <w:sz w:val="20"/>
                <w:szCs w:val="20"/>
                <w:lang w:eastAsia="sk-SK"/>
              </w:rPr>
            </w:pPr>
          </w:p>
          <w:p w:rsidR="009D76C1" w:rsidRPr="009D76C1" w:rsidRDefault="009D76C1" w:rsidP="009D76C1">
            <w:pPr>
              <w:spacing w:line="240" w:lineRule="atLeast"/>
              <w:jc w:val="both"/>
              <w:rPr>
                <w:rFonts w:ascii="Times New Roman" w:eastAsia="Times New Roman" w:hAnsi="Times New Roman" w:cs="Times New Roman"/>
                <w:sz w:val="20"/>
                <w:szCs w:val="20"/>
                <w:lang w:eastAsia="sk-SK"/>
              </w:rPr>
            </w:pPr>
            <w:r w:rsidRPr="009D76C1">
              <w:rPr>
                <w:rFonts w:ascii="Times New Roman" w:eastAsia="Times New Roman" w:hAnsi="Times New Roman" w:cs="Times New Roman"/>
                <w:b/>
                <w:bCs/>
                <w:sz w:val="20"/>
                <w:szCs w:val="20"/>
                <w:lang w:eastAsia="sk-SK"/>
              </w:rPr>
              <w:t>IV. Poznámka:</w:t>
            </w:r>
            <w:r w:rsidRPr="009D76C1">
              <w:rPr>
                <w:rFonts w:ascii="Times New Roman" w:eastAsia="Times New Roman" w:hAnsi="Times New Roman" w:cs="Times New Roman"/>
                <w:sz w:val="20"/>
                <w:szCs w:val="20"/>
                <w:lang w:eastAsia="sk-SK"/>
              </w:rPr>
              <w:t xml:space="preserve"> Predkladateľ zapracuje pripomienky a odporúčania na úpravu uvedené v bode II a uvedie stanovisko Komisie do doložky vybraných vplyvov spolu s vyhodnotením pripomienok.</w:t>
            </w:r>
          </w:p>
          <w:p w:rsidR="009D76C1" w:rsidRPr="009D76C1" w:rsidRDefault="009D76C1" w:rsidP="009D76C1">
            <w:pPr>
              <w:spacing w:line="200" w:lineRule="atLeast"/>
              <w:rPr>
                <w:rFonts w:ascii="Times New Roman" w:eastAsia="Times New Roman" w:hAnsi="Times New Roman" w:cs="Times New Roman"/>
                <w:sz w:val="20"/>
                <w:szCs w:val="20"/>
                <w:lang w:eastAsia="sk-SK"/>
              </w:rPr>
            </w:pPr>
            <w:r w:rsidRPr="009D76C1">
              <w:rPr>
                <w:rFonts w:ascii="Times New Roman" w:eastAsia="Times New Roman" w:hAnsi="Times New Roman" w:cs="Times New Roman"/>
                <w:sz w:val="20"/>
                <w:szCs w:val="20"/>
                <w:lang w:eastAsia="sk-SK"/>
              </w:rPr>
              <w:t> </w:t>
            </w:r>
          </w:p>
          <w:p w:rsidR="009D76C1" w:rsidRPr="009D76C1" w:rsidRDefault="009D76C1" w:rsidP="009D76C1">
            <w:pPr>
              <w:spacing w:line="240" w:lineRule="atLeast"/>
              <w:jc w:val="both"/>
              <w:rPr>
                <w:rFonts w:ascii="Times New Roman" w:eastAsia="Times New Roman" w:hAnsi="Times New Roman" w:cs="Times New Roman"/>
                <w:sz w:val="20"/>
                <w:szCs w:val="20"/>
                <w:lang w:eastAsia="sk-SK"/>
              </w:rPr>
            </w:pPr>
            <w:r w:rsidRPr="009D76C1">
              <w:rPr>
                <w:rFonts w:ascii="Times New Roman" w:eastAsia="Times New Roman" w:hAnsi="Times New Roman" w:cs="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9D76C1" w:rsidRPr="009D76C1" w:rsidRDefault="009D76C1" w:rsidP="009D76C1">
            <w:pPr>
              <w:spacing w:line="100" w:lineRule="atLeast"/>
              <w:jc w:val="both"/>
              <w:rPr>
                <w:rFonts w:ascii="Times New Roman" w:eastAsia="Times New Roman" w:hAnsi="Times New Roman" w:cs="Times New Roman"/>
                <w:sz w:val="20"/>
                <w:szCs w:val="20"/>
                <w:lang w:eastAsia="ar-SA"/>
              </w:rPr>
            </w:pPr>
          </w:p>
          <w:p w:rsidR="009D76C1" w:rsidRPr="009D76C1" w:rsidRDefault="009D76C1" w:rsidP="009D76C1">
            <w:pPr>
              <w:spacing w:line="100" w:lineRule="atLeast"/>
              <w:jc w:val="both"/>
              <w:rPr>
                <w:rFonts w:ascii="Times New Roman" w:eastAsia="Times New Roman" w:hAnsi="Times New Roman" w:cs="Times New Roman"/>
                <w:sz w:val="20"/>
                <w:szCs w:val="20"/>
                <w:lang w:eastAsia="ar-SA"/>
              </w:rPr>
            </w:pPr>
          </w:p>
          <w:p w:rsidR="009D76C1" w:rsidRPr="009D76C1" w:rsidRDefault="009D76C1" w:rsidP="009D76C1">
            <w:pPr>
              <w:tabs>
                <w:tab w:val="center" w:pos="6379"/>
              </w:tabs>
              <w:suppressAutoHyphens/>
              <w:spacing w:line="100" w:lineRule="atLeast"/>
              <w:ind w:left="4536" w:right="-2"/>
              <w:jc w:val="center"/>
              <w:rPr>
                <w:rFonts w:ascii="Times New Roman" w:eastAsia="Times New Roman" w:hAnsi="Times New Roman" w:cs="Times New Roman"/>
                <w:b/>
                <w:bCs/>
                <w:sz w:val="20"/>
                <w:szCs w:val="20"/>
                <w:lang w:eastAsia="ar-SA"/>
              </w:rPr>
            </w:pPr>
            <w:r w:rsidRPr="009D76C1">
              <w:rPr>
                <w:rFonts w:ascii="Times New Roman" w:eastAsia="Times New Roman" w:hAnsi="Times New Roman" w:cs="Times New Roman"/>
                <w:b/>
                <w:bCs/>
                <w:sz w:val="20"/>
                <w:szCs w:val="20"/>
                <w:lang w:eastAsia="ar-SA"/>
              </w:rPr>
              <w:t>JUDr. Martin Semanco</w:t>
            </w:r>
          </w:p>
          <w:p w:rsidR="009D76C1" w:rsidRPr="009D76C1" w:rsidRDefault="009D76C1" w:rsidP="009D76C1">
            <w:pPr>
              <w:suppressAutoHyphens/>
              <w:spacing w:line="100" w:lineRule="atLeast"/>
              <w:ind w:left="5664"/>
              <w:jc w:val="both"/>
              <w:rPr>
                <w:rFonts w:ascii="Times New Roman" w:eastAsia="Times New Roman" w:hAnsi="Times New Roman" w:cs="Times New Roman"/>
                <w:sz w:val="20"/>
                <w:szCs w:val="20"/>
                <w:lang w:eastAsia="ar-SA"/>
              </w:rPr>
            </w:pPr>
            <w:r>
              <w:rPr>
                <w:rFonts w:ascii="Times New Roman" w:eastAsia="Times New Roman" w:hAnsi="Times New Roman" w:cs="Times New Roman"/>
                <w:bCs/>
                <w:sz w:val="20"/>
                <w:szCs w:val="20"/>
                <w:lang w:eastAsia="ar-SA"/>
              </w:rPr>
              <w:t xml:space="preserve">       </w:t>
            </w:r>
            <w:r w:rsidRPr="009D76C1">
              <w:rPr>
                <w:rFonts w:ascii="Times New Roman" w:eastAsia="Times New Roman" w:hAnsi="Times New Roman" w:cs="Times New Roman"/>
                <w:bCs/>
                <w:sz w:val="20"/>
                <w:szCs w:val="20"/>
                <w:lang w:eastAsia="ar-SA"/>
              </w:rPr>
              <w:t xml:space="preserve"> predseda Komisie</w:t>
            </w:r>
          </w:p>
          <w:p w:rsidR="009D76C1" w:rsidRPr="009D76C1" w:rsidRDefault="009D76C1" w:rsidP="009D76C1">
            <w:pPr>
              <w:spacing w:line="200" w:lineRule="atLeast"/>
              <w:rPr>
                <w:rFonts w:ascii="Times New Roman" w:eastAsia="Times New Roman" w:hAnsi="Times New Roman" w:cs="Times New Roman"/>
                <w:sz w:val="20"/>
                <w:szCs w:val="20"/>
                <w:lang w:eastAsia="sk-SK"/>
              </w:rPr>
            </w:pPr>
          </w:p>
          <w:p w:rsidR="009D76C1" w:rsidRPr="009D76C1" w:rsidRDefault="009D76C1" w:rsidP="000800FC">
            <w:pPr>
              <w:jc w:val="both"/>
              <w:rPr>
                <w:rFonts w:ascii="Times New Roman" w:eastAsia="Times New Roman" w:hAnsi="Times New Roman" w:cs="Times New Roman"/>
                <w:b/>
                <w:sz w:val="20"/>
                <w:szCs w:val="20"/>
                <w:lang w:eastAsia="sk-SK"/>
              </w:rPr>
            </w:pPr>
          </w:p>
          <w:p w:rsidR="001B23B7" w:rsidRPr="009D76C1" w:rsidRDefault="001B23B7" w:rsidP="000800FC">
            <w:pPr>
              <w:rPr>
                <w:rFonts w:ascii="Times New Roman" w:eastAsia="Times New Roman" w:hAnsi="Times New Roman" w:cs="Times New Roman"/>
                <w:b/>
                <w:sz w:val="20"/>
                <w:szCs w:val="20"/>
                <w:lang w:eastAsia="sk-SK"/>
              </w:rPr>
            </w:pPr>
          </w:p>
          <w:p w:rsidR="001B23B7" w:rsidRPr="009D76C1" w:rsidRDefault="001B23B7" w:rsidP="000800FC">
            <w:pPr>
              <w:rPr>
                <w:rFonts w:ascii="Times New Roman" w:eastAsia="Times New Roman" w:hAnsi="Times New Roman" w:cs="Times New Roman"/>
                <w:b/>
                <w:sz w:val="20"/>
                <w:szCs w:val="20"/>
                <w:lang w:eastAsia="sk-SK"/>
              </w:rPr>
            </w:pPr>
          </w:p>
        </w:tc>
      </w:tr>
      <w:tr w:rsidR="00612E08" w:rsidRPr="00612E08"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rsidTr="000800FC">
        <w:tblPrEx>
          <w:tblBorders>
            <w:insideH w:val="single" w:sz="4" w:space="0" w:color="FFFFFF"/>
            <w:insideV w:val="single" w:sz="4" w:space="0" w:color="FFFFFF"/>
          </w:tblBorders>
        </w:tblPrEx>
        <w:tc>
          <w:tcPr>
            <w:tcW w:w="9176" w:type="dxa"/>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EB265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EB265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EB265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0800FC">
            <w:pPr>
              <w:rPr>
                <w:rFonts w:ascii="Times New Roman" w:eastAsia="Times New Roman" w:hAnsi="Times New Roman" w:cs="Times New Roman"/>
                <w:b/>
                <w:sz w:val="20"/>
                <w:szCs w:val="20"/>
                <w:lang w:eastAsia="sk-SK"/>
              </w:rPr>
            </w:pPr>
          </w:p>
          <w:p w:rsidR="001B23B7" w:rsidRPr="00612E08" w:rsidRDefault="001B23B7" w:rsidP="000800FC">
            <w:pPr>
              <w:rPr>
                <w:rFonts w:ascii="Times New Roman" w:eastAsia="Times New Roman" w:hAnsi="Times New Roman" w:cs="Times New Roman"/>
                <w:b/>
                <w:sz w:val="20"/>
                <w:szCs w:val="20"/>
                <w:lang w:eastAsia="sk-SK"/>
              </w:rPr>
            </w:pPr>
          </w:p>
        </w:tc>
      </w:tr>
      <w:bookmarkEnd w:id="0"/>
    </w:tbl>
    <w:p w:rsidR="00274130" w:rsidRPr="00612E08" w:rsidRDefault="00EB2658"/>
    <w:sectPr w:rsidR="00274130" w:rsidRPr="00612E08"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58" w:rsidRDefault="00EB2658" w:rsidP="001B23B7">
      <w:pPr>
        <w:spacing w:after="0" w:line="240" w:lineRule="auto"/>
      </w:pPr>
      <w:r>
        <w:separator/>
      </w:r>
    </w:p>
  </w:endnote>
  <w:endnote w:type="continuationSeparator" w:id="0">
    <w:p w:rsidR="00EB2658" w:rsidRDefault="00EB265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217AB0">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58" w:rsidRDefault="00EB2658" w:rsidP="001B23B7">
      <w:pPr>
        <w:spacing w:after="0" w:line="240" w:lineRule="auto"/>
      </w:pPr>
      <w:r>
        <w:separator/>
      </w:r>
    </w:p>
  </w:footnote>
  <w:footnote w:type="continuationSeparator" w:id="0">
    <w:p w:rsidR="00EB2658" w:rsidRDefault="00EB2658"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C13B0E"/>
    <w:multiLevelType w:val="hybridMultilevel"/>
    <w:tmpl w:val="A748247A"/>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15:restartNumberingAfterBreak="0">
    <w:nsid w:val="39972432"/>
    <w:multiLevelType w:val="hybridMultilevel"/>
    <w:tmpl w:val="71D80C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35F7AA9"/>
    <w:multiLevelType w:val="multilevel"/>
    <w:tmpl w:val="F942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20974"/>
    <w:multiLevelType w:val="multilevel"/>
    <w:tmpl w:val="95E2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44DF"/>
    <w:rsid w:val="0002291B"/>
    <w:rsid w:val="00043706"/>
    <w:rsid w:val="00064782"/>
    <w:rsid w:val="00066E67"/>
    <w:rsid w:val="00094D9C"/>
    <w:rsid w:val="00097069"/>
    <w:rsid w:val="000A3D52"/>
    <w:rsid w:val="000B3BED"/>
    <w:rsid w:val="000C1953"/>
    <w:rsid w:val="000C4CD3"/>
    <w:rsid w:val="000D348F"/>
    <w:rsid w:val="000F2BE9"/>
    <w:rsid w:val="0010448F"/>
    <w:rsid w:val="00113AE4"/>
    <w:rsid w:val="00134AD8"/>
    <w:rsid w:val="00156064"/>
    <w:rsid w:val="00187182"/>
    <w:rsid w:val="001A0896"/>
    <w:rsid w:val="001B23B7"/>
    <w:rsid w:val="001D3191"/>
    <w:rsid w:val="001E3562"/>
    <w:rsid w:val="001E7AC8"/>
    <w:rsid w:val="00203EE3"/>
    <w:rsid w:val="00215089"/>
    <w:rsid w:val="00217AB0"/>
    <w:rsid w:val="002243BB"/>
    <w:rsid w:val="0023360B"/>
    <w:rsid w:val="0023799E"/>
    <w:rsid w:val="00243652"/>
    <w:rsid w:val="00274243"/>
    <w:rsid w:val="002C50CF"/>
    <w:rsid w:val="002F6ADB"/>
    <w:rsid w:val="003145AE"/>
    <w:rsid w:val="00315A6A"/>
    <w:rsid w:val="0033539D"/>
    <w:rsid w:val="0035297B"/>
    <w:rsid w:val="003553ED"/>
    <w:rsid w:val="00374583"/>
    <w:rsid w:val="003848CF"/>
    <w:rsid w:val="003853F1"/>
    <w:rsid w:val="00390D89"/>
    <w:rsid w:val="003A057B"/>
    <w:rsid w:val="003A381E"/>
    <w:rsid w:val="003C41DA"/>
    <w:rsid w:val="003F2214"/>
    <w:rsid w:val="004062DB"/>
    <w:rsid w:val="0041124E"/>
    <w:rsid w:val="00411898"/>
    <w:rsid w:val="004352B7"/>
    <w:rsid w:val="00476347"/>
    <w:rsid w:val="0049476D"/>
    <w:rsid w:val="0049701B"/>
    <w:rsid w:val="004A4383"/>
    <w:rsid w:val="004C6831"/>
    <w:rsid w:val="005150A7"/>
    <w:rsid w:val="00535FF4"/>
    <w:rsid w:val="005437C1"/>
    <w:rsid w:val="00591EC6"/>
    <w:rsid w:val="00591ED3"/>
    <w:rsid w:val="005A086B"/>
    <w:rsid w:val="005B41DC"/>
    <w:rsid w:val="005B7344"/>
    <w:rsid w:val="005C6312"/>
    <w:rsid w:val="005C7296"/>
    <w:rsid w:val="005D06ED"/>
    <w:rsid w:val="00601B44"/>
    <w:rsid w:val="00604993"/>
    <w:rsid w:val="006121AA"/>
    <w:rsid w:val="00612E08"/>
    <w:rsid w:val="00621EB2"/>
    <w:rsid w:val="00626146"/>
    <w:rsid w:val="00627483"/>
    <w:rsid w:val="0066613F"/>
    <w:rsid w:val="00675AFB"/>
    <w:rsid w:val="00690B45"/>
    <w:rsid w:val="006B73AE"/>
    <w:rsid w:val="006F678E"/>
    <w:rsid w:val="006F6B62"/>
    <w:rsid w:val="00720322"/>
    <w:rsid w:val="0075197E"/>
    <w:rsid w:val="00761208"/>
    <w:rsid w:val="00772987"/>
    <w:rsid w:val="007756BE"/>
    <w:rsid w:val="007A3D46"/>
    <w:rsid w:val="007B073C"/>
    <w:rsid w:val="007B40C1"/>
    <w:rsid w:val="007C5312"/>
    <w:rsid w:val="007C6B6B"/>
    <w:rsid w:val="007D6F2C"/>
    <w:rsid w:val="007F587A"/>
    <w:rsid w:val="0080042A"/>
    <w:rsid w:val="0080044B"/>
    <w:rsid w:val="00822EB4"/>
    <w:rsid w:val="00825D86"/>
    <w:rsid w:val="0084379D"/>
    <w:rsid w:val="00846FF2"/>
    <w:rsid w:val="00856C67"/>
    <w:rsid w:val="00865E81"/>
    <w:rsid w:val="008801B5"/>
    <w:rsid w:val="00881E07"/>
    <w:rsid w:val="008B222D"/>
    <w:rsid w:val="008B6672"/>
    <w:rsid w:val="008C79B7"/>
    <w:rsid w:val="008C7DCE"/>
    <w:rsid w:val="009365BC"/>
    <w:rsid w:val="009431E3"/>
    <w:rsid w:val="009475F5"/>
    <w:rsid w:val="00970E1F"/>
    <w:rsid w:val="009717F5"/>
    <w:rsid w:val="0098472E"/>
    <w:rsid w:val="009A3EC5"/>
    <w:rsid w:val="009C424C"/>
    <w:rsid w:val="009C635E"/>
    <w:rsid w:val="009D76C1"/>
    <w:rsid w:val="009E09F7"/>
    <w:rsid w:val="009F4832"/>
    <w:rsid w:val="00A340BB"/>
    <w:rsid w:val="00A57D79"/>
    <w:rsid w:val="00A60413"/>
    <w:rsid w:val="00A65CB5"/>
    <w:rsid w:val="00A7788F"/>
    <w:rsid w:val="00A9031B"/>
    <w:rsid w:val="00A90A32"/>
    <w:rsid w:val="00AA2F5A"/>
    <w:rsid w:val="00AA33D1"/>
    <w:rsid w:val="00AA6C80"/>
    <w:rsid w:val="00AA7C78"/>
    <w:rsid w:val="00AB006D"/>
    <w:rsid w:val="00AC30D6"/>
    <w:rsid w:val="00AC38FA"/>
    <w:rsid w:val="00AC676B"/>
    <w:rsid w:val="00AD6C39"/>
    <w:rsid w:val="00AE7DBE"/>
    <w:rsid w:val="00AF0C72"/>
    <w:rsid w:val="00B00B6E"/>
    <w:rsid w:val="00B50792"/>
    <w:rsid w:val="00B547F5"/>
    <w:rsid w:val="00B67F83"/>
    <w:rsid w:val="00B70563"/>
    <w:rsid w:val="00B84F87"/>
    <w:rsid w:val="00B9544C"/>
    <w:rsid w:val="00BA2BF4"/>
    <w:rsid w:val="00BB6873"/>
    <w:rsid w:val="00C16DBC"/>
    <w:rsid w:val="00C216A8"/>
    <w:rsid w:val="00C50E55"/>
    <w:rsid w:val="00C61E2D"/>
    <w:rsid w:val="00C64FD6"/>
    <w:rsid w:val="00C659EE"/>
    <w:rsid w:val="00C86714"/>
    <w:rsid w:val="00C94E4E"/>
    <w:rsid w:val="00CB08AE"/>
    <w:rsid w:val="00CB608E"/>
    <w:rsid w:val="00CC0D5F"/>
    <w:rsid w:val="00CC4611"/>
    <w:rsid w:val="00CD6BFA"/>
    <w:rsid w:val="00CD6E04"/>
    <w:rsid w:val="00CE0B94"/>
    <w:rsid w:val="00CE26C1"/>
    <w:rsid w:val="00CE6AAE"/>
    <w:rsid w:val="00CF1A25"/>
    <w:rsid w:val="00D2313B"/>
    <w:rsid w:val="00D50F1E"/>
    <w:rsid w:val="00D6004E"/>
    <w:rsid w:val="00D6779C"/>
    <w:rsid w:val="00D90635"/>
    <w:rsid w:val="00D943B7"/>
    <w:rsid w:val="00DC4011"/>
    <w:rsid w:val="00DF17E1"/>
    <w:rsid w:val="00DF357C"/>
    <w:rsid w:val="00E06729"/>
    <w:rsid w:val="00E14786"/>
    <w:rsid w:val="00E428B1"/>
    <w:rsid w:val="00E440B4"/>
    <w:rsid w:val="00E57F3D"/>
    <w:rsid w:val="00EA2885"/>
    <w:rsid w:val="00EA4098"/>
    <w:rsid w:val="00EB2658"/>
    <w:rsid w:val="00ED165A"/>
    <w:rsid w:val="00ED1AC0"/>
    <w:rsid w:val="00ED4C8A"/>
    <w:rsid w:val="00EE59E1"/>
    <w:rsid w:val="00F27F3F"/>
    <w:rsid w:val="00F3744A"/>
    <w:rsid w:val="00F50A84"/>
    <w:rsid w:val="00F50F61"/>
    <w:rsid w:val="00F7093E"/>
    <w:rsid w:val="00F805BB"/>
    <w:rsid w:val="00F87681"/>
    <w:rsid w:val="00FA02DB"/>
    <w:rsid w:val="00FE51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F5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B3BED"/>
    <w:pPr>
      <w:ind w:left="720"/>
      <w:contextualSpacing/>
    </w:pPr>
  </w:style>
  <w:style w:type="character" w:styleId="Hypertextovprepojenie">
    <w:name w:val="Hyperlink"/>
    <w:basedOn w:val="Predvolenpsmoodseku"/>
    <w:uiPriority w:val="99"/>
    <w:unhideWhenUsed/>
    <w:rsid w:val="001A0896"/>
    <w:rPr>
      <w:color w:val="0563C1" w:themeColor="hyperlink"/>
      <w:u w:val="single"/>
    </w:rPr>
  </w:style>
  <w:style w:type="character" w:styleId="Odkaznakomentr">
    <w:name w:val="annotation reference"/>
    <w:basedOn w:val="Predvolenpsmoodseku"/>
    <w:uiPriority w:val="99"/>
    <w:semiHidden/>
    <w:unhideWhenUsed/>
    <w:rsid w:val="00E428B1"/>
    <w:rPr>
      <w:sz w:val="16"/>
      <w:szCs w:val="16"/>
    </w:rPr>
  </w:style>
  <w:style w:type="paragraph" w:styleId="Textkomentra">
    <w:name w:val="annotation text"/>
    <w:basedOn w:val="Normlny"/>
    <w:link w:val="TextkomentraChar"/>
    <w:uiPriority w:val="99"/>
    <w:semiHidden/>
    <w:unhideWhenUsed/>
    <w:rsid w:val="00E428B1"/>
    <w:pPr>
      <w:spacing w:line="240" w:lineRule="auto"/>
    </w:pPr>
    <w:rPr>
      <w:sz w:val="20"/>
      <w:szCs w:val="20"/>
    </w:rPr>
  </w:style>
  <w:style w:type="character" w:customStyle="1" w:styleId="TextkomentraChar">
    <w:name w:val="Text komentára Char"/>
    <w:basedOn w:val="Predvolenpsmoodseku"/>
    <w:link w:val="Textkomentra"/>
    <w:uiPriority w:val="99"/>
    <w:semiHidden/>
    <w:rsid w:val="00E428B1"/>
    <w:rPr>
      <w:sz w:val="20"/>
      <w:szCs w:val="20"/>
    </w:rPr>
  </w:style>
  <w:style w:type="paragraph" w:styleId="Predmetkomentra">
    <w:name w:val="annotation subject"/>
    <w:basedOn w:val="Textkomentra"/>
    <w:next w:val="Textkomentra"/>
    <w:link w:val="PredmetkomentraChar"/>
    <w:uiPriority w:val="99"/>
    <w:semiHidden/>
    <w:unhideWhenUsed/>
    <w:rsid w:val="00E428B1"/>
    <w:rPr>
      <w:b/>
      <w:bCs/>
    </w:rPr>
  </w:style>
  <w:style w:type="character" w:customStyle="1" w:styleId="PredmetkomentraChar">
    <w:name w:val="Predmet komentára Char"/>
    <w:basedOn w:val="TextkomentraChar"/>
    <w:link w:val="Predmetkomentra"/>
    <w:uiPriority w:val="99"/>
    <w:semiHidden/>
    <w:rsid w:val="00E42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4730">
      <w:bodyDiv w:val="1"/>
      <w:marLeft w:val="0"/>
      <w:marRight w:val="0"/>
      <w:marTop w:val="0"/>
      <w:marBottom w:val="0"/>
      <w:divBdr>
        <w:top w:val="none" w:sz="0" w:space="0" w:color="auto"/>
        <w:left w:val="none" w:sz="0" w:space="0" w:color="auto"/>
        <w:bottom w:val="none" w:sz="0" w:space="0" w:color="auto"/>
        <w:right w:val="none" w:sz="0" w:space="0" w:color="auto"/>
      </w:divBdr>
    </w:div>
    <w:div w:id="314769441">
      <w:bodyDiv w:val="1"/>
      <w:marLeft w:val="0"/>
      <w:marRight w:val="0"/>
      <w:marTop w:val="0"/>
      <w:marBottom w:val="0"/>
      <w:divBdr>
        <w:top w:val="none" w:sz="0" w:space="0" w:color="auto"/>
        <w:left w:val="none" w:sz="0" w:space="0" w:color="auto"/>
        <w:bottom w:val="none" w:sz="0" w:space="0" w:color="auto"/>
        <w:right w:val="none" w:sz="0" w:space="0" w:color="auto"/>
      </w:divBdr>
    </w:div>
    <w:div w:id="595407331">
      <w:bodyDiv w:val="1"/>
      <w:marLeft w:val="0"/>
      <w:marRight w:val="0"/>
      <w:marTop w:val="0"/>
      <w:marBottom w:val="0"/>
      <w:divBdr>
        <w:top w:val="none" w:sz="0" w:space="0" w:color="auto"/>
        <w:left w:val="none" w:sz="0" w:space="0" w:color="auto"/>
        <w:bottom w:val="none" w:sz="0" w:space="0" w:color="auto"/>
        <w:right w:val="none" w:sz="0" w:space="0" w:color="auto"/>
      </w:divBdr>
    </w:div>
    <w:div w:id="789666714">
      <w:bodyDiv w:val="1"/>
      <w:marLeft w:val="0"/>
      <w:marRight w:val="0"/>
      <w:marTop w:val="0"/>
      <w:marBottom w:val="0"/>
      <w:divBdr>
        <w:top w:val="none" w:sz="0" w:space="0" w:color="auto"/>
        <w:left w:val="none" w:sz="0" w:space="0" w:color="auto"/>
        <w:bottom w:val="none" w:sz="0" w:space="0" w:color="auto"/>
        <w:right w:val="none" w:sz="0" w:space="0" w:color="auto"/>
      </w:divBdr>
    </w:div>
    <w:div w:id="1236664853">
      <w:bodyDiv w:val="1"/>
      <w:marLeft w:val="0"/>
      <w:marRight w:val="0"/>
      <w:marTop w:val="0"/>
      <w:marBottom w:val="0"/>
      <w:divBdr>
        <w:top w:val="none" w:sz="0" w:space="0" w:color="auto"/>
        <w:left w:val="none" w:sz="0" w:space="0" w:color="auto"/>
        <w:bottom w:val="none" w:sz="0" w:space="0" w:color="auto"/>
        <w:right w:val="none" w:sz="0" w:space="0" w:color="auto"/>
      </w:divBdr>
    </w:div>
    <w:div w:id="1819226213">
      <w:bodyDiv w:val="1"/>
      <w:marLeft w:val="0"/>
      <w:marRight w:val="0"/>
      <w:marTop w:val="0"/>
      <w:marBottom w:val="0"/>
      <w:divBdr>
        <w:top w:val="none" w:sz="0" w:space="0" w:color="auto"/>
        <w:left w:val="none" w:sz="0" w:space="0" w:color="auto"/>
        <w:bottom w:val="none" w:sz="0" w:space="0" w:color="auto"/>
        <w:right w:val="none" w:sz="0" w:space="0" w:color="auto"/>
      </w:divBdr>
    </w:div>
    <w:div w:id="20657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aroslav.hudcovsky@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3180126-C02C-43C1-8C45-CFBBC733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4656</Words>
  <Characters>26541</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Hornáček Vladimír</cp:lastModifiedBy>
  <cp:revision>13</cp:revision>
  <dcterms:created xsi:type="dcterms:W3CDTF">2025-07-16T12:13:00Z</dcterms:created>
  <dcterms:modified xsi:type="dcterms:W3CDTF">2025-09-12T07:37:00Z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