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A65" w:rsidRDefault="00287A65" w:rsidP="00287A65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87A65" w:rsidRDefault="00287A65" w:rsidP="00287A65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287A65" w:rsidRDefault="00287A65" w:rsidP="00287A65">
      <w:pPr>
        <w:rPr>
          <w:b/>
          <w:i/>
          <w:sz w:val="28"/>
          <w:szCs w:val="28"/>
        </w:rPr>
      </w:pPr>
    </w:p>
    <w:p w:rsidR="00287A65" w:rsidRDefault="00717BB8" w:rsidP="00287A65">
      <w:pPr>
        <w:ind w:left="360"/>
        <w:jc w:val="right"/>
        <w:rPr>
          <w:b/>
        </w:rPr>
      </w:pPr>
      <w:r>
        <w:rPr>
          <w:b/>
        </w:rPr>
        <w:t xml:space="preserve"> 5</w:t>
      </w:r>
      <w:r w:rsidR="00583487">
        <w:rPr>
          <w:b/>
        </w:rPr>
        <w:t>6</w:t>
      </w:r>
      <w:r w:rsidR="00287A65">
        <w:rPr>
          <w:b/>
        </w:rPr>
        <w:t>. schôdza výboru</w:t>
      </w:r>
    </w:p>
    <w:p w:rsidR="00287A65" w:rsidRDefault="00287A65" w:rsidP="00287A65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</w:t>
      </w:r>
      <w:r w:rsidR="00E264BF">
        <w:t>5617/2025-</w:t>
      </w:r>
      <w:r w:rsidR="003A5578">
        <w:t>3</w:t>
      </w:r>
    </w:p>
    <w:p w:rsidR="00287A65" w:rsidRDefault="00287A65" w:rsidP="00287A65">
      <w:pPr>
        <w:jc w:val="both"/>
      </w:pPr>
    </w:p>
    <w:p w:rsidR="00287A65" w:rsidRDefault="00583487" w:rsidP="0028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247</w:t>
      </w:r>
    </w:p>
    <w:p w:rsidR="00287A65" w:rsidRDefault="00287A65" w:rsidP="00287A65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287A65" w:rsidRDefault="00287A65" w:rsidP="0028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287A65" w:rsidRDefault="00287A65" w:rsidP="00287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717BB8">
        <w:rPr>
          <w:b/>
          <w:sz w:val="28"/>
          <w:szCs w:val="28"/>
        </w:rPr>
        <w:t> </w:t>
      </w:r>
      <w:r w:rsidR="00127E47">
        <w:rPr>
          <w:b/>
          <w:sz w:val="28"/>
          <w:szCs w:val="28"/>
        </w:rPr>
        <w:t>18</w:t>
      </w:r>
      <w:r w:rsidR="00717BB8">
        <w:rPr>
          <w:b/>
          <w:sz w:val="28"/>
          <w:szCs w:val="28"/>
        </w:rPr>
        <w:t xml:space="preserve">. septembra </w:t>
      </w:r>
      <w:r>
        <w:rPr>
          <w:b/>
          <w:sz w:val="28"/>
          <w:szCs w:val="28"/>
        </w:rPr>
        <w:t>2025</w:t>
      </w:r>
    </w:p>
    <w:p w:rsidR="00287A65" w:rsidRDefault="00287A65" w:rsidP="00287A65">
      <w:pPr>
        <w:ind w:right="-567"/>
        <w:jc w:val="center"/>
        <w:rPr>
          <w:b/>
        </w:rPr>
      </w:pPr>
    </w:p>
    <w:p w:rsidR="00E264BF" w:rsidRPr="00181328" w:rsidRDefault="00E264BF" w:rsidP="00181328">
      <w:pPr>
        <w:shd w:val="clear" w:color="auto" w:fill="FFFFFF"/>
        <w:jc w:val="both"/>
        <w:rPr>
          <w:b/>
          <w:bCs/>
        </w:rPr>
      </w:pPr>
      <w:r w:rsidRPr="00EB62B8">
        <w:rPr>
          <w:bCs/>
        </w:rPr>
        <w:t xml:space="preserve">Výbor Národnej rady Slovenskej republiky pre financie a rozpočet prerokoval vládny návrh zákona, </w:t>
      </w:r>
      <w:r w:rsidRPr="00EB62B8">
        <w:rPr>
          <w:shd w:val="clear" w:color="auto" w:fill="FFFFFF"/>
        </w:rPr>
        <w:t>ktorým sa  menia a dopĺňajú niektoré zákony v súvislosti s konsolidáciou verejných financií</w:t>
      </w:r>
      <w:r w:rsidRPr="00EB62B8">
        <w:t xml:space="preserve"> </w:t>
      </w:r>
      <w:r w:rsidRPr="00EB62B8">
        <w:rPr>
          <w:b/>
          <w:shd w:val="clear" w:color="auto" w:fill="FFFFFF"/>
        </w:rPr>
        <w:t>(tlač 1005)</w:t>
      </w:r>
      <w:r w:rsidRPr="00EB62B8">
        <w:rPr>
          <w:b/>
          <w:bCs/>
        </w:rPr>
        <w:t xml:space="preserve"> a   </w:t>
      </w:r>
    </w:p>
    <w:p w:rsidR="00E264BF" w:rsidRPr="00EB62B8" w:rsidRDefault="00E264BF" w:rsidP="00E264BF">
      <w:pPr>
        <w:rPr>
          <w:bCs/>
        </w:rPr>
      </w:pPr>
    </w:p>
    <w:p w:rsidR="00E264BF" w:rsidRDefault="00181328" w:rsidP="00E264BF">
      <w:pPr>
        <w:pStyle w:val="Odsekzoznamu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s ú h l a s í</w:t>
      </w:r>
    </w:p>
    <w:p w:rsidR="00181328" w:rsidRPr="00181328" w:rsidRDefault="00181328" w:rsidP="00181328">
      <w:pPr>
        <w:pStyle w:val="Odsekzoznamu"/>
        <w:ind w:firstLine="0"/>
        <w:rPr>
          <w:b/>
          <w:bCs/>
        </w:rPr>
      </w:pPr>
    </w:p>
    <w:p w:rsidR="00E264BF" w:rsidRPr="00EB62B8" w:rsidRDefault="00E264BF" w:rsidP="00E264BF">
      <w:pPr>
        <w:ind w:left="57" w:firstLine="369"/>
        <w:jc w:val="both"/>
        <w:rPr>
          <w:bCs/>
        </w:rPr>
      </w:pPr>
      <w:r w:rsidRPr="00EB62B8">
        <w:rPr>
          <w:bCs/>
        </w:rPr>
        <w:t xml:space="preserve"> </w:t>
      </w:r>
      <w:r w:rsidR="00181328">
        <w:rPr>
          <w:bCs/>
        </w:rPr>
        <w:t xml:space="preserve">    </w:t>
      </w:r>
      <w:r w:rsidRPr="00EB62B8">
        <w:rPr>
          <w:bCs/>
        </w:rPr>
        <w:t xml:space="preserve">s  vládnym návrhom zákona, </w:t>
      </w:r>
      <w:r w:rsidRPr="00EB62B8">
        <w:rPr>
          <w:shd w:val="clear" w:color="auto" w:fill="FFFFFF"/>
        </w:rPr>
        <w:t>ktorým sa  menia a dopĺňajú niektoré zákony v súvislosti s konsolidáciou verejných financií</w:t>
      </w:r>
      <w:r w:rsidRPr="00EB62B8">
        <w:t xml:space="preserve"> </w:t>
      </w:r>
      <w:r w:rsidRPr="00EB62B8">
        <w:rPr>
          <w:b/>
          <w:shd w:val="clear" w:color="auto" w:fill="FFFFFF"/>
        </w:rPr>
        <w:t>(tlač 1005)</w:t>
      </w:r>
      <w:r w:rsidR="00EB62B8">
        <w:rPr>
          <w:b/>
          <w:shd w:val="clear" w:color="auto" w:fill="FFFFFF"/>
        </w:rPr>
        <w:t>;</w:t>
      </w:r>
    </w:p>
    <w:p w:rsidR="00E264BF" w:rsidRPr="00EB62B8" w:rsidRDefault="00E264BF" w:rsidP="00181328">
      <w:pPr>
        <w:jc w:val="both"/>
        <w:rPr>
          <w:bCs/>
        </w:rPr>
      </w:pPr>
    </w:p>
    <w:p w:rsidR="00E264BF" w:rsidRPr="00181328" w:rsidRDefault="00E264BF" w:rsidP="00181328">
      <w:pPr>
        <w:pStyle w:val="Odsekzoznamu"/>
        <w:keepNext/>
        <w:numPr>
          <w:ilvl w:val="0"/>
          <w:numId w:val="5"/>
        </w:numPr>
        <w:outlineLvl w:val="6"/>
        <w:rPr>
          <w:b/>
          <w:bCs/>
        </w:rPr>
      </w:pPr>
      <w:r w:rsidRPr="00181328">
        <w:rPr>
          <w:b/>
        </w:rPr>
        <w:t>odporúča</w:t>
      </w:r>
      <w:r w:rsidRPr="00181328">
        <w:rPr>
          <w:b/>
          <w:bCs/>
        </w:rPr>
        <w:t xml:space="preserve"> </w:t>
      </w:r>
    </w:p>
    <w:p w:rsidR="00E264BF" w:rsidRPr="00EB62B8" w:rsidRDefault="00E264BF" w:rsidP="00E264BF">
      <w:pPr>
        <w:keepNext/>
        <w:tabs>
          <w:tab w:val="num" w:pos="426"/>
        </w:tabs>
        <w:jc w:val="both"/>
        <w:outlineLvl w:val="6"/>
        <w:rPr>
          <w:b/>
        </w:rPr>
      </w:pPr>
      <w:r w:rsidRPr="00EB62B8">
        <w:rPr>
          <w:b/>
        </w:rPr>
        <w:tab/>
      </w:r>
      <w:r w:rsidR="00181328">
        <w:rPr>
          <w:b/>
        </w:rPr>
        <w:t xml:space="preserve">     </w:t>
      </w:r>
      <w:r w:rsidRPr="00EB62B8">
        <w:rPr>
          <w:b/>
        </w:rPr>
        <w:t>Národnej rade Slovenskej republiky</w:t>
      </w:r>
    </w:p>
    <w:p w:rsidR="00E264BF" w:rsidRPr="00EB62B8" w:rsidRDefault="00E264BF" w:rsidP="00E264BF">
      <w:pPr>
        <w:keepNext/>
        <w:ind w:firstLine="567"/>
        <w:jc w:val="both"/>
        <w:outlineLvl w:val="6"/>
        <w:rPr>
          <w:b/>
        </w:rPr>
      </w:pPr>
    </w:p>
    <w:p w:rsidR="00E264BF" w:rsidRPr="009142BE" w:rsidRDefault="00E264BF" w:rsidP="00E264BF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EB62B8">
        <w:rPr>
          <w:rFonts w:ascii="Times New Roman" w:hAnsi="Times New Roman"/>
          <w:bCs/>
          <w:color w:val="auto"/>
          <w:sz w:val="24"/>
          <w:szCs w:val="24"/>
        </w:rPr>
        <w:t xml:space="preserve"> </w:t>
      </w:r>
      <w:r w:rsidR="00181328">
        <w:rPr>
          <w:rFonts w:ascii="Times New Roman" w:hAnsi="Times New Roman"/>
          <w:bCs/>
          <w:color w:val="auto"/>
          <w:sz w:val="24"/>
          <w:szCs w:val="24"/>
        </w:rPr>
        <w:t xml:space="preserve">     </w:t>
      </w:r>
      <w:r w:rsidRPr="00EB62B8">
        <w:rPr>
          <w:rFonts w:ascii="Times New Roman" w:hAnsi="Times New Roman"/>
          <w:bCs/>
          <w:color w:val="auto"/>
          <w:sz w:val="24"/>
          <w:szCs w:val="24"/>
        </w:rPr>
        <w:t xml:space="preserve">vládny návrh zákona, </w:t>
      </w:r>
      <w:r w:rsidRPr="00EB62B8">
        <w:rPr>
          <w:rFonts w:ascii="Times New Roman" w:hAnsi="Times New Roman"/>
          <w:color w:val="auto"/>
          <w:sz w:val="24"/>
          <w:szCs w:val="24"/>
          <w:shd w:val="clear" w:color="auto" w:fill="FFFFFF"/>
        </w:rPr>
        <w:t>ktorým sa  menia a dopĺňajú niektoré zákony v súvislosti s konsolidáciou verejných financií</w:t>
      </w:r>
      <w:r w:rsidRPr="00EB62B8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62B8">
        <w:rPr>
          <w:rFonts w:ascii="Times New Roman" w:hAnsi="Times New Roman"/>
          <w:b/>
          <w:color w:val="auto"/>
          <w:sz w:val="24"/>
          <w:szCs w:val="24"/>
          <w:shd w:val="clear" w:color="auto" w:fill="FFFFFF"/>
        </w:rPr>
        <w:t>(tlač 1005)</w:t>
      </w:r>
      <w:r w:rsidRPr="00EB62B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142BE">
        <w:rPr>
          <w:rFonts w:ascii="Times New Roman" w:hAnsi="Times New Roman"/>
          <w:b/>
          <w:color w:val="auto"/>
          <w:sz w:val="24"/>
          <w:szCs w:val="24"/>
        </w:rPr>
        <w:t xml:space="preserve">schváliť so zmenami a doplnkami </w:t>
      </w:r>
      <w:r w:rsidR="009142BE" w:rsidRPr="009142BE">
        <w:rPr>
          <w:rFonts w:ascii="Times New Roman" w:hAnsi="Times New Roman"/>
          <w:color w:val="auto"/>
          <w:sz w:val="24"/>
          <w:szCs w:val="24"/>
        </w:rPr>
        <w:t xml:space="preserve">ako sú uvedené v prílohe tohto </w:t>
      </w:r>
      <w:r w:rsidR="009142BE">
        <w:rPr>
          <w:rFonts w:ascii="Times New Roman" w:hAnsi="Times New Roman"/>
          <w:color w:val="auto"/>
          <w:sz w:val="24"/>
          <w:szCs w:val="24"/>
        </w:rPr>
        <w:t>uznesenia</w:t>
      </w:r>
      <w:r w:rsidR="009142BE" w:rsidRPr="009142BE">
        <w:rPr>
          <w:rFonts w:ascii="Times New Roman" w:hAnsi="Times New Roman"/>
          <w:color w:val="auto"/>
          <w:sz w:val="24"/>
          <w:szCs w:val="24"/>
        </w:rPr>
        <w:t>;</w:t>
      </w:r>
    </w:p>
    <w:p w:rsidR="00E264BF" w:rsidRPr="00EB62B8" w:rsidRDefault="00E264BF" w:rsidP="00181328">
      <w:pPr>
        <w:keepNext/>
        <w:jc w:val="both"/>
        <w:outlineLvl w:val="0"/>
        <w:rPr>
          <w:b/>
          <w:bCs/>
        </w:rPr>
      </w:pPr>
    </w:p>
    <w:p w:rsidR="00E264BF" w:rsidRPr="00181328" w:rsidRDefault="00E264BF" w:rsidP="00181328">
      <w:pPr>
        <w:pStyle w:val="Odsekzoznamu"/>
        <w:keepNext/>
        <w:numPr>
          <w:ilvl w:val="0"/>
          <w:numId w:val="5"/>
        </w:numPr>
        <w:outlineLvl w:val="4"/>
        <w:rPr>
          <w:b/>
          <w:bCs/>
        </w:rPr>
      </w:pPr>
      <w:r w:rsidRPr="00181328">
        <w:rPr>
          <w:b/>
          <w:bCs/>
        </w:rPr>
        <w:t>ukladá</w:t>
      </w:r>
    </w:p>
    <w:p w:rsidR="00E264BF" w:rsidRPr="00EB62B8" w:rsidRDefault="00181328" w:rsidP="00E264BF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</w:t>
      </w:r>
      <w:r w:rsidR="00E264BF" w:rsidRPr="00EB62B8">
        <w:rPr>
          <w:b/>
          <w:bCs/>
        </w:rPr>
        <w:t>predsedovi výboru</w:t>
      </w:r>
      <w:r w:rsidR="00EB62B8">
        <w:rPr>
          <w:b/>
          <w:bCs/>
        </w:rPr>
        <w:t>,</w:t>
      </w:r>
    </w:p>
    <w:p w:rsidR="00EB62B8" w:rsidRPr="00EB62B8" w:rsidRDefault="00E264BF" w:rsidP="00EB62B8">
      <w:pPr>
        <w:rPr>
          <w:bCs/>
        </w:rPr>
      </w:pPr>
      <w:r w:rsidRPr="00EB62B8">
        <w:rPr>
          <w:bCs/>
        </w:rPr>
        <w:t xml:space="preserve">  </w:t>
      </w:r>
      <w:r w:rsidRPr="00EB62B8">
        <w:rPr>
          <w:bCs/>
        </w:rPr>
        <w:tab/>
      </w:r>
      <w:r w:rsidRPr="00EB62B8">
        <w:rPr>
          <w:bCs/>
        </w:rPr>
        <w:tab/>
      </w:r>
      <w:r w:rsidRPr="00EB62B8">
        <w:rPr>
          <w:bCs/>
        </w:rPr>
        <w:tab/>
      </w:r>
    </w:p>
    <w:p w:rsidR="00287A65" w:rsidRPr="00EB62B8" w:rsidRDefault="00EB62B8" w:rsidP="00924CFD">
      <w:pPr>
        <w:jc w:val="both"/>
      </w:pPr>
      <w:r w:rsidRPr="00EB62B8">
        <w:rPr>
          <w:rFonts w:eastAsiaTheme="majorEastAsia"/>
          <w:b/>
        </w:rPr>
        <w:t xml:space="preserve">       </w:t>
      </w:r>
      <w:r w:rsidR="00181328">
        <w:rPr>
          <w:rFonts w:eastAsiaTheme="majorEastAsia"/>
          <w:b/>
        </w:rPr>
        <w:t xml:space="preserve">     </w:t>
      </w:r>
      <w:r w:rsidRPr="00EB62B8">
        <w:rPr>
          <w:rStyle w:val="awspan"/>
        </w:rPr>
        <w:t>aby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spracoval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výsledky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rokovania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Výboru</w:t>
      </w:r>
      <w:r w:rsidRPr="00EB62B8">
        <w:rPr>
          <w:rStyle w:val="awspan"/>
          <w:spacing w:val="4"/>
        </w:rPr>
        <w:t xml:space="preserve"> </w:t>
      </w:r>
      <w:r w:rsidRPr="00EB62B8">
        <w:rPr>
          <w:rStyle w:val="awspan"/>
        </w:rPr>
        <w:t>Národnej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rady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Slovenskej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republiky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pre financie a rozpočet z 18. septembra 2025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o tomto návrhu zákona spolu</w:t>
      </w:r>
      <w:r w:rsidRPr="00EB62B8">
        <w:rPr>
          <w:rStyle w:val="awspan"/>
          <w:spacing w:val="68"/>
        </w:rPr>
        <w:t xml:space="preserve"> </w:t>
      </w:r>
      <w:r w:rsidRPr="00EB62B8">
        <w:rPr>
          <w:rStyle w:val="awspan"/>
        </w:rPr>
        <w:t>s výsledkami</w:t>
      </w:r>
      <w:r w:rsidRPr="00EB62B8">
        <w:rPr>
          <w:rStyle w:val="awspan"/>
          <w:spacing w:val="68"/>
        </w:rPr>
        <w:t xml:space="preserve"> </w:t>
      </w:r>
      <w:r w:rsidRPr="00EB62B8">
        <w:rPr>
          <w:rStyle w:val="awspan"/>
        </w:rPr>
        <w:t>rokovania výborov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Národnej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rady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Slovenskej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republiky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do písomnej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spoločnej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správy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výborov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 xml:space="preserve">Národnej rady Slovenskej republiky a predložil ju na schválenie gestorskému výboru. </w:t>
      </w:r>
    </w:p>
    <w:p w:rsidR="00287A65" w:rsidRPr="00EB62B8" w:rsidRDefault="00287A65" w:rsidP="00287A65">
      <w:pPr>
        <w:ind w:left="7080"/>
      </w:pPr>
    </w:p>
    <w:p w:rsidR="00717BB8" w:rsidRDefault="00717BB8" w:rsidP="00287A65">
      <w:pPr>
        <w:ind w:left="7080"/>
      </w:pPr>
    </w:p>
    <w:p w:rsidR="00575F84" w:rsidRDefault="00575F84" w:rsidP="00287A65">
      <w:pPr>
        <w:ind w:left="7080"/>
      </w:pPr>
    </w:p>
    <w:p w:rsidR="00575F84" w:rsidRPr="00EB62B8" w:rsidRDefault="00575F84" w:rsidP="00287A65">
      <w:pPr>
        <w:ind w:left="7080"/>
      </w:pPr>
    </w:p>
    <w:p w:rsidR="00287A65" w:rsidRPr="00EB62B8" w:rsidRDefault="00287A65" w:rsidP="00287A65">
      <w:pPr>
        <w:ind w:left="7080"/>
      </w:pPr>
    </w:p>
    <w:p w:rsidR="00287A65" w:rsidRPr="00EB62B8" w:rsidRDefault="00187EAA" w:rsidP="00287A65">
      <w:pPr>
        <w:ind w:left="6372"/>
      </w:pPr>
      <w:r>
        <w:rPr>
          <w:b/>
        </w:rPr>
        <w:t xml:space="preserve">    </w:t>
      </w:r>
      <w:r w:rsidR="00EB62B8">
        <w:rPr>
          <w:b/>
        </w:rPr>
        <w:t xml:space="preserve"> </w:t>
      </w:r>
      <w:r w:rsidR="00287A65" w:rsidRPr="00EB62B8">
        <w:rPr>
          <w:b/>
        </w:rPr>
        <w:t>Ján Blcháč</w:t>
      </w:r>
      <w:r>
        <w:rPr>
          <w:b/>
        </w:rPr>
        <w:t>, v. r.</w:t>
      </w:r>
    </w:p>
    <w:p w:rsidR="00287A65" w:rsidRPr="00EB62B8" w:rsidRDefault="00EB62B8" w:rsidP="00287A65">
      <w:pPr>
        <w:ind w:left="6372"/>
      </w:pPr>
      <w:r>
        <w:t xml:space="preserve"> </w:t>
      </w:r>
      <w:r w:rsidR="00287A65" w:rsidRPr="00EB62B8">
        <w:t xml:space="preserve">predseda výboru </w:t>
      </w:r>
    </w:p>
    <w:p w:rsidR="00287A65" w:rsidRPr="00EB62B8" w:rsidRDefault="00EB62B8" w:rsidP="00287A65">
      <w:r>
        <w:t xml:space="preserve">  </w:t>
      </w:r>
    </w:p>
    <w:p w:rsidR="00287A65" w:rsidRPr="00EB62B8" w:rsidRDefault="00287A65" w:rsidP="00287A65">
      <w:r w:rsidRPr="00EB62B8">
        <w:rPr>
          <w:b/>
        </w:rPr>
        <w:t>Igor Válek</w:t>
      </w:r>
      <w:r w:rsidR="00187EAA">
        <w:rPr>
          <w:b/>
        </w:rPr>
        <w:t xml:space="preserve">, v. r. </w:t>
      </w:r>
    </w:p>
    <w:p w:rsidR="00287A65" w:rsidRPr="00EB62B8" w:rsidRDefault="00287A65" w:rsidP="00287A65">
      <w:r w:rsidRPr="00EB62B8">
        <w:rPr>
          <w:b/>
        </w:rPr>
        <w:t>Marián Viskupič</w:t>
      </w:r>
      <w:r w:rsidR="00187EAA">
        <w:rPr>
          <w:b/>
        </w:rPr>
        <w:t xml:space="preserve">, v. r. </w:t>
      </w:r>
    </w:p>
    <w:p w:rsidR="00287A65" w:rsidRDefault="00287A65" w:rsidP="00287A65">
      <w:r>
        <w:t>overovatelia výboru</w:t>
      </w:r>
    </w:p>
    <w:p w:rsidR="00187EAA" w:rsidRDefault="00187EAA" w:rsidP="00287A65"/>
    <w:p w:rsidR="00181328" w:rsidRDefault="00181328" w:rsidP="00287A65"/>
    <w:p w:rsidR="00181328" w:rsidRDefault="00181328" w:rsidP="00287A65"/>
    <w:p w:rsidR="00181328" w:rsidRDefault="00181328" w:rsidP="00287A65"/>
    <w:p w:rsidR="009142BE" w:rsidRDefault="00287A65" w:rsidP="009142BE">
      <w:pPr>
        <w:jc w:val="right"/>
        <w:rPr>
          <w:color w:val="000000"/>
        </w:rPr>
      </w:pPr>
      <w:r>
        <w:lastRenderedPageBreak/>
        <w:t xml:space="preserve">                    </w:t>
      </w:r>
      <w:r w:rsidR="009142BE">
        <w:rPr>
          <w:b/>
          <w:bCs/>
          <w:color w:val="000000"/>
        </w:rPr>
        <w:t>P r í l o h a</w:t>
      </w:r>
    </w:p>
    <w:p w:rsidR="009142BE" w:rsidRDefault="009142BE" w:rsidP="009142BE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k uzneseniu Výboru </w:t>
      </w:r>
    </w:p>
    <w:p w:rsidR="009142BE" w:rsidRDefault="009142BE" w:rsidP="009142BE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Národnej rady Slovenskej republiky </w:t>
      </w:r>
    </w:p>
    <w:p w:rsidR="009142BE" w:rsidRDefault="009142BE" w:rsidP="009142BE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pre financie a rozpočet</w:t>
      </w:r>
    </w:p>
    <w:p w:rsidR="009142BE" w:rsidRDefault="009142BE" w:rsidP="009142BE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č. 247 z 18. septembra 2025</w:t>
      </w:r>
    </w:p>
    <w:p w:rsidR="009142BE" w:rsidRDefault="009142BE" w:rsidP="009142BE">
      <w:pPr>
        <w:jc w:val="center"/>
        <w:rPr>
          <w:b/>
          <w:bCs/>
          <w:color w:val="000000"/>
        </w:rPr>
      </w:pPr>
    </w:p>
    <w:p w:rsidR="009142BE" w:rsidRDefault="009142BE" w:rsidP="009142BE">
      <w:pPr>
        <w:jc w:val="center"/>
        <w:rPr>
          <w:b/>
          <w:bCs/>
          <w:color w:val="000000"/>
        </w:rPr>
      </w:pPr>
    </w:p>
    <w:p w:rsidR="009142BE" w:rsidRDefault="009142BE" w:rsidP="009142BE">
      <w:pPr>
        <w:jc w:val="center"/>
        <w:rPr>
          <w:b/>
          <w:bCs/>
          <w:color w:val="000000"/>
        </w:rPr>
      </w:pPr>
    </w:p>
    <w:p w:rsidR="009142BE" w:rsidRDefault="009142BE" w:rsidP="009142BE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Pozmeňujúce a doplňujúce návrhy </w:t>
      </w:r>
    </w:p>
    <w:p w:rsidR="009142BE" w:rsidRDefault="009142BE" w:rsidP="009142BE">
      <w:pPr>
        <w:jc w:val="both"/>
        <w:rPr>
          <w:b/>
          <w:shd w:val="clear" w:color="auto" w:fill="FFFFFF"/>
        </w:rPr>
      </w:pPr>
      <w:r w:rsidRPr="009142BE">
        <w:rPr>
          <w:b/>
          <w:bCs/>
          <w:color w:val="000000"/>
        </w:rPr>
        <w:t xml:space="preserve">k </w:t>
      </w:r>
      <w:r w:rsidRPr="009142BE">
        <w:rPr>
          <w:b/>
          <w:bCs/>
        </w:rPr>
        <w:t xml:space="preserve">vládnemu návrhu zákona, </w:t>
      </w:r>
      <w:r w:rsidRPr="009142BE">
        <w:rPr>
          <w:b/>
          <w:shd w:val="clear" w:color="auto" w:fill="FFFFFF"/>
        </w:rPr>
        <w:t>ktorým sa  menia a dopĺňajú niektoré zákony v súvislosti s konsolidáciou verejných financií</w:t>
      </w:r>
      <w:r w:rsidRPr="009142BE">
        <w:rPr>
          <w:b/>
        </w:rPr>
        <w:t xml:space="preserve"> </w:t>
      </w:r>
      <w:r w:rsidRPr="009142BE">
        <w:rPr>
          <w:b/>
          <w:shd w:val="clear" w:color="auto" w:fill="FFFFFF"/>
        </w:rPr>
        <w:t>(tlač 1005)</w:t>
      </w:r>
    </w:p>
    <w:p w:rsidR="009142BE" w:rsidRPr="009142BE" w:rsidRDefault="009142BE" w:rsidP="009142BE">
      <w:pPr>
        <w:jc w:val="both"/>
        <w:rPr>
          <w:b/>
          <w:color w:val="000000"/>
        </w:rPr>
      </w:pPr>
      <w:r>
        <w:rPr>
          <w:b/>
          <w:shd w:val="clear" w:color="auto" w:fill="FFFFFF"/>
        </w:rPr>
        <w:t>___________________________________________________________________________</w:t>
      </w:r>
    </w:p>
    <w:p w:rsidR="00287A65" w:rsidRDefault="00287A65" w:rsidP="00287A65">
      <w:pPr>
        <w:ind w:left="7080"/>
      </w:pPr>
      <w:r>
        <w:t xml:space="preserve">                                                                                                                                                  </w:t>
      </w:r>
    </w:p>
    <w:p w:rsidR="00187EAA" w:rsidRDefault="00187EAA" w:rsidP="00187EAA"/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 w:rsidRPr="003800A1">
        <w:rPr>
          <w:b/>
        </w:rPr>
        <w:t xml:space="preserve">K čl. </w:t>
      </w:r>
      <w:r>
        <w:rPr>
          <w:b/>
        </w:rPr>
        <w:t>V</w:t>
      </w:r>
      <w:r w:rsidRPr="003800A1">
        <w:rPr>
          <w:b/>
        </w:rPr>
        <w:t>, bod</w:t>
      </w:r>
      <w:r>
        <w:rPr>
          <w:b/>
        </w:rPr>
        <w:t xml:space="preserve"> 29</w:t>
      </w:r>
    </w:p>
    <w:p w:rsidR="00187EAA" w:rsidRPr="008746E0" w:rsidRDefault="00187EAA" w:rsidP="00187EAA">
      <w:r w:rsidRPr="008746E0">
        <w:t>V čl. V bode 29 sa slová „písm. h)“ nahrádzajú slovami „písm. f)“.</w:t>
      </w:r>
    </w:p>
    <w:p w:rsidR="00187EAA" w:rsidRDefault="00187EAA" w:rsidP="00187EAA">
      <w:pPr>
        <w:ind w:left="4962" w:hanging="426"/>
        <w:rPr>
          <w:b/>
        </w:rPr>
      </w:pPr>
    </w:p>
    <w:p w:rsidR="00187EAA" w:rsidRDefault="00187EAA" w:rsidP="009B781D">
      <w:pPr>
        <w:ind w:left="2832"/>
        <w:jc w:val="both"/>
      </w:pPr>
      <w:r w:rsidRPr="008746E0">
        <w:t>Legislatívno-technická úprava, ktorá reflektuje na prijaté novelizačné body 17 a 18 v ČPT 819, ktorými dochádza k</w:t>
      </w:r>
      <w:r>
        <w:t> </w:t>
      </w:r>
      <w:r w:rsidRPr="008746E0">
        <w:t>preznačeniu písmen v § 168 ods. 2 s</w:t>
      </w:r>
      <w:r>
        <w:t> </w:t>
      </w:r>
      <w:r w:rsidRPr="008746E0">
        <w:t>účinnosťou od 1. januára 2026.</w:t>
      </w:r>
    </w:p>
    <w:p w:rsidR="00187EAA" w:rsidRDefault="00187EAA" w:rsidP="00187EAA">
      <w:pPr>
        <w:ind w:left="4962"/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čl. V, nový bod 32</w:t>
      </w:r>
    </w:p>
    <w:p w:rsidR="00187EAA" w:rsidRDefault="00187EAA" w:rsidP="00187EAA">
      <w:pPr>
        <w:pStyle w:val="Odsekzoznamu"/>
        <w:spacing w:after="0" w:line="240" w:lineRule="auto"/>
        <w:ind w:left="350" w:firstLine="0"/>
      </w:pPr>
      <w:r>
        <w:t>V čl. V sa za bod 31 vkladá nový bod 32, ktorý znie:</w:t>
      </w:r>
    </w:p>
    <w:p w:rsidR="00187EAA" w:rsidRDefault="00187EAA" w:rsidP="00187EAA">
      <w:pPr>
        <w:pStyle w:val="Odsekzoznamu"/>
        <w:spacing w:after="0" w:line="240" w:lineRule="auto"/>
        <w:ind w:left="350" w:firstLine="0"/>
      </w:pPr>
      <w:r>
        <w:t>„32. V § 184 ods. 13 písm. a) prvom bode sa slovo „desať“ nahrádza slovom „štrnásť“ a slovo „desiatich“ sa nahrádza slovom „štrnástich“.“.</w:t>
      </w:r>
    </w:p>
    <w:p w:rsidR="00187EAA" w:rsidRDefault="00187EAA" w:rsidP="00187EAA">
      <w:pPr>
        <w:pStyle w:val="Odsekzoznamu"/>
        <w:spacing w:after="0" w:line="240" w:lineRule="auto"/>
        <w:ind w:left="350" w:firstLine="0"/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prečíslujú, čo sa premietne do článku o účinnosti.</w:t>
      </w: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szCs w:val="24"/>
        </w:rPr>
      </w:pPr>
      <w:r w:rsidRPr="00CE3EBB">
        <w:rPr>
          <w:color w:val="000000" w:themeColor="text1"/>
          <w:szCs w:val="24"/>
        </w:rPr>
        <w:t>Tento</w:t>
      </w:r>
      <w:r w:rsidRPr="00CE3EBB">
        <w:rPr>
          <w:szCs w:val="24"/>
        </w:rPr>
        <w:t xml:space="preserve"> bod nadobúda účinnosť </w:t>
      </w:r>
      <w:r w:rsidRPr="00A63BDF">
        <w:rPr>
          <w:szCs w:val="24"/>
        </w:rPr>
        <w:t>1. apríla 2026</w:t>
      </w:r>
      <w:r w:rsidRPr="00CE3EBB">
        <w:rPr>
          <w:szCs w:val="24"/>
        </w:rPr>
        <w:t>, čo sa premietne do článku o účinnosti.</w:t>
      </w:r>
    </w:p>
    <w:p w:rsidR="00187EAA" w:rsidRDefault="00187EAA" w:rsidP="00187EAA">
      <w:pPr>
        <w:pStyle w:val="Odsekzoznamu"/>
        <w:spacing w:after="0" w:line="240" w:lineRule="auto"/>
        <w:ind w:left="350" w:firstLine="0"/>
      </w:pPr>
    </w:p>
    <w:p w:rsidR="00187EAA" w:rsidRDefault="00187EAA" w:rsidP="009B781D">
      <w:pPr>
        <w:ind w:left="2832"/>
        <w:jc w:val="both"/>
      </w:pPr>
      <w:r w:rsidRPr="002B432F">
        <w:t>Legislatívno-technická úprava, ktorá reflektuje na prijatý novelizačný bod 42 v ČPT 819, ktorý s účinnosťou od 1. apríla 2026 upravuje § 184 ods. 13 v novom znení, ktoré však nereflektuje na navrhované zmeny v posunutí obdobia vyplácania nemocenského (obsiahnuté v</w:t>
      </w:r>
      <w:r>
        <w:t> </w:t>
      </w:r>
      <w:r w:rsidRPr="002B432F">
        <w:t>novelizačnom bode 7 návrhu zákona).</w:t>
      </w:r>
    </w:p>
    <w:p w:rsidR="00187EAA" w:rsidRDefault="00187EAA" w:rsidP="00187EAA">
      <w:pPr>
        <w:ind w:left="4536"/>
        <w:rPr>
          <w:b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čl. V, nové body 34 a 35</w:t>
      </w:r>
    </w:p>
    <w:p w:rsidR="00187EAA" w:rsidRDefault="00187EAA" w:rsidP="00187EAA">
      <w:pPr>
        <w:ind w:firstLine="350"/>
      </w:pPr>
      <w:r>
        <w:t>V čl. V sa za bod 33 vkladajú nové body 34 a 35, ktoré znejú:</w:t>
      </w:r>
    </w:p>
    <w:p w:rsidR="00187EAA" w:rsidRDefault="00187EAA" w:rsidP="00187EAA">
      <w:r>
        <w:t xml:space="preserve">„34. V § 185 ods. 2 písm. a) prvom bode sa slová „11. dňom“ nahrádzajú slovami „15. dňom“. </w:t>
      </w:r>
    </w:p>
    <w:p w:rsidR="00187EAA" w:rsidRDefault="00187EAA" w:rsidP="00187EAA">
      <w:r>
        <w:t>„35. V § 185 ods. 2 písm. a) druhom bode sa slová „10 dní“ nahrádzajú slovami „14 dní“.“.</w:t>
      </w:r>
    </w:p>
    <w:p w:rsidR="00187EAA" w:rsidRDefault="00187EAA" w:rsidP="00187EAA"/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prečíslujú, čo sa premietne do článku o účinnosti.</w:t>
      </w: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 xml:space="preserve">Tieto body nadobudnú účinnosť </w:t>
      </w:r>
      <w:r w:rsidRPr="00A63BDF">
        <w:rPr>
          <w:color w:val="000000" w:themeColor="text1"/>
          <w:szCs w:val="24"/>
        </w:rPr>
        <w:t>1. apríla 2026</w:t>
      </w:r>
      <w:r w:rsidRPr="00CE3EBB">
        <w:rPr>
          <w:color w:val="000000" w:themeColor="text1"/>
          <w:szCs w:val="24"/>
        </w:rPr>
        <w:t>, čo sa premietne do článku o účinnosti.</w:t>
      </w:r>
    </w:p>
    <w:p w:rsidR="00187EAA" w:rsidRDefault="00187EAA" w:rsidP="00187EAA"/>
    <w:p w:rsidR="00187EAA" w:rsidRDefault="00187EAA" w:rsidP="009B781D">
      <w:pPr>
        <w:ind w:left="2832"/>
        <w:jc w:val="both"/>
      </w:pPr>
      <w:r w:rsidRPr="002B432F">
        <w:t xml:space="preserve">Legislatívno-technická úprava, ktorá reflektuje na prijatý novelizačný bod 44 v ČPT 819, ktorý s účinnosťou od 1. apríla </w:t>
      </w:r>
      <w:r w:rsidRPr="002B432F">
        <w:lastRenderedPageBreak/>
        <w:t>2026 upravuje § 185 v novom znení, ktorý však nereflektuje na navrhované zmeny v posunutí obdobia vyplácania nemocenského   (obsiahnuté v</w:t>
      </w:r>
      <w:r>
        <w:t> </w:t>
      </w:r>
      <w:r w:rsidRPr="002B432F">
        <w:t>novelizačnom bode 7 návrhu zákona).</w:t>
      </w:r>
    </w:p>
    <w:p w:rsidR="00187EAA" w:rsidRDefault="00187EAA" w:rsidP="00187EAA">
      <w:pPr>
        <w:ind w:left="4536"/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 w:rsidRPr="00C73793">
        <w:rPr>
          <w:b/>
        </w:rPr>
        <w:t xml:space="preserve">K čl. </w:t>
      </w:r>
      <w:r>
        <w:rPr>
          <w:b/>
        </w:rPr>
        <w:t>V</w:t>
      </w:r>
      <w:r w:rsidRPr="00C73793">
        <w:rPr>
          <w:b/>
        </w:rPr>
        <w:t xml:space="preserve">, </w:t>
      </w:r>
      <w:r>
        <w:rPr>
          <w:b/>
        </w:rPr>
        <w:t>nový bod 35</w:t>
      </w:r>
    </w:p>
    <w:p w:rsidR="00187EAA" w:rsidRDefault="00187EAA" w:rsidP="00187EAA">
      <w:pPr>
        <w:pStyle w:val="Odsekzoznamu"/>
        <w:spacing w:after="0" w:line="240" w:lineRule="auto"/>
        <w:ind w:left="350" w:firstLine="0"/>
      </w:pPr>
      <w:r>
        <w:t>V čl. V sa za bod 34 vkladá nový bod 35, ktorý znie:</w:t>
      </w:r>
    </w:p>
    <w:p w:rsidR="00187EAA" w:rsidRPr="00025ED5" w:rsidRDefault="00187EAA" w:rsidP="00187EAA">
      <w:pPr>
        <w:pStyle w:val="Odsekzoznamu"/>
        <w:spacing w:after="0" w:line="240" w:lineRule="auto"/>
        <w:ind w:left="350" w:firstLine="0"/>
        <w:rPr>
          <w:szCs w:val="24"/>
        </w:rPr>
      </w:pPr>
      <w:r>
        <w:t>„35. V § 226 odsek 5 znie:</w:t>
      </w:r>
    </w:p>
    <w:p w:rsidR="00187EAA" w:rsidRPr="001F4409" w:rsidRDefault="00187EAA" w:rsidP="00187EAA">
      <w:pPr>
        <w:pStyle w:val="Odsekzoznamu"/>
        <w:tabs>
          <w:tab w:val="left" w:pos="426"/>
        </w:tabs>
        <w:spacing w:after="0" w:line="240" w:lineRule="auto"/>
        <w:ind w:left="284"/>
        <w:rPr>
          <w:szCs w:val="24"/>
        </w:rPr>
      </w:pPr>
      <w:r w:rsidRPr="001F4409">
        <w:rPr>
          <w:szCs w:val="24"/>
        </w:rPr>
        <w:t>„(5) Sociálna poisťovňa je povinná v elektronickej podobe sprístupniť zamestnávateľovi informácie o jeho zamestnancovi bez súhlasu dotknutej osoby, ktoré spracúva vo svojom informačnom systéme a sú nevyhnutné na určenie vzniku, trvania alebo zániku nemocenského poistenia, dôchodkového poistenia a poistenia v nezamestnanosti zamestnanca, platenie poistného na tieto poistenia z dôvodu priznania starobného dôchodku, predčasného starobného dôchodku alebo invalidného dôchodku vrátane dňa vydania rozhodnutia o priznaní tohto dôchodku a na splnenie povinnosti podľa § 231 ods. 1 písm. d), ak ide o prerušenie nemocenského poistenia, dôchodkového poistenia a poistenia v nezamestnanosti zamestnanca z dôvodu podľa § 26 ods. 1 písm. e) a ods. 3 písm. b) a c).“.</w:t>
      </w:r>
    </w:p>
    <w:p w:rsidR="00187EAA" w:rsidRDefault="00187EAA" w:rsidP="00187EAA">
      <w:pPr>
        <w:pStyle w:val="Odsekzoznamu"/>
        <w:tabs>
          <w:tab w:val="left" w:pos="426"/>
        </w:tabs>
        <w:spacing w:after="0" w:line="240" w:lineRule="auto"/>
        <w:ind w:left="284"/>
        <w:rPr>
          <w:szCs w:val="24"/>
        </w:rPr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prečíslujú, čo sa premietne do článku o účinnosti.</w:t>
      </w: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Default="00187EAA" w:rsidP="00187EAA">
      <w:pPr>
        <w:pStyle w:val="Odsekzoznamu"/>
        <w:tabs>
          <w:tab w:val="left" w:pos="426"/>
        </w:tabs>
        <w:spacing w:after="0" w:line="240" w:lineRule="auto"/>
        <w:ind w:left="284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Tento bod nadobúda účinnosť 1. apríla 2026, čo sa premietne do článku o účinnosti.</w:t>
      </w:r>
    </w:p>
    <w:p w:rsidR="00187EAA" w:rsidRPr="00025ED5" w:rsidRDefault="00187EAA" w:rsidP="00187EAA">
      <w:pPr>
        <w:pStyle w:val="Odsekzoznamu"/>
        <w:tabs>
          <w:tab w:val="left" w:pos="426"/>
        </w:tabs>
        <w:spacing w:after="0" w:line="240" w:lineRule="auto"/>
        <w:ind w:left="284"/>
        <w:rPr>
          <w:szCs w:val="24"/>
        </w:rPr>
      </w:pPr>
    </w:p>
    <w:p w:rsidR="00187EAA" w:rsidRDefault="00187EAA" w:rsidP="009B781D">
      <w:pPr>
        <w:ind w:left="2832"/>
        <w:jc w:val="both"/>
        <w:rPr>
          <w:bCs/>
        </w:rPr>
      </w:pPr>
      <w:bookmarkStart w:id="0" w:name="_Hlk208999171"/>
      <w:r w:rsidRPr="00A63BDF">
        <w:t>Legislatívno-technická úprava</w:t>
      </w:r>
      <w:bookmarkEnd w:id="0"/>
      <w:r w:rsidRPr="00A63BDF">
        <w:t>, ktorá reflektuje na prijatý novelizačný bod 63 v ČPT 819, ktorým s účinnosťou od 1. apríla 2026 dochádza k preznačeniu písmen v § 231 ods. 1, a na prijatý novelizačný bod 52 v ČPT 819, ktorým sa s účinnosťou od 1. apríla 2026 preznačujú doterajšie odseky v § 226. Z tohto dôvodu je potrebné urobiť zmenu vnútorného odkazu v § 226 ods. 5.</w:t>
      </w:r>
    </w:p>
    <w:p w:rsidR="00187EAA" w:rsidRPr="0076285A" w:rsidRDefault="00187EAA" w:rsidP="00187EAA">
      <w:pPr>
        <w:ind w:left="4962"/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čl. V, nový bod 39</w:t>
      </w:r>
    </w:p>
    <w:p w:rsidR="00187EAA" w:rsidRPr="00A63BD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63BDF">
        <w:rPr>
          <w:bCs/>
        </w:rPr>
        <w:t>V čl. V sa za bod 38 vkladá nový bod 39, ktorý znie: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63BDF">
        <w:rPr>
          <w:bCs/>
        </w:rPr>
        <w:t>„39. V § 231 ods. 1 písm. q) prvom bode sa slová „§ 140 ods. 1 písm. b) až d)“ nahrádzajú slovami „§ 54 ods. 10 písm. a) druhého bodu a tretieho bodu“.“.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prečíslujú, čo sa premietne do článku o účinnosti.</w:t>
      </w: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Pr="00A63BDF" w:rsidRDefault="00187EAA" w:rsidP="00187EAA">
      <w:pPr>
        <w:ind w:firstLine="350"/>
      </w:pPr>
      <w:r w:rsidRPr="00A63BDF">
        <w:rPr>
          <w:color w:val="000000" w:themeColor="text1"/>
        </w:rPr>
        <w:t>Tento bod nadobúda účinnosť 1. apríla 2026, čo sa premietne do článku o účinnosti.</w:t>
      </w:r>
    </w:p>
    <w:p w:rsidR="00187EAA" w:rsidRDefault="00187EAA" w:rsidP="00187EAA">
      <w:pPr>
        <w:ind w:left="4962" w:hanging="426"/>
        <w:rPr>
          <w:b/>
        </w:rPr>
      </w:pPr>
    </w:p>
    <w:p w:rsidR="00187EAA" w:rsidRPr="009B781D" w:rsidRDefault="00187EAA" w:rsidP="009B781D">
      <w:pPr>
        <w:ind w:left="2832"/>
        <w:jc w:val="both"/>
      </w:pPr>
      <w:r w:rsidRPr="009B781D">
        <w:t>Legislatívno-technická úprava, ktorá reflektuje na prijatý novelizačný bod 68 v ČPT 819, ktorý s účinnosťou od 1. apríla 2026 upravuje § 231 ods. 1 písm. q) v novom znení, ktoré však nereflektuje na navrhované zmeny obsiahnuté v novelizačnom bode 25 návrhu zákona.</w:t>
      </w:r>
    </w:p>
    <w:p w:rsidR="00187EAA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čl. V, bod 40</w:t>
      </w:r>
    </w:p>
    <w:p w:rsidR="00187EAA" w:rsidRPr="00C5083D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C5083D">
        <w:rPr>
          <w:bCs/>
        </w:rPr>
        <w:t>V čl. V bod 40 znie:</w:t>
      </w:r>
    </w:p>
    <w:p w:rsidR="00187EAA" w:rsidRPr="00C5083D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C5083D">
        <w:rPr>
          <w:bCs/>
        </w:rPr>
        <w:t>„40. Nadpis</w:t>
      </w:r>
      <w:r>
        <w:rPr>
          <w:bCs/>
        </w:rPr>
        <w:t>y</w:t>
      </w:r>
      <w:r w:rsidRPr="00C5083D">
        <w:rPr>
          <w:bCs/>
        </w:rPr>
        <w:t xml:space="preserve"> § 293gl a 293gm sa vypúšťa</w:t>
      </w:r>
      <w:r>
        <w:rPr>
          <w:bCs/>
        </w:rPr>
        <w:t>jú</w:t>
      </w:r>
      <w:r w:rsidRPr="00C5083D">
        <w:rPr>
          <w:bCs/>
        </w:rPr>
        <w:t>.“.</w:t>
      </w:r>
    </w:p>
    <w:p w:rsidR="00187EAA" w:rsidRDefault="00187EAA" w:rsidP="00187EAA">
      <w:pPr>
        <w:ind w:left="4962" w:hanging="426"/>
        <w:rPr>
          <w:b/>
        </w:rPr>
      </w:pPr>
    </w:p>
    <w:p w:rsidR="00187EAA" w:rsidRPr="009B781D" w:rsidRDefault="00187EAA" w:rsidP="009B781D">
      <w:pPr>
        <w:ind w:left="2832"/>
        <w:jc w:val="both"/>
        <w:rPr>
          <w:bCs/>
        </w:rPr>
      </w:pPr>
      <w:r w:rsidRPr="009B781D">
        <w:rPr>
          <w:bCs/>
        </w:rPr>
        <w:t xml:space="preserve">Legislatívno-technická úprava, </w:t>
      </w:r>
      <w:r w:rsidRPr="009B781D">
        <w:t>ktorá</w:t>
      </w:r>
      <w:r w:rsidRPr="009B781D">
        <w:rPr>
          <w:bCs/>
        </w:rPr>
        <w:t xml:space="preserve"> reflektuje na navrhovaný novelizačný bod 39 návrhu zákona a prijatý novelizačný bod 82 v ČPT 819, ktorý s účinnosťou od 1. januára 2026 dopĺňa nové </w:t>
      </w:r>
      <w:r w:rsidRPr="009B781D">
        <w:rPr>
          <w:bCs/>
        </w:rPr>
        <w:lastRenderedPageBreak/>
        <w:t>prechodné ustanovenie s označením § 293gm spolu s nadpisom (ide o odstránenie duplicitného nadpisu).</w:t>
      </w:r>
    </w:p>
    <w:p w:rsidR="00187EAA" w:rsidRPr="00C5083D" w:rsidRDefault="00187EAA" w:rsidP="00187EAA">
      <w:pPr>
        <w:pStyle w:val="Odsekzoznamu"/>
        <w:spacing w:after="0" w:line="240" w:lineRule="auto"/>
        <w:ind w:left="4536" w:firstLine="0"/>
        <w:rPr>
          <w:bCs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čl. V, bod 41</w:t>
      </w:r>
    </w:p>
    <w:p w:rsidR="00187EAA" w:rsidRPr="00921C8E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921C8E">
        <w:rPr>
          <w:bCs/>
        </w:rPr>
        <w:t>V čl. I bode 41 úvodná veta znie: „Za § 293gm sa vkladajú § 293gma až 293gmd, ktoré znejú:“.</w:t>
      </w:r>
    </w:p>
    <w:p w:rsidR="00187EAA" w:rsidRPr="00921C8E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921C8E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921C8E">
        <w:rPr>
          <w:bCs/>
        </w:rPr>
        <w:t>V tejto súvislosti v 41. bode sa „§ 293gm“ označí ako „§ 293gma“, „§ 293gn“ ako „§</w:t>
      </w:r>
      <w:r>
        <w:rPr>
          <w:bCs/>
        </w:rPr>
        <w:t> </w:t>
      </w:r>
      <w:r w:rsidRPr="00921C8E">
        <w:rPr>
          <w:bCs/>
        </w:rPr>
        <w:t>293gmb“, „§ 293go“ ako „§ 293gmc“ a „§ 293gp“ ako „§ 293gmd“.</w:t>
      </w:r>
    </w:p>
    <w:p w:rsidR="00187EAA" w:rsidRDefault="00187EAA" w:rsidP="00187EAA">
      <w:pPr>
        <w:ind w:left="4962" w:hanging="426"/>
        <w:rPr>
          <w:b/>
          <w:bCs/>
          <w:color w:val="000000" w:themeColor="text1"/>
        </w:rPr>
      </w:pPr>
    </w:p>
    <w:p w:rsidR="00187EAA" w:rsidRPr="009B781D" w:rsidRDefault="00187EAA" w:rsidP="009B781D">
      <w:pPr>
        <w:ind w:left="2832"/>
        <w:jc w:val="both"/>
      </w:pPr>
      <w:r w:rsidRPr="009B781D">
        <w:rPr>
          <w:rFonts w:eastAsia="Calibri"/>
          <w:bCs/>
        </w:rPr>
        <w:t xml:space="preserve">Legislatívno-technická úprava, ktorá reflektuje na </w:t>
      </w:r>
      <w:r w:rsidRPr="009B781D">
        <w:rPr>
          <w:bCs/>
        </w:rPr>
        <w:t>prijatý</w:t>
      </w:r>
      <w:r w:rsidRPr="009B781D">
        <w:rPr>
          <w:rFonts w:eastAsia="Calibri"/>
          <w:bCs/>
        </w:rPr>
        <w:t xml:space="preserve"> novelizačný bod 82 v ČPT 819, ktorý s účinnosťou od 1. januára 2026 dopĺňa nové prechodné ustanovenie s označením § 293gm.</w:t>
      </w:r>
    </w:p>
    <w:p w:rsidR="00187EAA" w:rsidRPr="00921C8E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AF084C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 w:rsidRPr="00AF084C">
        <w:rPr>
          <w:b/>
        </w:rPr>
        <w:t>K čl. IX, bod 3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F084C">
        <w:rPr>
          <w:bCs/>
        </w:rPr>
        <w:t xml:space="preserve">V čl. IX sa vypúšťa bod 3. 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prečíslujú.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9B781D" w:rsidRDefault="00187EAA" w:rsidP="009B781D">
      <w:pPr>
        <w:ind w:left="2124" w:firstLine="708"/>
        <w:rPr>
          <w:bCs/>
        </w:rPr>
      </w:pPr>
      <w:r w:rsidRPr="009B781D">
        <w:rPr>
          <w:bCs/>
        </w:rPr>
        <w:t>Ide o legislatívno-technickú úpravu.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AF084C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 w:rsidRPr="00AF084C">
        <w:rPr>
          <w:b/>
        </w:rPr>
        <w:t>K čl. IX, bod 4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F084C">
        <w:rPr>
          <w:bCs/>
        </w:rPr>
        <w:t>V čl. IX bode 4 prílohe č. 7 sa za číselný znak Spoločného colného sadzobníka „ex 2201“ vkladá číselný znak Spoločného colného sadzobníka „ex 2202“, ktorý znie: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F084C">
        <w:rPr>
          <w:bCs/>
        </w:rPr>
        <w:t>„ex 2202 Vody, vrátane minerálnych vôd a sýtených vôd, obsahujúce pridaný cukor alebo ostatné sladidlá alebo ochutené, a ostatné nealkoholické nápoje, okrem štiav ovocných, z</w:t>
      </w:r>
      <w:r>
        <w:rPr>
          <w:bCs/>
        </w:rPr>
        <w:t> </w:t>
      </w:r>
      <w:r w:rsidRPr="00AF084C">
        <w:rPr>
          <w:bCs/>
        </w:rPr>
        <w:t>orechov alebo zeleninových štiav položky 2009 – len tovar, ktorý je dietetickou potravinou podľa osobitného predpisu</w:t>
      </w:r>
      <w:r w:rsidRPr="00AF084C">
        <w:rPr>
          <w:bCs/>
          <w:vertAlign w:val="superscript"/>
        </w:rPr>
        <w:t>1c</w:t>
      </w:r>
      <w:r w:rsidRPr="00AF084C">
        <w:rPr>
          <w:bCs/>
        </w:rPr>
        <w:t>) a ktorý je zverejnený v zozname podľa osobitného predpisu</w:t>
      </w:r>
      <w:r>
        <w:rPr>
          <w:bCs/>
        </w:rPr>
        <w:t>,</w:t>
      </w:r>
      <w:r w:rsidRPr="00AF084C">
        <w:rPr>
          <w:bCs/>
          <w:vertAlign w:val="superscript"/>
        </w:rPr>
        <w:t>1d</w:t>
      </w:r>
      <w:r w:rsidRPr="00AF084C">
        <w:rPr>
          <w:bCs/>
        </w:rPr>
        <w:t>) tovar číselného znaku 2202 10 00, 2202 91 00 a 2202 99 19 bez pridaného cukru podľa osobitného predpisu,</w:t>
      </w:r>
      <w:r w:rsidRPr="00AF084C">
        <w:rPr>
          <w:bCs/>
          <w:vertAlign w:val="superscript"/>
        </w:rPr>
        <w:t>1a</w:t>
      </w:r>
      <w:r w:rsidRPr="00AF084C">
        <w:rPr>
          <w:bCs/>
        </w:rPr>
        <w:t>) zložky podľa osobitného predpisu</w:t>
      </w:r>
      <w:r w:rsidRPr="00AF084C">
        <w:rPr>
          <w:bCs/>
          <w:vertAlign w:val="superscript"/>
        </w:rPr>
        <w:t>1b</w:t>
      </w:r>
      <w:r w:rsidRPr="00AF084C">
        <w:rPr>
          <w:bCs/>
        </w:rPr>
        <w:t>) alebo bez sladidla podľa osobitného predpisu</w:t>
      </w:r>
      <w:r>
        <w:rPr>
          <w:bCs/>
        </w:rPr>
        <w:t>,</w:t>
      </w:r>
      <w:r w:rsidRPr="00AF084C">
        <w:rPr>
          <w:bCs/>
          <w:vertAlign w:val="superscript"/>
        </w:rPr>
        <w:t>1e</w:t>
      </w:r>
      <w:r w:rsidRPr="00AF084C">
        <w:rPr>
          <w:bCs/>
        </w:rPr>
        <w:t>) a tiež neobsahujúci kávu, čaj alebo ich náhrady</w:t>
      </w:r>
      <w:r>
        <w:rPr>
          <w:bCs/>
        </w:rPr>
        <w:t>,</w:t>
      </w:r>
      <w:r w:rsidRPr="00AF084C">
        <w:rPr>
          <w:bCs/>
        </w:rPr>
        <w:t xml:space="preserve"> a tovar číselného znaku 2202 99 11, 2202 99 15 a 2202 99 91 až 2202 99 99, ak neobsahuje kávu, čaj alebo ich náhrady.“.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F084C">
        <w:rPr>
          <w:bCs/>
        </w:rPr>
        <w:t>Poznámka pod čiarou k odkazu 1e znie: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AF084C">
        <w:rPr>
          <w:bCs/>
        </w:rPr>
        <w:t>„</w:t>
      </w:r>
      <w:r w:rsidRPr="00AF084C">
        <w:rPr>
          <w:bCs/>
          <w:vertAlign w:val="superscript"/>
        </w:rPr>
        <w:t>1e</w:t>
      </w:r>
      <w:r w:rsidRPr="00AF084C">
        <w:rPr>
          <w:bCs/>
        </w:rPr>
        <w:t>) Časť B bod 2 prílohy II k nariadeniu Európskeho parlamentu a Rady (ES) č. 1333/2008 zo 16. decembra 2008 o prídavných látkach v potravinách (Ú. v. EÚ L 354, 31. 12. 2008) v</w:t>
      </w:r>
      <w:r>
        <w:rPr>
          <w:bCs/>
        </w:rPr>
        <w:t> </w:t>
      </w:r>
      <w:r w:rsidRPr="00AF084C">
        <w:rPr>
          <w:bCs/>
        </w:rPr>
        <w:t>platnom znení.“.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>
        <w:rPr>
          <w:bCs/>
        </w:rPr>
        <w:t>V nadväznosti na doplnenie poznámky pod čiarou k odkazu 1e sa upraví úvodná veta k poznámkam pod čiarou.</w:t>
      </w: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AF084C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9B781D" w:rsidRDefault="00187EAA" w:rsidP="009B781D">
      <w:pPr>
        <w:ind w:left="2832"/>
        <w:jc w:val="both"/>
        <w:rPr>
          <w:bCs/>
        </w:rPr>
      </w:pPr>
      <w:r w:rsidRPr="009B781D">
        <w:rPr>
          <w:bCs/>
        </w:rPr>
        <w:t xml:space="preserve">Do zoznamu tovarov, na ktoré sa uplatňuje znížená sadzba dane vo výške 19 % zo základu dane sa navrhuje zaradiť sladené nealkoholické nápoje a ostatné nealkoholické nápoje, ktoré sú dietetickými potravinami </w:t>
      </w:r>
      <w:r w:rsidRPr="009B781D">
        <w:rPr>
          <w:rFonts w:eastAsia="Calibri"/>
          <w:bCs/>
        </w:rPr>
        <w:t>podľa</w:t>
      </w:r>
      <w:r w:rsidRPr="009B781D">
        <w:rPr>
          <w:bCs/>
        </w:rPr>
        <w:t xml:space="preserve"> § 2 písm. a) zákona č. 363/2011 Z. z. o rozsahu a podmienkach úhrady liekov, zdravotníckych pomôcok a dietetických potravín na základe verejného </w:t>
      </w:r>
      <w:r w:rsidRPr="009B781D">
        <w:rPr>
          <w:bCs/>
        </w:rPr>
        <w:lastRenderedPageBreak/>
        <w:t>zdravotného poistenia a o zmene a doplnení niektorých zákonov v znení neskorších predpisov a ktoré sú zároveň zverejnené v zozname podľa § 59 ods. 4 citovaného zákona. Do zoznamu tovarov, na ktoré sa uplatňuje znížená sadzba dane vo výške 19 % zo základu dane, sa navrhuje zaradiť aj mliečne, rastlinné a jogurtové nápoje, ak neobsahujú kávu, čaj alebo ich náhrady, hoci nie sú dietetickými potravinami podľa citovaného zákona, a vybrané nealkoholické nápoje, ktoré neobsahujú pridaný cukor, zložku ani sladidlá a tiež neobsahujúce kávu, čaj alebo ich náhrady, hoci nie sú dietetickými potravinami podľa citovaného zákona.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Nový čl. XI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>Za čl. X sa vkladá nový čl. XI, ktorý znie: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jc w:val="center"/>
        <w:rPr>
          <w:b/>
        </w:rPr>
      </w:pPr>
      <w:r w:rsidRPr="00606F0F">
        <w:rPr>
          <w:bCs/>
        </w:rPr>
        <w:t>„</w:t>
      </w:r>
      <w:r w:rsidRPr="00606F0F">
        <w:rPr>
          <w:b/>
        </w:rPr>
        <w:t>Čl. X</w:t>
      </w:r>
      <w:r>
        <w:rPr>
          <w:b/>
        </w:rPr>
        <w:t>I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>Zákon č. 576/2004 Z. z. o zdravotnej starostlivosti, službách súvisiacich s poskytovaním zdravotnej starostlivosti a o zmene a doplnení niektorých zákonov v znení zákona č. 82/2005 Z. z., zákona č. 350/2005 Z. z., zákona č. 538/2005 Z. z., zákona č. 660/2005 Z. z., zákona č. 282/2006 Z. z., zákona č. 518/2007 Z. z., zákona č. 662/2007 Z. z., zákona č. 489/2008 Z. z., zákona č. 192/2009 Z. z., zákona č. 345/2009 Z. z., zákona č. 132/2010 Z. z., zákona č. 133/2010 Z. z., zákona č. 34/2011 Z. z., zákona č. 172/2011 Z. z., zákona č. 313/2012 Z. z., zákona č. 345/2012 Z. z., zákona č. 41/2013 Z. z., zákona č. 153/2013 Z. z., zákona č. 160/2013 Z. z., zákona č. 220/2013 Z. z., zákona č. 365/2013 Z. z., zákona č. 185/2014 Z. z., zákona č. 204/2014 Z. z., zákona č. 53/2015 Z. z., zákona č. 77/2015 Z. z., zákona č. 378/2015 Z. z., zákona č. 422/2015 Z. z., zákona č. 428/2015 Z. z., zákona č. 125/2016 Z. z., zákona č. 167/2016 Z. z., zákona č. 317/2016 Z. z., zákona č. 386/2016 Z. z., zákona č. 257/2017 Z. z., zákona č. 351/2017 Z. z., zákona č. 61/2018 Z. z., zákona č. 87/2018 Z. z., zákona č. 109/2018 Z. z., zákona č. 156/2018 Z. z., zákona č. 192/2018 Z. z., zákona č. 287/2018 Z. z., zákona č. 374/2018 Z. z., zákona č. 139/2019 Z. z., zákona č. 231/2019 Z. z., zákona č. 383/2019 Z. z., zákona č. 398/2019 Z. z., zákona č. 467/2019 Z. z., zákona č. 69/2020 Z. z., zákona č. 125/2020 Z. z., zákona č. 165/2020 Z. z., zákona č. 319/2020 Z. z., zákona č. 392/2020 Z. z., zákona č. 9/2021 Z. z., zákona č. 82/2021 Z. z., zákona č. 133/2021 Z. z., zákona č. 213/2021 Z. z., zákona č. 252/2021 Z. z., zákona č. 358/2021 Z. z., zákona č. 532/2021 Z. z., zákona č. 540/2021 Z. z., zákona č. 2/2022 Z. z., zákona č. 67/2022 Z. z., zákona č. 102/2022 Z. z., zákona č. 125/2022 Z. z., zákona č. 267/2022 Z. z., zákona č. 331/2022 Z. z., zákona č. 390/2022 Z. z., zákona</w:t>
      </w:r>
      <w:r w:rsidRPr="00606F0F">
        <w:rPr>
          <w:b/>
        </w:rPr>
        <w:t xml:space="preserve"> </w:t>
      </w:r>
      <w:r w:rsidRPr="00606F0F">
        <w:rPr>
          <w:bCs/>
        </w:rPr>
        <w:t xml:space="preserve">č. 420/2022 Z. z., zákona č. 494/2022 Z. z., zákona č. 495/2022 Z. z., zákona č. 518/2022 Z. z., zákona č. 110/2023 Z. z., zákona č. 119/2023 Z. z., zákona č. 293/2023 Z. z., zákona č. 529/2023 Z. z., zákona č. 40/2024 Z. z., zákona č. 125/2024 Z. z., zákona č. 144/2024 Z. z., zákona č. 201/2024 Z. z., zákona č. 360/2024 Z. z., zákona č. 361/2024 Z. z., zákona č. 362/2024 Z. z., zákona č. 363/2024 Z. z. zákona č. 23/2025 Z. z., </w:t>
      </w:r>
      <w:r>
        <w:rPr>
          <w:bCs/>
        </w:rPr>
        <w:t xml:space="preserve">zákona č. </w:t>
      </w:r>
      <w:r w:rsidRPr="00606F0F">
        <w:rPr>
          <w:bCs/>
        </w:rPr>
        <w:t>69/2025 Z. z., zákona č. 150/2025 Z. z., zákona č. 157/2025 Z. z. a zákona č. 176/2025 Z. z. sa dopĺňa takto: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>§ 12a sa dopĺňa odsekom 19, ktorý znie: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 xml:space="preserve">„(19) Ak bola dočasná pracovná neschopnosť ukončená posudkovým lekárom podľa odseku 18, ošetrujúci lekár, ktorý rozhodol o vzniku takto ukončenej dočasnej pracovnej neschopnosti, môže počas siedmich pracovných dní nasledujúcich po dni takéhoto ukončenia dočasnej pracovnej neschopnosti rozhodnúť o vzniku dočasnej pracovnej </w:t>
      </w:r>
      <w:r w:rsidRPr="00606F0F">
        <w:rPr>
          <w:bCs/>
        </w:rPr>
        <w:lastRenderedPageBreak/>
        <w:t xml:space="preserve">neschopnosti tej istej osoby len so súhlasom posudkového lekára; ak sa posudkový lekár do troch pracovných dní nevyjadrí, platí, že súhlas udelil.“.“. 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>
        <w:rPr>
          <w:bCs/>
        </w:rPr>
        <w:t>Nový čl. XI</w:t>
      </w:r>
      <w:r w:rsidRPr="00606F0F">
        <w:rPr>
          <w:bCs/>
        </w:rPr>
        <w:t xml:space="preserve"> nadobúda účinnosť 1. januára 2026, čo sa premietne do ustanovenia o účinnosti zákona. 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 xml:space="preserve">Nasledujúce články sa primerane preznačia, čo sa premietne do ustanovenia o účinnosti zákona. 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606F0F" w:rsidRDefault="00187EAA" w:rsidP="009B781D">
      <w:pPr>
        <w:ind w:left="2832"/>
        <w:jc w:val="both"/>
        <w:rPr>
          <w:bCs/>
        </w:rPr>
      </w:pPr>
      <w:r w:rsidRPr="00606F0F">
        <w:rPr>
          <w:bCs/>
        </w:rPr>
        <w:t>Podľa zistení aplikačnej praxe, ošetrujúci lekári môžu obchádzať inštitút ukončenia dočasnej pracovnej neschopnosti posudkovým lekárom tak, že v krátkom časovom odstupe uznajú novú dočasnú pracovnú neschopnosť toho istého poistenca. V prípade takto uznanej práceneschopnosti hneď nasledujúci kalendárny deň po ukončení predchádzajúcej, sa táto považuje dokonca za pokračovanie predchádzajúcej. Podmienenie súhlasu posudkového lekára s novo uznanou dočasnou práceneschopnosťou napomôže takéto prípady eliminovať.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 doterajšiemu čl. XVIII, bod 1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 xml:space="preserve">V čl. XVIII bode 1 v § 2 písm. </w:t>
      </w:r>
      <w:proofErr w:type="spellStart"/>
      <w:r w:rsidRPr="00606F0F">
        <w:rPr>
          <w:bCs/>
        </w:rPr>
        <w:t>aa</w:t>
      </w:r>
      <w:proofErr w:type="spellEnd"/>
      <w:r w:rsidRPr="00606F0F">
        <w:rPr>
          <w:bCs/>
        </w:rPr>
        <w:t>) sa slová „zamedzenie prístupu k webovému sídlu z</w:t>
      </w:r>
      <w:r>
        <w:rPr>
          <w:bCs/>
        </w:rPr>
        <w:t> </w:t>
      </w:r>
      <w:r w:rsidRPr="00606F0F">
        <w:rPr>
          <w:bCs/>
        </w:rPr>
        <w:t>územia Slovenskej republiky“ nahrádzajú slovami „také zamedzenie prístupu k</w:t>
      </w:r>
      <w:r>
        <w:rPr>
          <w:bCs/>
        </w:rPr>
        <w:t> </w:t>
      </w:r>
      <w:r w:rsidRPr="00606F0F">
        <w:rPr>
          <w:bCs/>
        </w:rPr>
        <w:t xml:space="preserve">webovému sídlu, ktoré neumožňuje prístup k webovému sídlu z územia Slovenskej republiky“.       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606F0F" w:rsidRDefault="00187EAA" w:rsidP="009B781D">
      <w:pPr>
        <w:ind w:left="2832"/>
        <w:jc w:val="both"/>
        <w:rPr>
          <w:bCs/>
          <w:iCs/>
        </w:rPr>
      </w:pPr>
      <w:r w:rsidRPr="00606F0F">
        <w:rPr>
          <w:iCs/>
        </w:rPr>
        <w:t>Ide o </w:t>
      </w:r>
      <w:proofErr w:type="spellStart"/>
      <w:r w:rsidRPr="00606F0F">
        <w:rPr>
          <w:bCs/>
          <w:iCs/>
        </w:rPr>
        <w:t>vyprecizovanie</w:t>
      </w:r>
      <w:proofErr w:type="spellEnd"/>
      <w:r w:rsidRPr="00606F0F">
        <w:rPr>
          <w:iCs/>
        </w:rPr>
        <w:t xml:space="preserve"> pojmu „geografická blokácia“ tak, aby bolo zrejmé, že nejde o obchádzanie geografickej blokácie uskutočnenej z územia Slovenskej republiky, ale o obchádzanie takej </w:t>
      </w:r>
      <w:r>
        <w:rPr>
          <w:iCs/>
        </w:rPr>
        <w:t xml:space="preserve">geografickej </w:t>
      </w:r>
      <w:r w:rsidRPr="00606F0F">
        <w:rPr>
          <w:iCs/>
        </w:rPr>
        <w:t>blokácie, ktorá neumožňuje prístup k webovému sídlu z územia Slovenskej republiky.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 xml:space="preserve"> K doterajšiemu čl. XVIII, nový bod 5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>V čl. XVIII sa za bod 4 vkladá nový bod 5, ktorý znie: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606F0F">
        <w:rPr>
          <w:bCs/>
        </w:rPr>
        <w:t>„5. V § 71 ods. 1 písm. k) sa vypúšťajú slová „a technických zaradeniach obsluhovaných priamo hráčmi“.</w:t>
      </w: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prečíslujú, čo sa premietne do článku o účinnosti.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A63BDF" w:rsidRDefault="00187EAA" w:rsidP="00187EAA">
      <w:pPr>
        <w:ind w:firstLine="350"/>
      </w:pPr>
      <w:r w:rsidRPr="00A63BDF">
        <w:rPr>
          <w:color w:val="000000" w:themeColor="text1"/>
        </w:rPr>
        <w:t xml:space="preserve">Tento bod nadobúda účinnosť 1. </w:t>
      </w:r>
      <w:r>
        <w:rPr>
          <w:color w:val="000000" w:themeColor="text1"/>
        </w:rPr>
        <w:t>január</w:t>
      </w:r>
      <w:r w:rsidRPr="00A63BDF">
        <w:rPr>
          <w:color w:val="000000" w:themeColor="text1"/>
        </w:rPr>
        <w:t>a 2026, čo sa premietne do článku o účinnosti.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1328" w:rsidRPr="00723588" w:rsidRDefault="00181328" w:rsidP="00181328">
      <w:pPr>
        <w:ind w:left="2832"/>
        <w:jc w:val="both"/>
        <w:rPr>
          <w:iCs/>
        </w:rPr>
      </w:pPr>
      <w:r w:rsidRPr="00723588">
        <w:rPr>
          <w:iCs/>
        </w:rPr>
        <w:t>Z dôvodu zjednotenia zdaňovania hazardných hier na technických zaradeniach obsluhovaných priamo hráčmi umiestnených v herni a v kasíne prostredníctvom ročných paušálnych odvodov (riešené úpravou § 71 ods. 1 písm. n) zákona</w:t>
      </w:r>
      <w:r>
        <w:rPr>
          <w:iCs/>
        </w:rPr>
        <w:t xml:space="preserve"> o hazardných hrách</w:t>
      </w:r>
      <w:r w:rsidRPr="00723588">
        <w:rPr>
          <w:iCs/>
        </w:rPr>
        <w:t xml:space="preserve">) je potrebné ich vypustiť zo zdaňovania prostredníctvom výťažku, v opačnom prípade by boli zdaňované dvakrát, ak sú umiestnené v kasíne.       </w:t>
      </w:r>
    </w:p>
    <w:p w:rsidR="00181328" w:rsidRDefault="00181328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1328" w:rsidRDefault="00181328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606F0F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lastRenderedPageBreak/>
        <w:t xml:space="preserve"> K doterajšiemu čl. XVIII, nový bod 8</w:t>
      </w:r>
    </w:p>
    <w:p w:rsidR="00187EAA" w:rsidRPr="00D32583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D32583">
        <w:rPr>
          <w:bCs/>
        </w:rPr>
        <w:t>V čl. XVIII sa za bod 7 vkladá nový bod 8, ktorý znie: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D32583">
        <w:rPr>
          <w:bCs/>
        </w:rPr>
        <w:t>„8. V § 71 ods. 2 písm. d) sa vypúšťajú slová „a za prevádzkovanie hazardných hier na technických zaradeniach obsluhovaných priamo hráčmi“.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  <w:r w:rsidRPr="00CE3EBB">
        <w:rPr>
          <w:color w:val="000000" w:themeColor="text1"/>
          <w:szCs w:val="24"/>
        </w:rPr>
        <w:t>Nasledujúce body sa primerane prečíslujú, čo sa premietne do článku o účinnosti.</w:t>
      </w:r>
    </w:p>
    <w:p w:rsidR="00187EAA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Pr="00A63BDF" w:rsidRDefault="00187EAA" w:rsidP="00187EAA">
      <w:pPr>
        <w:ind w:firstLine="350"/>
      </w:pPr>
      <w:r w:rsidRPr="00A63BDF">
        <w:rPr>
          <w:color w:val="000000" w:themeColor="text1"/>
        </w:rPr>
        <w:t xml:space="preserve">Tento bod nadobúda účinnosť 1. </w:t>
      </w:r>
      <w:r>
        <w:rPr>
          <w:color w:val="000000" w:themeColor="text1"/>
        </w:rPr>
        <w:t>január</w:t>
      </w:r>
      <w:r w:rsidRPr="00A63BDF">
        <w:rPr>
          <w:color w:val="000000" w:themeColor="text1"/>
        </w:rPr>
        <w:t>a 2026, čo sa premietne do článku o účinnosti.</w:t>
      </w:r>
    </w:p>
    <w:p w:rsidR="00187EAA" w:rsidRPr="00CE3EBB" w:rsidRDefault="00187EAA" w:rsidP="00187EAA">
      <w:pPr>
        <w:pStyle w:val="Odsekzoznamu"/>
        <w:spacing w:after="0" w:line="240" w:lineRule="auto"/>
        <w:ind w:left="360"/>
        <w:rPr>
          <w:color w:val="000000" w:themeColor="text1"/>
          <w:szCs w:val="24"/>
        </w:rPr>
      </w:pPr>
    </w:p>
    <w:p w:rsidR="00187EAA" w:rsidRDefault="00187EAA" w:rsidP="00187EAA">
      <w:pPr>
        <w:ind w:left="4962" w:hanging="426"/>
        <w:rPr>
          <w:b/>
          <w:bCs/>
          <w:color w:val="000000" w:themeColor="text1"/>
        </w:rPr>
      </w:pPr>
    </w:p>
    <w:p w:rsidR="00187EAA" w:rsidRPr="00723588" w:rsidRDefault="00187EAA" w:rsidP="009B781D">
      <w:pPr>
        <w:ind w:left="2832"/>
        <w:jc w:val="both"/>
        <w:rPr>
          <w:iCs/>
        </w:rPr>
      </w:pPr>
      <w:r w:rsidRPr="00723588">
        <w:rPr>
          <w:iCs/>
        </w:rPr>
        <w:t>Z dôvodu zjednotenia zdaňovania hazardných hier na technických zaradeniach obsluhovaných priamo hráčmi umiestnených v herni a v kasíne prostredníctvom ročných paušálnych odvodov (riešené úpravou § 71 ods. 1 písm. n) zákona</w:t>
      </w:r>
      <w:r>
        <w:rPr>
          <w:iCs/>
        </w:rPr>
        <w:t xml:space="preserve"> o hazardných hrách</w:t>
      </w:r>
      <w:r w:rsidRPr="00723588">
        <w:rPr>
          <w:iCs/>
        </w:rPr>
        <w:t xml:space="preserve">) je potrebné ich vypustiť zo zdaňovania prostredníctvom výťažku, v opačnom prípade by boli zdaňované dvakrát, ak sú umiestnené v kasíne.       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doterajšiemu čl. XVIII, bod 10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723588">
        <w:rPr>
          <w:bCs/>
        </w:rPr>
        <w:t>V čl. XVIII v bode 10 v § 79 ods. 7 prvej vete sa slovo „prijatia“ nahrádza slovami „vyvesenia prijatého“.</w:t>
      </w:r>
    </w:p>
    <w:p w:rsidR="00187EAA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Default="00187EAA" w:rsidP="00181328">
      <w:pPr>
        <w:ind w:left="2832"/>
        <w:jc w:val="both"/>
        <w:rPr>
          <w:iCs/>
        </w:rPr>
      </w:pPr>
      <w:r w:rsidRPr="00723588">
        <w:rPr>
          <w:iCs/>
        </w:rPr>
        <w:t>Účelom úpravy je precizovanie znenia § 79 ods. 7 prvej vety tak, aby jej znenie jednoznačne ustanovovalo začiatok plynutia lehoty na oznámenie prijatia všeobecne záväzného nariadenia zo strany obce voči Úradu pre reguláciu hazardných hier z dôvodu, že znenie § 79 ods. 7 prvej vety umožňovalo rôzny výklad</w:t>
      </w:r>
      <w:r>
        <w:rPr>
          <w:i/>
        </w:rPr>
        <w:t>.</w:t>
      </w:r>
    </w:p>
    <w:p w:rsidR="00187EAA" w:rsidRPr="00723588" w:rsidRDefault="00187EAA" w:rsidP="00187EAA">
      <w:pPr>
        <w:ind w:left="4536"/>
        <w:rPr>
          <w:bCs/>
          <w:iCs/>
        </w:rPr>
      </w:pPr>
    </w:p>
    <w:p w:rsidR="00187EAA" w:rsidRDefault="00187EAA" w:rsidP="00187EAA">
      <w:pPr>
        <w:pStyle w:val="Odsekzoznamu"/>
        <w:numPr>
          <w:ilvl w:val="0"/>
          <w:numId w:val="4"/>
        </w:numPr>
        <w:spacing w:after="0" w:line="240" w:lineRule="auto"/>
        <w:rPr>
          <w:b/>
        </w:rPr>
      </w:pPr>
      <w:r>
        <w:rPr>
          <w:b/>
        </w:rPr>
        <w:t>K doterajšiemu čl. XVIII, bod 22</w:t>
      </w:r>
    </w:p>
    <w:p w:rsidR="00187EAA" w:rsidRPr="00723588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  <w:r w:rsidRPr="00723588">
        <w:rPr>
          <w:bCs/>
        </w:rPr>
        <w:t xml:space="preserve">V čl. XVIII bode 22 v § 100f ods. 4 prvej vete sa za slová „ods. 8“ vkladajú slová „a konania na vydanie rozhodnutia o zrušení takéhoto príkazu súdu“.    </w:t>
      </w:r>
    </w:p>
    <w:p w:rsidR="00187EAA" w:rsidRPr="00723588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723588" w:rsidRDefault="00187EAA" w:rsidP="00181328">
      <w:pPr>
        <w:ind w:left="2832"/>
        <w:jc w:val="both"/>
        <w:rPr>
          <w:bCs/>
        </w:rPr>
      </w:pPr>
      <w:r w:rsidRPr="00723588">
        <w:rPr>
          <w:bCs/>
        </w:rPr>
        <w:t>Prechodné ustanovenie odseku 4 v § 100f sa dopĺňa</w:t>
      </w:r>
      <w:r>
        <w:rPr>
          <w:bCs/>
        </w:rPr>
        <w:t xml:space="preserve"> tak, aby sa upravil aj postup súdu pri konaniach</w:t>
      </w:r>
      <w:r w:rsidRPr="00723588">
        <w:rPr>
          <w:bCs/>
        </w:rPr>
        <w:t>, v</w:t>
      </w:r>
      <w:r>
        <w:rPr>
          <w:bCs/>
        </w:rPr>
        <w:t> </w:t>
      </w:r>
      <w:r w:rsidRPr="00723588">
        <w:rPr>
          <w:bCs/>
        </w:rPr>
        <w:t>ktorých už súd začal rozhodovať o zrušení príkazu súdu zamedziť prístup k</w:t>
      </w:r>
      <w:r>
        <w:rPr>
          <w:bCs/>
        </w:rPr>
        <w:t> </w:t>
      </w:r>
      <w:r w:rsidRPr="00723588">
        <w:rPr>
          <w:bCs/>
        </w:rPr>
        <w:t xml:space="preserve">webovému sídlu. </w:t>
      </w:r>
    </w:p>
    <w:p w:rsidR="00187EAA" w:rsidRPr="00723588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Pr="00723588" w:rsidRDefault="00187EAA" w:rsidP="00187EAA">
      <w:pPr>
        <w:pStyle w:val="Odsekzoznamu"/>
        <w:spacing w:after="0" w:line="240" w:lineRule="auto"/>
        <w:ind w:left="350" w:firstLine="0"/>
        <w:rPr>
          <w:bCs/>
        </w:rPr>
      </w:pPr>
    </w:p>
    <w:p w:rsidR="00187EAA" w:rsidRDefault="00187EAA" w:rsidP="00187EAA">
      <w:bookmarkStart w:id="1" w:name="_GoBack"/>
      <w:bookmarkEnd w:id="1"/>
    </w:p>
    <w:sectPr w:rsidR="0018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2772"/>
    <w:multiLevelType w:val="hybridMultilevel"/>
    <w:tmpl w:val="03726DEE"/>
    <w:lvl w:ilvl="0" w:tplc="B524D66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E6307"/>
    <w:multiLevelType w:val="hybridMultilevel"/>
    <w:tmpl w:val="77D6D26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E436A"/>
    <w:multiLevelType w:val="hybridMultilevel"/>
    <w:tmpl w:val="69F661D4"/>
    <w:lvl w:ilvl="0" w:tplc="3B186A96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  <w:rPr>
        <w:rFonts w:cs="Times New Roman"/>
      </w:rPr>
    </w:lvl>
  </w:abstractNum>
  <w:abstractNum w:abstractNumId="3" w15:restartNumberingAfterBreak="0">
    <w:nsid w:val="42626424"/>
    <w:multiLevelType w:val="hybridMultilevel"/>
    <w:tmpl w:val="7C10FA26"/>
    <w:lvl w:ilvl="0" w:tplc="1A90881C">
      <w:start w:val="1"/>
      <w:numFmt w:val="decimal"/>
      <w:lvlText w:val="%1."/>
      <w:lvlJc w:val="left"/>
      <w:pPr>
        <w:ind w:left="35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70" w:hanging="360"/>
      </w:pPr>
    </w:lvl>
    <w:lvl w:ilvl="2" w:tplc="041B001B" w:tentative="1">
      <w:start w:val="1"/>
      <w:numFmt w:val="lowerRoman"/>
      <w:lvlText w:val="%3."/>
      <w:lvlJc w:val="right"/>
      <w:pPr>
        <w:ind w:left="1790" w:hanging="180"/>
      </w:pPr>
    </w:lvl>
    <w:lvl w:ilvl="3" w:tplc="041B000F" w:tentative="1">
      <w:start w:val="1"/>
      <w:numFmt w:val="decimal"/>
      <w:lvlText w:val="%4."/>
      <w:lvlJc w:val="left"/>
      <w:pPr>
        <w:ind w:left="2510" w:hanging="360"/>
      </w:pPr>
    </w:lvl>
    <w:lvl w:ilvl="4" w:tplc="041B0019" w:tentative="1">
      <w:start w:val="1"/>
      <w:numFmt w:val="lowerLetter"/>
      <w:lvlText w:val="%5."/>
      <w:lvlJc w:val="left"/>
      <w:pPr>
        <w:ind w:left="3230" w:hanging="360"/>
      </w:pPr>
    </w:lvl>
    <w:lvl w:ilvl="5" w:tplc="041B001B" w:tentative="1">
      <w:start w:val="1"/>
      <w:numFmt w:val="lowerRoman"/>
      <w:lvlText w:val="%6."/>
      <w:lvlJc w:val="right"/>
      <w:pPr>
        <w:ind w:left="3950" w:hanging="180"/>
      </w:pPr>
    </w:lvl>
    <w:lvl w:ilvl="6" w:tplc="041B000F" w:tentative="1">
      <w:start w:val="1"/>
      <w:numFmt w:val="decimal"/>
      <w:lvlText w:val="%7."/>
      <w:lvlJc w:val="left"/>
      <w:pPr>
        <w:ind w:left="4670" w:hanging="360"/>
      </w:pPr>
    </w:lvl>
    <w:lvl w:ilvl="7" w:tplc="041B0019" w:tentative="1">
      <w:start w:val="1"/>
      <w:numFmt w:val="lowerLetter"/>
      <w:lvlText w:val="%8."/>
      <w:lvlJc w:val="left"/>
      <w:pPr>
        <w:ind w:left="5390" w:hanging="360"/>
      </w:pPr>
    </w:lvl>
    <w:lvl w:ilvl="8" w:tplc="041B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4" w15:restartNumberingAfterBreak="0">
    <w:nsid w:val="546C6F34"/>
    <w:multiLevelType w:val="hybridMultilevel"/>
    <w:tmpl w:val="F3966AB0"/>
    <w:lvl w:ilvl="0" w:tplc="D32CB4B6">
      <w:start w:val="2"/>
      <w:numFmt w:val="upperLetter"/>
      <w:lvlText w:val="%1."/>
      <w:lvlJc w:val="left"/>
      <w:pPr>
        <w:ind w:left="720" w:hanging="360"/>
      </w:pPr>
    </w:lvl>
    <w:lvl w:ilvl="1" w:tplc="537E8CA6">
      <w:start w:val="1"/>
      <w:numFmt w:val="lowerLetter"/>
      <w:lvlText w:val="%2."/>
      <w:lvlJc w:val="left"/>
      <w:pPr>
        <w:ind w:left="1440" w:hanging="360"/>
      </w:pPr>
    </w:lvl>
    <w:lvl w:ilvl="2" w:tplc="398C3112">
      <w:start w:val="1"/>
      <w:numFmt w:val="lowerRoman"/>
      <w:lvlText w:val="%3."/>
      <w:lvlJc w:val="right"/>
      <w:pPr>
        <w:ind w:left="2160" w:hanging="180"/>
      </w:pPr>
    </w:lvl>
    <w:lvl w:ilvl="3" w:tplc="F984DBEA">
      <w:start w:val="1"/>
      <w:numFmt w:val="decimal"/>
      <w:lvlText w:val="%4."/>
      <w:lvlJc w:val="left"/>
      <w:pPr>
        <w:ind w:left="2880" w:hanging="360"/>
      </w:pPr>
    </w:lvl>
    <w:lvl w:ilvl="4" w:tplc="43F0B10A">
      <w:start w:val="1"/>
      <w:numFmt w:val="lowerLetter"/>
      <w:lvlText w:val="%5."/>
      <w:lvlJc w:val="left"/>
      <w:pPr>
        <w:ind w:left="3600" w:hanging="360"/>
      </w:pPr>
    </w:lvl>
    <w:lvl w:ilvl="5" w:tplc="4134C100">
      <w:start w:val="1"/>
      <w:numFmt w:val="lowerRoman"/>
      <w:lvlText w:val="%6."/>
      <w:lvlJc w:val="right"/>
      <w:pPr>
        <w:ind w:left="4320" w:hanging="180"/>
      </w:pPr>
    </w:lvl>
    <w:lvl w:ilvl="6" w:tplc="AAB0A17E">
      <w:start w:val="1"/>
      <w:numFmt w:val="decimal"/>
      <w:lvlText w:val="%7."/>
      <w:lvlJc w:val="left"/>
      <w:pPr>
        <w:ind w:left="5040" w:hanging="360"/>
      </w:pPr>
    </w:lvl>
    <w:lvl w:ilvl="7" w:tplc="DDE662FC">
      <w:start w:val="1"/>
      <w:numFmt w:val="lowerLetter"/>
      <w:lvlText w:val="%8."/>
      <w:lvlJc w:val="left"/>
      <w:pPr>
        <w:ind w:left="5760" w:hanging="360"/>
      </w:pPr>
    </w:lvl>
    <w:lvl w:ilvl="8" w:tplc="ED9CF7C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3D"/>
    <w:rsid w:val="00127E47"/>
    <w:rsid w:val="00181328"/>
    <w:rsid w:val="00187EAA"/>
    <w:rsid w:val="00287A65"/>
    <w:rsid w:val="003A5578"/>
    <w:rsid w:val="00575F84"/>
    <w:rsid w:val="00583487"/>
    <w:rsid w:val="00717BB8"/>
    <w:rsid w:val="00720A68"/>
    <w:rsid w:val="009142BE"/>
    <w:rsid w:val="00924CFD"/>
    <w:rsid w:val="009B781D"/>
    <w:rsid w:val="00C47E3D"/>
    <w:rsid w:val="00E264BF"/>
    <w:rsid w:val="00E36952"/>
    <w:rsid w:val="00EB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BDDB"/>
  <w15:chartTrackingRefBased/>
  <w15:docId w15:val="{DD60BD80-49E1-408F-99C4-6C6E465D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7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264BF"/>
    <w:pPr>
      <w:keepNext/>
      <w:keepLines/>
      <w:spacing w:before="240" w:line="259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287A65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287A6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87A6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287A65"/>
    <w:rPr>
      <w:b/>
      <w:bCs/>
    </w:rPr>
  </w:style>
  <w:style w:type="character" w:customStyle="1" w:styleId="Nadpis1Char">
    <w:name w:val="Nadpis 1 Char"/>
    <w:basedOn w:val="Predvolenpsmoodseku"/>
    <w:link w:val="Nadpis1"/>
    <w:uiPriority w:val="9"/>
    <w:rsid w:val="00E264BF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E264BF"/>
    <w:pPr>
      <w:spacing w:after="120" w:line="259" w:lineRule="auto"/>
      <w:ind w:left="283"/>
    </w:pPr>
    <w:rPr>
      <w:rFonts w:ascii="Calibri" w:hAnsi="Calibri" w:cs="Calibri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E264BF"/>
    <w:rPr>
      <w:rFonts w:ascii="Calibri" w:eastAsia="Times New Roman" w:hAnsi="Calibri" w:cs="Calibri"/>
      <w:sz w:val="16"/>
      <w:szCs w:val="16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4B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64BF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EB62B8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"/>
    <w:basedOn w:val="Normlny"/>
    <w:link w:val="OdsekzoznamuChar"/>
    <w:uiPriority w:val="34"/>
    <w:qFormat/>
    <w:rsid w:val="00187EAA"/>
    <w:pPr>
      <w:spacing w:after="5" w:line="269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187EAA"/>
    <w:rPr>
      <w:rFonts w:ascii="Times New Roman" w:eastAsia="Times New Roman" w:hAnsi="Times New Roman" w:cs="Times New Roman"/>
      <w:color w:val="000000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36321-141F-4C94-8D96-2C54A33CC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7</Pages>
  <Words>2310</Words>
  <Characters>13170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12</cp:revision>
  <cp:lastPrinted>2025-09-18T07:48:00Z</cp:lastPrinted>
  <dcterms:created xsi:type="dcterms:W3CDTF">2025-09-10T07:57:00Z</dcterms:created>
  <dcterms:modified xsi:type="dcterms:W3CDTF">2025-09-18T07:49:00Z</dcterms:modified>
</cp:coreProperties>
</file>