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E7A2" w14:textId="568031D1" w:rsidR="008C0C07" w:rsidRPr="00D550F1" w:rsidRDefault="008C0C07" w:rsidP="006C1CF1">
      <w:pPr>
        <w:spacing w:line="240" w:lineRule="auto"/>
        <w:jc w:val="center"/>
        <w:rPr>
          <w:rFonts w:ascii="Times New Roman" w:hAnsi="Times New Roman" w:cs="Times New Roman"/>
          <w:b/>
          <w:bCs/>
        </w:rPr>
      </w:pPr>
      <w:r w:rsidRPr="00D550F1">
        <w:rPr>
          <w:rFonts w:ascii="Times New Roman" w:hAnsi="Times New Roman" w:cs="Times New Roman"/>
          <w:b/>
          <w:bCs/>
        </w:rPr>
        <w:t>Dôvodová správa</w:t>
      </w:r>
    </w:p>
    <w:p w14:paraId="292E6910" w14:textId="3F426DF1" w:rsidR="008C0C07" w:rsidRPr="00D550F1" w:rsidRDefault="008C0C07" w:rsidP="006C1CF1">
      <w:pPr>
        <w:spacing w:line="240" w:lineRule="auto"/>
        <w:rPr>
          <w:rFonts w:ascii="Times New Roman" w:hAnsi="Times New Roman" w:cs="Times New Roman"/>
          <w:b/>
          <w:bCs/>
        </w:rPr>
      </w:pPr>
      <w:r w:rsidRPr="00D550F1">
        <w:rPr>
          <w:rFonts w:ascii="Times New Roman" w:hAnsi="Times New Roman" w:cs="Times New Roman"/>
          <w:b/>
          <w:bCs/>
        </w:rPr>
        <w:t>A. Všeobecná časť</w:t>
      </w:r>
    </w:p>
    <w:p w14:paraId="4593110C" w14:textId="20515A90" w:rsidR="008E19EA" w:rsidRPr="00D550F1" w:rsidRDefault="00827474" w:rsidP="006C1CF1">
      <w:pPr>
        <w:pStyle w:val="Normlnywebov"/>
        <w:spacing w:after="160" w:afterAutospacing="0"/>
        <w:ind w:firstLine="708"/>
        <w:jc w:val="both"/>
        <w:rPr>
          <w:bCs/>
        </w:rPr>
      </w:pPr>
      <w:r w:rsidRPr="00D550F1">
        <w:rPr>
          <w:bCs/>
        </w:rPr>
        <w:t>P</w:t>
      </w:r>
      <w:r w:rsidR="00F70967" w:rsidRPr="00D550F1">
        <w:rPr>
          <w:bCs/>
        </w:rPr>
        <w:t xml:space="preserve">redkladá </w:t>
      </w:r>
      <w:r w:rsidRPr="00D550F1">
        <w:rPr>
          <w:bCs/>
        </w:rPr>
        <w:t xml:space="preserve">sa </w:t>
      </w:r>
      <w:r w:rsidR="00306D7A">
        <w:rPr>
          <w:bCs/>
        </w:rPr>
        <w:t xml:space="preserve">vládny </w:t>
      </w:r>
      <w:r w:rsidR="00F70967" w:rsidRPr="00D550F1">
        <w:rPr>
          <w:bCs/>
        </w:rPr>
        <w:t xml:space="preserve">návrh zákona, </w:t>
      </w:r>
      <w:r w:rsidR="00617990" w:rsidRPr="00D550F1">
        <w:rPr>
          <w:bCs/>
        </w:rPr>
        <w:t>ktorým sa menia a dopĺňajú niektoré zákony v súvislosti s</w:t>
      </w:r>
      <w:r w:rsidRPr="00D550F1">
        <w:rPr>
          <w:bCs/>
        </w:rPr>
        <w:t> </w:t>
      </w:r>
      <w:r w:rsidR="00617990" w:rsidRPr="00D550F1">
        <w:rPr>
          <w:bCs/>
        </w:rPr>
        <w:t xml:space="preserve">konsolidáciou stavu verejných financií </w:t>
      </w:r>
      <w:r w:rsidR="00F70967" w:rsidRPr="00D550F1">
        <w:rPr>
          <w:bCs/>
        </w:rPr>
        <w:t>(ďalej len „návrh zákona“).</w:t>
      </w:r>
    </w:p>
    <w:p w14:paraId="1FB7F3F3" w14:textId="1F427242" w:rsidR="00C416CE" w:rsidRPr="00D550F1" w:rsidRDefault="00C416CE" w:rsidP="006C1CF1">
      <w:pPr>
        <w:spacing w:line="240" w:lineRule="auto"/>
        <w:ind w:firstLine="708"/>
        <w:jc w:val="both"/>
        <w:rPr>
          <w:rFonts w:ascii="Times New Roman" w:hAnsi="Times New Roman" w:cs="Times New Roman"/>
        </w:rPr>
      </w:pPr>
      <w:r w:rsidRPr="00D550F1">
        <w:rPr>
          <w:rFonts w:ascii="Times New Roman" w:hAnsi="Times New Roman" w:cs="Times New Roman"/>
        </w:rPr>
        <w:t xml:space="preserve">V čl. I sa mení a dopĺňa Zákonník práce s cieľom zosúladiť definíciu závislej práce so zvyšným obsahom Zákonníka práce, a tým znížiť mieru jeho obchádzania, ako aj vzhľadom na navrhovanú zmenu zákona č. 241/1993 Z. z. o štátnych sviatkoch, dňoch pracovného pokoja a pamätných dňoch </w:t>
      </w:r>
      <w:r w:rsidR="00E44DA7" w:rsidRPr="00D550F1">
        <w:rPr>
          <w:rFonts w:ascii="Times New Roman" w:hAnsi="Times New Roman" w:cs="Times New Roman"/>
        </w:rPr>
        <w:t xml:space="preserve">v čl. III </w:t>
      </w:r>
      <w:r w:rsidRPr="00D550F1">
        <w:rPr>
          <w:rFonts w:ascii="Times New Roman" w:hAnsi="Times New Roman" w:cs="Times New Roman"/>
        </w:rPr>
        <w:t>ustanovujúcom, že niektoré sviatky sa nepovažujú za dni pracovného pokoja, a teda sa nemá uplatňovať ani zákaz práce v maloobchodnom predaji.</w:t>
      </w:r>
    </w:p>
    <w:p w14:paraId="09821707" w14:textId="5F445CD9" w:rsidR="005903A8" w:rsidRPr="00D550F1" w:rsidRDefault="005903A8" w:rsidP="006C1CF1">
      <w:pPr>
        <w:pStyle w:val="Normlnywebov"/>
        <w:spacing w:after="160" w:afterAutospacing="0"/>
        <w:ind w:firstLine="708"/>
        <w:jc w:val="both"/>
        <w:rPr>
          <w:iCs/>
        </w:rPr>
      </w:pPr>
      <w:r w:rsidRPr="00D550F1">
        <w:rPr>
          <w:iCs/>
        </w:rPr>
        <w:t xml:space="preserve">Cieľom návrhu v čl. II je upraviť legislatívny rámec úhrad za využívanie nerastného bohatstva, zaviesť novú kategóriu surovín a aktualizovať sadzby úhrad, čím sa dosiahne vyšší príjem štátneho rozpočtu a takisto aj efektívnejšie financovanie opatrení na odstraňovanie následkov banskej činnosti. </w:t>
      </w:r>
    </w:p>
    <w:p w14:paraId="5EBA1061" w14:textId="139D061B" w:rsidR="005903A8" w:rsidRPr="00D550F1" w:rsidRDefault="005903A8" w:rsidP="006C1CF1">
      <w:pPr>
        <w:pStyle w:val="Normlnywebov"/>
        <w:spacing w:after="160" w:afterAutospacing="0"/>
        <w:ind w:firstLine="708"/>
        <w:jc w:val="both"/>
        <w:rPr>
          <w:iCs/>
        </w:rPr>
      </w:pPr>
      <w:bookmarkStart w:id="0" w:name="_Hlk199712651"/>
      <w:r w:rsidRPr="00D550F1">
        <w:rPr>
          <w:iCs/>
        </w:rPr>
        <w:t xml:space="preserve">Z dôvodu dlhoročnej neaktualizácie sadzieb úhrad sa zavádzajú úhrady, ktoré reagujú na vývoj cien a infláciu. Nová ročná sadzba úhrad za dobývací priestor sa stanovuje vo výške 1 000 eur za každý aj začatý km² plošného obsahu dobývacieho priestoru. Úhrady za uskladňovanie plynov alebo kvapalín sa stanovujú vo výške 0,001 eur za každý 1 m³ uskladneného (zatlačeného) plynu alebo za každú 1 tonu kvapaliny. </w:t>
      </w:r>
    </w:p>
    <w:p w14:paraId="231332DB" w14:textId="27259F39" w:rsidR="005903A8" w:rsidRPr="00D550F1" w:rsidRDefault="005903A8" w:rsidP="006C1CF1">
      <w:pPr>
        <w:pStyle w:val="Normlnywebov"/>
        <w:spacing w:after="160" w:afterAutospacing="0"/>
        <w:ind w:firstLine="708"/>
        <w:jc w:val="both"/>
        <w:rPr>
          <w:iCs/>
        </w:rPr>
      </w:pPr>
      <w:r w:rsidRPr="00D550F1">
        <w:rPr>
          <w:iCs/>
        </w:rPr>
        <w:t xml:space="preserve">Dopĺňa sa systém platenia úhrad za vydobyté primárne suroviny, konkrétne za štrkopiesky a piesky a stavebný kameň, ktoré sa nachádzajú na ložiskách nevyhradených nerastov, ako aj na výhradných ložiskách nevyhradených nerastov. Navrhuje sa pri výpočte úhrady za vydobyté primárne suroviny vychádzať zo súčinu skutočného množstva vydobytých primárnych surovín v tonách a stanovenej jednotkovej sadzby úhrady. Sadzba úhrady za vydobyté primárne suroviny sa navrhuje vo výške 1,35 eur za tonu. </w:t>
      </w:r>
    </w:p>
    <w:bookmarkEnd w:id="0"/>
    <w:p w14:paraId="3292B854" w14:textId="5124C835" w:rsidR="005903A8" w:rsidRPr="00D550F1" w:rsidRDefault="005903A8" w:rsidP="006C1CF1">
      <w:pPr>
        <w:pStyle w:val="Normlnywebov"/>
        <w:spacing w:after="160" w:afterAutospacing="0"/>
        <w:ind w:firstLine="708"/>
        <w:jc w:val="both"/>
        <w:rPr>
          <w:iCs/>
        </w:rPr>
      </w:pPr>
      <w:r w:rsidRPr="00D550F1">
        <w:rPr>
          <w:iCs/>
        </w:rPr>
        <w:t xml:space="preserve">Podobná </w:t>
      </w:r>
      <w:r w:rsidR="00946B0B" w:rsidRPr="00D550F1">
        <w:rPr>
          <w:iCs/>
        </w:rPr>
        <w:t>úhrada</w:t>
      </w:r>
      <w:r w:rsidRPr="00D550F1">
        <w:rPr>
          <w:iCs/>
        </w:rPr>
        <w:t xml:space="preserve"> je zavedená aj vo Veľkej Británii a Švédsku, pričom výška </w:t>
      </w:r>
      <w:r w:rsidR="00946B0B" w:rsidRPr="00D550F1">
        <w:rPr>
          <w:iCs/>
        </w:rPr>
        <w:t>úhrady</w:t>
      </w:r>
      <w:r w:rsidRPr="00D550F1">
        <w:rPr>
          <w:iCs/>
        </w:rPr>
        <w:t xml:space="preserve"> bola stanovená podľa priemeru poplatku v týchto krajinách, očistený o paritu kúpnej sily. Zavedenie </w:t>
      </w:r>
      <w:r w:rsidR="00946B0B" w:rsidRPr="00D550F1">
        <w:rPr>
          <w:iCs/>
        </w:rPr>
        <w:t>úhrady</w:t>
      </w:r>
      <w:r w:rsidRPr="00D550F1">
        <w:rPr>
          <w:iCs/>
        </w:rPr>
        <w:t xml:space="preserve"> zníži dopyt po surovinách a podporí využívanie alternatívnych materiálov, vrátane recyklovaných a sekundárnych materiálov. Opatrenie odporúča aj OECD. </w:t>
      </w:r>
    </w:p>
    <w:p w14:paraId="3EB1B833" w14:textId="787AD686" w:rsidR="0078280C" w:rsidRPr="00D550F1" w:rsidRDefault="000C1921" w:rsidP="006C1CF1">
      <w:pPr>
        <w:spacing w:line="240" w:lineRule="auto"/>
        <w:ind w:firstLine="708"/>
        <w:jc w:val="both"/>
        <w:rPr>
          <w:rFonts w:ascii="Times New Roman" w:hAnsi="Times New Roman" w:cs="Times New Roman"/>
        </w:rPr>
      </w:pPr>
      <w:bookmarkStart w:id="1" w:name="_Hlk208237478"/>
      <w:r w:rsidRPr="00D550F1">
        <w:rPr>
          <w:rFonts w:ascii="Times New Roman" w:hAnsi="Times New Roman" w:cs="Times New Roman"/>
        </w:rPr>
        <w:t xml:space="preserve">Súčasťou konsolidačného balíčka je v rámci čl. IV aj novela zákona č. </w:t>
      </w:r>
      <w:bookmarkStart w:id="2" w:name="_Hlk199145774"/>
      <w:r w:rsidRPr="00D550F1">
        <w:rPr>
          <w:rFonts w:ascii="Times New Roman" w:hAnsi="Times New Roman" w:cs="Times New Roman"/>
        </w:rPr>
        <w:t>283/2002 Z. z. o cestovných náhradách</w:t>
      </w:r>
      <w:bookmarkEnd w:id="2"/>
      <w:r w:rsidRPr="00D550F1">
        <w:rPr>
          <w:rFonts w:ascii="Times New Roman" w:hAnsi="Times New Roman" w:cs="Times New Roman"/>
        </w:rPr>
        <w:t xml:space="preserve"> v znení neskorších predpisov, ktorá síce nemá priamy vplyv na rozpočet verenej správy, avšak v záujme eliminácie značných potenciálnych dopadov na rozpočet verejnej správy z dôvodu tlaku na plošné zvýšenie sadzieb stravného pri zahraničných pracovných cestách sa navrhuje, aby bolo možné operatívne opatrením Ministerstva financií SR ustanoviť aj osobitné vyššie sadzby stravného pre niektoré skupiny zamestnancov a niektoré krajiny,</w:t>
      </w:r>
      <w:r w:rsidRPr="00D550F1">
        <w:rPr>
          <w:rFonts w:ascii="Times New Roman" w:hAnsi="Times New Roman" w:cs="Times New Roman"/>
          <w:bCs/>
        </w:rPr>
        <w:t xml:space="preserve"> ak pre takéto skupiny zamestnancov a krajiny vznikne v ekonomike závažná disproporcia medzi základnými sadzbami stravného a reálnymi cenami jedál a nealkoholických nápojov, keďže k plošnému zvýšeniu základných sadzieb stravného nie je možné pristúpiť práve z dôvodu potreby konsolidácie. Opatrenie sa bude môcť použiť len v prípade tých odvetví, pri ktorých by mohol hroziť kolaps, ktorý by mal závažné hospodárske a sociálne dôsledky. </w:t>
      </w:r>
      <w:bookmarkEnd w:id="1"/>
    </w:p>
    <w:p w14:paraId="27ACA5B0" w14:textId="2CBBE0F4" w:rsidR="00855106" w:rsidRPr="00D550F1" w:rsidRDefault="00855106" w:rsidP="006C1CF1">
      <w:pPr>
        <w:spacing w:line="240" w:lineRule="auto"/>
        <w:ind w:firstLine="708"/>
        <w:jc w:val="both"/>
        <w:rPr>
          <w:rFonts w:ascii="Times New Roman" w:hAnsi="Times New Roman" w:cs="Times New Roman"/>
        </w:rPr>
      </w:pPr>
      <w:r w:rsidRPr="00D550F1">
        <w:rPr>
          <w:rFonts w:ascii="Times New Roman" w:hAnsi="Times New Roman" w:cs="Times New Roman"/>
        </w:rPr>
        <w:t>V čl. V sa v súvislosti s konsolidáciou verejných financií vstupuje do zákona č. 461/2003 Z. z. o sociálnom poistení v znení neskorších predpisov. Navrhuje sa</w:t>
      </w:r>
    </w:p>
    <w:p w14:paraId="255D1AD2" w14:textId="5325FFF4" w:rsidR="00855106" w:rsidRPr="00D550F1" w:rsidRDefault="00855106" w:rsidP="006C1CF1">
      <w:pPr>
        <w:pStyle w:val="Odsekzoznamu"/>
        <w:numPr>
          <w:ilvl w:val="0"/>
          <w:numId w:val="2"/>
        </w:numPr>
        <w:spacing w:line="240" w:lineRule="auto"/>
        <w:ind w:left="426" w:hanging="426"/>
        <w:jc w:val="both"/>
        <w:rPr>
          <w:rFonts w:ascii="Times New Roman" w:hAnsi="Times New Roman" w:cs="Times New Roman"/>
          <w:b/>
        </w:rPr>
      </w:pPr>
      <w:r w:rsidRPr="00D550F1">
        <w:rPr>
          <w:rFonts w:ascii="Times New Roman" w:hAnsi="Times New Roman" w:cs="Times New Roman"/>
        </w:rPr>
        <w:lastRenderedPageBreak/>
        <w:t>úprava vzniku a zániku povinného nemocenského poistenia a povinného dôchodkového poistenia samostatne zárobkovo činnej osoby (SZČO), ktoré už nebudú naviazané na prekročenie zákonom stanovenej hranice príjmu z podnikania a inej samostatnej zárobkovej činnosti (ďalej len „príjem z podnikania“). Zavádza sa pravidlo, že povinné poistenie SZČO vzniká už od prvého dňa šiesteho kalendárneho mesiaca nasledujúceho po mesiaci, od ktorého je oprávnená na výkon alebo na prevádzkovanie podnikania a inej samostatnej zárobkovej činnosti. Toto pravidlo sa nepoužije v prípade, ak nové oprávnenie na podnikanie vzniklo do 60 mesiacov od zániku posledného oprávnenia. Takáto SZČO bude poistená od prvého dňa vzniku oprávnenia. Poistenie zanikne odo dňa, od ktorého nie je oprávnená na výkon alebo na prevádzkovanie podnikania a inej samostatnej zárobkovej činnosti. SZČO bude počas tohto poistenia platiť poistné z vymeriavacieho základu určeného zo základu dane z príjmu z podnikania, najmenej z minimálneho mesačného vymeriavacieho základu, alebo z „osobitného“ vymeriavacieho základu vo výške 26 % priemernej mesačnej mzdy v hospodárstve Slovenskej republiky spred dvoch rokov</w:t>
      </w:r>
      <w:r w:rsidR="00E44DA7" w:rsidRPr="00D550F1">
        <w:rPr>
          <w:rFonts w:ascii="Times New Roman" w:hAnsi="Times New Roman" w:cs="Times New Roman"/>
        </w:rPr>
        <w:t>,</w:t>
      </w:r>
    </w:p>
    <w:p w14:paraId="7FDAA182" w14:textId="73D91365" w:rsidR="00855106" w:rsidRPr="00D550F1" w:rsidRDefault="00855106" w:rsidP="006C1CF1">
      <w:pPr>
        <w:pStyle w:val="Odsekzoznamu"/>
        <w:numPr>
          <w:ilvl w:val="0"/>
          <w:numId w:val="2"/>
        </w:numPr>
        <w:spacing w:line="240" w:lineRule="auto"/>
        <w:ind w:left="426" w:hanging="426"/>
        <w:jc w:val="both"/>
        <w:rPr>
          <w:rFonts w:ascii="Times New Roman" w:hAnsi="Times New Roman" w:cs="Times New Roman"/>
          <w:b/>
        </w:rPr>
      </w:pPr>
      <w:r w:rsidRPr="00D550F1">
        <w:rPr>
          <w:rFonts w:ascii="Times New Roman" w:hAnsi="Times New Roman" w:cs="Times New Roman"/>
        </w:rPr>
        <w:t>zvýšenie minimálneho mesačného vymeriavacieho základu na platenie poistného na nemocenské poistenie, dôchodkové poistenie (starobné poistenie, invalidné poistenie), poistenie v nezamestnanosti a poistného do rezervného fondu solidarity z 50 % na 60 % priemernej mesačnej mzdy v hospodárstve Slovenskej republiky spred dvoch rokov</w:t>
      </w:r>
      <w:r w:rsidR="00E44DA7" w:rsidRPr="00D550F1">
        <w:rPr>
          <w:rFonts w:ascii="Times New Roman" w:hAnsi="Times New Roman" w:cs="Times New Roman"/>
        </w:rPr>
        <w:t>,</w:t>
      </w:r>
    </w:p>
    <w:p w14:paraId="0172F36A" w14:textId="69CA0F23" w:rsidR="00855106" w:rsidRPr="00D550F1" w:rsidRDefault="00855106" w:rsidP="006C1CF1">
      <w:pPr>
        <w:pStyle w:val="Odsekzoznamu"/>
        <w:numPr>
          <w:ilvl w:val="0"/>
          <w:numId w:val="2"/>
        </w:numPr>
        <w:spacing w:line="240" w:lineRule="auto"/>
        <w:ind w:left="426" w:hanging="426"/>
        <w:jc w:val="both"/>
        <w:rPr>
          <w:rFonts w:ascii="Times New Roman" w:hAnsi="Times New Roman" w:cs="Times New Roman"/>
        </w:rPr>
      </w:pPr>
      <w:r w:rsidRPr="00D550F1">
        <w:rPr>
          <w:rFonts w:ascii="Times New Roman" w:hAnsi="Times New Roman" w:cs="Times New Roman"/>
        </w:rPr>
        <w:t>zaviesť postupné vyklesávanie dávky v nezamestnanosti, pričom suma dávky sa od 4. mesiaca do 6. mesiaca poberania tejto dávky znižuje o 10 percentuálnych bodov s cieľom motivovať poberateľov dávky v nezamestnanosti k skoršiemu návratu na trh práce</w:t>
      </w:r>
      <w:r w:rsidR="00E44DA7" w:rsidRPr="00D550F1">
        <w:rPr>
          <w:rFonts w:ascii="Times New Roman" w:hAnsi="Times New Roman" w:cs="Times New Roman"/>
        </w:rPr>
        <w:t>,</w:t>
      </w:r>
    </w:p>
    <w:p w14:paraId="31F0CE4C" w14:textId="07B39EE4" w:rsidR="00855106" w:rsidRPr="00D550F1" w:rsidRDefault="00855106" w:rsidP="006C1CF1">
      <w:pPr>
        <w:pStyle w:val="Odsekzoznamu"/>
        <w:numPr>
          <w:ilvl w:val="0"/>
          <w:numId w:val="2"/>
        </w:numPr>
        <w:spacing w:line="240" w:lineRule="auto"/>
        <w:ind w:left="426" w:hanging="426"/>
        <w:jc w:val="both"/>
        <w:rPr>
          <w:rFonts w:ascii="Times New Roman" w:hAnsi="Times New Roman" w:cs="Times New Roman"/>
        </w:rPr>
      </w:pPr>
      <w:r w:rsidRPr="00D550F1">
        <w:rPr>
          <w:rFonts w:ascii="Times New Roman" w:hAnsi="Times New Roman" w:cs="Times New Roman"/>
        </w:rPr>
        <w:t>vznik nároku na nemocenské zamestnanca od 15. dňa dočasnej pracovnej neschopnosti</w:t>
      </w:r>
      <w:r w:rsidR="00E44DA7" w:rsidRPr="00D550F1">
        <w:rPr>
          <w:rFonts w:ascii="Times New Roman" w:hAnsi="Times New Roman" w:cs="Times New Roman"/>
        </w:rPr>
        <w:t>,</w:t>
      </w:r>
    </w:p>
    <w:p w14:paraId="7E271A90" w14:textId="10E336E5" w:rsidR="00855106" w:rsidRPr="00D550F1" w:rsidRDefault="00855106" w:rsidP="006C1CF1">
      <w:pPr>
        <w:pStyle w:val="Odsekzoznamu"/>
        <w:numPr>
          <w:ilvl w:val="0"/>
          <w:numId w:val="2"/>
        </w:numPr>
        <w:spacing w:line="240" w:lineRule="auto"/>
        <w:ind w:left="426" w:hanging="426"/>
        <w:jc w:val="both"/>
        <w:rPr>
          <w:rFonts w:ascii="Times New Roman" w:hAnsi="Times New Roman" w:cs="Times New Roman"/>
        </w:rPr>
      </w:pPr>
      <w:r w:rsidRPr="00D550F1">
        <w:rPr>
          <w:rFonts w:ascii="Times New Roman" w:hAnsi="Times New Roman" w:cs="Times New Roman"/>
        </w:rPr>
        <w:t>zrušenie výnimky z platenia poistného na sociálne poistenie zamestnancom a zamestnávateľom v prípade, keď zamestnanec má v období konkrétnej situácie (napr. pracovná neschopnosť trvajúca menej ako 52 týždňov, poberanie materského) zúčtovaný príjem za prácu v predchádzajúcom období</w:t>
      </w:r>
      <w:r w:rsidR="00E44DA7" w:rsidRPr="00D550F1">
        <w:rPr>
          <w:rFonts w:ascii="Times New Roman" w:hAnsi="Times New Roman" w:cs="Times New Roman"/>
        </w:rPr>
        <w:t>,</w:t>
      </w:r>
    </w:p>
    <w:p w14:paraId="40EB8BB5" w14:textId="691C06F2" w:rsidR="00A1049C" w:rsidRPr="00D550F1" w:rsidRDefault="00855106" w:rsidP="006C1CF1">
      <w:pPr>
        <w:pStyle w:val="Odsekzoznamu"/>
        <w:numPr>
          <w:ilvl w:val="0"/>
          <w:numId w:val="2"/>
        </w:numPr>
        <w:spacing w:line="240" w:lineRule="auto"/>
        <w:ind w:left="426" w:hanging="426"/>
        <w:jc w:val="both"/>
        <w:rPr>
          <w:rFonts w:ascii="Times New Roman" w:hAnsi="Times New Roman" w:cs="Times New Roman"/>
        </w:rPr>
      </w:pPr>
      <w:r w:rsidRPr="00D550F1">
        <w:rPr>
          <w:rFonts w:ascii="Times New Roman" w:hAnsi="Times New Roman" w:cs="Times New Roman"/>
        </w:rPr>
        <w:t>v rokoch 2026 a</w:t>
      </w:r>
      <w:r w:rsidR="00B34022" w:rsidRPr="00D550F1">
        <w:rPr>
          <w:rFonts w:ascii="Times New Roman" w:hAnsi="Times New Roman" w:cs="Times New Roman"/>
        </w:rPr>
        <w:t>ž</w:t>
      </w:r>
      <w:r w:rsidRPr="00D550F1">
        <w:rPr>
          <w:rFonts w:ascii="Times New Roman" w:hAnsi="Times New Roman" w:cs="Times New Roman"/>
        </w:rPr>
        <w:t> 202</w:t>
      </w:r>
      <w:r w:rsidR="00B34022" w:rsidRPr="00D550F1">
        <w:rPr>
          <w:rFonts w:ascii="Times New Roman" w:hAnsi="Times New Roman" w:cs="Times New Roman"/>
        </w:rPr>
        <w:t>8</w:t>
      </w:r>
      <w:r w:rsidRPr="00D550F1">
        <w:rPr>
          <w:rFonts w:ascii="Times New Roman" w:hAnsi="Times New Roman" w:cs="Times New Roman"/>
        </w:rPr>
        <w:t xml:space="preserve"> zachovať sumu 13. dôchodku na úrovni sumy 13. dôchodku určenej pre rok 2025.</w:t>
      </w:r>
    </w:p>
    <w:p w14:paraId="79B881B3" w14:textId="55DC7692" w:rsidR="00A1049C" w:rsidRPr="00D550F1" w:rsidRDefault="00855106" w:rsidP="006C1CF1">
      <w:pPr>
        <w:pStyle w:val="Normlnywebov"/>
        <w:spacing w:before="0" w:beforeAutospacing="0" w:after="160" w:afterAutospacing="0"/>
        <w:ind w:firstLine="708"/>
        <w:jc w:val="both"/>
        <w:rPr>
          <w:iCs/>
        </w:rPr>
      </w:pPr>
      <w:r w:rsidRPr="00D550F1">
        <w:rPr>
          <w:iCs/>
        </w:rPr>
        <w:t>V čl. V</w:t>
      </w:r>
      <w:r w:rsidR="00A1049C" w:rsidRPr="00D550F1">
        <w:rPr>
          <w:iCs/>
        </w:rPr>
        <w:t>I</w:t>
      </w:r>
      <w:r w:rsidRPr="00D550F1">
        <w:rPr>
          <w:iCs/>
        </w:rPr>
        <w:t xml:space="preserve"> sa navrhuje predĺženie poskytovania náhrady príjmu pri dočasnej pracovnej neschopnosti z 10 na 14 dní podľa zákona č. 462/2003 Z. z. o</w:t>
      </w:r>
      <w:r w:rsidRPr="00D550F1">
        <w:t xml:space="preserve"> náhrade príjmu pri dočasnej pracovnej neschopnosti zamestnanca a o zmene a doplnení niektorých zákonov v znení neskorších predpisov</w:t>
      </w:r>
      <w:r w:rsidRPr="00D550F1">
        <w:rPr>
          <w:iCs/>
        </w:rPr>
        <w:t>.</w:t>
      </w:r>
    </w:p>
    <w:p w14:paraId="272719F7" w14:textId="42A8B9B0" w:rsidR="00A83D45" w:rsidRPr="00D550F1" w:rsidRDefault="00A83D45" w:rsidP="006C1CF1">
      <w:pPr>
        <w:spacing w:line="240" w:lineRule="auto"/>
        <w:ind w:firstLine="708"/>
        <w:jc w:val="both"/>
        <w:rPr>
          <w:rFonts w:ascii="Times New Roman" w:hAnsi="Times New Roman" w:cs="Times New Roman"/>
        </w:rPr>
      </w:pPr>
      <w:r w:rsidRPr="00D550F1">
        <w:rPr>
          <w:rFonts w:ascii="Times New Roman" w:hAnsi="Times New Roman" w:cs="Times New Roman"/>
        </w:rPr>
        <w:t>V návrhu zákona v č. VI</w:t>
      </w:r>
      <w:r w:rsidR="00A1049C" w:rsidRPr="00D550F1">
        <w:rPr>
          <w:rFonts w:ascii="Times New Roman" w:hAnsi="Times New Roman" w:cs="Times New Roman"/>
        </w:rPr>
        <w:t>I</w:t>
      </w:r>
      <w:r w:rsidRPr="00D550F1">
        <w:rPr>
          <w:rFonts w:ascii="Times New Roman" w:hAnsi="Times New Roman" w:cs="Times New Roman"/>
        </w:rPr>
        <w:t xml:space="preserve"> sa mení a dopĺňa zákon č. 595/2003 Z. z. o dani z príjmov v znení neskorších predpisov. Cieľom návrhu zákona je vytvorenie predpokladov pre konsolidáciu verejných financií</w:t>
      </w:r>
      <w:r w:rsidR="00C51AAB" w:rsidRPr="00D550F1">
        <w:rPr>
          <w:rFonts w:ascii="Times New Roman" w:hAnsi="Times New Roman" w:cs="Times New Roman"/>
        </w:rPr>
        <w:t>,</w:t>
      </w:r>
      <w:r w:rsidRPr="00D550F1">
        <w:rPr>
          <w:rFonts w:ascii="Times New Roman" w:hAnsi="Times New Roman" w:cs="Times New Roman"/>
        </w:rPr>
        <w:t xml:space="preserve"> a to prostredníctvom zmeny a zavedenia ďalších pásiem progresívneho zdanenia príjmov fyzických osôb, zavedenia osobitného základu dane z výnosov (príjmov) z poplatkov za vykonanie platobnej operáci</w:t>
      </w:r>
      <w:r w:rsidR="00C51AAB" w:rsidRPr="00D550F1">
        <w:rPr>
          <w:rFonts w:ascii="Times New Roman" w:hAnsi="Times New Roman" w:cs="Times New Roman"/>
        </w:rPr>
        <w:t>e</w:t>
      </w:r>
      <w:r w:rsidRPr="00D550F1">
        <w:rPr>
          <w:rFonts w:ascii="Times New Roman" w:hAnsi="Times New Roman" w:cs="Times New Roman"/>
        </w:rPr>
        <w:t xml:space="preserve"> prostredníctvom platobnej karty v prospech hráčskeho účtu</w:t>
      </w:r>
      <w:r w:rsidR="00C51AAB" w:rsidRPr="00D550F1">
        <w:rPr>
          <w:rFonts w:ascii="Times New Roman" w:hAnsi="Times New Roman" w:cs="Times New Roman"/>
        </w:rPr>
        <w:t xml:space="preserve"> a</w:t>
      </w:r>
      <w:r w:rsidRPr="00D550F1">
        <w:rPr>
          <w:rFonts w:ascii="Times New Roman" w:hAnsi="Times New Roman" w:cs="Times New Roman"/>
        </w:rPr>
        <w:t xml:space="preserve"> zavedenia nového pásma minimálnej dane. </w:t>
      </w:r>
    </w:p>
    <w:p w14:paraId="22112F86" w14:textId="1AC5B25D" w:rsidR="00855106" w:rsidRPr="00D550F1" w:rsidRDefault="00855106" w:rsidP="006C1CF1">
      <w:pPr>
        <w:spacing w:line="240" w:lineRule="auto"/>
        <w:ind w:firstLine="708"/>
        <w:jc w:val="both"/>
        <w:rPr>
          <w:rFonts w:ascii="Times New Roman" w:hAnsi="Times New Roman" w:cs="Times New Roman"/>
        </w:rPr>
      </w:pPr>
      <w:r w:rsidRPr="00D550F1">
        <w:rPr>
          <w:rFonts w:ascii="Times New Roman" w:hAnsi="Times New Roman" w:cs="Times New Roman"/>
        </w:rPr>
        <w:t>V čl. VI</w:t>
      </w:r>
      <w:r w:rsidR="00A1049C" w:rsidRPr="00D550F1">
        <w:rPr>
          <w:rFonts w:ascii="Times New Roman" w:hAnsi="Times New Roman" w:cs="Times New Roman"/>
        </w:rPr>
        <w:t>I</w:t>
      </w:r>
      <w:r w:rsidRPr="00D550F1">
        <w:rPr>
          <w:rFonts w:ascii="Times New Roman" w:hAnsi="Times New Roman" w:cs="Times New Roman"/>
        </w:rPr>
        <w:t>I sa navrhuje úprava zákona č. 43/2004 Z. z. o starobnom dôchodkovom sporení a o zmene a doplnení niektorých zákonov v znení neskorších predpisov v nadväznosti na zrušenie výnimky z platenia poistného na sociálne poistenie zamestnancom a zamestnávateľom v zákone č. 461/2003 Z. z</w:t>
      </w:r>
      <w:r w:rsidR="00A1049C" w:rsidRPr="00D550F1">
        <w:rPr>
          <w:rFonts w:ascii="Times New Roman" w:hAnsi="Times New Roman" w:cs="Times New Roman"/>
        </w:rPr>
        <w:t> v čl. V</w:t>
      </w:r>
      <w:r w:rsidRPr="00D550F1">
        <w:rPr>
          <w:rFonts w:ascii="Times New Roman" w:hAnsi="Times New Roman" w:cs="Times New Roman"/>
        </w:rPr>
        <w:t>.</w:t>
      </w:r>
    </w:p>
    <w:p w14:paraId="1D935FB3" w14:textId="499242FE" w:rsidR="00F70967" w:rsidRPr="00D550F1" w:rsidRDefault="00F70967" w:rsidP="006C1CF1">
      <w:pPr>
        <w:pStyle w:val="Normlnywebov"/>
        <w:spacing w:after="160" w:afterAutospacing="0"/>
        <w:ind w:firstLine="720"/>
        <w:jc w:val="both"/>
        <w:rPr>
          <w:bCs/>
        </w:rPr>
      </w:pPr>
      <w:r w:rsidRPr="00D550F1">
        <w:rPr>
          <w:bCs/>
        </w:rPr>
        <w:t>V návrhu zákona v čl. I</w:t>
      </w:r>
      <w:r w:rsidR="00A1049C" w:rsidRPr="00D550F1">
        <w:rPr>
          <w:bCs/>
        </w:rPr>
        <w:t>X</w:t>
      </w:r>
      <w:r w:rsidRPr="00D550F1">
        <w:rPr>
          <w:bCs/>
        </w:rPr>
        <w:t xml:space="preserve"> sa mení a dopĺňa zákon č. 222/2004 Z. z. o dani z pridanej hodnoty v znení neskorších predpisov. Cieľom návrhu zákona je ustanoviť paušálne odpočítanie dane vo výške 50 % pri osobných motorových vozidlách nepoužívaných platiteľom dane výlučne na podnikanie a pri tovaroch a službách obstaraných v súvislosti s týmito vozidlami. Primárnym cieľom tohto opatrenia je znížiť administratívnu záťaž na strane platiteľov spojenú s povinnosťou viesť podrobnú evidenciu o preukázaní rozsahu používania osobného motorového vozidla na účely podnikania, sekundárnym cieľom je predchádzanie daňovým únikom a vyhýbaniu sa dani, ku ktorým dochádza z dôvodu nezdanenia používania týchto vozidiel na iný účel ako na podnikanie. </w:t>
      </w:r>
    </w:p>
    <w:p w14:paraId="002D21D6" w14:textId="23D69CE7" w:rsidR="00A83D45" w:rsidRPr="00D550F1" w:rsidRDefault="00F70967" w:rsidP="006C1CF1">
      <w:pPr>
        <w:pStyle w:val="Normlnywebov"/>
        <w:spacing w:after="160" w:afterAutospacing="0"/>
        <w:ind w:firstLine="720"/>
        <w:jc w:val="both"/>
        <w:rPr>
          <w:bCs/>
        </w:rPr>
      </w:pPr>
      <w:r w:rsidRPr="00D550F1">
        <w:rPr>
          <w:bCs/>
        </w:rPr>
        <w:t>Návrhom zákona dochádza tiež k úpravám v oblasti sadzieb dane. S účinnosťou od 1.1.2026 sa navrhuje vyňať zo zoznamu tovarov, na ktoré sa uplatňuje znížená sadzba dane</w:t>
      </w:r>
      <w:r w:rsidR="00BA685F" w:rsidRPr="00D550F1">
        <w:rPr>
          <w:bCs/>
        </w:rPr>
        <w:t xml:space="preserve"> vo výške 19% zo základu dane</w:t>
      </w:r>
      <w:r w:rsidRPr="00D550F1">
        <w:rPr>
          <w:bCs/>
        </w:rPr>
        <w:t xml:space="preserve">, vybrané potraviny, ktoré budú podliehať základnej sadzbe dane vo výške 23 % zo základu dane. </w:t>
      </w:r>
    </w:p>
    <w:p w14:paraId="5B7426E5" w14:textId="1E9E3122" w:rsidR="006C1CF1" w:rsidRPr="00D550F1" w:rsidRDefault="006C1CF1" w:rsidP="006C1CF1">
      <w:pPr>
        <w:spacing w:line="240" w:lineRule="auto"/>
        <w:ind w:firstLine="708"/>
        <w:jc w:val="both"/>
        <w:rPr>
          <w:rFonts w:ascii="Times New Roman" w:hAnsi="Times New Roman" w:cs="Times New Roman"/>
        </w:rPr>
      </w:pPr>
      <w:r w:rsidRPr="00D550F1">
        <w:rPr>
          <w:rFonts w:ascii="Times New Roman" w:hAnsi="Times New Roman" w:cs="Times New Roman"/>
        </w:rPr>
        <w:t>V čl. X návrhu zákona sa premieta vplyv konsolidačných opatrení pre rok 2026 vo vzťahu k DPFO v sume 55,1 mil. euro obce a 29,7 mil. euro vyššie územné celky, pričom predpokladaný vyšší výnos tejto dane bude smerovaný do štátneho rozpočtu na zníženie schodku rozpočtu verejnej správy. Ďalej sú v návrhu premietnuté úsporné konsolidačné opatrenia v rozpočtoch samospráv na vlastné úrady  v sume 109,6 mil. euro pre obce a 19,7 mil. euro pre VÚC. Pozitívny vplyv má premietnutie valorizácie platov v originálnom školstve v sume 69,0 mil. euro pre obce a 8,6 mil. euro pre VÚC. Uvedené dopady si vyžiadali úpravu percentuálneho podielu obcí a vyšších územných celkov  na výnose DPFO od 1. januára 2026.</w:t>
      </w:r>
    </w:p>
    <w:p w14:paraId="395CFCF2" w14:textId="77777777" w:rsidR="00E219E2" w:rsidRPr="00D550F1" w:rsidRDefault="002C13EB" w:rsidP="006C1CF1">
      <w:pPr>
        <w:spacing w:line="240" w:lineRule="auto"/>
        <w:ind w:firstLine="709"/>
        <w:jc w:val="both"/>
        <w:rPr>
          <w:rFonts w:ascii="Times New Roman" w:eastAsia="Times New Roman" w:hAnsi="Times New Roman" w:cs="Times New Roman"/>
        </w:rPr>
      </w:pPr>
      <w:r w:rsidRPr="00D550F1">
        <w:rPr>
          <w:rFonts w:ascii="Times New Roman" w:eastAsia="Times New Roman" w:hAnsi="Times New Roman" w:cs="Times New Roman"/>
        </w:rPr>
        <w:t>Návrhom</w:t>
      </w:r>
      <w:r w:rsidRPr="00D550F1">
        <w:rPr>
          <w:rFonts w:ascii="Times New Roman" w:hAnsi="Times New Roman" w:cs="Times New Roman"/>
        </w:rPr>
        <w:t xml:space="preserve"> </w:t>
      </w:r>
      <w:r w:rsidRPr="00D550F1">
        <w:rPr>
          <w:rFonts w:ascii="Times New Roman" w:eastAsia="Times New Roman" w:hAnsi="Times New Roman" w:cs="Times New Roman"/>
        </w:rPr>
        <w:t>zákona v čl. X</w:t>
      </w:r>
      <w:r w:rsidR="00A1049C" w:rsidRPr="00D550F1">
        <w:rPr>
          <w:rFonts w:ascii="Times New Roman" w:eastAsia="Times New Roman" w:hAnsi="Times New Roman" w:cs="Times New Roman"/>
        </w:rPr>
        <w:t>I</w:t>
      </w:r>
      <w:r w:rsidRPr="00D550F1">
        <w:rPr>
          <w:rFonts w:ascii="Times New Roman" w:eastAsia="Times New Roman" w:hAnsi="Times New Roman" w:cs="Times New Roman"/>
        </w:rPr>
        <w:t xml:space="preserve"> sa mení a dopĺňa zákon č. 580/2004 Z. z. </w:t>
      </w:r>
      <w:r w:rsidRPr="00D550F1">
        <w:rPr>
          <w:rFonts w:ascii="Times New Roman" w:eastAsia="Times New Roman" w:hAnsi="Times New Roman" w:cs="Times New Roman"/>
        </w:rPr>
        <w:br/>
        <w:t>o zdravotnom poistení a o zmene a doplnení zákona č. 95/2002 Z. z. o poisťovníctve a o zmene a doplnení niektorých zákonov v znení neskorších predpisov.</w:t>
      </w:r>
      <w:r w:rsidR="00C51AAB" w:rsidRPr="00D550F1">
        <w:rPr>
          <w:rFonts w:ascii="Times New Roman" w:eastAsia="Times New Roman" w:hAnsi="Times New Roman" w:cs="Times New Roman"/>
        </w:rPr>
        <w:t xml:space="preserve"> </w:t>
      </w:r>
    </w:p>
    <w:p w14:paraId="2F009D3C" w14:textId="0D455F12" w:rsidR="00855106" w:rsidRPr="00D550F1" w:rsidRDefault="001764DD" w:rsidP="006C1CF1">
      <w:pPr>
        <w:spacing w:line="240" w:lineRule="auto"/>
        <w:ind w:firstLine="709"/>
        <w:jc w:val="both"/>
        <w:rPr>
          <w:rFonts w:ascii="Times New Roman" w:eastAsia="Times New Roman" w:hAnsi="Times New Roman" w:cs="Times New Roman"/>
        </w:rPr>
      </w:pPr>
      <w:r w:rsidRPr="00D550F1">
        <w:rPr>
          <w:rFonts w:ascii="Times New Roman" w:eastAsia="Times New Roman" w:hAnsi="Times New Roman" w:cs="Times New Roman"/>
        </w:rPr>
        <w:t>Navrhuje sa</w:t>
      </w:r>
      <w:r w:rsidR="002C13EB" w:rsidRPr="00D550F1">
        <w:rPr>
          <w:rFonts w:ascii="Times New Roman" w:eastAsia="Times New Roman" w:hAnsi="Times New Roman" w:cs="Times New Roman"/>
        </w:rPr>
        <w:t xml:space="preserve"> úprava sadzieb pre odvod poistného na verejné zdravotné poistenie</w:t>
      </w:r>
      <w:r w:rsidRPr="00D550F1">
        <w:rPr>
          <w:rFonts w:ascii="Times New Roman" w:eastAsia="Times New Roman" w:hAnsi="Times New Roman" w:cs="Times New Roman"/>
        </w:rPr>
        <w:t>,</w:t>
      </w:r>
      <w:r w:rsidR="002C13EB" w:rsidRPr="00D550F1">
        <w:rPr>
          <w:rFonts w:ascii="Times New Roman" w:eastAsia="Times New Roman" w:hAnsi="Times New Roman" w:cs="Times New Roman"/>
        </w:rPr>
        <w:t xml:space="preserve"> zvýšenie sadzieb zamestnanca, samostatne zárobkovo činnej osoby a tzv. samoplatiteľa o 1 percentuálny bod. Zvýšenie týchto sadzieb sa navrhuje v súlade s cieľmi konsolidácie verejných financií Slovenskej republiky, ako jedno z čiastkových opatrení.</w:t>
      </w:r>
    </w:p>
    <w:p w14:paraId="77A4AA56" w14:textId="0788A1F6" w:rsidR="00855106" w:rsidRPr="00D550F1" w:rsidRDefault="00855106" w:rsidP="006C1CF1">
      <w:pPr>
        <w:spacing w:line="240" w:lineRule="auto"/>
        <w:ind w:firstLine="709"/>
        <w:jc w:val="both"/>
        <w:rPr>
          <w:rFonts w:ascii="Times New Roman" w:hAnsi="Times New Roman" w:cs="Times New Roman"/>
        </w:rPr>
      </w:pPr>
      <w:r w:rsidRPr="00D550F1">
        <w:rPr>
          <w:rFonts w:ascii="Times New Roman" w:hAnsi="Times New Roman" w:cs="Times New Roman"/>
        </w:rPr>
        <w:t>V čl. XII</w:t>
      </w:r>
      <w:r w:rsidR="00A1049C" w:rsidRPr="00D550F1">
        <w:rPr>
          <w:rFonts w:ascii="Times New Roman" w:hAnsi="Times New Roman" w:cs="Times New Roman"/>
        </w:rPr>
        <w:t>I</w:t>
      </w:r>
      <w:r w:rsidRPr="00D550F1">
        <w:rPr>
          <w:rFonts w:ascii="Times New Roman" w:hAnsi="Times New Roman" w:cs="Times New Roman"/>
        </w:rPr>
        <w:t xml:space="preserve"> (novela zákona č. 125/2006 Z. z. o inšpekcii práce) sa zvyšuje dolná hranica výšky pokuty za porušenie zákazu nelegálneho zamestnávania. Úprava má reagovať aj na boj proti fiktívnym živnostiam. Zároveň sa zavádza mechanizmus motivujúci včasnú a riadnu úhradu pokuty (úhrada 2/3 z uloženej pokuty).</w:t>
      </w:r>
    </w:p>
    <w:p w14:paraId="7FE26315" w14:textId="2D5865FD" w:rsidR="00D35BAB" w:rsidRPr="00D550F1" w:rsidRDefault="00D35BAB" w:rsidP="006C1CF1">
      <w:pPr>
        <w:pStyle w:val="Normlnywebov"/>
        <w:spacing w:after="160" w:afterAutospacing="0"/>
        <w:ind w:firstLine="720"/>
        <w:jc w:val="both"/>
        <w:rPr>
          <w:bCs/>
        </w:rPr>
      </w:pPr>
      <w:r w:rsidRPr="00D550F1">
        <w:rPr>
          <w:bCs/>
        </w:rPr>
        <w:t>N</w:t>
      </w:r>
      <w:r w:rsidR="00D01442" w:rsidRPr="00D550F1">
        <w:rPr>
          <w:bCs/>
        </w:rPr>
        <w:t>ávrhom</w:t>
      </w:r>
      <w:r w:rsidRPr="00D550F1">
        <w:rPr>
          <w:bCs/>
        </w:rPr>
        <w:t xml:space="preserve"> zákona </w:t>
      </w:r>
      <w:r w:rsidR="00D01442" w:rsidRPr="00D550F1">
        <w:rPr>
          <w:bCs/>
        </w:rPr>
        <w:t>sa v čl. X</w:t>
      </w:r>
      <w:r w:rsidR="00D9363C" w:rsidRPr="00D550F1">
        <w:rPr>
          <w:bCs/>
        </w:rPr>
        <w:t>V</w:t>
      </w:r>
      <w:r w:rsidR="00D01442" w:rsidRPr="00D550F1">
        <w:rPr>
          <w:bCs/>
        </w:rPr>
        <w:t xml:space="preserve"> </w:t>
      </w:r>
      <w:r w:rsidRPr="00D550F1">
        <w:rPr>
          <w:bCs/>
        </w:rPr>
        <w:t>navrhuje osobitná sadzba pre tie regulované odvetvia, u ktorých je možné naďalej predpokladať vysokú mieru ziskovosti. Vyššia miera sociálnej zodpovednosti osôb podnikajúcich v týchto odvetviach podporí aj konsolidačné úsilie vlády.</w:t>
      </w:r>
    </w:p>
    <w:p w14:paraId="19AA3A84" w14:textId="47DB78D2" w:rsidR="00CF34F9" w:rsidRPr="00D550F1" w:rsidRDefault="00CF34F9" w:rsidP="006C1CF1">
      <w:pPr>
        <w:pStyle w:val="Normlnywebov"/>
        <w:spacing w:after="160" w:afterAutospacing="0"/>
        <w:ind w:firstLine="720"/>
        <w:jc w:val="both"/>
        <w:rPr>
          <w:bCs/>
        </w:rPr>
      </w:pPr>
      <w:r w:rsidRPr="00D550F1">
        <w:rPr>
          <w:bCs/>
        </w:rPr>
        <w:t>Návrh zákona v čl. X</w:t>
      </w:r>
      <w:r w:rsidR="00D9363C" w:rsidRPr="00D550F1">
        <w:rPr>
          <w:bCs/>
        </w:rPr>
        <w:t>V</w:t>
      </w:r>
      <w:r w:rsidR="00A1049C" w:rsidRPr="00D550F1">
        <w:rPr>
          <w:bCs/>
        </w:rPr>
        <w:t>I</w:t>
      </w:r>
      <w:r w:rsidRPr="00D550F1">
        <w:rPr>
          <w:bCs/>
        </w:rPr>
        <w:t xml:space="preserve"> prispieva ku konsolidácii verejných financií zvýšením odvodu časti poistného z povinného zmluvného poistenia zodpovednosti za škodu spôsobenú prevádzkou motorového vozidla. Takto odvedené finančné prostriedky budú príjmom osobitného účtu Ministerstva vnútra Slovenskej republiky a budú rozdelené hasičským jednotkám a jednotlivým zložkám ministerstva vnútra na zabezpečenie ich materiálno-technického vybavenia, jeho údržbu a prevádzkovanie.</w:t>
      </w:r>
    </w:p>
    <w:p w14:paraId="33D4843B" w14:textId="6BC73D94" w:rsidR="00192961" w:rsidRPr="00D550F1" w:rsidRDefault="00192961" w:rsidP="006C1CF1">
      <w:pPr>
        <w:pStyle w:val="Normlnywebov"/>
        <w:spacing w:after="160" w:afterAutospacing="0"/>
        <w:ind w:firstLine="708"/>
        <w:jc w:val="both"/>
      </w:pPr>
      <w:r w:rsidRPr="00D550F1">
        <w:t>V čl. XV</w:t>
      </w:r>
      <w:r w:rsidR="00A1049C" w:rsidRPr="00D550F1">
        <w:t>I</w:t>
      </w:r>
      <w:r w:rsidR="00D9363C" w:rsidRPr="00D550F1">
        <w:t>I</w:t>
      </w:r>
      <w:r w:rsidRPr="00D550F1">
        <w:t xml:space="preserve"> sa navrhuje zvýšenie aktuálne uplatňovanej sadzby dane z poistenia z 8 % na 10 % zo základu dane. V prípade poistenia zodpovednosti za škodu spôsobenú prevádzkou motorového vozidla zostáva </w:t>
      </w:r>
      <w:r w:rsidR="00BA685F" w:rsidRPr="00D550F1">
        <w:t xml:space="preserve">zachovaná </w:t>
      </w:r>
      <w:r w:rsidRPr="00D550F1">
        <w:t>sadzba dane 0 % zo základu dane.</w:t>
      </w:r>
    </w:p>
    <w:p w14:paraId="5D0409ED" w14:textId="48F885F9" w:rsidR="00A36843" w:rsidRPr="00D550F1" w:rsidRDefault="00A36843" w:rsidP="006C1CF1">
      <w:pPr>
        <w:pStyle w:val="Normlnywebov"/>
        <w:spacing w:after="160" w:afterAutospacing="0"/>
        <w:ind w:firstLine="708"/>
        <w:jc w:val="both"/>
      </w:pPr>
      <w:r w:rsidRPr="00D550F1">
        <w:t xml:space="preserve">Súčasťou konsolidačného balíčka je </w:t>
      </w:r>
      <w:r w:rsidR="00D9363C" w:rsidRPr="00D550F1">
        <w:t>v čl. XVII</w:t>
      </w:r>
      <w:r w:rsidR="00D403FF" w:rsidRPr="00D550F1">
        <w:t>I</w:t>
      </w:r>
      <w:r w:rsidR="00D9363C" w:rsidRPr="00D550F1">
        <w:t xml:space="preserve"> </w:t>
      </w:r>
      <w:r w:rsidRPr="00D550F1">
        <w:t>aj novela zákona č. 30/2019 Z. z. o hazardných hrách a o zmene a doplnení niektorých zákonov v znení neskorších predpisov (ďalej len „zákon o hazardných hrách“). Z</w:t>
      </w:r>
      <w:r w:rsidR="001764DD" w:rsidRPr="00D550F1">
        <w:t> </w:t>
      </w:r>
      <w:r w:rsidRPr="00D550F1">
        <w:t>dôvodu potreby zvýšenia príjmov štátneho rozpočtu je zrejmý priestor na zvýšenie sadzby odvodov za prevádzkovanie on-line hazardných hier, keďže tento segment v posledných rokoch výrazne vrástol, pričom v záujme určitého zrovnoprávnenia zdaňovania hazardných hier sa vytvára priestor aj na zvýšenie odvodov za prevádzkovanie hazardných hier v kamenných prevádzkach, to znamená v herniach a v kasínach.</w:t>
      </w:r>
    </w:p>
    <w:p w14:paraId="7EFDB0A5" w14:textId="77777777" w:rsidR="00A36843" w:rsidRPr="00D550F1" w:rsidRDefault="00A36843" w:rsidP="006C1CF1">
      <w:pPr>
        <w:pStyle w:val="Normlnywebov"/>
        <w:spacing w:after="160" w:afterAutospacing="0"/>
        <w:ind w:firstLine="708"/>
        <w:jc w:val="both"/>
      </w:pPr>
      <w:r w:rsidRPr="00D550F1">
        <w:t>Čo sa týka on-line hazardných hier, navrhuje sa zvýšenie sadzby odvodov z výťažku a z poplatku, resp. provízie za prevádzkovanie kurzových stávok v internetovej herni, ako aj za prevádzkovanie kurzových stávok v rámci kombinovanej licencie (v prevádzkach a v internetovej herni), a za prevádzkovanie internetových hier v internetovom kasíne, a to z 27 % na 30 %. Predpokladaný priemerný nárast príjmov pri zvýšení sadzby odvodu z 27 % na 30 % z výťažku bude za internetové hazardné hry predstavovať cca 32 mil. eur ročne.</w:t>
      </w:r>
    </w:p>
    <w:p w14:paraId="61AA5D60" w14:textId="3B832526" w:rsidR="00A36843" w:rsidRPr="00D550F1" w:rsidRDefault="00A36843" w:rsidP="006C1CF1">
      <w:pPr>
        <w:pStyle w:val="Normlnywebov"/>
        <w:spacing w:after="160" w:afterAutospacing="0"/>
        <w:ind w:firstLine="708"/>
        <w:jc w:val="both"/>
      </w:pPr>
      <w:r w:rsidRPr="00D550F1">
        <w:t xml:space="preserve">Čo sa týka kamenných prevádzok, navrhuje sa zvýšenie paušálneho ročného odvodu do štátneho rozpočtu za jedno technické zariadenie obsluhované priamo hráčmi zo 4 000 eur na 4 700 eur, za jeden výherný prístroj zo 4 000 eur na 9 300 eur, za jeden terminál videohier zo 4 700 eur na 6 000 eur a za jedno iné technické zariadenie rovnako zo 4 700 eur na 6 000 eur, a to tak za ich prevádzkovanie v herni ako aj v kasíne. Predpokladaný priemerný nárast príjmov pri uvedenom zvýšení paušálnych odvodov bude za hazardné hry v kamenných prevádzkach predstavovať cca 23 mil. eur ročne. </w:t>
      </w:r>
    </w:p>
    <w:p w14:paraId="5FCD1F43" w14:textId="77777777" w:rsidR="00A36843" w:rsidRPr="00D550F1" w:rsidRDefault="00A36843" w:rsidP="006C1CF1">
      <w:pPr>
        <w:pStyle w:val="Normlnywebov"/>
        <w:spacing w:after="160" w:afterAutospacing="0"/>
        <w:ind w:firstLine="708"/>
        <w:jc w:val="both"/>
      </w:pPr>
      <w:r w:rsidRPr="00D550F1">
        <w:t>Zvýšenie celkových príjmov štátneho rozpočtu z odvodov za prevádzkovanie hazardných hier sa tak predpokladá o 55 mil. eur ročne. Keďže sa nemení štruktúra odvodov, nie sú potrebné žiadne ďalšie zásadné legislatívne zmeny, nie sú potrebné významné zmeny informačných systémov a nezvyšuje sa ani administratívna náročnosť, a to tak na strane prevádzkovateľov hazardných hier ako aj na strane Úradu pre reguláciu hazardných hier. Prijatie novely zákona o hazardných hrách bude mať na prevádzkovateľov hazardných hier negatívny vplyv z pohľadu výšky ich zisku z prevádzkovania hazardných hier, avšak samotný systém z hľadiska transparentnosti a predikovateľnosti zostane zachovaný.</w:t>
      </w:r>
    </w:p>
    <w:p w14:paraId="4026DA60" w14:textId="3CAA0C24" w:rsidR="00A36843" w:rsidRPr="00D550F1" w:rsidRDefault="00A36843" w:rsidP="006C1CF1">
      <w:pPr>
        <w:pStyle w:val="Normlnywebov"/>
        <w:spacing w:after="160" w:afterAutospacing="0"/>
        <w:ind w:firstLine="708"/>
        <w:jc w:val="both"/>
      </w:pPr>
      <w:r w:rsidRPr="00D550F1">
        <w:t>Súčasťou novelizácie zákona o hazardných hrách sú aj viaceré opa</w:t>
      </w:r>
      <w:r w:rsidR="006866E9" w:rsidRPr="00D550F1">
        <w:t>t</w:t>
      </w:r>
      <w:r w:rsidRPr="00D550F1">
        <w:t xml:space="preserve">renia týkajúce sa potláčania nelegálneho hazardu, a to najmä v priestore on-line/internetového hazardu, keďže aj tieto opatrenia prispejú k zvýšeniu príjmov do rozpočtu verejnej správy z prevádzkovania licencovaných hazardných hier. V súvislosti s opatreniami na potláčanie nelegálneho internetového hazardu je potrebné novelizovať </w:t>
      </w:r>
      <w:r w:rsidR="00D9363C" w:rsidRPr="00D550F1">
        <w:t>v čl. XI</w:t>
      </w:r>
      <w:r w:rsidR="00D403FF" w:rsidRPr="00D550F1">
        <w:t>V</w:t>
      </w:r>
      <w:r w:rsidR="00D9363C" w:rsidRPr="00D550F1">
        <w:t xml:space="preserve"> </w:t>
      </w:r>
      <w:r w:rsidRPr="00D550F1">
        <w:t>aj zákon č. 492/2009 Z. z. o platobných službách a o zmene a doplnení niektorých zákonov v znení neskorších predpisov a</w:t>
      </w:r>
      <w:r w:rsidR="00D9363C" w:rsidRPr="00D550F1">
        <w:t> v čl. XI</w:t>
      </w:r>
      <w:r w:rsidR="00D403FF" w:rsidRPr="00D550F1">
        <w:t>X</w:t>
      </w:r>
      <w:r w:rsidR="00D9363C" w:rsidRPr="00D550F1">
        <w:t xml:space="preserve"> </w:t>
      </w:r>
      <w:r w:rsidRPr="00D550F1">
        <w:t>zákon č. 452/2021 Z. z. o elektronických komunikáciách v znení neskorších predpisov.</w:t>
      </w:r>
    </w:p>
    <w:p w14:paraId="6B1F7DBF" w14:textId="53951E6F" w:rsidR="008C0C07" w:rsidRPr="00D550F1" w:rsidRDefault="008C0C07" w:rsidP="006C1CF1">
      <w:pPr>
        <w:spacing w:line="240" w:lineRule="auto"/>
        <w:ind w:firstLine="708"/>
        <w:jc w:val="both"/>
        <w:rPr>
          <w:rFonts w:ascii="Times New Roman" w:hAnsi="Times New Roman" w:cs="Times New Roman"/>
        </w:rPr>
      </w:pPr>
      <w:r w:rsidRPr="00D550F1">
        <w:rPr>
          <w:rFonts w:ascii="Times New Roman" w:hAnsi="Times New Roman" w:cs="Times New Roman"/>
        </w:rPr>
        <w:t xml:space="preserve">Návrh zákona má pozitívne aj negatívne vplyvy, ktoré sú uvedené </w:t>
      </w:r>
      <w:r w:rsidR="00D35BAB" w:rsidRPr="00D550F1">
        <w:rPr>
          <w:rFonts w:ascii="Times New Roman" w:hAnsi="Times New Roman" w:cs="Times New Roman"/>
        </w:rPr>
        <w:t>v doložke vybraných vplyvov.</w:t>
      </w:r>
    </w:p>
    <w:p w14:paraId="7034C25D" w14:textId="35B0A337" w:rsidR="00D35BAB" w:rsidRPr="00D550F1" w:rsidRDefault="00D35BAB" w:rsidP="006C1CF1">
      <w:pPr>
        <w:spacing w:line="240" w:lineRule="auto"/>
        <w:ind w:firstLine="708"/>
        <w:jc w:val="both"/>
        <w:rPr>
          <w:rFonts w:ascii="Times New Roman" w:hAnsi="Times New Roman" w:cs="Times New Roman"/>
        </w:rPr>
      </w:pPr>
      <w:r w:rsidRPr="00D550F1">
        <w:rPr>
          <w:rFonts w:ascii="Times New Roman" w:hAnsi="Times New Roman" w:cs="Times New Roman"/>
        </w:rPr>
        <w:t xml:space="preserve">Predkladaný návrh zákona je v súlade s Ústavou Slovenskej republiky, ústavnými zákonmi a inými právnymi predpismi, s nálezmi Ústavného súdu Slovenskej republiky, medzinárodnými zmluvami a dokumentmi, ktorými je Slovenská republika viazaná, ako aj v súlade s právom Európskej únie. </w:t>
      </w:r>
    </w:p>
    <w:p w14:paraId="4C580912" w14:textId="6D03C649" w:rsidR="002C13EB" w:rsidRPr="00D550F1" w:rsidRDefault="002C13EB" w:rsidP="006C1CF1">
      <w:pPr>
        <w:spacing w:line="240" w:lineRule="auto"/>
        <w:ind w:firstLine="708"/>
        <w:jc w:val="both"/>
        <w:rPr>
          <w:rFonts w:ascii="Times New Roman" w:hAnsi="Times New Roman" w:cs="Times New Roman"/>
          <w:i/>
          <w:iCs/>
          <w:lang w:eastAsia="sk-SK"/>
        </w:rPr>
      </w:pPr>
      <w:r w:rsidRPr="00D550F1">
        <w:rPr>
          <w:rFonts w:ascii="Times New Roman" w:eastAsia="Times New Roman" w:hAnsi="Times New Roman" w:cs="Times New Roman"/>
        </w:rPr>
        <w:t>Návrh zákona nie je predmetom vnútrokomunitárneho pripomienkového konania.</w:t>
      </w:r>
    </w:p>
    <w:p w14:paraId="70D87881" w14:textId="77777777" w:rsidR="00BE4645" w:rsidRPr="00D550F1" w:rsidRDefault="00BE4645" w:rsidP="00BE4645">
      <w:pPr>
        <w:spacing w:line="240" w:lineRule="auto"/>
        <w:ind w:firstLine="708"/>
        <w:jc w:val="both"/>
        <w:rPr>
          <w:rFonts w:ascii="Times New Roman" w:eastAsiaTheme="majorEastAsia" w:hAnsi="Times New Roman" w:cs="Times New Roman"/>
          <w:bCs/>
        </w:rPr>
      </w:pPr>
      <w:r w:rsidRPr="00D550F1">
        <w:rPr>
          <w:rFonts w:ascii="Times New Roman" w:eastAsiaTheme="majorEastAsia" w:hAnsi="Times New Roman" w:cs="Times New Roman"/>
          <w:bCs/>
        </w:rPr>
        <w:t>Účinnosť zákona sa navrhuje 1. novembra 2025 okrem čl. XI štvrtého bodu, čl. XVIII ôsmeho bodu a bodu 22 § 100e, ktoré nadobúdajú účinnosť 1. decembra 2025, čl. XV, ktorý nadobúda účinnosť 31. decembra 2025 a okrem čl. I prvého bodu a tretieho bodu, čl. II, čl. V až X, čl. XI  prvého bodu až tretieho bodu a piateho bodu, čl. XII až XIV, čl. XVI, čl. XVII, čl. XVIII prvého bodu až siedmeho bodu, bodov 9 až 21 a bodu 22 § 100f a čl. XIX, ktoré nadobúdajú účinnosť 1. januára 2026.</w:t>
      </w:r>
    </w:p>
    <w:p w14:paraId="49CE455A" w14:textId="317DCA9F" w:rsidR="00B414E3" w:rsidRDefault="00B414E3" w:rsidP="00D550F1">
      <w:pPr>
        <w:spacing w:line="240" w:lineRule="auto"/>
        <w:jc w:val="both"/>
        <w:rPr>
          <w:rFonts w:ascii="Times New Roman" w:hAnsi="Times New Roman" w:cs="Times New Roman"/>
        </w:rPr>
      </w:pPr>
    </w:p>
    <w:p w14:paraId="7802414B" w14:textId="757331AF" w:rsidR="00D550F1" w:rsidRDefault="00D550F1">
      <w:pPr>
        <w:rPr>
          <w:rFonts w:ascii="Times New Roman" w:hAnsi="Times New Roman" w:cs="Times New Roman"/>
        </w:rPr>
      </w:pPr>
      <w:r>
        <w:rPr>
          <w:rFonts w:ascii="Times New Roman" w:hAnsi="Times New Roman" w:cs="Times New Roman"/>
        </w:rPr>
        <w:br w:type="page"/>
      </w:r>
    </w:p>
    <w:p w14:paraId="6EC69672" w14:textId="77777777" w:rsidR="00AD62CD" w:rsidRPr="00612E08" w:rsidRDefault="00AD62CD" w:rsidP="00AD62CD">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Doložka vybraných vplyvov</w:t>
      </w:r>
    </w:p>
    <w:p w14:paraId="53867605" w14:textId="77777777" w:rsidR="00AD62CD" w:rsidRPr="00612E08" w:rsidRDefault="00AD62CD" w:rsidP="00AD62CD">
      <w:pPr>
        <w:spacing w:after="0" w:line="240" w:lineRule="auto"/>
        <w:jc w:val="center"/>
        <w:rPr>
          <w:rFonts w:ascii="Times New Roman" w:eastAsia="Times New Roman" w:hAnsi="Times New Roman" w:cs="Times New Roman"/>
          <w:b/>
          <w:sz w:val="28"/>
          <w:szCs w:val="28"/>
          <w:lang w:eastAsia="sk-SK"/>
        </w:rPr>
      </w:pPr>
    </w:p>
    <w:p w14:paraId="686A7927" w14:textId="77777777" w:rsidR="00AD62CD" w:rsidRPr="00612E08" w:rsidRDefault="00AD62CD" w:rsidP="00AD62CD">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AD62CD" w:rsidRPr="00612E08" w14:paraId="179BCD99" w14:textId="77777777" w:rsidTr="003627DF">
        <w:tc>
          <w:tcPr>
            <w:tcW w:w="9180" w:type="dxa"/>
            <w:gridSpan w:val="11"/>
            <w:tcBorders>
              <w:bottom w:val="single" w:sz="4" w:space="0" w:color="FFFFFF"/>
            </w:tcBorders>
            <w:shd w:val="clear" w:color="auto" w:fill="E2E2E2"/>
          </w:tcPr>
          <w:p w14:paraId="57B6B71E" w14:textId="77777777" w:rsidR="00AD62CD" w:rsidRPr="00612E08" w:rsidRDefault="00AD62CD" w:rsidP="00AD62CD">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AD62CD" w:rsidRPr="00612E08" w14:paraId="42F56A3C" w14:textId="77777777" w:rsidTr="003627DF">
        <w:tc>
          <w:tcPr>
            <w:tcW w:w="9180" w:type="dxa"/>
            <w:gridSpan w:val="11"/>
            <w:tcBorders>
              <w:bottom w:val="single" w:sz="4" w:space="0" w:color="FFFFFF"/>
            </w:tcBorders>
            <w:shd w:val="clear" w:color="auto" w:fill="E2E2E2"/>
          </w:tcPr>
          <w:p w14:paraId="4F2B15F0" w14:textId="77777777" w:rsidR="00AD62CD" w:rsidRPr="00612E08" w:rsidRDefault="00AD62CD" w:rsidP="003627D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AD62CD" w:rsidRPr="00612E08" w14:paraId="07583ABF" w14:textId="77777777" w:rsidTr="003627DF">
        <w:tc>
          <w:tcPr>
            <w:tcW w:w="9180" w:type="dxa"/>
            <w:gridSpan w:val="11"/>
            <w:tcBorders>
              <w:top w:val="single" w:sz="4" w:space="0" w:color="FFFFFF"/>
              <w:bottom w:val="single" w:sz="4" w:space="0" w:color="auto"/>
            </w:tcBorders>
          </w:tcPr>
          <w:p w14:paraId="5BF955AA" w14:textId="05AB23B9" w:rsidR="00AD62CD" w:rsidRPr="00612E08" w:rsidRDefault="00930551" w:rsidP="003627DF">
            <w:pPr>
              <w:rPr>
                <w:rFonts w:ascii="Times New Roman" w:eastAsia="Times New Roman" w:hAnsi="Times New Roman" w:cs="Times New Roman"/>
                <w:sz w:val="20"/>
                <w:szCs w:val="20"/>
                <w:lang w:eastAsia="sk-SK"/>
              </w:rPr>
            </w:pPr>
            <w:r>
              <w:rPr>
                <w:rFonts w:ascii="Times New Roman" w:hAnsi="Times New Roman"/>
                <w:bCs/>
                <w:color w:val="000000"/>
                <w:sz w:val="20"/>
                <w:szCs w:val="20"/>
                <w:shd w:val="clear" w:color="auto" w:fill="FFFFFF"/>
              </w:rPr>
              <w:t>Vládny n</w:t>
            </w:r>
            <w:r w:rsidR="00AD62CD" w:rsidRPr="00891F72">
              <w:rPr>
                <w:rFonts w:ascii="Times New Roman" w:hAnsi="Times New Roman"/>
                <w:bCs/>
                <w:color w:val="000000"/>
                <w:sz w:val="20"/>
                <w:szCs w:val="20"/>
                <w:shd w:val="clear" w:color="auto" w:fill="FFFFFF"/>
              </w:rPr>
              <w:t>ávrh zákona, ktorým sa menia a dopĺňajú niektoré zákony v súvislosti s konsolidáciou verejných financií.</w:t>
            </w:r>
          </w:p>
        </w:tc>
      </w:tr>
      <w:tr w:rsidR="00AD62CD" w:rsidRPr="00612E08" w14:paraId="469FB909" w14:textId="77777777" w:rsidTr="003627DF">
        <w:tc>
          <w:tcPr>
            <w:tcW w:w="9180" w:type="dxa"/>
            <w:gridSpan w:val="11"/>
            <w:tcBorders>
              <w:top w:val="single" w:sz="4" w:space="0" w:color="auto"/>
              <w:left w:val="single" w:sz="4" w:space="0" w:color="auto"/>
              <w:bottom w:val="single" w:sz="4" w:space="0" w:color="FFFFFF"/>
            </w:tcBorders>
            <w:shd w:val="clear" w:color="auto" w:fill="E2E2E2"/>
          </w:tcPr>
          <w:p w14:paraId="5ED258A6" w14:textId="77777777" w:rsidR="00AD62CD" w:rsidRPr="00612E08" w:rsidRDefault="00AD62CD" w:rsidP="003627D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AD62CD" w:rsidRPr="00612E08" w14:paraId="73A5CADD" w14:textId="77777777" w:rsidTr="003627DF">
        <w:tc>
          <w:tcPr>
            <w:tcW w:w="9180" w:type="dxa"/>
            <w:gridSpan w:val="11"/>
            <w:tcBorders>
              <w:top w:val="single" w:sz="4" w:space="0" w:color="FFFFFF"/>
              <w:left w:val="single" w:sz="4" w:space="0" w:color="auto"/>
              <w:bottom w:val="single" w:sz="4" w:space="0" w:color="auto"/>
            </w:tcBorders>
            <w:shd w:val="clear" w:color="auto" w:fill="FFFFFF"/>
          </w:tcPr>
          <w:p w14:paraId="788A7B36" w14:textId="68F099F2" w:rsidR="00AD62CD" w:rsidRPr="00612E08" w:rsidRDefault="00930551" w:rsidP="003627D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 Slovenskej republiky.</w:t>
            </w:r>
          </w:p>
        </w:tc>
      </w:tr>
      <w:tr w:rsidR="00AD62CD" w:rsidRPr="00612E08" w14:paraId="086A462B" w14:textId="77777777" w:rsidTr="003627D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A64710E" w14:textId="77777777" w:rsidR="00AD62CD" w:rsidRPr="00612E08" w:rsidRDefault="00AD62CD" w:rsidP="003627D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3A51E7CC" w14:textId="77777777" w:rsidR="00AD62CD" w:rsidRPr="00612E08" w:rsidRDefault="00AD62CD" w:rsidP="003627D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73366269" w14:textId="77777777" w:rsidR="00AD62CD" w:rsidRPr="00612E08" w:rsidRDefault="00AD62CD" w:rsidP="003627D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AD62CD" w:rsidRPr="00612E08" w14:paraId="031EF49A" w14:textId="77777777" w:rsidTr="003627DF">
        <w:tc>
          <w:tcPr>
            <w:tcW w:w="4212" w:type="dxa"/>
            <w:gridSpan w:val="2"/>
            <w:vMerge/>
            <w:tcBorders>
              <w:top w:val="nil"/>
              <w:left w:val="single" w:sz="4" w:space="0" w:color="auto"/>
              <w:bottom w:val="single" w:sz="4" w:space="0" w:color="FFFFFF"/>
            </w:tcBorders>
            <w:shd w:val="clear" w:color="auto" w:fill="E2E2E2"/>
          </w:tcPr>
          <w:p w14:paraId="70128203" w14:textId="77777777" w:rsidR="00AD62CD" w:rsidRPr="00612E08" w:rsidRDefault="00AD62CD" w:rsidP="003627D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1112953E" w14:textId="77777777" w:rsidR="00AD62CD" w:rsidRPr="00612E08" w:rsidRDefault="00AD62CD" w:rsidP="003627D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0F43196" w14:textId="77777777" w:rsidR="00AD62CD" w:rsidRPr="00612E08" w:rsidRDefault="00AD62CD" w:rsidP="003627DF">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AD62CD" w:rsidRPr="00612E08" w14:paraId="0EA3F11A" w14:textId="77777777" w:rsidTr="003627DF">
        <w:tc>
          <w:tcPr>
            <w:tcW w:w="4212" w:type="dxa"/>
            <w:gridSpan w:val="2"/>
            <w:vMerge/>
            <w:tcBorders>
              <w:top w:val="nil"/>
              <w:left w:val="single" w:sz="4" w:space="0" w:color="auto"/>
              <w:bottom w:val="single" w:sz="4" w:space="0" w:color="auto"/>
            </w:tcBorders>
            <w:shd w:val="clear" w:color="auto" w:fill="E2E2E2"/>
          </w:tcPr>
          <w:p w14:paraId="559A78C2" w14:textId="77777777" w:rsidR="00AD62CD" w:rsidRPr="00612E08" w:rsidRDefault="00AD62CD" w:rsidP="003627D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221788E4" w14:textId="77777777" w:rsidR="00AD62CD" w:rsidRPr="00612E08" w:rsidRDefault="00AD62CD" w:rsidP="003627D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BEB5835" w14:textId="77777777" w:rsidR="00AD62CD" w:rsidRPr="00612E08" w:rsidRDefault="00AD62CD" w:rsidP="003627D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AD62CD" w:rsidRPr="00612E08" w14:paraId="0F961A10" w14:textId="77777777" w:rsidTr="003627DF">
        <w:tc>
          <w:tcPr>
            <w:tcW w:w="9180" w:type="dxa"/>
            <w:gridSpan w:val="11"/>
            <w:tcBorders>
              <w:top w:val="single" w:sz="4" w:space="0" w:color="auto"/>
              <w:left w:val="single" w:sz="4" w:space="0" w:color="auto"/>
              <w:bottom w:val="single" w:sz="4" w:space="0" w:color="FFFFFF"/>
            </w:tcBorders>
            <w:shd w:val="clear" w:color="auto" w:fill="FFFFFF"/>
          </w:tcPr>
          <w:p w14:paraId="4265320F" w14:textId="77777777" w:rsidR="00AD62CD" w:rsidRDefault="00AD62CD" w:rsidP="003627DF">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3F3E4B75" w14:textId="77777777" w:rsidR="00AD62CD" w:rsidRPr="00DA3DE9" w:rsidRDefault="00AD62CD" w:rsidP="003627DF">
            <w:pPr>
              <w:rPr>
                <w:rStyle w:val="Zvraznenie"/>
                <w:rFonts w:ascii="Times New Roman" w:hAnsi="Times New Roman" w:cs="Times New Roman"/>
                <w:i w:val="0"/>
                <w:sz w:val="20"/>
                <w:szCs w:val="20"/>
              </w:rPr>
            </w:pPr>
            <w:r w:rsidRPr="00DA3DE9">
              <w:rPr>
                <w:rFonts w:ascii="Times New Roman" w:hAnsi="Times New Roman" w:cs="Times New Roman"/>
                <w:sz w:val="20"/>
                <w:szCs w:val="20"/>
              </w:rPr>
              <w:t xml:space="preserve">Smernica Rady 2006/112/ES z  28. novembra 2006 o spoločnom systéme dane z pridanej hodnoty </w:t>
            </w:r>
            <w:r w:rsidRPr="00DA3DE9">
              <w:rPr>
                <w:rFonts w:ascii="Times New Roman" w:hAnsi="Times New Roman" w:cs="Times New Roman"/>
                <w:i/>
                <w:sz w:val="20"/>
                <w:szCs w:val="20"/>
              </w:rPr>
              <w:t>(</w:t>
            </w:r>
            <w:r w:rsidRPr="00DA3DE9">
              <w:rPr>
                <w:rStyle w:val="Zvraznenie"/>
                <w:rFonts w:ascii="Times New Roman" w:hAnsi="Times New Roman" w:cs="Times New Roman"/>
                <w:sz w:val="20"/>
                <w:szCs w:val="20"/>
              </w:rPr>
              <w:t>Ú. v. EÚ L 347, 11.12.2006) v platnom znení.</w:t>
            </w:r>
          </w:p>
          <w:p w14:paraId="53E19175" w14:textId="77777777" w:rsidR="00AD62CD" w:rsidRPr="00612E08" w:rsidRDefault="00AD62CD" w:rsidP="003627DF">
            <w:pPr>
              <w:rPr>
                <w:rFonts w:ascii="Times New Roman" w:eastAsia="Times New Roman" w:hAnsi="Times New Roman" w:cs="Times New Roman"/>
                <w:sz w:val="20"/>
                <w:szCs w:val="20"/>
                <w:lang w:eastAsia="sk-SK"/>
              </w:rPr>
            </w:pPr>
            <w:r w:rsidRPr="00DA3DE9">
              <w:rPr>
                <w:rFonts w:ascii="Times New Roman" w:eastAsia="Times New Roman" w:hAnsi="Times New Roman" w:cs="Times New Roman"/>
                <w:sz w:val="20"/>
                <w:szCs w:val="20"/>
                <w:lang w:eastAsia="sk-SK"/>
              </w:rPr>
              <w:t>Smernica Rady (EÚ) 2022/542 z 5. apríla 2022, ktorou sa menia smernice 2006/112/ES a (EÚ) 2020/285, pokiaľ ide o sadzby dane z pridanej hodnoty (Ú. v. EÚ L 107, 6. 4. 2022).</w:t>
            </w:r>
          </w:p>
        </w:tc>
      </w:tr>
      <w:tr w:rsidR="00AD62CD" w:rsidRPr="00612E08" w14:paraId="7D411550" w14:textId="77777777" w:rsidTr="003627DF">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C728227" w14:textId="77777777" w:rsidR="00AD62CD" w:rsidRPr="00612E08" w:rsidRDefault="00AD62CD" w:rsidP="003627D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FF7B756" w14:textId="77777777" w:rsidR="00AD62CD" w:rsidRPr="00612E08" w:rsidRDefault="00AD62CD" w:rsidP="003627DF">
            <w:pPr>
              <w:rPr>
                <w:rFonts w:ascii="Times New Roman" w:eastAsia="Times New Roman" w:hAnsi="Times New Roman" w:cs="Times New Roman"/>
                <w:i/>
                <w:sz w:val="20"/>
                <w:szCs w:val="20"/>
                <w:lang w:eastAsia="sk-SK"/>
              </w:rPr>
            </w:pPr>
          </w:p>
        </w:tc>
      </w:tr>
      <w:tr w:rsidR="00AD62CD" w:rsidRPr="00612E08" w14:paraId="77471DAA" w14:textId="77777777" w:rsidTr="003627D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4DB8B4F" w14:textId="77777777" w:rsidR="00AD62CD" w:rsidRPr="00612E08" w:rsidRDefault="00AD62CD" w:rsidP="003627D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57C293F" w14:textId="77777777" w:rsidR="00AD62CD" w:rsidRPr="00612E08" w:rsidRDefault="00AD62CD" w:rsidP="003627DF">
            <w:pPr>
              <w:rPr>
                <w:rFonts w:ascii="Times New Roman" w:eastAsia="Times New Roman" w:hAnsi="Times New Roman" w:cs="Times New Roman"/>
                <w:i/>
                <w:sz w:val="20"/>
                <w:szCs w:val="20"/>
                <w:lang w:eastAsia="sk-SK"/>
              </w:rPr>
            </w:pPr>
          </w:p>
        </w:tc>
      </w:tr>
      <w:tr w:rsidR="00AD62CD" w:rsidRPr="00612E08" w14:paraId="3B53D950" w14:textId="77777777" w:rsidTr="003627DF">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E4A0368" w14:textId="77777777" w:rsidR="00AD62CD" w:rsidRPr="00612E08" w:rsidRDefault="00AD62CD" w:rsidP="003627DF">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7871A856" w14:textId="77777777" w:rsidR="00AD62CD" w:rsidRPr="00612E08" w:rsidRDefault="00AD62CD" w:rsidP="003627DF">
            <w:pPr>
              <w:rPr>
                <w:rFonts w:ascii="Times New Roman" w:eastAsia="Times New Roman" w:hAnsi="Times New Roman" w:cs="Times New Roman"/>
                <w:i/>
                <w:sz w:val="20"/>
                <w:szCs w:val="20"/>
                <w:lang w:eastAsia="sk-SK"/>
              </w:rPr>
            </w:pPr>
          </w:p>
        </w:tc>
      </w:tr>
      <w:tr w:rsidR="00AD62CD" w:rsidRPr="00612E08" w14:paraId="45DA7DA6" w14:textId="77777777" w:rsidTr="003627D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AC4A576" w14:textId="77777777" w:rsidR="00AD62CD" w:rsidRPr="00612E08" w:rsidRDefault="00AD62CD" w:rsidP="003627DF">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050C59B7" w14:textId="77777777" w:rsidR="00AD62CD" w:rsidRPr="00612E08" w:rsidRDefault="00AD62CD" w:rsidP="003627D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September 2025</w:t>
            </w:r>
          </w:p>
        </w:tc>
      </w:tr>
      <w:tr w:rsidR="00AD62CD" w:rsidRPr="00612E08" w14:paraId="7A663D8D" w14:textId="77777777" w:rsidTr="003627DF">
        <w:tc>
          <w:tcPr>
            <w:tcW w:w="9180" w:type="dxa"/>
            <w:gridSpan w:val="11"/>
            <w:tcBorders>
              <w:top w:val="single" w:sz="4" w:space="0" w:color="auto"/>
              <w:left w:val="nil"/>
              <w:bottom w:val="single" w:sz="4" w:space="0" w:color="auto"/>
              <w:right w:val="nil"/>
            </w:tcBorders>
            <w:shd w:val="clear" w:color="auto" w:fill="FFFFFF"/>
          </w:tcPr>
          <w:p w14:paraId="6A131DAC" w14:textId="77777777" w:rsidR="00AD62CD" w:rsidRPr="00612E08" w:rsidRDefault="00AD62CD" w:rsidP="003627DF">
            <w:pPr>
              <w:rPr>
                <w:rFonts w:ascii="Times New Roman" w:eastAsia="Times New Roman" w:hAnsi="Times New Roman" w:cs="Times New Roman"/>
                <w:sz w:val="20"/>
                <w:szCs w:val="20"/>
                <w:lang w:eastAsia="sk-SK"/>
              </w:rPr>
            </w:pPr>
          </w:p>
        </w:tc>
      </w:tr>
      <w:tr w:rsidR="00AD62CD" w:rsidRPr="00612E08" w14:paraId="1EBDF486" w14:textId="77777777" w:rsidTr="003627D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F5443E8" w14:textId="77777777" w:rsidR="00AD62CD" w:rsidRPr="00612E08" w:rsidRDefault="00AD62CD" w:rsidP="00AD62CD">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AD62CD" w:rsidRPr="00612E08" w14:paraId="29200C78" w14:textId="77777777" w:rsidTr="003627DF">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85A78F7" w14:textId="77777777" w:rsidR="00AD62CD" w:rsidRPr="00E25CF8" w:rsidRDefault="00AD62CD" w:rsidP="003627DF">
            <w:pPr>
              <w:jc w:val="both"/>
              <w:rPr>
                <w:rFonts w:ascii="Times New Roman" w:eastAsia="Times New Roman" w:hAnsi="Times New Roman" w:cs="Times New Roman"/>
                <w:i/>
                <w:sz w:val="20"/>
                <w:szCs w:val="20"/>
                <w:lang w:eastAsia="sk-SK"/>
              </w:rPr>
            </w:pPr>
            <w:r w:rsidRPr="00E25CF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41DF9617" w14:textId="77777777" w:rsidR="00AD62CD" w:rsidRPr="00E25CF8" w:rsidRDefault="00AD62CD" w:rsidP="003627DF">
            <w:pPr>
              <w:jc w:val="both"/>
              <w:rPr>
                <w:rFonts w:ascii="Times New Roman" w:eastAsia="Times New Roman" w:hAnsi="Times New Roman" w:cs="Times New Roman"/>
                <w:bCs/>
                <w:sz w:val="20"/>
                <w:szCs w:val="20"/>
                <w:lang w:eastAsia="sk-SK"/>
              </w:rPr>
            </w:pPr>
          </w:p>
          <w:p w14:paraId="398DBBA9" w14:textId="77777777" w:rsidR="00AD62CD" w:rsidRPr="00E25CF8" w:rsidRDefault="00AD62CD" w:rsidP="003627DF">
            <w:pPr>
              <w:jc w:val="both"/>
              <w:rPr>
                <w:rFonts w:ascii="Times New Roman" w:eastAsia="Times New Roman" w:hAnsi="Times New Roman" w:cs="Times New Roman"/>
                <w:bCs/>
                <w:sz w:val="20"/>
                <w:szCs w:val="20"/>
                <w:lang w:eastAsia="sk-SK"/>
              </w:rPr>
            </w:pPr>
            <w:r w:rsidRPr="00E25CF8">
              <w:rPr>
                <w:rFonts w:ascii="Times New Roman" w:eastAsia="Times New Roman" w:hAnsi="Times New Roman" w:cs="Times New Roman"/>
                <w:bCs/>
                <w:sz w:val="20"/>
                <w:szCs w:val="20"/>
                <w:lang w:eastAsia="sk-SK"/>
              </w:rPr>
              <w:t>Nevyhnuté znižovanie deficitu štátneho rozpočtu si vyžaduje ďalšiu konsolidáciu verejných financií, a to úpravou príslušných zákonov.</w:t>
            </w:r>
          </w:p>
          <w:p w14:paraId="0D650AEE" w14:textId="77777777" w:rsidR="00AD62CD" w:rsidRPr="00E25CF8" w:rsidRDefault="00AD62CD" w:rsidP="003627DF">
            <w:pPr>
              <w:jc w:val="both"/>
              <w:rPr>
                <w:rFonts w:ascii="Times New Roman" w:eastAsia="Times New Roman" w:hAnsi="Times New Roman" w:cs="Times New Roman"/>
                <w:b/>
                <w:sz w:val="20"/>
                <w:szCs w:val="20"/>
                <w:lang w:eastAsia="sk-SK"/>
              </w:rPr>
            </w:pPr>
          </w:p>
          <w:p w14:paraId="7860F957"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Zákonník práce</w:t>
            </w:r>
          </w:p>
          <w:p w14:paraId="3B4A773E" w14:textId="77777777" w:rsidR="00AD62CD" w:rsidRPr="003C42D1" w:rsidRDefault="00AD62CD" w:rsidP="003627DF">
            <w:pPr>
              <w:jc w:val="both"/>
              <w:rPr>
                <w:rFonts w:ascii="Times New Roman" w:eastAsia="Times New Roman" w:hAnsi="Times New Roman" w:cs="Times New Roman"/>
                <w:sz w:val="20"/>
                <w:szCs w:val="20"/>
                <w:lang w:eastAsia="sk-SK"/>
              </w:rPr>
            </w:pPr>
            <w:r w:rsidRPr="003C42D1">
              <w:rPr>
                <w:rFonts w:ascii="Times New Roman" w:eastAsia="Times New Roman" w:hAnsi="Times New Roman" w:cs="Times New Roman"/>
                <w:sz w:val="20"/>
                <w:szCs w:val="20"/>
                <w:lang w:eastAsia="sk-SK"/>
              </w:rPr>
              <w:t xml:space="preserve">Zmena regulácie sa dotýka zamestnávateľov alebo fyzických osôb, ktoré porušili zákaz nelegálneho zamestnávania. Navrhuje sa </w:t>
            </w:r>
            <w:r w:rsidRPr="003C42D1">
              <w:rPr>
                <w:rFonts w:ascii="Times New Roman" w:hAnsi="Times New Roman" w:cs="Times New Roman"/>
                <w:sz w:val="20"/>
                <w:szCs w:val="20"/>
              </w:rPr>
              <w:t>zosúladiť definíciu závislej práce so zvyšným obsahom Zákonníka práce, a tým znížiť mieru jeho obchádzania, ako aj vzhľadom na navrhovanú zmenu zákona č. 241/1993 Z. z. o štátnych sviatkoch, dňoch pracovného pokoja a pamätných dňoch, kedy  sa nemá uplatňovať ani zákaz práce v maloobchodnom predaji</w:t>
            </w:r>
          </w:p>
          <w:p w14:paraId="32CD4A15" w14:textId="77777777" w:rsidR="00AD62CD" w:rsidRPr="00E25CF8" w:rsidRDefault="00AD62CD" w:rsidP="003627DF">
            <w:pPr>
              <w:jc w:val="both"/>
              <w:rPr>
                <w:rFonts w:ascii="Times New Roman" w:eastAsia="Times New Roman" w:hAnsi="Times New Roman" w:cs="Times New Roman"/>
                <w:b/>
                <w:sz w:val="20"/>
                <w:szCs w:val="20"/>
                <w:lang w:eastAsia="sk-SK"/>
              </w:rPr>
            </w:pPr>
          </w:p>
          <w:p w14:paraId="089FE930"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Banský zákon</w:t>
            </w:r>
          </w:p>
          <w:p w14:paraId="79C19CF1"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hAnsi="Times New Roman" w:cs="Times New Roman"/>
                <w:iCs/>
                <w:sz w:val="20"/>
                <w:szCs w:val="20"/>
                <w:lang w:eastAsia="sk-SK"/>
              </w:rPr>
              <w:t>Nakoľko súčasná právna úprava banského zákona v oblasti úhrad bola dlhodobo neaktualizovaná a nereflektuje aktuálne trhové podmienky ani vývoj inflácie, návrh novely banského zákona reaguje na potrebu posilnenia príjmovej stránky verejných financií.</w:t>
            </w:r>
          </w:p>
          <w:p w14:paraId="13AEC6D5" w14:textId="77777777" w:rsidR="00AD62CD" w:rsidRPr="00E25CF8" w:rsidRDefault="00AD62CD" w:rsidP="003627DF">
            <w:pPr>
              <w:jc w:val="both"/>
              <w:rPr>
                <w:rFonts w:ascii="Times New Roman" w:eastAsia="Times New Roman" w:hAnsi="Times New Roman" w:cs="Times New Roman"/>
                <w:b/>
                <w:sz w:val="20"/>
                <w:szCs w:val="20"/>
                <w:lang w:eastAsia="sk-SK"/>
              </w:rPr>
            </w:pPr>
          </w:p>
          <w:p w14:paraId="330EA7D4"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štátnych sviatkoch, dňoch pracovného pokoja a pamätných dňoch</w:t>
            </w:r>
          </w:p>
          <w:p w14:paraId="544950AC" w14:textId="77777777" w:rsidR="00AD62CD" w:rsidRPr="00E25CF8" w:rsidRDefault="00AD62CD" w:rsidP="003627DF">
            <w:pPr>
              <w:jc w:val="both"/>
              <w:rPr>
                <w:rFonts w:ascii="Times New Roman" w:eastAsia="Times New Roman" w:hAnsi="Times New Roman" w:cs="Times New Roman"/>
                <w:sz w:val="20"/>
                <w:szCs w:val="20"/>
                <w:lang w:eastAsia="sk-SK"/>
              </w:rPr>
            </w:pPr>
            <w:r w:rsidRPr="00E25CF8">
              <w:rPr>
                <w:rFonts w:ascii="Times New Roman" w:eastAsia="Times New Roman" w:hAnsi="Times New Roman" w:cs="Times New Roman"/>
                <w:sz w:val="20"/>
                <w:szCs w:val="20"/>
                <w:lang w:eastAsia="sk-SK"/>
              </w:rPr>
              <w:t>Návrh zákona prispieva ku konsolidácii verejných financií znížením počtu dní pracovného pokoja.</w:t>
            </w:r>
          </w:p>
          <w:p w14:paraId="1BA8BC77" w14:textId="77777777" w:rsidR="00AD62CD" w:rsidRPr="00E25CF8" w:rsidRDefault="00AD62CD" w:rsidP="003627DF">
            <w:pPr>
              <w:jc w:val="both"/>
              <w:rPr>
                <w:rFonts w:ascii="Times New Roman" w:eastAsia="Times New Roman" w:hAnsi="Times New Roman" w:cs="Times New Roman"/>
                <w:b/>
                <w:sz w:val="20"/>
                <w:szCs w:val="20"/>
                <w:lang w:eastAsia="sk-SK"/>
              </w:rPr>
            </w:pPr>
          </w:p>
          <w:p w14:paraId="3352DCE0"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cestovných náhradách</w:t>
            </w:r>
          </w:p>
          <w:p w14:paraId="0CF04755"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hAnsi="Times New Roman" w:cs="Times New Roman"/>
                <w:sz w:val="20"/>
                <w:szCs w:val="20"/>
              </w:rPr>
              <w:t>Z dôvodu eliminácie potenciálnych výdavkov rozpočtu verejnej správy ako aj eliminácie potenciálneho zníženia príjmov rozpočtu (z dôvodu zníženia výnosu dane z príjmov právnických osôb) v rámci tlaku na plošné zvýšenie sadzieb stravného pri zahraničných pracovných cestách je potrebné novelizovať zákon o cestovných náhradách tak, aby sa všeobecne záväzným právnym predpisom, ktorý vydáva Ministerstvo financií SR pre základné sadzby stravného v eurách alebo v cudzej mene pri zahraničných pracovných cestách, mohli operatívne ustanoviť aj osobitné vyššie sadzby stravného pre niektoré skupiny zamestnancov a krajiny, ak pre takéto skupiny zamestnancov a krajiny vznikne v ekonomike disproporcia medzi základnými sadzbami stravného a reálnymi cenami jedál a nealkoholických nápojov.</w:t>
            </w:r>
          </w:p>
          <w:p w14:paraId="78ED4611" w14:textId="77777777" w:rsidR="00AD62CD" w:rsidRPr="00E25CF8" w:rsidRDefault="00AD62CD" w:rsidP="003627DF">
            <w:pPr>
              <w:jc w:val="both"/>
              <w:rPr>
                <w:rFonts w:ascii="Times New Roman" w:eastAsia="Times New Roman" w:hAnsi="Times New Roman" w:cs="Times New Roman"/>
                <w:b/>
                <w:sz w:val="20"/>
                <w:szCs w:val="20"/>
                <w:lang w:eastAsia="sk-SK"/>
              </w:rPr>
            </w:pPr>
          </w:p>
          <w:p w14:paraId="41A5F13D"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sociálnom poistení, Zákon o náhrade príjmu pri dočasnej pracovnej neschopnosti zamestnanca</w:t>
            </w:r>
          </w:p>
          <w:p w14:paraId="16247CC4" w14:textId="77777777" w:rsidR="00AD62CD" w:rsidRPr="00E562D0" w:rsidRDefault="00AD62CD" w:rsidP="003627DF">
            <w:pPr>
              <w:jc w:val="both"/>
              <w:rPr>
                <w:rFonts w:ascii="Times New Roman" w:eastAsia="Times New Roman" w:hAnsi="Times New Roman" w:cs="Times New Roman"/>
                <w:sz w:val="20"/>
                <w:szCs w:val="20"/>
                <w:lang w:eastAsia="sk-SK"/>
              </w:rPr>
            </w:pPr>
            <w:r w:rsidRPr="00E562D0">
              <w:rPr>
                <w:rFonts w:ascii="Times New Roman" w:eastAsia="Times New Roman" w:hAnsi="Times New Roman" w:cs="Times New Roman"/>
                <w:sz w:val="20"/>
                <w:szCs w:val="20"/>
                <w:lang w:eastAsia="sk-SK"/>
              </w:rPr>
              <w:t>Prijatím súboru opatrení sa navrhuje konsolidácia verejných financií a stabilizácia dlhodobej udržateľnosti systému sociálneho poistenia.</w:t>
            </w:r>
          </w:p>
          <w:p w14:paraId="10D3293F" w14:textId="77777777" w:rsidR="00AD62CD" w:rsidRPr="00E562D0" w:rsidRDefault="00AD62CD" w:rsidP="003627DF">
            <w:pPr>
              <w:jc w:val="both"/>
              <w:rPr>
                <w:rFonts w:ascii="Times New Roman" w:eastAsia="Times New Roman" w:hAnsi="Times New Roman" w:cs="Times New Roman"/>
                <w:sz w:val="20"/>
                <w:szCs w:val="20"/>
                <w:lang w:eastAsia="sk-SK"/>
              </w:rPr>
            </w:pPr>
          </w:p>
          <w:p w14:paraId="0FE218A7" w14:textId="77777777" w:rsidR="00AD62CD" w:rsidRPr="00E562D0" w:rsidRDefault="00AD62CD" w:rsidP="003627DF">
            <w:pPr>
              <w:jc w:val="both"/>
              <w:rPr>
                <w:rFonts w:ascii="Times New Roman" w:eastAsia="Times New Roman" w:hAnsi="Times New Roman" w:cs="Times New Roman"/>
                <w:sz w:val="20"/>
                <w:szCs w:val="20"/>
                <w:lang w:eastAsia="sk-SK"/>
              </w:rPr>
            </w:pPr>
            <w:r w:rsidRPr="00E562D0">
              <w:rPr>
                <w:rFonts w:ascii="Times New Roman" w:eastAsia="Times New Roman" w:hAnsi="Times New Roman" w:cs="Times New Roman"/>
                <w:sz w:val="20"/>
                <w:szCs w:val="20"/>
                <w:lang w:eastAsia="sk-SK"/>
              </w:rPr>
              <w:t>V oblasti príjmov sa navrhujú najmä nasledovné úpravy pre samostatne zárobkovo činné osoby  (ďalej len „SZČO“):</w:t>
            </w:r>
          </w:p>
          <w:p w14:paraId="6FD86C12" w14:textId="77777777" w:rsidR="00AD62CD" w:rsidRPr="00745878" w:rsidRDefault="00AD62CD" w:rsidP="00AD62CD">
            <w:pPr>
              <w:pStyle w:val="Odsekzoznamu"/>
              <w:numPr>
                <w:ilvl w:val="0"/>
                <w:numId w:val="9"/>
              </w:numPr>
              <w:jc w:val="both"/>
              <w:rPr>
                <w:rFonts w:ascii="Times New Roman" w:eastAsia="Times New Roman" w:hAnsi="Times New Roman" w:cs="Times New Roman"/>
                <w:sz w:val="20"/>
                <w:szCs w:val="20"/>
                <w:lang w:eastAsia="sk-SK"/>
              </w:rPr>
            </w:pPr>
            <w:r w:rsidRPr="00745878">
              <w:rPr>
                <w:rFonts w:ascii="Times New Roman" w:eastAsia="Times New Roman" w:hAnsi="Times New Roman" w:cs="Times New Roman"/>
                <w:sz w:val="20"/>
                <w:szCs w:val="20"/>
                <w:lang w:eastAsia="sk-SK"/>
              </w:rPr>
              <w:t>zaistenie prístupu širšiemu okruhu k sociálnej ochrane, nakoľko v súčasnosti existujú výnimky v pokrytí, ktoré sú naviazané na prekročenie zákonom stanovenej hranice príjmu na vznik alebo trvanie povinného sociálneho poistenia,</w:t>
            </w:r>
          </w:p>
          <w:p w14:paraId="5CB6F196" w14:textId="77777777" w:rsidR="00AD62CD" w:rsidRPr="00745878" w:rsidRDefault="00AD62CD" w:rsidP="00AD62CD">
            <w:pPr>
              <w:pStyle w:val="Odsekzoznamu"/>
              <w:numPr>
                <w:ilvl w:val="0"/>
                <w:numId w:val="9"/>
              </w:numPr>
              <w:jc w:val="both"/>
              <w:rPr>
                <w:rFonts w:ascii="Times New Roman" w:eastAsia="Times New Roman" w:hAnsi="Times New Roman" w:cs="Times New Roman"/>
                <w:sz w:val="20"/>
                <w:szCs w:val="20"/>
                <w:lang w:eastAsia="sk-SK"/>
              </w:rPr>
            </w:pPr>
            <w:r w:rsidRPr="00745878">
              <w:rPr>
                <w:rFonts w:ascii="Times New Roman" w:eastAsia="Times New Roman" w:hAnsi="Times New Roman" w:cs="Times New Roman"/>
                <w:sz w:val="20"/>
                <w:szCs w:val="20"/>
                <w:lang w:eastAsia="sk-SK"/>
              </w:rPr>
              <w:t xml:space="preserve">zvýšenie minimálneho vymeriavacieho základu na platenie poistného na sociálne poistenie. </w:t>
            </w:r>
          </w:p>
          <w:p w14:paraId="715EFBDA" w14:textId="77777777" w:rsidR="00AD62CD" w:rsidRPr="00E562D0" w:rsidRDefault="00AD62CD" w:rsidP="003627DF">
            <w:pPr>
              <w:jc w:val="both"/>
              <w:rPr>
                <w:rFonts w:ascii="Times New Roman" w:eastAsia="Times New Roman" w:hAnsi="Times New Roman" w:cs="Times New Roman"/>
                <w:sz w:val="20"/>
                <w:szCs w:val="20"/>
                <w:lang w:eastAsia="sk-SK"/>
              </w:rPr>
            </w:pPr>
          </w:p>
          <w:p w14:paraId="63F0DDC4" w14:textId="77777777" w:rsidR="00AD62CD" w:rsidRPr="00E562D0" w:rsidRDefault="00AD62CD" w:rsidP="003627DF">
            <w:pPr>
              <w:jc w:val="both"/>
              <w:rPr>
                <w:rFonts w:ascii="Times New Roman" w:eastAsia="Times New Roman" w:hAnsi="Times New Roman" w:cs="Times New Roman"/>
                <w:sz w:val="20"/>
                <w:szCs w:val="20"/>
                <w:lang w:eastAsia="sk-SK"/>
              </w:rPr>
            </w:pPr>
            <w:r w:rsidRPr="00E562D0">
              <w:rPr>
                <w:rFonts w:ascii="Times New Roman" w:eastAsia="Times New Roman" w:hAnsi="Times New Roman" w:cs="Times New Roman"/>
                <w:sz w:val="20"/>
                <w:szCs w:val="20"/>
                <w:lang w:eastAsia="sk-SK"/>
              </w:rPr>
              <w:t>V oblasti výdavkov sú opatrenia zamerané na:</w:t>
            </w:r>
          </w:p>
          <w:p w14:paraId="2A78A6E9" w14:textId="77777777" w:rsidR="00AD62CD" w:rsidRPr="00745878" w:rsidRDefault="00AD62CD" w:rsidP="00AD62CD">
            <w:pPr>
              <w:pStyle w:val="Odsekzoznamu"/>
              <w:numPr>
                <w:ilvl w:val="0"/>
                <w:numId w:val="10"/>
              </w:numPr>
              <w:jc w:val="both"/>
              <w:rPr>
                <w:rFonts w:ascii="Times New Roman" w:eastAsia="Times New Roman" w:hAnsi="Times New Roman" w:cs="Times New Roman"/>
                <w:sz w:val="20"/>
                <w:szCs w:val="20"/>
                <w:lang w:eastAsia="sk-SK"/>
              </w:rPr>
            </w:pPr>
            <w:r w:rsidRPr="00745878">
              <w:rPr>
                <w:rFonts w:ascii="Times New Roman" w:eastAsia="Times New Roman" w:hAnsi="Times New Roman" w:cs="Times New Roman"/>
                <w:sz w:val="20"/>
                <w:szCs w:val="20"/>
                <w:lang w:eastAsia="sk-SK"/>
              </w:rPr>
              <w:t xml:space="preserve">predĺženie obdobia poberania náhrady príjmu pri dočasnej pracovnej neschopnosti (ďalej len „PN“) na 14 kalendárnych dní, </w:t>
            </w:r>
          </w:p>
          <w:p w14:paraId="71A7F209" w14:textId="77777777" w:rsidR="00AD62CD" w:rsidRPr="00745878" w:rsidRDefault="00AD62CD" w:rsidP="00AD62CD">
            <w:pPr>
              <w:pStyle w:val="Odsekzoznamu"/>
              <w:numPr>
                <w:ilvl w:val="0"/>
                <w:numId w:val="10"/>
              </w:numPr>
              <w:jc w:val="both"/>
              <w:rPr>
                <w:rFonts w:ascii="Times New Roman" w:eastAsia="Times New Roman" w:hAnsi="Times New Roman" w:cs="Times New Roman"/>
                <w:sz w:val="20"/>
                <w:szCs w:val="20"/>
                <w:lang w:eastAsia="sk-SK"/>
              </w:rPr>
            </w:pPr>
            <w:r w:rsidRPr="00745878">
              <w:rPr>
                <w:rFonts w:ascii="Times New Roman" w:eastAsia="Times New Roman" w:hAnsi="Times New Roman" w:cs="Times New Roman"/>
                <w:sz w:val="20"/>
                <w:szCs w:val="20"/>
                <w:lang w:eastAsia="sk-SK"/>
              </w:rPr>
              <w:t>zachovanie sumy  13. dôchodku v rokoch 2026 až 2028 na nominálnej úrovni roka 2025.</w:t>
            </w:r>
          </w:p>
          <w:p w14:paraId="52FD48B7" w14:textId="77777777" w:rsidR="00AD62CD" w:rsidRPr="00745878" w:rsidRDefault="00AD62CD" w:rsidP="00AD62CD">
            <w:pPr>
              <w:pStyle w:val="Odsekzoznamu"/>
              <w:numPr>
                <w:ilvl w:val="0"/>
                <w:numId w:val="10"/>
              </w:numPr>
              <w:jc w:val="both"/>
              <w:rPr>
                <w:rFonts w:ascii="Times New Roman" w:eastAsia="Times New Roman" w:hAnsi="Times New Roman" w:cs="Times New Roman"/>
                <w:sz w:val="20"/>
                <w:szCs w:val="20"/>
                <w:lang w:eastAsia="sk-SK"/>
              </w:rPr>
            </w:pPr>
            <w:r w:rsidRPr="00745878">
              <w:rPr>
                <w:rFonts w:ascii="Times New Roman" w:eastAsia="Times New Roman" w:hAnsi="Times New Roman" w:cs="Times New Roman"/>
                <w:sz w:val="20"/>
                <w:szCs w:val="20"/>
                <w:lang w:eastAsia="sk-SK"/>
              </w:rPr>
              <w:t>zavedenie degresívneho modelu dávky v nezamestnanosti pre zvýšenie motivácie k návratu na trh práce.</w:t>
            </w:r>
          </w:p>
          <w:p w14:paraId="59DB81A6" w14:textId="77777777" w:rsidR="00AD62CD" w:rsidRPr="00E25CF8" w:rsidRDefault="00AD62CD" w:rsidP="003627DF">
            <w:pPr>
              <w:rPr>
                <w:rFonts w:ascii="Times New Roman" w:eastAsia="Times New Roman" w:hAnsi="Times New Roman" w:cs="Times New Roman"/>
                <w:b/>
                <w:sz w:val="20"/>
                <w:szCs w:val="20"/>
                <w:lang w:eastAsia="sk-SK"/>
              </w:rPr>
            </w:pPr>
          </w:p>
          <w:p w14:paraId="5509B018" w14:textId="77777777" w:rsidR="00AD62CD" w:rsidRPr="00E25CF8" w:rsidRDefault="00AD62CD" w:rsidP="003627DF">
            <w:pPr>
              <w:jc w:val="both"/>
              <w:rPr>
                <w:rFonts w:ascii="Times New Roman" w:eastAsia="Times New Roman" w:hAnsi="Times New Roman" w:cs="Times New Roman"/>
                <w:b/>
                <w:bCs/>
                <w:sz w:val="20"/>
                <w:szCs w:val="20"/>
                <w:lang w:eastAsia="sk-SK"/>
              </w:rPr>
            </w:pPr>
            <w:r w:rsidRPr="00E25CF8">
              <w:rPr>
                <w:rFonts w:ascii="Times New Roman" w:eastAsia="Times New Roman" w:hAnsi="Times New Roman" w:cs="Times New Roman"/>
                <w:b/>
                <w:bCs/>
                <w:sz w:val="20"/>
                <w:szCs w:val="20"/>
                <w:lang w:eastAsia="sk-SK"/>
              </w:rPr>
              <w:t>Zákon o dani z príjmov</w:t>
            </w:r>
          </w:p>
          <w:p w14:paraId="6FB56D0C" w14:textId="77777777" w:rsidR="00AD62CD" w:rsidRPr="00E25CF8" w:rsidRDefault="00AD62CD" w:rsidP="00AD62CD">
            <w:pPr>
              <w:pStyle w:val="Odsekzoznamu"/>
              <w:numPr>
                <w:ilvl w:val="0"/>
                <w:numId w:val="6"/>
              </w:numPr>
              <w:jc w:val="both"/>
              <w:rPr>
                <w:rFonts w:ascii="Times New Roman" w:hAnsi="Times New Roman" w:cs="Times New Roman"/>
                <w:sz w:val="20"/>
                <w:szCs w:val="20"/>
                <w:u w:val="single"/>
              </w:rPr>
            </w:pPr>
            <w:r w:rsidRPr="00E25CF8">
              <w:rPr>
                <w:rFonts w:ascii="Times New Roman" w:hAnsi="Times New Roman" w:cs="Times New Roman"/>
                <w:sz w:val="20"/>
                <w:szCs w:val="20"/>
                <w:u w:val="single"/>
              </w:rPr>
              <w:t>Minimálna daň pre právnické osoby</w:t>
            </w:r>
          </w:p>
          <w:p w14:paraId="1E254785" w14:textId="77777777" w:rsidR="00AD62CD" w:rsidRPr="00E25CF8" w:rsidRDefault="00AD62CD" w:rsidP="003627DF">
            <w:pPr>
              <w:jc w:val="both"/>
              <w:rPr>
                <w:rFonts w:ascii="Times New Roman" w:hAnsi="Times New Roman" w:cs="Times New Roman"/>
                <w:sz w:val="20"/>
                <w:szCs w:val="20"/>
              </w:rPr>
            </w:pPr>
            <w:r w:rsidRPr="00E25CF8">
              <w:rPr>
                <w:rFonts w:ascii="Times New Roman" w:hAnsi="Times New Roman" w:cs="Times New Roman"/>
                <w:sz w:val="20"/>
                <w:szCs w:val="20"/>
              </w:rPr>
              <w:t xml:space="preserve">Do zákona o dani z príjmov sa navrhuje piata hranica zdaniteľného príjmu pre účely stanovenia výšky minimálnej dane pre vymedzené právnické osoby. </w:t>
            </w:r>
          </w:p>
          <w:p w14:paraId="17356AFF" w14:textId="77777777" w:rsidR="00AD62CD" w:rsidRPr="00E25CF8" w:rsidRDefault="00AD62CD" w:rsidP="003627DF">
            <w:pPr>
              <w:jc w:val="both"/>
              <w:rPr>
                <w:rFonts w:ascii="Times New Roman" w:hAnsi="Times New Roman" w:cs="Times New Roman"/>
                <w:sz w:val="20"/>
                <w:szCs w:val="20"/>
              </w:rPr>
            </w:pPr>
          </w:p>
          <w:p w14:paraId="77567C85" w14:textId="77777777" w:rsidR="00AD62CD" w:rsidRPr="00E25CF8" w:rsidRDefault="00AD62CD" w:rsidP="00AD62CD">
            <w:pPr>
              <w:pStyle w:val="Odsekzoznamu"/>
              <w:numPr>
                <w:ilvl w:val="0"/>
                <w:numId w:val="5"/>
              </w:numPr>
              <w:jc w:val="both"/>
              <w:rPr>
                <w:rFonts w:ascii="Times New Roman" w:hAnsi="Times New Roman" w:cs="Times New Roman"/>
                <w:sz w:val="20"/>
                <w:szCs w:val="20"/>
                <w:u w:val="single"/>
              </w:rPr>
            </w:pPr>
            <w:r w:rsidRPr="00E25CF8">
              <w:rPr>
                <w:rFonts w:ascii="Times New Roman" w:hAnsi="Times New Roman" w:cs="Times New Roman"/>
                <w:sz w:val="20"/>
                <w:szCs w:val="20"/>
                <w:u w:val="single"/>
              </w:rPr>
              <w:t xml:space="preserve">Úprava daňových sadzieb pre fyzické osoby </w:t>
            </w:r>
          </w:p>
          <w:p w14:paraId="4BF3E9E2" w14:textId="77777777" w:rsidR="00AD62CD" w:rsidRPr="00E25CF8" w:rsidRDefault="00AD62CD" w:rsidP="003627DF">
            <w:pPr>
              <w:jc w:val="both"/>
              <w:rPr>
                <w:rFonts w:ascii="Times New Roman" w:hAnsi="Times New Roman" w:cs="Times New Roman"/>
                <w:sz w:val="20"/>
                <w:szCs w:val="20"/>
              </w:rPr>
            </w:pPr>
            <w:r w:rsidRPr="00E25CF8">
              <w:rPr>
                <w:rFonts w:ascii="Times New Roman" w:hAnsi="Times New Roman" w:cs="Times New Roman"/>
                <w:sz w:val="20"/>
                <w:szCs w:val="20"/>
              </w:rPr>
              <w:t>Do zákona o dani z príjmov sa navrhuje rozšírenie progresie zdaňovania fyzických osôb zavedením nových vyšších sadzieb dane, ktoré sa budú uplatňovať pri vyšších základoch dane. Vyššia daňová sadzba pri vyšších príjmových</w:t>
            </w:r>
            <w:r>
              <w:rPr>
                <w:rFonts w:ascii="Times New Roman" w:hAnsi="Times New Roman" w:cs="Times New Roman"/>
                <w:sz w:val="20"/>
                <w:szCs w:val="20"/>
              </w:rPr>
              <w:t xml:space="preserve"> skupinách</w:t>
            </w:r>
            <w:r w:rsidRPr="00E25CF8">
              <w:rPr>
                <w:rFonts w:ascii="Times New Roman" w:hAnsi="Times New Roman" w:cs="Times New Roman"/>
                <w:sz w:val="20"/>
                <w:szCs w:val="20"/>
              </w:rPr>
              <w:t xml:space="preserve"> zabezpečí vyššiu solidárnosť vysokopríjmových daňovníkov. Zároveň sa navrhuje zvýšenie osobitnej sadzby dane pre vybraných ústavných činiteľov.</w:t>
            </w:r>
          </w:p>
          <w:p w14:paraId="67606EC5" w14:textId="77777777" w:rsidR="00AD62CD" w:rsidRPr="00E25CF8" w:rsidRDefault="00AD62CD" w:rsidP="003627DF">
            <w:pPr>
              <w:jc w:val="both"/>
              <w:rPr>
                <w:rFonts w:ascii="Times New Roman" w:hAnsi="Times New Roman" w:cs="Times New Roman"/>
                <w:sz w:val="20"/>
                <w:szCs w:val="20"/>
              </w:rPr>
            </w:pPr>
          </w:p>
          <w:p w14:paraId="79867C71" w14:textId="77777777" w:rsidR="00AD62CD" w:rsidRPr="00E25CF8" w:rsidRDefault="00AD62CD" w:rsidP="00AD62CD">
            <w:pPr>
              <w:pStyle w:val="Odsekzoznamu"/>
              <w:numPr>
                <w:ilvl w:val="0"/>
                <w:numId w:val="5"/>
              </w:numPr>
              <w:jc w:val="both"/>
              <w:rPr>
                <w:rFonts w:ascii="Times New Roman" w:hAnsi="Times New Roman" w:cs="Times New Roman"/>
                <w:sz w:val="20"/>
                <w:szCs w:val="20"/>
                <w:u w:val="single"/>
              </w:rPr>
            </w:pPr>
            <w:r w:rsidRPr="00E25CF8">
              <w:rPr>
                <w:rFonts w:ascii="Times New Roman" w:hAnsi="Times New Roman" w:cs="Times New Roman"/>
                <w:sz w:val="20"/>
                <w:szCs w:val="20"/>
                <w:u w:val="single"/>
              </w:rPr>
              <w:t xml:space="preserve">Daň z výnosu (príjmu) z poplatku za hazardné hry </w:t>
            </w:r>
          </w:p>
          <w:p w14:paraId="3760E513" w14:textId="77777777" w:rsidR="00AD62CD" w:rsidRPr="00E25CF8" w:rsidRDefault="00AD62CD" w:rsidP="003627DF">
            <w:pPr>
              <w:jc w:val="both"/>
              <w:rPr>
                <w:rFonts w:ascii="Times New Roman" w:hAnsi="Times New Roman" w:cs="Times New Roman"/>
                <w:sz w:val="20"/>
                <w:szCs w:val="20"/>
              </w:rPr>
            </w:pPr>
            <w:r w:rsidRPr="00E25CF8">
              <w:rPr>
                <w:rFonts w:ascii="Times New Roman" w:hAnsi="Times New Roman" w:cs="Times New Roman"/>
                <w:sz w:val="20"/>
                <w:szCs w:val="20"/>
              </w:rPr>
              <w:t>Návrhom zákona sa zavádza osobitný základ dane, do ktorého sa zahrnie príjem (výnos) z poplatkov za vykonanie platobnej operácie prostredníctvom platobnej karty v prospech hráčskeho účtu. Ide o poplatky, ktoré banka alebo pobočka zahraničnej banky účtuje svojim klientom.</w:t>
            </w:r>
          </w:p>
          <w:p w14:paraId="1B40E4A5" w14:textId="77777777" w:rsidR="00AD62CD" w:rsidRPr="00E25CF8" w:rsidRDefault="00AD62CD" w:rsidP="003627DF">
            <w:pPr>
              <w:jc w:val="both"/>
              <w:rPr>
                <w:rFonts w:ascii="Times New Roman" w:hAnsi="Times New Roman" w:cs="Times New Roman"/>
                <w:sz w:val="20"/>
                <w:szCs w:val="20"/>
              </w:rPr>
            </w:pPr>
          </w:p>
          <w:p w14:paraId="23904025" w14:textId="77777777" w:rsidR="00AD62CD" w:rsidRPr="00E25CF8" w:rsidRDefault="00AD62CD" w:rsidP="00AD62CD">
            <w:pPr>
              <w:pStyle w:val="Odsekzoznamu"/>
              <w:numPr>
                <w:ilvl w:val="0"/>
                <w:numId w:val="5"/>
              </w:numPr>
              <w:jc w:val="both"/>
              <w:rPr>
                <w:rFonts w:ascii="Times New Roman" w:hAnsi="Times New Roman" w:cs="Times New Roman"/>
                <w:sz w:val="20"/>
                <w:szCs w:val="20"/>
                <w:u w:val="single"/>
              </w:rPr>
            </w:pPr>
            <w:r w:rsidRPr="00E25CF8">
              <w:rPr>
                <w:rFonts w:ascii="Times New Roman" w:hAnsi="Times New Roman" w:cs="Times New Roman"/>
                <w:sz w:val="20"/>
                <w:szCs w:val="20"/>
                <w:u w:val="single"/>
              </w:rPr>
              <w:t>Úprava odpočtu na investície</w:t>
            </w:r>
          </w:p>
          <w:p w14:paraId="6FF999BD" w14:textId="77777777" w:rsidR="00AD62CD" w:rsidRPr="00E25CF8" w:rsidRDefault="00AD62CD" w:rsidP="003627DF">
            <w:pPr>
              <w:jc w:val="both"/>
              <w:rPr>
                <w:rFonts w:ascii="Times New Roman" w:hAnsi="Times New Roman" w:cs="Times New Roman"/>
                <w:sz w:val="20"/>
                <w:szCs w:val="20"/>
              </w:rPr>
            </w:pPr>
            <w:r w:rsidRPr="00E25CF8">
              <w:rPr>
                <w:rFonts w:ascii="Times New Roman" w:hAnsi="Times New Roman" w:cs="Times New Roman"/>
                <w:sz w:val="20"/>
                <w:szCs w:val="20"/>
              </w:rPr>
              <w:t>S cieľom podpory uplatnenia odpočtu výdavkov (nákladov) na investície sa predlžuje investičné obdobie zo súčasných 6 rokov (2022 až 2027) na 9 rokov (2022 – 2030). Predlženie investičného obdobia sa bude vzťahovať tak na už existujúce investičné plány, ako aj nové investičné plány.</w:t>
            </w:r>
          </w:p>
          <w:p w14:paraId="558BE0BE" w14:textId="77777777" w:rsidR="00AD62CD" w:rsidRPr="00E25CF8" w:rsidRDefault="00AD62CD" w:rsidP="003627DF">
            <w:pPr>
              <w:jc w:val="both"/>
              <w:rPr>
                <w:rFonts w:ascii="Times New Roman" w:hAnsi="Times New Roman" w:cs="Times New Roman"/>
                <w:sz w:val="20"/>
                <w:szCs w:val="20"/>
              </w:rPr>
            </w:pPr>
          </w:p>
          <w:p w14:paraId="7239C73D" w14:textId="77777777" w:rsidR="00AD62CD" w:rsidRPr="00E25CF8" w:rsidRDefault="00AD62CD" w:rsidP="00AD62CD">
            <w:pPr>
              <w:pStyle w:val="Odsekzoznamu"/>
              <w:numPr>
                <w:ilvl w:val="0"/>
                <w:numId w:val="5"/>
              </w:numPr>
              <w:jc w:val="both"/>
              <w:rPr>
                <w:rFonts w:ascii="Times New Roman" w:hAnsi="Times New Roman" w:cs="Times New Roman"/>
                <w:sz w:val="20"/>
                <w:szCs w:val="20"/>
                <w:u w:val="single"/>
              </w:rPr>
            </w:pPr>
            <w:r w:rsidRPr="00E25CF8">
              <w:rPr>
                <w:rFonts w:ascii="Times New Roman" w:hAnsi="Times New Roman" w:cs="Times New Roman"/>
                <w:sz w:val="20"/>
                <w:szCs w:val="20"/>
                <w:u w:val="single"/>
              </w:rPr>
              <w:t xml:space="preserve">Neuznanie odpočtu DPH pri </w:t>
            </w:r>
            <w:r>
              <w:rPr>
                <w:rFonts w:ascii="Times New Roman" w:hAnsi="Times New Roman" w:cs="Times New Roman"/>
                <w:sz w:val="20"/>
                <w:szCs w:val="20"/>
                <w:u w:val="single"/>
              </w:rPr>
              <w:t>osobných motorových vozidlách</w:t>
            </w:r>
          </w:p>
          <w:p w14:paraId="2D9D76C8" w14:textId="77777777" w:rsidR="00AD62CD" w:rsidRPr="00E25CF8" w:rsidRDefault="00AD62CD" w:rsidP="003627DF">
            <w:pPr>
              <w:jc w:val="both"/>
              <w:rPr>
                <w:rFonts w:ascii="Times New Roman" w:hAnsi="Times New Roman" w:cs="Times New Roman"/>
                <w:sz w:val="20"/>
                <w:szCs w:val="20"/>
              </w:rPr>
            </w:pPr>
            <w:r w:rsidRPr="00E25CF8">
              <w:rPr>
                <w:rFonts w:ascii="Times New Roman" w:hAnsi="Times New Roman" w:cs="Times New Roman"/>
                <w:sz w:val="20"/>
                <w:szCs w:val="20"/>
              </w:rPr>
              <w:t xml:space="preserve">V období, ktoré ustanovuje § 85n zákona č. 222/2004 Z. z. o dani z pridanej hodnoty, sa daň z pridanej hodnoty, na ktorú nemá daňovník nárok na odpočet vo vymedzených prípadoch, sa nepovažuje za daňový výdavok. </w:t>
            </w:r>
          </w:p>
          <w:p w14:paraId="0CE2A7CF" w14:textId="77777777" w:rsidR="00AD62CD" w:rsidRPr="00E25CF8" w:rsidRDefault="00AD62CD" w:rsidP="003627DF">
            <w:pPr>
              <w:jc w:val="both"/>
              <w:rPr>
                <w:rFonts w:ascii="Times New Roman" w:eastAsia="Times New Roman" w:hAnsi="Times New Roman" w:cs="Times New Roman"/>
                <w:b/>
                <w:sz w:val="20"/>
                <w:szCs w:val="20"/>
                <w:lang w:eastAsia="sk-SK"/>
              </w:rPr>
            </w:pPr>
          </w:p>
          <w:p w14:paraId="6E4C58CF" w14:textId="77777777" w:rsidR="00AD62CD" w:rsidRPr="00E25CF8" w:rsidRDefault="00AD62CD" w:rsidP="003627DF">
            <w:pPr>
              <w:jc w:val="both"/>
              <w:rPr>
                <w:rFonts w:ascii="Times New Roman" w:eastAsia="Times New Roman" w:hAnsi="Times New Roman" w:cs="Times New Roman"/>
                <w:b/>
                <w:sz w:val="20"/>
                <w:szCs w:val="20"/>
                <w:highlight w:val="yellow"/>
                <w:lang w:eastAsia="sk-SK"/>
              </w:rPr>
            </w:pPr>
          </w:p>
          <w:p w14:paraId="01F7E847"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dani z pridanej hodnoty</w:t>
            </w:r>
          </w:p>
          <w:p w14:paraId="1E968EA3" w14:textId="77777777" w:rsidR="00AD62CD" w:rsidRPr="00E25CF8" w:rsidRDefault="00AD62CD" w:rsidP="003627DF">
            <w:pPr>
              <w:jc w:val="both"/>
              <w:rPr>
                <w:rFonts w:ascii="Times New Roman" w:hAnsi="Times New Roman" w:cs="Times New Roman"/>
                <w:bCs/>
                <w:sz w:val="20"/>
                <w:szCs w:val="20"/>
                <w:lang w:eastAsia="sk-SK"/>
              </w:rPr>
            </w:pPr>
            <w:r w:rsidRPr="00E25CF8">
              <w:rPr>
                <w:rFonts w:ascii="Times New Roman" w:hAnsi="Times New Roman" w:cs="Times New Roman"/>
                <w:bCs/>
                <w:sz w:val="20"/>
                <w:szCs w:val="20"/>
                <w:lang w:eastAsia="sk-SK"/>
              </w:rPr>
              <w:t xml:space="preserve">Vysoký podiel používania </w:t>
            </w:r>
            <w:r>
              <w:rPr>
                <w:rFonts w:ascii="Times New Roman" w:hAnsi="Times New Roman" w:cs="Times New Roman"/>
                <w:bCs/>
                <w:sz w:val="20"/>
                <w:szCs w:val="20"/>
                <w:lang w:eastAsia="sk-SK"/>
              </w:rPr>
              <w:t>osobných motorových vozidiel</w:t>
            </w:r>
            <w:r w:rsidRPr="00E25CF8">
              <w:rPr>
                <w:rFonts w:ascii="Times New Roman" w:hAnsi="Times New Roman" w:cs="Times New Roman"/>
                <w:bCs/>
                <w:sz w:val="20"/>
                <w:szCs w:val="20"/>
                <w:lang w:eastAsia="sk-SK"/>
              </w:rPr>
              <w:t>, pri obstaraní</w:t>
            </w:r>
            <w:r>
              <w:rPr>
                <w:rFonts w:ascii="Times New Roman" w:hAnsi="Times New Roman" w:cs="Times New Roman"/>
                <w:bCs/>
                <w:sz w:val="20"/>
                <w:szCs w:val="20"/>
                <w:lang w:eastAsia="sk-SK"/>
              </w:rPr>
              <w:t>, resp. pri užívaní</w:t>
            </w:r>
            <w:r w:rsidRPr="00E25CF8">
              <w:rPr>
                <w:rFonts w:ascii="Times New Roman" w:hAnsi="Times New Roman" w:cs="Times New Roman"/>
                <w:bCs/>
                <w:sz w:val="20"/>
                <w:szCs w:val="20"/>
                <w:lang w:eastAsia="sk-SK"/>
              </w:rPr>
              <w:t xml:space="preserve"> ktorých bola odpočítaná DPH v plnej výške, na </w:t>
            </w:r>
            <w:r>
              <w:rPr>
                <w:rFonts w:ascii="Times New Roman" w:hAnsi="Times New Roman" w:cs="Times New Roman"/>
                <w:bCs/>
                <w:sz w:val="20"/>
                <w:szCs w:val="20"/>
                <w:lang w:eastAsia="sk-SK"/>
              </w:rPr>
              <w:t>iný účel ako podnikanie</w:t>
            </w:r>
            <w:r w:rsidRPr="00E25CF8">
              <w:rPr>
                <w:rFonts w:ascii="Times New Roman" w:hAnsi="Times New Roman" w:cs="Times New Roman"/>
                <w:bCs/>
                <w:sz w:val="20"/>
                <w:szCs w:val="20"/>
                <w:lang w:eastAsia="sk-SK"/>
              </w:rPr>
              <w:t>.</w:t>
            </w:r>
          </w:p>
          <w:p w14:paraId="10EAC874"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hAnsi="Times New Roman" w:cs="Times New Roman"/>
                <w:sz w:val="20"/>
                <w:szCs w:val="20"/>
              </w:rPr>
              <w:t>Úprava sadzby DPH na vybrané konečné výrobky určené na ľudskú konzumáciu, ktoré sa vyznačujú vyšším obsahom soli alebo cukru.</w:t>
            </w:r>
          </w:p>
          <w:p w14:paraId="1A18CE54" w14:textId="77777777" w:rsidR="00AD62CD" w:rsidRPr="00E25CF8" w:rsidRDefault="00AD62CD" w:rsidP="003627DF">
            <w:pPr>
              <w:jc w:val="both"/>
              <w:rPr>
                <w:rFonts w:ascii="Times New Roman" w:eastAsia="Times New Roman" w:hAnsi="Times New Roman" w:cs="Times New Roman"/>
                <w:b/>
                <w:sz w:val="20"/>
                <w:szCs w:val="20"/>
                <w:lang w:eastAsia="sk-SK"/>
              </w:rPr>
            </w:pPr>
          </w:p>
          <w:p w14:paraId="44B02B3B"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rozpočtovom určení výnosu dane z príjmov územnej samospráve</w:t>
            </w:r>
          </w:p>
          <w:p w14:paraId="3577518C" w14:textId="77777777" w:rsidR="00AD62CD" w:rsidRPr="00E25CF8" w:rsidRDefault="00AD62CD" w:rsidP="003627DF">
            <w:pPr>
              <w:jc w:val="both"/>
              <w:rPr>
                <w:rFonts w:ascii="Times New Roman" w:eastAsia="Times New Roman" w:hAnsi="Times New Roman" w:cs="Times New Roman"/>
                <w:bCs/>
                <w:sz w:val="20"/>
                <w:szCs w:val="20"/>
                <w:lang w:eastAsia="sk-SK"/>
              </w:rPr>
            </w:pPr>
            <w:r w:rsidRPr="00E25CF8">
              <w:rPr>
                <w:rFonts w:ascii="Times New Roman" w:eastAsia="Times New Roman" w:hAnsi="Times New Roman" w:cs="Times New Roman"/>
                <w:bCs/>
                <w:sz w:val="20"/>
                <w:szCs w:val="20"/>
                <w:lang w:eastAsia="sk-SK"/>
              </w:rPr>
              <w:t xml:space="preserve">V návrhu sa premieta vplyv konsolidačných opatrení pre rok 2026 vo vzťahu k DPFO na obce a vyššie územné celky. </w:t>
            </w:r>
          </w:p>
          <w:p w14:paraId="3D803CE7" w14:textId="77777777" w:rsidR="00AD62CD" w:rsidRPr="00E25CF8" w:rsidRDefault="00AD62CD" w:rsidP="003627DF">
            <w:pPr>
              <w:jc w:val="both"/>
              <w:rPr>
                <w:rFonts w:ascii="Times New Roman" w:eastAsia="Times New Roman" w:hAnsi="Times New Roman" w:cs="Times New Roman"/>
                <w:b/>
                <w:sz w:val="20"/>
                <w:szCs w:val="20"/>
                <w:lang w:eastAsia="sk-SK"/>
              </w:rPr>
            </w:pPr>
          </w:p>
          <w:p w14:paraId="7BAD49F9"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zdravotnom poistení</w:t>
            </w:r>
          </w:p>
          <w:p w14:paraId="41FBD06A" w14:textId="77777777" w:rsidR="00AD62CD" w:rsidRPr="00E25CF8" w:rsidRDefault="00AD62CD" w:rsidP="003627DF">
            <w:pPr>
              <w:jc w:val="both"/>
              <w:rPr>
                <w:rFonts w:ascii="Times New Roman" w:eastAsia="Times New Roman" w:hAnsi="Times New Roman" w:cs="Times New Roman"/>
                <w:bCs/>
                <w:sz w:val="20"/>
                <w:szCs w:val="20"/>
                <w:lang w:eastAsia="sk-SK"/>
              </w:rPr>
            </w:pPr>
            <w:r w:rsidRPr="003C42D1">
              <w:rPr>
                <w:rFonts w:ascii="Times New Roman" w:eastAsia="Calibri" w:hAnsi="Times New Roman" w:cs="Times New Roman"/>
                <w:sz w:val="20"/>
                <w:szCs w:val="20"/>
              </w:rPr>
              <w:t>Úprava sadzieb zamestnanca, samostatne zárobkovo činnej osoby a tzv. samoplatiteľa pre odvod poistného na verejné zdravotné poistenie ako čiastkové opatrenie v rámci konsolidácie verejných financií SR.</w:t>
            </w:r>
          </w:p>
          <w:p w14:paraId="74774F31" w14:textId="77777777" w:rsidR="00AD62CD" w:rsidRPr="00E25CF8" w:rsidRDefault="00AD62CD" w:rsidP="003627DF">
            <w:pPr>
              <w:jc w:val="both"/>
              <w:rPr>
                <w:rFonts w:ascii="Times New Roman" w:eastAsia="Times New Roman" w:hAnsi="Times New Roman" w:cs="Times New Roman"/>
                <w:bCs/>
                <w:sz w:val="20"/>
                <w:szCs w:val="20"/>
                <w:lang w:eastAsia="sk-SK"/>
              </w:rPr>
            </w:pPr>
          </w:p>
          <w:p w14:paraId="2025FF17"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inšpekcii práce</w:t>
            </w:r>
          </w:p>
          <w:p w14:paraId="6CB7EB98" w14:textId="77777777" w:rsidR="00AD62CD" w:rsidRPr="003C42D1" w:rsidRDefault="00AD62CD" w:rsidP="003627DF">
            <w:pPr>
              <w:jc w:val="both"/>
              <w:rPr>
                <w:rFonts w:ascii="Times New Roman" w:hAnsi="Times New Roman" w:cs="Times New Roman"/>
                <w:sz w:val="20"/>
                <w:szCs w:val="20"/>
              </w:rPr>
            </w:pPr>
            <w:r w:rsidRPr="003C42D1">
              <w:rPr>
                <w:rFonts w:ascii="Times New Roman" w:hAnsi="Times New Roman" w:cs="Times New Roman"/>
                <w:sz w:val="20"/>
                <w:szCs w:val="20"/>
              </w:rPr>
              <w:t>Návrhom zákona sa zvyšuje dolná hranica výšky pokuty za porušenie zákazu nelegálneho zamestnávania. Úprava má reagovať aj na boj proti fiktívnym živnostiam. Zároveň sa zavádza mechanizmus motivujúci včasnú a riadnu úhradu pokuty (úhrada 2/3 z uloženej pokuty).</w:t>
            </w:r>
          </w:p>
          <w:p w14:paraId="66D6290B" w14:textId="77777777" w:rsidR="00AD62CD" w:rsidRPr="00E25CF8" w:rsidRDefault="00AD62CD" w:rsidP="003627DF">
            <w:pPr>
              <w:jc w:val="both"/>
              <w:rPr>
                <w:rFonts w:ascii="Times New Roman" w:eastAsia="Times New Roman" w:hAnsi="Times New Roman" w:cs="Times New Roman"/>
                <w:b/>
                <w:sz w:val="20"/>
                <w:szCs w:val="20"/>
                <w:lang w:eastAsia="sk-SK"/>
              </w:rPr>
            </w:pPr>
          </w:p>
          <w:p w14:paraId="40F16A88"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osobitnom odvode v regulovaných odvetviach</w:t>
            </w:r>
          </w:p>
          <w:p w14:paraId="0890AD97" w14:textId="77777777" w:rsidR="00AD62CD" w:rsidRPr="00E25CF8" w:rsidRDefault="00AD62CD" w:rsidP="003627DF">
            <w:pPr>
              <w:jc w:val="both"/>
              <w:rPr>
                <w:rFonts w:ascii="Times New Roman" w:eastAsia="Times New Roman" w:hAnsi="Times New Roman" w:cs="Times New Roman"/>
                <w:sz w:val="20"/>
                <w:szCs w:val="20"/>
                <w:lang w:eastAsia="sk-SK"/>
              </w:rPr>
            </w:pPr>
            <w:r w:rsidRPr="00E25CF8">
              <w:rPr>
                <w:rFonts w:ascii="Times New Roman" w:eastAsia="Times New Roman" w:hAnsi="Times New Roman" w:cs="Times New Roman"/>
                <w:sz w:val="20"/>
                <w:szCs w:val="20"/>
                <w:lang w:eastAsia="sk-SK"/>
              </w:rPr>
              <w:t xml:space="preserve">Návrhom zákona sa navrhuje osobitná sadzba pre tie regulované odvetvia, u ktorých je možné naďalej predpokladať vysokú mieru ziskovosti. </w:t>
            </w:r>
          </w:p>
          <w:p w14:paraId="31602697" w14:textId="77777777" w:rsidR="00AD62CD" w:rsidRPr="00E25CF8" w:rsidRDefault="00AD62CD" w:rsidP="003627DF">
            <w:pPr>
              <w:jc w:val="both"/>
              <w:rPr>
                <w:rFonts w:ascii="Times New Roman" w:eastAsia="Times New Roman" w:hAnsi="Times New Roman" w:cs="Times New Roman"/>
                <w:b/>
                <w:bCs/>
                <w:sz w:val="20"/>
                <w:szCs w:val="20"/>
                <w:lang w:eastAsia="sk-SK"/>
              </w:rPr>
            </w:pPr>
          </w:p>
          <w:p w14:paraId="50B53330" w14:textId="77777777" w:rsidR="00AD62CD" w:rsidRPr="00E25CF8" w:rsidRDefault="00AD62CD" w:rsidP="003627DF">
            <w:pPr>
              <w:jc w:val="both"/>
              <w:rPr>
                <w:rFonts w:ascii="Times New Roman" w:eastAsia="Times New Roman" w:hAnsi="Times New Roman" w:cs="Times New Roman"/>
                <w:b/>
                <w:bCs/>
                <w:sz w:val="20"/>
                <w:szCs w:val="20"/>
                <w:lang w:eastAsia="sk-SK"/>
              </w:rPr>
            </w:pPr>
            <w:r w:rsidRPr="00E25CF8">
              <w:rPr>
                <w:rFonts w:ascii="Times New Roman" w:eastAsia="Times New Roman" w:hAnsi="Times New Roman" w:cs="Times New Roman"/>
                <w:b/>
                <w:bCs/>
                <w:sz w:val="20"/>
                <w:szCs w:val="20"/>
                <w:lang w:eastAsia="sk-SK"/>
              </w:rPr>
              <w:t>Zákon o poisťovníctve</w:t>
            </w:r>
          </w:p>
          <w:p w14:paraId="5279AB74" w14:textId="77777777" w:rsidR="00AD62CD" w:rsidRPr="00E25CF8" w:rsidRDefault="00AD62CD" w:rsidP="003627DF">
            <w:pPr>
              <w:jc w:val="both"/>
              <w:rPr>
                <w:rFonts w:ascii="Times New Roman" w:eastAsia="Times New Roman" w:hAnsi="Times New Roman" w:cs="Times New Roman"/>
                <w:sz w:val="20"/>
                <w:szCs w:val="20"/>
                <w:lang w:eastAsia="sk-SK"/>
              </w:rPr>
            </w:pPr>
            <w:r w:rsidRPr="00E25CF8">
              <w:rPr>
                <w:rFonts w:ascii="Times New Roman" w:eastAsia="Times New Roman" w:hAnsi="Times New Roman" w:cs="Times New Roman"/>
                <w:sz w:val="20"/>
                <w:szCs w:val="20"/>
                <w:lang w:eastAsia="sk-SK"/>
              </w:rPr>
              <w:t>Návrh zákona prispieva ku konsolidácii verejných financií zvýšením odvodu časti poistného z povinného zmluvného poistenia zodpovednosti za škodu spôsobenú prevádzkou motorového vozidla. Takto odvedené finančné prostriedky budú príjmom osobitného účtu Ministerstva vnútra Slovenskej republiky a budú rozdelené hasičským jednotkám a jednotlivým zložkám ministerstva vnútra na zabezpečenie ich materiálno-technického vybavenia, jeho údržbu a prevádzkovanie.</w:t>
            </w:r>
          </w:p>
          <w:p w14:paraId="20B35403" w14:textId="77777777" w:rsidR="00AD62CD" w:rsidRPr="00E25CF8" w:rsidRDefault="00AD62CD" w:rsidP="003627DF">
            <w:pPr>
              <w:jc w:val="both"/>
              <w:rPr>
                <w:rFonts w:ascii="Times New Roman" w:eastAsia="Times New Roman" w:hAnsi="Times New Roman" w:cs="Times New Roman"/>
                <w:sz w:val="20"/>
                <w:szCs w:val="20"/>
                <w:lang w:eastAsia="sk-SK"/>
              </w:rPr>
            </w:pPr>
          </w:p>
          <w:p w14:paraId="1AAACCE3" w14:textId="77777777" w:rsidR="00AD62CD" w:rsidRPr="00E25CF8" w:rsidRDefault="00AD62CD" w:rsidP="003627DF">
            <w:pPr>
              <w:jc w:val="both"/>
              <w:rPr>
                <w:rFonts w:ascii="Times New Roman" w:hAnsi="Times New Roman" w:cs="Times New Roman"/>
                <w:b/>
                <w:bCs/>
                <w:sz w:val="20"/>
                <w:szCs w:val="20"/>
              </w:rPr>
            </w:pPr>
            <w:r w:rsidRPr="00E25CF8">
              <w:rPr>
                <w:rFonts w:ascii="Times New Roman" w:hAnsi="Times New Roman" w:cs="Times New Roman"/>
                <w:b/>
                <w:bCs/>
                <w:sz w:val="20"/>
                <w:szCs w:val="20"/>
              </w:rPr>
              <w:t>Zákon o dani z poistenia</w:t>
            </w:r>
          </w:p>
          <w:p w14:paraId="2582D31E" w14:textId="77777777" w:rsidR="00AD62CD" w:rsidRPr="00E25CF8" w:rsidRDefault="00AD62CD" w:rsidP="003627DF">
            <w:pPr>
              <w:jc w:val="both"/>
              <w:rPr>
                <w:rFonts w:ascii="Times New Roman" w:eastAsia="Times New Roman" w:hAnsi="Times New Roman" w:cs="Times New Roman"/>
                <w:b/>
                <w:bCs/>
                <w:iCs/>
                <w:sz w:val="20"/>
                <w:szCs w:val="20"/>
                <w:lang w:eastAsia="sk-SK"/>
              </w:rPr>
            </w:pPr>
            <w:r w:rsidRPr="00E25CF8">
              <w:rPr>
                <w:rFonts w:ascii="Times New Roman" w:eastAsia="Times New Roman" w:hAnsi="Times New Roman" w:cs="Times New Roman"/>
                <w:sz w:val="20"/>
                <w:szCs w:val="20"/>
                <w:lang w:eastAsia="sk-SK"/>
              </w:rPr>
              <w:t>Návrh zákona prispieva ku konsolidácii verejných financií zvýšením sadzby dane z poistenia z aktuálnych 8 % na 10 % zo základu dane.</w:t>
            </w:r>
          </w:p>
          <w:p w14:paraId="26E9F7A6" w14:textId="77777777" w:rsidR="00AD62CD" w:rsidRPr="00E25CF8" w:rsidRDefault="00AD62CD" w:rsidP="003627DF">
            <w:pPr>
              <w:jc w:val="both"/>
              <w:rPr>
                <w:rFonts w:ascii="Times New Roman" w:hAnsi="Times New Roman" w:cs="Times New Roman"/>
                <w:b/>
                <w:bCs/>
                <w:sz w:val="20"/>
                <w:szCs w:val="20"/>
              </w:rPr>
            </w:pPr>
          </w:p>
          <w:p w14:paraId="78CE554C" w14:textId="77777777" w:rsidR="00AD62CD" w:rsidRPr="00E25CF8" w:rsidRDefault="00AD62CD" w:rsidP="003627DF">
            <w:pPr>
              <w:jc w:val="both"/>
              <w:rPr>
                <w:rFonts w:ascii="Times New Roman" w:hAnsi="Times New Roman" w:cs="Times New Roman"/>
                <w:b/>
                <w:bCs/>
                <w:sz w:val="20"/>
                <w:szCs w:val="20"/>
              </w:rPr>
            </w:pPr>
            <w:r w:rsidRPr="003C42D1">
              <w:rPr>
                <w:rFonts w:ascii="Times New Roman" w:hAnsi="Times New Roman" w:cs="Times New Roman"/>
                <w:b/>
                <w:bCs/>
                <w:sz w:val="20"/>
                <w:szCs w:val="20"/>
              </w:rPr>
              <w:t>Zákon o hazardných hrách</w:t>
            </w:r>
          </w:p>
          <w:p w14:paraId="1EAB3514" w14:textId="77777777" w:rsidR="00AD62CD" w:rsidRPr="00612E08" w:rsidRDefault="00AD62CD" w:rsidP="003627DF">
            <w:pPr>
              <w:jc w:val="both"/>
              <w:rPr>
                <w:rFonts w:ascii="Times New Roman" w:eastAsia="Times New Roman" w:hAnsi="Times New Roman" w:cs="Times New Roman"/>
                <w:b/>
                <w:sz w:val="20"/>
                <w:szCs w:val="20"/>
                <w:lang w:eastAsia="sk-SK"/>
              </w:rPr>
            </w:pPr>
            <w:r w:rsidRPr="003C42D1">
              <w:rPr>
                <w:rFonts w:ascii="Times New Roman" w:hAnsi="Times New Roman" w:cs="Times New Roman"/>
                <w:sz w:val="20"/>
                <w:szCs w:val="20"/>
              </w:rPr>
              <w:t>Z dôvodu potreby zvýšenia príjmov štátneho rozpočtu je zrejmý priestor na zvýšenie sadzby odvodov za prevádzkovanie on-line hazardných hier, keďže tento segment v posledných rokoch výrazne vrástol, pričom v záujme určitého zrovnoprávnenia zdaňovania hazardných hier sa vytvára priestor aj na zvýšenie odvodov za prevádzkovanie hazardných hier v kamenných prevádzkach, to znamená v herniach a v kasínach.</w:t>
            </w:r>
          </w:p>
        </w:tc>
      </w:tr>
      <w:tr w:rsidR="00AD62CD" w:rsidRPr="00612E08" w14:paraId="6E64B2F8" w14:textId="77777777" w:rsidTr="003627DF">
        <w:tc>
          <w:tcPr>
            <w:tcW w:w="9180" w:type="dxa"/>
            <w:gridSpan w:val="11"/>
            <w:tcBorders>
              <w:top w:val="single" w:sz="4" w:space="0" w:color="auto"/>
              <w:left w:val="single" w:sz="4" w:space="0" w:color="auto"/>
              <w:bottom w:val="nil"/>
              <w:right w:val="single" w:sz="4" w:space="0" w:color="auto"/>
            </w:tcBorders>
            <w:shd w:val="clear" w:color="auto" w:fill="E2E2E2"/>
          </w:tcPr>
          <w:p w14:paraId="4D8B2704" w14:textId="77777777" w:rsidR="00AD62CD" w:rsidRPr="00612E08" w:rsidRDefault="00AD62CD" w:rsidP="00AD62CD">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AD62CD" w:rsidRPr="00612E08" w14:paraId="242687C0" w14:textId="77777777" w:rsidTr="003627DF">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832D13A" w14:textId="77777777" w:rsidR="00AD62CD" w:rsidRPr="00E25CF8" w:rsidRDefault="00AD62CD" w:rsidP="003627DF">
            <w:pPr>
              <w:rPr>
                <w:rFonts w:ascii="Times New Roman" w:eastAsia="Times New Roman" w:hAnsi="Times New Roman" w:cs="Times New Roman"/>
                <w:i/>
                <w:sz w:val="20"/>
                <w:szCs w:val="20"/>
                <w:lang w:eastAsia="sk-SK"/>
              </w:rPr>
            </w:pPr>
            <w:r w:rsidRPr="00E25CF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40915EBC" w14:textId="77777777" w:rsidR="00AD62CD" w:rsidRPr="00E25CF8" w:rsidRDefault="00AD62CD" w:rsidP="003627DF">
            <w:pPr>
              <w:rPr>
                <w:rFonts w:ascii="Times New Roman" w:eastAsia="Times New Roman" w:hAnsi="Times New Roman" w:cs="Times New Roman"/>
                <w:i/>
                <w:sz w:val="20"/>
                <w:szCs w:val="20"/>
                <w:lang w:eastAsia="sk-SK"/>
              </w:rPr>
            </w:pPr>
          </w:p>
          <w:p w14:paraId="23EC22C6"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Zákonník práce</w:t>
            </w:r>
          </w:p>
          <w:p w14:paraId="34FEBC8E" w14:textId="77777777" w:rsidR="00AD62CD" w:rsidRPr="003C42D1" w:rsidRDefault="00AD62CD" w:rsidP="003627DF">
            <w:pPr>
              <w:jc w:val="both"/>
              <w:rPr>
                <w:rFonts w:ascii="Times New Roman" w:eastAsia="Times New Roman" w:hAnsi="Times New Roman" w:cs="Times New Roman"/>
                <w:sz w:val="20"/>
                <w:szCs w:val="20"/>
                <w:lang w:eastAsia="sk-SK"/>
              </w:rPr>
            </w:pPr>
            <w:r w:rsidRPr="003C42D1">
              <w:rPr>
                <w:rFonts w:ascii="Times New Roman" w:eastAsia="Times New Roman" w:hAnsi="Times New Roman" w:cs="Times New Roman"/>
                <w:sz w:val="20"/>
                <w:szCs w:val="20"/>
                <w:lang w:eastAsia="sk-SK"/>
              </w:rPr>
              <w:t>Sankcia za porušenie zákazu nelegálneho zamestnávania je dlhodobo rovnaká a aj z dôvodu inflácie stratila svoj odradzujúci charakter. Návrh zásadne nezvyšuje dolnú hranicu sadzby v prípade riadneho a včasného uhradenia pokuty. Na druhej strane sa ustanovuje dolná hranica pre subjekty, ktoré zneužívajú nelegálnu prácu viacerých osôb. Navyše z dôvodu rozšírenia tzv. fiktívnych živností návrh reflektuje aj zvýšenú potrebu sankcie obchádzania zákona. Implementácia bude zabezpečená inšpekciou práce – orgánom, ktorý už v súčasnosti disponuje kompetenciou ukladať pokuty.</w:t>
            </w:r>
          </w:p>
          <w:p w14:paraId="2B945706" w14:textId="77777777" w:rsidR="00AD62CD" w:rsidRPr="00E25CF8" w:rsidRDefault="00AD62CD" w:rsidP="003627DF">
            <w:pPr>
              <w:jc w:val="both"/>
              <w:rPr>
                <w:rFonts w:ascii="Times New Roman" w:eastAsia="Times New Roman" w:hAnsi="Times New Roman" w:cs="Times New Roman"/>
                <w:b/>
                <w:sz w:val="20"/>
                <w:szCs w:val="20"/>
                <w:lang w:eastAsia="sk-SK"/>
              </w:rPr>
            </w:pPr>
          </w:p>
          <w:p w14:paraId="74DB46EF"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Banský zákon</w:t>
            </w:r>
          </w:p>
          <w:p w14:paraId="1B3D4326" w14:textId="77777777" w:rsidR="00AD62CD" w:rsidRPr="00E25CF8" w:rsidRDefault="00AD62CD" w:rsidP="003627DF">
            <w:pPr>
              <w:jc w:val="both"/>
              <w:rPr>
                <w:rFonts w:ascii="Times New Roman" w:eastAsia="Times New Roman" w:hAnsi="Times New Roman" w:cs="Times New Roman"/>
                <w:bCs/>
                <w:sz w:val="20"/>
                <w:szCs w:val="20"/>
                <w:lang w:eastAsia="sk-SK"/>
              </w:rPr>
            </w:pPr>
            <w:r w:rsidRPr="00E25CF8">
              <w:rPr>
                <w:rFonts w:ascii="Times New Roman" w:eastAsia="Times New Roman" w:hAnsi="Times New Roman" w:cs="Times New Roman"/>
                <w:bCs/>
                <w:sz w:val="20"/>
                <w:szCs w:val="20"/>
                <w:lang w:eastAsia="sk-SK"/>
              </w:rPr>
              <w:t>Cieľom návrhu je upraviť legislatívny rámec úhrad za využívanie nerastného bohatstva, zaviesť novú kategóriu surovín a aktualizovať sadzby, čím sa dosiahne vyšší príjem štátneho rozpočtu a takisto aj efektívnejšie financovanie opatrení na odstraňovanie následkov banskej činnosti.</w:t>
            </w:r>
          </w:p>
          <w:p w14:paraId="1845DA41" w14:textId="77777777" w:rsidR="00AD62CD" w:rsidRPr="00E25CF8" w:rsidRDefault="00AD62CD" w:rsidP="003627DF">
            <w:pPr>
              <w:jc w:val="both"/>
              <w:rPr>
                <w:rFonts w:ascii="Times New Roman" w:eastAsia="Times New Roman" w:hAnsi="Times New Roman" w:cs="Times New Roman"/>
                <w:b/>
                <w:sz w:val="20"/>
                <w:szCs w:val="20"/>
                <w:lang w:eastAsia="sk-SK"/>
              </w:rPr>
            </w:pPr>
          </w:p>
          <w:p w14:paraId="4AD2B419"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štátnych sviatkoch, dňoch pracovného pokoja a pamätných dňoch</w:t>
            </w:r>
          </w:p>
          <w:p w14:paraId="1053FDAC" w14:textId="77777777" w:rsidR="00AD62CD" w:rsidRPr="00E25CF8" w:rsidRDefault="00AD62CD" w:rsidP="003627DF">
            <w:pPr>
              <w:jc w:val="both"/>
              <w:rPr>
                <w:rFonts w:ascii="Times New Roman" w:hAnsi="Times New Roman" w:cs="Times New Roman"/>
                <w:sz w:val="20"/>
                <w:szCs w:val="20"/>
              </w:rPr>
            </w:pPr>
            <w:r w:rsidRPr="00E25CF8">
              <w:rPr>
                <w:rFonts w:ascii="Times New Roman" w:hAnsi="Times New Roman" w:cs="Times New Roman"/>
                <w:sz w:val="20"/>
                <w:szCs w:val="20"/>
              </w:rPr>
              <w:t>Cieľom navrhovaného opatrenia je zvýšenie príjmov štátneho rozpočtu.</w:t>
            </w:r>
          </w:p>
          <w:p w14:paraId="01377A1E" w14:textId="77777777" w:rsidR="00AD62CD" w:rsidRPr="00E25CF8" w:rsidRDefault="00AD62CD" w:rsidP="003627DF">
            <w:pPr>
              <w:jc w:val="both"/>
              <w:rPr>
                <w:rFonts w:ascii="Times New Roman" w:eastAsia="Times New Roman" w:hAnsi="Times New Roman" w:cs="Times New Roman"/>
                <w:b/>
                <w:sz w:val="20"/>
                <w:szCs w:val="20"/>
                <w:lang w:eastAsia="sk-SK"/>
              </w:rPr>
            </w:pPr>
          </w:p>
          <w:p w14:paraId="48548114"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cestovných náhradách</w:t>
            </w:r>
          </w:p>
          <w:p w14:paraId="6CE8AE3C" w14:textId="77777777" w:rsidR="00AD62CD" w:rsidRPr="00E25CF8" w:rsidRDefault="00AD62CD" w:rsidP="003627DF">
            <w:pPr>
              <w:jc w:val="both"/>
              <w:rPr>
                <w:rFonts w:ascii="Times New Roman" w:eastAsia="Times New Roman" w:hAnsi="Times New Roman" w:cs="Times New Roman"/>
                <w:sz w:val="20"/>
                <w:szCs w:val="20"/>
                <w:lang w:eastAsia="sk-SK"/>
              </w:rPr>
            </w:pPr>
            <w:r w:rsidRPr="003C42D1">
              <w:rPr>
                <w:rFonts w:ascii="Times New Roman" w:hAnsi="Times New Roman" w:cs="Times New Roman"/>
                <w:sz w:val="20"/>
                <w:szCs w:val="20"/>
              </w:rPr>
              <w:t>Navrhuje sa novelizovať zákon o cestovných náhradách tak, aby sa všeobecne záväzným právnym predpisom, ktorý vydáva Ministerstvo financií SR pre základné sadzby stravného v eurách alebo v cudzej mene pri zahraničných pracovných cestách, mohli operatívne ustanoviť aj osobitné sadzby stravného pre niektoré skupiny zamestnancov, ak pre takéto skupiny zamestnancov vznikne v ekonomike závažná disproporcia medzi základnými sadzbami stravného a reálnymi cenami jedál a nealkoholických nápojov, pričom títo zamestnanci si musia dotovať stravné z vlastných peňažných prostriedkov. Navrhované opatrenie má chrániť tie odvetvia hospodárstva Slovenskej republiky a ich zamestnancov, u ktorých sa vzhľadom na charakter a časovú náročnosť ich práce takáto disproporcia prejavuje najviac. Opatrenie sa použije len v prípade odvetvia, pri ktorom hrozí kolaps, ktorý by mal závažné hospodárske a sociálne dôsledky. Ak sa pre niektoré skupiny zamestnancov a krajiny ustanovia osobitné sadzby stravného, bude platiť, že na tieto skupiny zamestnancov a krajiny sa základné sadzby stravného nepoužijú, a zároveň pre krajiny, pre ktoré neboli ustanovené osobitné sadzby stravného, sa aj pre tieto skupiny zamestnancov uplatnia základné sadzby stravného.</w:t>
            </w:r>
          </w:p>
          <w:p w14:paraId="35713486" w14:textId="77777777" w:rsidR="00AD62CD" w:rsidRPr="00E25CF8" w:rsidRDefault="00AD62CD" w:rsidP="003627DF">
            <w:pPr>
              <w:jc w:val="both"/>
              <w:rPr>
                <w:rFonts w:ascii="Times New Roman" w:eastAsia="Times New Roman" w:hAnsi="Times New Roman" w:cs="Times New Roman"/>
                <w:b/>
                <w:sz w:val="20"/>
                <w:szCs w:val="20"/>
                <w:lang w:eastAsia="sk-SK"/>
              </w:rPr>
            </w:pPr>
          </w:p>
          <w:p w14:paraId="52F8D4EA"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sociálnom poistení, Zákon o náhrade príjmu pri dočasnej pracovnej neschopnosti zamestnanca</w:t>
            </w:r>
          </w:p>
          <w:p w14:paraId="2F0D05DA" w14:textId="77777777" w:rsidR="00AD62CD" w:rsidRPr="00E562D0" w:rsidRDefault="00AD62CD" w:rsidP="003627DF">
            <w:pPr>
              <w:jc w:val="both"/>
              <w:rPr>
                <w:rFonts w:ascii="Times New Roman" w:eastAsia="Times New Roman" w:hAnsi="Times New Roman" w:cs="Times New Roman"/>
                <w:sz w:val="20"/>
                <w:szCs w:val="20"/>
                <w:lang w:eastAsia="sk-SK"/>
              </w:rPr>
            </w:pPr>
            <w:r w:rsidRPr="00E562D0">
              <w:rPr>
                <w:rFonts w:ascii="Times New Roman" w:eastAsia="Times New Roman" w:hAnsi="Times New Roman" w:cs="Times New Roman"/>
                <w:sz w:val="20"/>
                <w:szCs w:val="20"/>
                <w:lang w:eastAsia="sk-SK"/>
              </w:rPr>
              <w:t>Cieľom opatrení je stabilizácia a zlepšenie dlhodobej udržateľnosti systému sociálneho poistenia prostredníctvom nasledovných úprav:</w:t>
            </w:r>
          </w:p>
          <w:p w14:paraId="21A644CE" w14:textId="77777777" w:rsidR="00AD62CD" w:rsidRPr="00745878" w:rsidRDefault="00AD62CD" w:rsidP="00AD62CD">
            <w:pPr>
              <w:pStyle w:val="Odsekzoznamu"/>
              <w:numPr>
                <w:ilvl w:val="0"/>
                <w:numId w:val="11"/>
              </w:numPr>
              <w:jc w:val="both"/>
              <w:rPr>
                <w:rFonts w:ascii="Times New Roman" w:eastAsia="Times New Roman" w:hAnsi="Times New Roman" w:cs="Times New Roman"/>
                <w:sz w:val="20"/>
                <w:szCs w:val="20"/>
                <w:lang w:eastAsia="sk-SK"/>
              </w:rPr>
            </w:pPr>
            <w:r w:rsidRPr="00745878">
              <w:rPr>
                <w:rFonts w:ascii="Times New Roman" w:eastAsia="Times New Roman" w:hAnsi="Times New Roman" w:cs="Times New Roman"/>
                <w:sz w:val="20"/>
                <w:szCs w:val="20"/>
                <w:lang w:eastAsia="sk-SK"/>
              </w:rPr>
              <w:t>Úprava vzniku a zániku povinného nemocenského poistenia, dôchodkového poistenia a poistného do rezervného fondu solidarity  pre SZČO.</w:t>
            </w:r>
          </w:p>
          <w:p w14:paraId="02AA46B1" w14:textId="77777777" w:rsidR="00AD62CD" w:rsidRPr="00745878" w:rsidRDefault="00AD62CD" w:rsidP="00AD62CD">
            <w:pPr>
              <w:pStyle w:val="Odsekzoznamu"/>
              <w:numPr>
                <w:ilvl w:val="0"/>
                <w:numId w:val="12"/>
              </w:numPr>
              <w:jc w:val="both"/>
              <w:rPr>
                <w:rFonts w:ascii="Times New Roman" w:eastAsia="Times New Roman" w:hAnsi="Times New Roman" w:cs="Times New Roman"/>
                <w:sz w:val="20"/>
                <w:szCs w:val="20"/>
                <w:lang w:eastAsia="sk-SK"/>
              </w:rPr>
            </w:pPr>
            <w:r w:rsidRPr="00745878">
              <w:rPr>
                <w:rFonts w:ascii="Times New Roman" w:eastAsia="Times New Roman" w:hAnsi="Times New Roman" w:cs="Times New Roman"/>
                <w:sz w:val="20"/>
                <w:szCs w:val="20"/>
                <w:lang w:eastAsia="sk-SK"/>
              </w:rPr>
              <w:t>Zvýšenie minimálneho vymeriavacieho základu pre SZČO a dobrovoľne poistené osoby z 50 % na 60  % priemernej mesačnej mzdy v hospodárstve Slovenskej republiky spred dvoch rokov.</w:t>
            </w:r>
          </w:p>
          <w:p w14:paraId="59669C16" w14:textId="77777777" w:rsidR="00AD62CD" w:rsidRPr="00745878" w:rsidRDefault="00AD62CD" w:rsidP="00AD62CD">
            <w:pPr>
              <w:pStyle w:val="Odsekzoznamu"/>
              <w:numPr>
                <w:ilvl w:val="0"/>
                <w:numId w:val="12"/>
              </w:numPr>
              <w:jc w:val="both"/>
              <w:rPr>
                <w:rFonts w:ascii="Times New Roman" w:eastAsia="Times New Roman" w:hAnsi="Times New Roman" w:cs="Times New Roman"/>
                <w:sz w:val="20"/>
                <w:szCs w:val="20"/>
                <w:lang w:eastAsia="sk-SK"/>
              </w:rPr>
            </w:pPr>
            <w:r w:rsidRPr="00745878">
              <w:rPr>
                <w:rFonts w:ascii="Times New Roman" w:eastAsia="Times New Roman" w:hAnsi="Times New Roman" w:cs="Times New Roman"/>
                <w:sz w:val="20"/>
                <w:szCs w:val="20"/>
                <w:lang w:eastAsia="sk-SK"/>
              </w:rPr>
              <w:t>Zrušenie vylúčenia povinnosti zamestnanca a zamestnávateľa platiť poistné na sociálne poistenie v situáciách vymedzených zákonom.</w:t>
            </w:r>
          </w:p>
          <w:p w14:paraId="507EE324" w14:textId="77777777" w:rsidR="00AD62CD" w:rsidRPr="00745878" w:rsidRDefault="00AD62CD" w:rsidP="00AD62CD">
            <w:pPr>
              <w:pStyle w:val="Odsekzoznamu"/>
              <w:numPr>
                <w:ilvl w:val="0"/>
                <w:numId w:val="12"/>
              </w:numPr>
              <w:jc w:val="both"/>
              <w:rPr>
                <w:rFonts w:ascii="Times New Roman" w:eastAsia="Times New Roman" w:hAnsi="Times New Roman" w:cs="Times New Roman"/>
                <w:sz w:val="20"/>
                <w:szCs w:val="20"/>
                <w:lang w:eastAsia="sk-SK"/>
              </w:rPr>
            </w:pPr>
            <w:r w:rsidRPr="00745878">
              <w:rPr>
                <w:rFonts w:ascii="Times New Roman" w:eastAsia="Times New Roman" w:hAnsi="Times New Roman" w:cs="Times New Roman"/>
                <w:sz w:val="20"/>
                <w:szCs w:val="20"/>
                <w:lang w:eastAsia="sk-SK"/>
              </w:rPr>
              <w:t>Predĺženie obdobia, počas ktorého zamestnávateľ vypláca náhradu príjmu pri dočasnej PN zamestnanca, z 10 na 14 kalendárnych dní.</w:t>
            </w:r>
          </w:p>
          <w:p w14:paraId="2EDCC32E" w14:textId="77777777" w:rsidR="00AD62CD" w:rsidRPr="00745878" w:rsidRDefault="00AD62CD" w:rsidP="00AD62CD">
            <w:pPr>
              <w:pStyle w:val="Odsekzoznamu"/>
              <w:numPr>
                <w:ilvl w:val="0"/>
                <w:numId w:val="12"/>
              </w:numPr>
              <w:jc w:val="both"/>
              <w:rPr>
                <w:rFonts w:ascii="Times New Roman" w:eastAsia="Times New Roman" w:hAnsi="Times New Roman" w:cs="Times New Roman"/>
                <w:sz w:val="20"/>
                <w:szCs w:val="20"/>
                <w:lang w:eastAsia="sk-SK"/>
              </w:rPr>
            </w:pPr>
            <w:r w:rsidRPr="00745878">
              <w:rPr>
                <w:rFonts w:ascii="Times New Roman" w:eastAsia="Times New Roman" w:hAnsi="Times New Roman" w:cs="Times New Roman"/>
                <w:sz w:val="20"/>
                <w:szCs w:val="20"/>
                <w:lang w:eastAsia="sk-SK"/>
              </w:rPr>
              <w:t>Zachovanie sumy  13. dôchodku v rokoch 2026 až 2028 na nominálnej úrovni roka 2025.</w:t>
            </w:r>
          </w:p>
          <w:p w14:paraId="66389326" w14:textId="77777777" w:rsidR="00AD62CD" w:rsidRPr="00E25CF8" w:rsidRDefault="00AD62CD" w:rsidP="00AD62CD">
            <w:pPr>
              <w:numPr>
                <w:ilvl w:val="0"/>
                <w:numId w:val="7"/>
              </w:numPr>
              <w:jc w:val="both"/>
              <w:rPr>
                <w:rFonts w:ascii="Times New Roman" w:eastAsia="Times New Roman" w:hAnsi="Times New Roman" w:cs="Times New Roman"/>
                <w:sz w:val="20"/>
                <w:szCs w:val="20"/>
                <w:lang w:eastAsia="sk-SK"/>
              </w:rPr>
            </w:pPr>
            <w:r w:rsidRPr="00E562D0">
              <w:rPr>
                <w:rFonts w:ascii="Times New Roman" w:eastAsia="Times New Roman" w:hAnsi="Times New Roman" w:cs="Times New Roman"/>
                <w:sz w:val="20"/>
                <w:szCs w:val="20"/>
                <w:lang w:eastAsia="sk-SK"/>
              </w:rPr>
              <w:t>Zavedenie degresívneho modelu dávky v nezamestnanosti, pričom miera náhrady sa od 4. do 6. mesiaca poberania dávky znižuje o 10 percentuálnych bodov.</w:t>
            </w:r>
          </w:p>
          <w:p w14:paraId="23721809" w14:textId="77777777" w:rsidR="00AD62CD" w:rsidRPr="00E25CF8" w:rsidRDefault="00AD62CD" w:rsidP="003627DF">
            <w:pPr>
              <w:jc w:val="both"/>
              <w:rPr>
                <w:rFonts w:ascii="Times New Roman" w:eastAsia="Times New Roman" w:hAnsi="Times New Roman" w:cs="Times New Roman"/>
                <w:b/>
                <w:bCs/>
                <w:sz w:val="20"/>
                <w:szCs w:val="20"/>
                <w:lang w:eastAsia="sk-SK"/>
              </w:rPr>
            </w:pPr>
          </w:p>
          <w:p w14:paraId="6B10D514" w14:textId="77777777" w:rsidR="00AD62CD" w:rsidRPr="00E25CF8" w:rsidRDefault="00AD62CD" w:rsidP="003627DF">
            <w:pPr>
              <w:jc w:val="both"/>
              <w:rPr>
                <w:rFonts w:ascii="Times New Roman" w:eastAsia="Times New Roman" w:hAnsi="Times New Roman" w:cs="Times New Roman"/>
                <w:b/>
                <w:bCs/>
                <w:sz w:val="20"/>
                <w:szCs w:val="20"/>
                <w:lang w:eastAsia="sk-SK"/>
              </w:rPr>
            </w:pPr>
            <w:r w:rsidRPr="00E25CF8">
              <w:rPr>
                <w:rFonts w:ascii="Times New Roman" w:eastAsia="Times New Roman" w:hAnsi="Times New Roman" w:cs="Times New Roman"/>
                <w:b/>
                <w:bCs/>
                <w:sz w:val="20"/>
                <w:szCs w:val="20"/>
                <w:lang w:eastAsia="sk-SK"/>
              </w:rPr>
              <w:t>Zákon o dani z príjmov</w:t>
            </w:r>
          </w:p>
          <w:p w14:paraId="7FCB48DD" w14:textId="77777777" w:rsidR="00AD62CD" w:rsidRPr="00E25CF8" w:rsidRDefault="00AD62CD" w:rsidP="00AD62CD">
            <w:pPr>
              <w:pStyle w:val="Odsekzoznamu"/>
              <w:numPr>
                <w:ilvl w:val="0"/>
                <w:numId w:val="5"/>
              </w:numPr>
              <w:jc w:val="both"/>
              <w:rPr>
                <w:rFonts w:ascii="Times New Roman" w:hAnsi="Times New Roman" w:cs="Times New Roman"/>
                <w:sz w:val="20"/>
                <w:szCs w:val="20"/>
                <w:u w:val="single"/>
              </w:rPr>
            </w:pPr>
            <w:r w:rsidRPr="00E25CF8">
              <w:rPr>
                <w:rFonts w:ascii="Times New Roman" w:hAnsi="Times New Roman" w:cs="Times New Roman"/>
                <w:sz w:val="20"/>
                <w:szCs w:val="20"/>
                <w:u w:val="single"/>
              </w:rPr>
              <w:t>Minimálna daň pre právnické osoby</w:t>
            </w:r>
          </w:p>
          <w:p w14:paraId="34B73601" w14:textId="77777777" w:rsidR="00AD62CD" w:rsidRPr="00E25CF8" w:rsidRDefault="00AD62CD" w:rsidP="003627DF">
            <w:pPr>
              <w:jc w:val="both"/>
              <w:rPr>
                <w:rFonts w:ascii="Times New Roman" w:hAnsi="Times New Roman" w:cs="Times New Roman"/>
                <w:sz w:val="20"/>
                <w:szCs w:val="20"/>
              </w:rPr>
            </w:pPr>
            <w:r w:rsidRPr="00E25CF8">
              <w:rPr>
                <w:rFonts w:ascii="Times New Roman" w:hAnsi="Times New Roman" w:cs="Times New Roman"/>
                <w:sz w:val="20"/>
                <w:szCs w:val="20"/>
              </w:rPr>
              <w:t xml:space="preserve">Cieľom navrhovaného opatrenia je zvýšenie príjmov štátneho rozpočtu. Navrhované opatrenie zavádza novú hranicu minimálnej dane pre právnické osoby, ktoré dosahujú zdaniteľné príjmy viac ako 5 mil. eur, vo výške 11 520 eur. </w:t>
            </w:r>
          </w:p>
          <w:p w14:paraId="739F979B" w14:textId="77777777" w:rsidR="00AD62CD" w:rsidRPr="00E25CF8" w:rsidRDefault="00AD62CD" w:rsidP="003627DF">
            <w:pPr>
              <w:jc w:val="both"/>
              <w:rPr>
                <w:rFonts w:ascii="Times New Roman" w:hAnsi="Times New Roman" w:cs="Times New Roman"/>
                <w:sz w:val="20"/>
                <w:szCs w:val="20"/>
              </w:rPr>
            </w:pPr>
          </w:p>
          <w:p w14:paraId="4C880DF1" w14:textId="77777777" w:rsidR="00AD62CD" w:rsidRPr="00E25CF8" w:rsidRDefault="00AD62CD" w:rsidP="00AD62CD">
            <w:pPr>
              <w:pStyle w:val="Odsekzoznamu"/>
              <w:numPr>
                <w:ilvl w:val="0"/>
                <w:numId w:val="5"/>
              </w:numPr>
              <w:jc w:val="both"/>
              <w:rPr>
                <w:rFonts w:ascii="Times New Roman" w:hAnsi="Times New Roman" w:cs="Times New Roman"/>
                <w:sz w:val="20"/>
                <w:szCs w:val="20"/>
                <w:u w:val="single"/>
              </w:rPr>
            </w:pPr>
            <w:r w:rsidRPr="00E25CF8">
              <w:rPr>
                <w:rFonts w:ascii="Times New Roman" w:hAnsi="Times New Roman" w:cs="Times New Roman"/>
                <w:sz w:val="20"/>
                <w:szCs w:val="20"/>
                <w:u w:val="single"/>
              </w:rPr>
              <w:t>Úprava daňových sadzieb pre fyzické osoby</w:t>
            </w:r>
          </w:p>
          <w:p w14:paraId="1A8BC17A" w14:textId="77777777" w:rsidR="00AD62CD" w:rsidRPr="00E25CF8" w:rsidRDefault="00AD62CD" w:rsidP="003627DF">
            <w:pPr>
              <w:jc w:val="both"/>
              <w:rPr>
                <w:rFonts w:ascii="Times New Roman" w:hAnsi="Times New Roman" w:cs="Times New Roman"/>
                <w:sz w:val="20"/>
                <w:szCs w:val="20"/>
              </w:rPr>
            </w:pPr>
            <w:r w:rsidRPr="00E25CF8">
              <w:rPr>
                <w:rFonts w:ascii="Times New Roman" w:hAnsi="Times New Roman" w:cs="Times New Roman"/>
                <w:sz w:val="20"/>
                <w:szCs w:val="20"/>
              </w:rPr>
              <w:t>Cieľom navrhovaného opatrenia je zvýšenie príjmov štátneho rozpočtu. V rámci konsolidácie verejných financií sa navrhuje zmena a zavedenie ďalších pásiem progresívneho zdanenia príjmov fyzických osôb a to vo výške 30 % a 35 %. Tieto sadzby dane sa budú vzťahovať na základ dane prevyšujúci 60 000 eur, resp. 75 000 eur. V nadväznosti na zmenu a zavedenie ďalších pásiem zdanenia príjmov fyzických osôb došlo k úprave ustanovenia týkajúceho sa vyklesávania výšky nezdaniteľnej časti základu dane  v závislosti od dosiahnutého základu dane a ustanovenia týkajúceho sa vyberania a platenia preddavkov na daň zo závislej činnosti. Zároveň sa zvyšuje osobitná sadzba dane pre ústavných činiteľov z 5%</w:t>
            </w:r>
          </w:p>
          <w:p w14:paraId="7E8A2083" w14:textId="77777777" w:rsidR="00AD62CD" w:rsidRPr="00E25CF8" w:rsidRDefault="00AD62CD" w:rsidP="003627DF">
            <w:pPr>
              <w:pStyle w:val="Odsekzoznamu"/>
              <w:jc w:val="both"/>
              <w:rPr>
                <w:rFonts w:ascii="Times New Roman" w:hAnsi="Times New Roman" w:cs="Times New Roman"/>
                <w:sz w:val="20"/>
                <w:szCs w:val="20"/>
                <w:u w:val="single"/>
              </w:rPr>
            </w:pPr>
          </w:p>
          <w:p w14:paraId="140E2E77" w14:textId="77777777" w:rsidR="00AD62CD" w:rsidRPr="00E25CF8" w:rsidRDefault="00AD62CD" w:rsidP="00AD62CD">
            <w:pPr>
              <w:pStyle w:val="Odsekzoznamu"/>
              <w:numPr>
                <w:ilvl w:val="0"/>
                <w:numId w:val="5"/>
              </w:numPr>
              <w:jc w:val="both"/>
              <w:rPr>
                <w:rFonts w:ascii="Times New Roman" w:hAnsi="Times New Roman" w:cs="Times New Roman"/>
                <w:sz w:val="20"/>
                <w:szCs w:val="20"/>
              </w:rPr>
            </w:pPr>
            <w:r w:rsidRPr="00E25CF8">
              <w:rPr>
                <w:rFonts w:ascii="Times New Roman" w:hAnsi="Times New Roman" w:cs="Times New Roman"/>
                <w:sz w:val="20"/>
                <w:szCs w:val="20"/>
                <w:u w:val="single"/>
              </w:rPr>
              <w:t>Daň z výnosu (príjmu) z poplatku za hazardné hry</w:t>
            </w:r>
            <w:r w:rsidRPr="00E25CF8">
              <w:rPr>
                <w:rFonts w:ascii="Times New Roman" w:hAnsi="Times New Roman" w:cs="Times New Roman"/>
                <w:sz w:val="20"/>
                <w:szCs w:val="20"/>
              </w:rPr>
              <w:t xml:space="preserve"> </w:t>
            </w:r>
          </w:p>
          <w:p w14:paraId="7F193BDB" w14:textId="77777777" w:rsidR="00AD62CD" w:rsidRPr="00E25CF8" w:rsidRDefault="00AD62CD" w:rsidP="003627DF">
            <w:pPr>
              <w:jc w:val="both"/>
              <w:rPr>
                <w:rFonts w:ascii="Times New Roman" w:hAnsi="Times New Roman" w:cs="Times New Roman"/>
                <w:sz w:val="20"/>
                <w:szCs w:val="20"/>
              </w:rPr>
            </w:pPr>
            <w:r w:rsidRPr="00E25CF8">
              <w:rPr>
                <w:rFonts w:ascii="Times New Roman" w:hAnsi="Times New Roman" w:cs="Times New Roman"/>
                <w:sz w:val="20"/>
                <w:szCs w:val="20"/>
              </w:rPr>
              <w:t xml:space="preserve">Cieľom navrhovaného opatrenia je podpora konsolidačného úsilia vlády. Navrhované opatrenie zavádza osobitný základ dane, ktorý bude zdaňovaný osobitnou sadzbou dane vo výške 53 %, ktorou sa bude zdaňovať osobitný základ dane , do ktorého sa zahrnie príjem (výnos) z poplatkov za vykonanie platobnej operácie prostredníctvom platobnej karty v prospech hráčskeho účtu. </w:t>
            </w:r>
          </w:p>
          <w:p w14:paraId="061A3C58" w14:textId="77777777" w:rsidR="00AD62CD" w:rsidRPr="00E25CF8" w:rsidRDefault="00AD62CD" w:rsidP="003627DF">
            <w:pPr>
              <w:jc w:val="both"/>
              <w:rPr>
                <w:rFonts w:ascii="Times New Roman" w:hAnsi="Times New Roman" w:cs="Times New Roman"/>
                <w:sz w:val="20"/>
                <w:szCs w:val="20"/>
              </w:rPr>
            </w:pPr>
          </w:p>
          <w:p w14:paraId="3789B225" w14:textId="77777777" w:rsidR="00AD62CD" w:rsidRPr="00E25CF8" w:rsidRDefault="00AD62CD" w:rsidP="00AD62CD">
            <w:pPr>
              <w:pStyle w:val="Odsekzoznamu"/>
              <w:numPr>
                <w:ilvl w:val="0"/>
                <w:numId w:val="5"/>
              </w:numPr>
              <w:jc w:val="both"/>
              <w:rPr>
                <w:rFonts w:ascii="Times New Roman" w:hAnsi="Times New Roman" w:cs="Times New Roman"/>
                <w:sz w:val="20"/>
                <w:szCs w:val="20"/>
                <w:u w:val="single"/>
              </w:rPr>
            </w:pPr>
            <w:r w:rsidRPr="00E25CF8">
              <w:rPr>
                <w:rFonts w:ascii="Times New Roman" w:hAnsi="Times New Roman" w:cs="Times New Roman"/>
                <w:sz w:val="20"/>
                <w:szCs w:val="20"/>
                <w:u w:val="single"/>
              </w:rPr>
              <w:t>Úprava odpočtu na investície</w:t>
            </w:r>
          </w:p>
          <w:p w14:paraId="3883F56E" w14:textId="77777777" w:rsidR="00AD62CD" w:rsidRPr="00E25CF8" w:rsidRDefault="00AD62CD" w:rsidP="003627DF">
            <w:pPr>
              <w:jc w:val="both"/>
              <w:rPr>
                <w:rFonts w:ascii="Times New Roman" w:hAnsi="Times New Roman" w:cs="Times New Roman"/>
                <w:sz w:val="20"/>
                <w:szCs w:val="20"/>
              </w:rPr>
            </w:pPr>
            <w:r w:rsidRPr="00E25CF8">
              <w:rPr>
                <w:rFonts w:ascii="Times New Roman" w:hAnsi="Times New Roman" w:cs="Times New Roman"/>
                <w:sz w:val="20"/>
                <w:szCs w:val="20"/>
              </w:rPr>
              <w:t>S cieľom podpory investícií do moderných technológií sa v súvislosti s uplatnením odpočtu výdavkov (nákladov) na investície predlžuje investičné obdobie zo súčasných 6 rokov (2022 až 2027) na 9 rokov (2022 – 2030). Predlženie investičného obdobia sa bude vzťahovať tak na už existujúce investičné plány ako aj nové investičné plány.</w:t>
            </w:r>
          </w:p>
          <w:p w14:paraId="396B5B72" w14:textId="77777777" w:rsidR="00AD62CD" w:rsidRPr="00E25CF8" w:rsidRDefault="00AD62CD" w:rsidP="003627DF">
            <w:pPr>
              <w:jc w:val="both"/>
              <w:rPr>
                <w:rFonts w:ascii="Times New Roman" w:eastAsia="Times New Roman" w:hAnsi="Times New Roman" w:cs="Times New Roman"/>
                <w:sz w:val="20"/>
                <w:szCs w:val="20"/>
                <w:lang w:eastAsia="sk-SK"/>
              </w:rPr>
            </w:pPr>
          </w:p>
          <w:p w14:paraId="66A00020" w14:textId="77777777" w:rsidR="00AD62CD" w:rsidRPr="00E25CF8" w:rsidRDefault="00AD62CD" w:rsidP="00AD62CD">
            <w:pPr>
              <w:pStyle w:val="Odsekzoznamu"/>
              <w:numPr>
                <w:ilvl w:val="0"/>
                <w:numId w:val="5"/>
              </w:numPr>
              <w:jc w:val="both"/>
              <w:rPr>
                <w:rFonts w:ascii="Times New Roman" w:hAnsi="Times New Roman" w:cs="Times New Roman"/>
                <w:sz w:val="20"/>
                <w:szCs w:val="20"/>
                <w:u w:val="single"/>
              </w:rPr>
            </w:pPr>
            <w:r w:rsidRPr="00E25CF8">
              <w:rPr>
                <w:rFonts w:ascii="Times New Roman" w:hAnsi="Times New Roman" w:cs="Times New Roman"/>
                <w:sz w:val="20"/>
                <w:szCs w:val="20"/>
                <w:u w:val="single"/>
              </w:rPr>
              <w:t xml:space="preserve">Neuznanie odpočtu DPH pri </w:t>
            </w:r>
            <w:r>
              <w:rPr>
                <w:rFonts w:ascii="Times New Roman" w:hAnsi="Times New Roman" w:cs="Times New Roman"/>
                <w:sz w:val="20"/>
                <w:szCs w:val="20"/>
                <w:u w:val="single"/>
              </w:rPr>
              <w:t>osobných motorových vozidlách</w:t>
            </w:r>
          </w:p>
          <w:p w14:paraId="2331B20E" w14:textId="77777777" w:rsidR="00AD62CD" w:rsidRPr="00E25CF8" w:rsidRDefault="00AD62CD" w:rsidP="003627DF">
            <w:pPr>
              <w:jc w:val="both"/>
              <w:rPr>
                <w:rFonts w:ascii="Times New Roman" w:hAnsi="Times New Roman" w:cs="Times New Roman"/>
                <w:sz w:val="20"/>
                <w:szCs w:val="20"/>
              </w:rPr>
            </w:pPr>
            <w:r w:rsidRPr="00E25CF8">
              <w:rPr>
                <w:rFonts w:ascii="Times New Roman" w:hAnsi="Times New Roman" w:cs="Times New Roman"/>
                <w:sz w:val="20"/>
                <w:szCs w:val="20"/>
              </w:rPr>
              <w:t xml:space="preserve">V súvislosti s úpravou nároku na odpočet dane z pridanej hodnoty pri osobných </w:t>
            </w:r>
            <w:r>
              <w:rPr>
                <w:rFonts w:ascii="Times New Roman" w:hAnsi="Times New Roman" w:cs="Times New Roman"/>
                <w:sz w:val="20"/>
                <w:szCs w:val="20"/>
              </w:rPr>
              <w:t xml:space="preserve">motorových vozidlách </w:t>
            </w:r>
            <w:r w:rsidRPr="00E25CF8">
              <w:rPr>
                <w:rFonts w:ascii="Times New Roman" w:hAnsi="Times New Roman" w:cs="Times New Roman"/>
                <w:sz w:val="20"/>
                <w:szCs w:val="20"/>
              </w:rPr>
              <w:t>používaných na podnikanie ako aj na iný účel sa ustanovuje, že v období ktoré ustanovuje § 85n zákona č. 222/2004 Z. z. o dani z pridanej hodnoty, sa daň z pridanej hodnoty, na ktorú  nemá daňovník nárok na odpočet vo vymedzených prípadoch, sa nepovažuje za daňový výdavok.</w:t>
            </w:r>
          </w:p>
          <w:p w14:paraId="4488822D" w14:textId="77777777" w:rsidR="00AD62CD" w:rsidRPr="00E25CF8" w:rsidRDefault="00AD62CD" w:rsidP="003627DF">
            <w:pPr>
              <w:jc w:val="both"/>
              <w:rPr>
                <w:rFonts w:ascii="Times New Roman" w:hAnsi="Times New Roman" w:cs="Times New Roman"/>
                <w:sz w:val="20"/>
                <w:szCs w:val="20"/>
              </w:rPr>
            </w:pPr>
          </w:p>
          <w:p w14:paraId="43F6CFF0"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dani z pridanej hodnoty</w:t>
            </w:r>
          </w:p>
          <w:p w14:paraId="6E9410FD" w14:textId="77777777" w:rsidR="00AD62CD" w:rsidRPr="00E25CF8" w:rsidRDefault="00AD62CD" w:rsidP="003627DF">
            <w:pPr>
              <w:jc w:val="both"/>
              <w:rPr>
                <w:rStyle w:val="ui-provider"/>
                <w:rFonts w:ascii="Times New Roman" w:hAnsi="Times New Roman" w:cs="Times New Roman"/>
                <w:sz w:val="20"/>
                <w:szCs w:val="20"/>
              </w:rPr>
            </w:pPr>
            <w:r w:rsidRPr="00E25CF8">
              <w:rPr>
                <w:rStyle w:val="ui-provider"/>
                <w:rFonts w:ascii="Times New Roman" w:hAnsi="Times New Roman" w:cs="Times New Roman"/>
                <w:sz w:val="20"/>
                <w:szCs w:val="20"/>
              </w:rPr>
              <w:t xml:space="preserve">Cieľom návrhu zákona je v súlade s opatreniami z Akčného plánu boja proti daňovým únikom ustanoviť nové pravidlá odpočítania dane pre platiteľov dane z pridanej hodnoty (ďalej len „platiteľ dane“) pri osobných motorových vozidlách nepoužívaných výlučne na podnikanie. Navrhuje sa paušálne odpočítanie dane na základe pevne ustanoveného percentuálneho pomeru vo výške 50 %. Primárnym cieľom tohto opatrenia je znížiť administratívnu záťaž na strane platiteľov dane spojenú s povinnosťou viesť podrobnú evidenciu o preukázaní rozsahu používania osobného motorového vozidla na </w:t>
            </w:r>
            <w:r>
              <w:rPr>
                <w:rStyle w:val="ui-provider"/>
                <w:rFonts w:ascii="Times New Roman" w:hAnsi="Times New Roman" w:cs="Times New Roman"/>
                <w:sz w:val="20"/>
                <w:szCs w:val="20"/>
              </w:rPr>
              <w:t>podnikanie</w:t>
            </w:r>
            <w:r w:rsidRPr="00E25CF8">
              <w:rPr>
                <w:rStyle w:val="ui-provider"/>
                <w:rFonts w:ascii="Times New Roman" w:hAnsi="Times New Roman" w:cs="Times New Roman"/>
                <w:sz w:val="20"/>
                <w:szCs w:val="20"/>
              </w:rPr>
              <w:t>. Sekundárnym cieľom je predchádzanie daňovým únikom a vyhýbaniu sa dani, ku ktorým dochádza z dôvodu nezdanenia používania týchto vozidiel na iný účel ako na podnikanie.</w:t>
            </w:r>
          </w:p>
          <w:p w14:paraId="415C9BD7"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Style w:val="ui-provider"/>
                <w:rFonts w:ascii="Times New Roman" w:hAnsi="Times New Roman" w:cs="Times New Roman"/>
                <w:sz w:val="20"/>
                <w:szCs w:val="20"/>
              </w:rPr>
              <w:t>Návrhom zákona dochádza tiež k úpravám v oblasti sadzieb DPH. S účinnosťou od 1.1.2026 sa navrhuje vyňať zo zoznamu tovarov, na ktoré sa uplatňuje znížená sadzba dane, vybrané potraviny, ktoré budú podliehať základnej sadzbe dane vo výške 23 % zo základu dane.</w:t>
            </w:r>
          </w:p>
          <w:p w14:paraId="18D37088" w14:textId="77777777" w:rsidR="00AD62CD" w:rsidRPr="00E25CF8" w:rsidRDefault="00AD62CD" w:rsidP="003627DF">
            <w:pPr>
              <w:jc w:val="both"/>
              <w:rPr>
                <w:rFonts w:ascii="Times New Roman" w:eastAsia="Times New Roman" w:hAnsi="Times New Roman" w:cs="Times New Roman"/>
                <w:b/>
                <w:sz w:val="20"/>
                <w:szCs w:val="20"/>
                <w:lang w:eastAsia="sk-SK"/>
              </w:rPr>
            </w:pPr>
          </w:p>
          <w:p w14:paraId="0290DAB1"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rozpočtovom určení výnosu dane z príjmov územnej samospráve</w:t>
            </w:r>
          </w:p>
          <w:p w14:paraId="0A225E25"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hAnsi="Times New Roman" w:cs="Times New Roman"/>
                <w:sz w:val="20"/>
                <w:szCs w:val="20"/>
              </w:rPr>
              <w:t>Cieľom návrhu zákona je vplyv konsolidačných opatrení pre rok 2026 vo vzťahu k DPFO na obce a vyššie územné celky, pričom predpokladaný vyšší výnos tejto dane bude smerovaný do štátneho rozpočtu na zníženie schodku rozpočtu verejnej správy. Ďalej sú v návrhu premietnuté úsporné konsolidačné opatrenia v rozpočtoch samospráv na vlastné úrady  v sume 109,6 mil. euro pre obce a 19,7 mil. euro pre VÚC. Pozitívny vplyv má premietnutie valorizácie platov v originálnom školstve v sume 69,0 mil. euro pre obce a 8,6 mil. euro pre VÚC. Uvedené vplyvy si vyžiadajú úpravu percentuálneho podielu obcí a vyšších územných celkov  na výnose DPFO od 1. januára 2026.</w:t>
            </w:r>
          </w:p>
          <w:p w14:paraId="63825A81" w14:textId="77777777" w:rsidR="00AD62CD" w:rsidRPr="00E25CF8" w:rsidRDefault="00AD62CD" w:rsidP="003627DF">
            <w:pPr>
              <w:jc w:val="both"/>
              <w:rPr>
                <w:rFonts w:ascii="Times New Roman" w:eastAsia="Times New Roman" w:hAnsi="Times New Roman" w:cs="Times New Roman"/>
                <w:b/>
                <w:sz w:val="20"/>
                <w:szCs w:val="20"/>
                <w:highlight w:val="yellow"/>
                <w:lang w:eastAsia="sk-SK"/>
              </w:rPr>
            </w:pPr>
          </w:p>
          <w:p w14:paraId="1AD6E604"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zdravotnom poistení</w:t>
            </w:r>
          </w:p>
          <w:p w14:paraId="4142E5DE" w14:textId="77777777" w:rsidR="00AD62CD" w:rsidRPr="00E25CF8" w:rsidRDefault="00AD62CD" w:rsidP="003627DF">
            <w:pPr>
              <w:jc w:val="both"/>
              <w:rPr>
                <w:rFonts w:ascii="Times New Roman" w:eastAsia="Times New Roman" w:hAnsi="Times New Roman" w:cs="Times New Roman"/>
                <w:bCs/>
                <w:sz w:val="20"/>
                <w:szCs w:val="20"/>
                <w:lang w:eastAsia="sk-SK"/>
              </w:rPr>
            </w:pPr>
            <w:r w:rsidRPr="003C42D1">
              <w:rPr>
                <w:rFonts w:ascii="Times New Roman" w:hAnsi="Times New Roman" w:cs="Times New Roman"/>
                <w:sz w:val="20"/>
                <w:szCs w:val="20"/>
                <w:lang w:eastAsia="sk-SK"/>
              </w:rPr>
              <w:t>Trvalé zvýšenia odvodu poistného na verejné zdravotné poistenie pre zamestnanca, samostatne zárobkovo činnú osobu a tzv. samoplatiteľa o 1 percentuálny bod.</w:t>
            </w:r>
          </w:p>
          <w:p w14:paraId="3E795B40" w14:textId="77777777" w:rsidR="00AD62CD" w:rsidRPr="00E25CF8" w:rsidRDefault="00AD62CD" w:rsidP="003627DF">
            <w:pPr>
              <w:jc w:val="both"/>
              <w:rPr>
                <w:rFonts w:ascii="Times New Roman" w:eastAsia="Times New Roman" w:hAnsi="Times New Roman" w:cs="Times New Roman"/>
                <w:bCs/>
                <w:sz w:val="20"/>
                <w:szCs w:val="20"/>
                <w:lang w:eastAsia="sk-SK"/>
              </w:rPr>
            </w:pPr>
          </w:p>
          <w:p w14:paraId="50AE8BC7"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inšpekcii práce</w:t>
            </w:r>
          </w:p>
          <w:p w14:paraId="53352FDA" w14:textId="77777777" w:rsidR="00AD62CD" w:rsidRPr="003C42D1" w:rsidRDefault="00AD62CD" w:rsidP="003627DF">
            <w:pPr>
              <w:jc w:val="both"/>
              <w:rPr>
                <w:rFonts w:ascii="Times New Roman" w:hAnsi="Times New Roman" w:cs="Times New Roman"/>
                <w:sz w:val="20"/>
                <w:szCs w:val="20"/>
              </w:rPr>
            </w:pPr>
            <w:r w:rsidRPr="003C42D1">
              <w:rPr>
                <w:rFonts w:ascii="Times New Roman" w:hAnsi="Times New Roman" w:cs="Times New Roman"/>
                <w:sz w:val="20"/>
                <w:szCs w:val="20"/>
              </w:rPr>
              <w:t xml:space="preserve">Cieľom je zvýšenie dolnej hranice výšky pokuty za porušenie zákazu nelegálneho zamestnávania, čím sa reaguje aj na boj proti fiktívnym živnostiam. </w:t>
            </w:r>
          </w:p>
          <w:p w14:paraId="3A79A0E0" w14:textId="77777777" w:rsidR="00AD62CD" w:rsidRPr="00E25CF8" w:rsidRDefault="00AD62CD" w:rsidP="003627DF">
            <w:pPr>
              <w:jc w:val="both"/>
              <w:rPr>
                <w:rFonts w:ascii="Times New Roman" w:eastAsia="Times New Roman" w:hAnsi="Times New Roman" w:cs="Times New Roman"/>
                <w:b/>
                <w:sz w:val="20"/>
                <w:szCs w:val="20"/>
                <w:lang w:eastAsia="sk-SK"/>
              </w:rPr>
            </w:pPr>
          </w:p>
          <w:p w14:paraId="671D93AE" w14:textId="77777777" w:rsidR="00AD62CD" w:rsidRPr="00E25CF8" w:rsidRDefault="00AD62CD" w:rsidP="003627DF">
            <w:pPr>
              <w:jc w:val="both"/>
              <w:rPr>
                <w:rFonts w:ascii="Times New Roman" w:eastAsia="Times New Roman" w:hAnsi="Times New Roman" w:cs="Times New Roman"/>
                <w:b/>
                <w:bCs/>
                <w:sz w:val="20"/>
                <w:szCs w:val="20"/>
                <w:lang w:eastAsia="sk-SK"/>
              </w:rPr>
            </w:pPr>
            <w:r w:rsidRPr="00E25CF8">
              <w:rPr>
                <w:rFonts w:ascii="Times New Roman" w:eastAsia="Times New Roman" w:hAnsi="Times New Roman" w:cs="Times New Roman"/>
                <w:b/>
                <w:bCs/>
                <w:sz w:val="20"/>
                <w:szCs w:val="20"/>
                <w:lang w:eastAsia="sk-SK"/>
              </w:rPr>
              <w:t>Zákon o osobitnom odvode v regulovaných odvetviach</w:t>
            </w:r>
          </w:p>
          <w:p w14:paraId="74B76009" w14:textId="77777777" w:rsidR="00AD62CD" w:rsidRPr="00E25CF8" w:rsidRDefault="00AD62CD" w:rsidP="003627DF">
            <w:pPr>
              <w:jc w:val="both"/>
              <w:rPr>
                <w:rFonts w:ascii="Times New Roman" w:eastAsia="Times New Roman" w:hAnsi="Times New Roman" w:cs="Times New Roman"/>
                <w:sz w:val="20"/>
                <w:szCs w:val="20"/>
                <w:lang w:eastAsia="sk-SK"/>
              </w:rPr>
            </w:pPr>
            <w:r w:rsidRPr="00E25CF8">
              <w:rPr>
                <w:rFonts w:ascii="Times New Roman" w:eastAsia="Times New Roman" w:hAnsi="Times New Roman" w:cs="Times New Roman"/>
                <w:sz w:val="20"/>
                <w:szCs w:val="20"/>
                <w:lang w:eastAsia="sk-SK"/>
              </w:rPr>
              <w:t>Vyššia miera sociálnej zodpovednosti osôb podnikajúcich v dotknutých odvetviach podporí konsolidačné úsilie vlády. S účinnosťou od 31. decembra 2025 sa zvyšuje sadzba pre regulované osoby, ktorých  predmetom činnosti je vytváranie a správa dôchodkových fondov na vykonávanie starobného dôchodkového sporenia, vytváranie a správa doplnkových dôchodkových fondov alebo ktoré podnikajú v oblasti kolektívneho investovania na základe povolenia udeleného Národnou bankou Slovenska, na 15 % ročne.</w:t>
            </w:r>
          </w:p>
          <w:p w14:paraId="39EC33B4" w14:textId="77777777" w:rsidR="00AD62CD" w:rsidRPr="00E25CF8" w:rsidRDefault="00AD62CD" w:rsidP="003627DF">
            <w:pPr>
              <w:jc w:val="both"/>
              <w:rPr>
                <w:rFonts w:ascii="Times New Roman" w:eastAsia="Times New Roman" w:hAnsi="Times New Roman" w:cs="Times New Roman"/>
                <w:b/>
                <w:bCs/>
                <w:sz w:val="20"/>
                <w:szCs w:val="20"/>
                <w:lang w:eastAsia="sk-SK"/>
              </w:rPr>
            </w:pPr>
          </w:p>
          <w:p w14:paraId="358852BD" w14:textId="77777777" w:rsidR="00AD62CD" w:rsidRPr="00E25CF8" w:rsidRDefault="00AD62CD" w:rsidP="003627DF">
            <w:pPr>
              <w:jc w:val="both"/>
              <w:rPr>
                <w:rFonts w:ascii="Times New Roman" w:eastAsia="Times New Roman" w:hAnsi="Times New Roman" w:cs="Times New Roman"/>
                <w:b/>
                <w:bCs/>
                <w:sz w:val="20"/>
                <w:szCs w:val="20"/>
                <w:lang w:eastAsia="sk-SK"/>
              </w:rPr>
            </w:pPr>
            <w:r w:rsidRPr="00E25CF8">
              <w:rPr>
                <w:rFonts w:ascii="Times New Roman" w:eastAsia="Times New Roman" w:hAnsi="Times New Roman" w:cs="Times New Roman"/>
                <w:b/>
                <w:bCs/>
                <w:sz w:val="20"/>
                <w:szCs w:val="20"/>
                <w:lang w:eastAsia="sk-SK"/>
              </w:rPr>
              <w:t>Zákon o poisťovníctve</w:t>
            </w:r>
          </w:p>
          <w:p w14:paraId="49DAE80A" w14:textId="77777777" w:rsidR="00AD62CD" w:rsidRPr="00E25CF8" w:rsidRDefault="00AD62CD" w:rsidP="003627DF">
            <w:pPr>
              <w:jc w:val="both"/>
              <w:rPr>
                <w:rFonts w:ascii="Times New Roman" w:eastAsia="Times New Roman" w:hAnsi="Times New Roman" w:cs="Times New Roman"/>
                <w:sz w:val="20"/>
                <w:szCs w:val="20"/>
                <w:lang w:eastAsia="sk-SK"/>
              </w:rPr>
            </w:pPr>
            <w:r w:rsidRPr="00E25CF8">
              <w:rPr>
                <w:rFonts w:ascii="Times New Roman" w:eastAsia="Times New Roman" w:hAnsi="Times New Roman" w:cs="Times New Roman"/>
                <w:sz w:val="20"/>
                <w:szCs w:val="20"/>
                <w:lang w:eastAsia="sk-SK"/>
              </w:rPr>
              <w:t>Zvyšuje sa odvod časti poistného z povinného zmluvného poistenia zodpovednosti za škodu spôsobenú prevádzkou motorového vozidla z 8 % na 10 %, ktorý odvádzajú poisťovne poskytujúce povinné zmluvné poistenia zodpovednosti za škodu spôsobenú prevádzkou motorového vozidla, čím sa zvýšia finančné prostriedky odvádzané na osobitný účet Ministerstva vnútra SR.</w:t>
            </w:r>
          </w:p>
          <w:p w14:paraId="6E049721" w14:textId="77777777" w:rsidR="00AD62CD" w:rsidRPr="00E25CF8" w:rsidRDefault="00AD62CD" w:rsidP="003627DF">
            <w:pPr>
              <w:jc w:val="both"/>
              <w:rPr>
                <w:rFonts w:ascii="Times New Roman" w:eastAsia="Times New Roman" w:hAnsi="Times New Roman" w:cs="Times New Roman"/>
                <w:sz w:val="20"/>
                <w:szCs w:val="20"/>
                <w:lang w:eastAsia="sk-SK"/>
              </w:rPr>
            </w:pPr>
          </w:p>
          <w:p w14:paraId="4126C27A" w14:textId="77777777" w:rsidR="00AD62CD" w:rsidRPr="00E25CF8" w:rsidRDefault="00AD62CD" w:rsidP="003627DF">
            <w:pPr>
              <w:jc w:val="both"/>
              <w:rPr>
                <w:rFonts w:ascii="Times New Roman" w:hAnsi="Times New Roman" w:cs="Times New Roman"/>
                <w:b/>
                <w:bCs/>
                <w:sz w:val="20"/>
                <w:szCs w:val="20"/>
              </w:rPr>
            </w:pPr>
            <w:r w:rsidRPr="00E25CF8">
              <w:rPr>
                <w:rFonts w:ascii="Times New Roman" w:hAnsi="Times New Roman" w:cs="Times New Roman"/>
                <w:b/>
                <w:bCs/>
                <w:sz w:val="20"/>
                <w:szCs w:val="20"/>
              </w:rPr>
              <w:t>Zákon o dani z poistenia</w:t>
            </w:r>
          </w:p>
          <w:p w14:paraId="06FF94F8" w14:textId="77777777" w:rsidR="00AD62CD" w:rsidRPr="00E25CF8" w:rsidRDefault="00AD62CD" w:rsidP="003627DF">
            <w:pPr>
              <w:rPr>
                <w:rFonts w:ascii="Times New Roman" w:eastAsia="Times New Roman" w:hAnsi="Times New Roman" w:cs="Times New Roman"/>
                <w:sz w:val="20"/>
                <w:szCs w:val="20"/>
                <w:lang w:eastAsia="sk-SK"/>
              </w:rPr>
            </w:pPr>
            <w:r w:rsidRPr="00E25CF8">
              <w:rPr>
                <w:rFonts w:ascii="Times New Roman" w:eastAsia="Times New Roman" w:hAnsi="Times New Roman" w:cs="Times New Roman"/>
                <w:sz w:val="20"/>
                <w:szCs w:val="20"/>
                <w:lang w:eastAsia="sk-SK"/>
              </w:rPr>
              <w:t>Zvyšuje sa aktuálne uplatňovaná sadzba dane z poistenia z 8 % na 10 % zo základu dane. V prípade poisteni</w:t>
            </w:r>
            <w:r>
              <w:rPr>
                <w:rFonts w:ascii="Times New Roman" w:eastAsia="Times New Roman" w:hAnsi="Times New Roman" w:cs="Times New Roman"/>
                <w:sz w:val="20"/>
                <w:szCs w:val="20"/>
                <w:lang w:eastAsia="sk-SK"/>
              </w:rPr>
              <w:t>a</w:t>
            </w:r>
            <w:r w:rsidRPr="00E25CF8">
              <w:rPr>
                <w:rFonts w:ascii="Times New Roman" w:eastAsia="Times New Roman" w:hAnsi="Times New Roman" w:cs="Times New Roman"/>
                <w:sz w:val="20"/>
                <w:szCs w:val="20"/>
                <w:lang w:eastAsia="sk-SK"/>
              </w:rPr>
              <w:t xml:space="preserve"> zodpovednosti za škodu spôsobenú prevádzkou motorového vozidla zostáva</w:t>
            </w:r>
            <w:r>
              <w:rPr>
                <w:rFonts w:ascii="Times New Roman" w:eastAsia="Times New Roman" w:hAnsi="Times New Roman" w:cs="Times New Roman"/>
                <w:sz w:val="20"/>
                <w:szCs w:val="20"/>
                <w:lang w:eastAsia="sk-SK"/>
              </w:rPr>
              <w:t xml:space="preserve"> zachovaná</w:t>
            </w:r>
            <w:r w:rsidRPr="00E25CF8">
              <w:rPr>
                <w:rFonts w:ascii="Times New Roman" w:eastAsia="Times New Roman" w:hAnsi="Times New Roman" w:cs="Times New Roman"/>
                <w:sz w:val="20"/>
                <w:szCs w:val="20"/>
                <w:lang w:eastAsia="sk-SK"/>
              </w:rPr>
              <w:t xml:space="preserve"> sadzba dane 0 % zo základu dane.</w:t>
            </w:r>
          </w:p>
          <w:p w14:paraId="1602AEFC" w14:textId="77777777" w:rsidR="00AD62CD" w:rsidRPr="00E25CF8" w:rsidRDefault="00AD62CD" w:rsidP="003627DF">
            <w:pPr>
              <w:jc w:val="both"/>
              <w:rPr>
                <w:rFonts w:ascii="Times New Roman" w:hAnsi="Times New Roman" w:cs="Times New Roman"/>
                <w:b/>
                <w:bCs/>
                <w:sz w:val="20"/>
                <w:szCs w:val="20"/>
              </w:rPr>
            </w:pPr>
          </w:p>
          <w:p w14:paraId="7FFFB88F" w14:textId="77777777" w:rsidR="00AD62CD" w:rsidRPr="00E25CF8" w:rsidRDefault="00AD62CD" w:rsidP="003627DF">
            <w:pPr>
              <w:jc w:val="both"/>
              <w:rPr>
                <w:rFonts w:ascii="Times New Roman" w:hAnsi="Times New Roman" w:cs="Times New Roman"/>
                <w:b/>
                <w:bCs/>
                <w:sz w:val="20"/>
                <w:szCs w:val="20"/>
              </w:rPr>
            </w:pPr>
            <w:r w:rsidRPr="003C42D1">
              <w:rPr>
                <w:rFonts w:ascii="Times New Roman" w:hAnsi="Times New Roman" w:cs="Times New Roman"/>
                <w:b/>
                <w:bCs/>
                <w:sz w:val="20"/>
                <w:szCs w:val="20"/>
              </w:rPr>
              <w:t>Zákon o hazardných hrách</w:t>
            </w:r>
          </w:p>
          <w:p w14:paraId="10583CF0" w14:textId="77777777" w:rsidR="00AD62CD" w:rsidRPr="00612E08" w:rsidRDefault="00AD62CD" w:rsidP="003627DF">
            <w:pPr>
              <w:jc w:val="both"/>
              <w:rPr>
                <w:rFonts w:ascii="Times New Roman" w:eastAsia="Times New Roman" w:hAnsi="Times New Roman" w:cs="Times New Roman"/>
                <w:sz w:val="20"/>
                <w:szCs w:val="20"/>
                <w:lang w:eastAsia="sk-SK"/>
              </w:rPr>
            </w:pPr>
            <w:r w:rsidRPr="003C42D1">
              <w:rPr>
                <w:rFonts w:ascii="Times New Roman" w:hAnsi="Times New Roman" w:cs="Times New Roman"/>
                <w:sz w:val="20"/>
                <w:szCs w:val="20"/>
              </w:rPr>
              <w:t>Cieľom je zvýšenie príjmov do rozpočtu z prevádzkovania hazardných hier.</w:t>
            </w:r>
            <w:r w:rsidRPr="00E25CF8">
              <w:rPr>
                <w:rFonts w:ascii="Times New Roman" w:hAnsi="Times New Roman" w:cs="Times New Roman"/>
                <w:b/>
                <w:bCs/>
                <w:sz w:val="20"/>
                <w:szCs w:val="20"/>
              </w:rPr>
              <w:t xml:space="preserve"> </w:t>
            </w:r>
            <w:r w:rsidRPr="003C42D1">
              <w:rPr>
                <w:rFonts w:ascii="Times New Roman" w:hAnsi="Times New Roman" w:cs="Times New Roman"/>
                <w:sz w:val="20"/>
                <w:szCs w:val="20"/>
              </w:rPr>
              <w:t>V súvislosti s opatreniami na potláčanie nelegálneho internetového hazardu je potrebné novelizovať aj zákon o platobných službách a  zákon o elektronických komunikáciách.</w:t>
            </w:r>
          </w:p>
        </w:tc>
      </w:tr>
      <w:tr w:rsidR="00AD62CD" w:rsidRPr="00612E08" w14:paraId="2F2F896C" w14:textId="77777777" w:rsidTr="003627DF">
        <w:tc>
          <w:tcPr>
            <w:tcW w:w="9180" w:type="dxa"/>
            <w:gridSpan w:val="11"/>
            <w:tcBorders>
              <w:top w:val="single" w:sz="4" w:space="0" w:color="auto"/>
              <w:left w:val="single" w:sz="4" w:space="0" w:color="auto"/>
              <w:bottom w:val="nil"/>
              <w:right w:val="single" w:sz="4" w:space="0" w:color="auto"/>
            </w:tcBorders>
            <w:shd w:val="clear" w:color="auto" w:fill="E2E2E2"/>
          </w:tcPr>
          <w:p w14:paraId="75328BF1" w14:textId="77777777" w:rsidR="00AD62CD" w:rsidRPr="00612E08" w:rsidRDefault="00AD62CD" w:rsidP="00AD62CD">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AD62CD" w:rsidRPr="00612E08" w14:paraId="69492663" w14:textId="77777777" w:rsidTr="003627DF">
        <w:tc>
          <w:tcPr>
            <w:tcW w:w="9180" w:type="dxa"/>
            <w:gridSpan w:val="11"/>
            <w:tcBorders>
              <w:top w:val="nil"/>
              <w:left w:val="single" w:sz="4" w:space="0" w:color="auto"/>
              <w:bottom w:val="single" w:sz="4" w:space="0" w:color="auto"/>
              <w:right w:val="single" w:sz="4" w:space="0" w:color="auto"/>
            </w:tcBorders>
            <w:shd w:val="clear" w:color="auto" w:fill="FFFFFF"/>
          </w:tcPr>
          <w:p w14:paraId="4DB7CB3A" w14:textId="77777777" w:rsidR="00AD62CD" w:rsidRPr="00E25CF8" w:rsidRDefault="00AD62CD" w:rsidP="003627DF">
            <w:pPr>
              <w:rPr>
                <w:rFonts w:ascii="Times New Roman" w:eastAsia="Times New Roman" w:hAnsi="Times New Roman" w:cs="Times New Roman"/>
                <w:i/>
                <w:sz w:val="20"/>
                <w:szCs w:val="20"/>
                <w:lang w:eastAsia="sk-SK"/>
              </w:rPr>
            </w:pPr>
            <w:r w:rsidRPr="00E25CF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1EFC457E" w14:textId="77777777" w:rsidR="00AD62CD" w:rsidRPr="00E25CF8" w:rsidRDefault="00AD62CD" w:rsidP="003627DF">
            <w:pPr>
              <w:rPr>
                <w:rFonts w:ascii="Times New Roman" w:eastAsia="Times New Roman" w:hAnsi="Times New Roman" w:cs="Times New Roman"/>
                <w:i/>
                <w:sz w:val="20"/>
                <w:szCs w:val="20"/>
                <w:lang w:eastAsia="sk-SK"/>
              </w:rPr>
            </w:pPr>
          </w:p>
          <w:p w14:paraId="4F02A8F2"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Zákonník práce</w:t>
            </w:r>
          </w:p>
          <w:p w14:paraId="34183244" w14:textId="77777777" w:rsidR="00AD62CD" w:rsidRPr="003C42D1" w:rsidRDefault="00AD62CD" w:rsidP="003627DF">
            <w:pPr>
              <w:jc w:val="both"/>
              <w:rPr>
                <w:rFonts w:ascii="Times New Roman" w:eastAsia="Times New Roman" w:hAnsi="Times New Roman" w:cs="Times New Roman"/>
                <w:bCs/>
                <w:sz w:val="20"/>
                <w:szCs w:val="20"/>
                <w:lang w:eastAsia="sk-SK"/>
              </w:rPr>
            </w:pPr>
            <w:r w:rsidRPr="003C42D1">
              <w:rPr>
                <w:rFonts w:ascii="Times New Roman" w:eastAsia="Times New Roman" w:hAnsi="Times New Roman" w:cs="Times New Roman"/>
                <w:bCs/>
                <w:sz w:val="20"/>
                <w:szCs w:val="20"/>
                <w:lang w:eastAsia="sk-SK"/>
              </w:rPr>
              <w:t>Zamestnanci, zamestnávatelia, SZČO</w:t>
            </w:r>
          </w:p>
          <w:p w14:paraId="1F4D3931" w14:textId="77777777" w:rsidR="00AD62CD" w:rsidRPr="00E25CF8" w:rsidRDefault="00AD62CD" w:rsidP="003627DF">
            <w:pPr>
              <w:jc w:val="both"/>
              <w:rPr>
                <w:rFonts w:ascii="Times New Roman" w:eastAsia="Times New Roman" w:hAnsi="Times New Roman" w:cs="Times New Roman"/>
                <w:b/>
                <w:sz w:val="20"/>
                <w:szCs w:val="20"/>
                <w:lang w:eastAsia="sk-SK"/>
              </w:rPr>
            </w:pPr>
          </w:p>
          <w:p w14:paraId="7097C226"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Banský zákon</w:t>
            </w:r>
          </w:p>
          <w:p w14:paraId="0900123C" w14:textId="77777777" w:rsidR="00AD62CD" w:rsidRPr="00E25CF8" w:rsidRDefault="00AD62CD" w:rsidP="003627DF">
            <w:pPr>
              <w:jc w:val="both"/>
              <w:rPr>
                <w:rFonts w:ascii="Times New Roman" w:hAnsi="Times New Roman" w:cs="Times New Roman"/>
                <w:iCs/>
                <w:sz w:val="20"/>
                <w:szCs w:val="20"/>
                <w:lang w:eastAsia="sk-SK"/>
              </w:rPr>
            </w:pPr>
            <w:r w:rsidRPr="00E25CF8">
              <w:rPr>
                <w:rFonts w:ascii="Times New Roman" w:hAnsi="Times New Roman" w:cs="Times New Roman"/>
                <w:iCs/>
                <w:sz w:val="20"/>
                <w:szCs w:val="20"/>
                <w:lang w:eastAsia="sk-SK"/>
              </w:rPr>
              <w:t>Podnikateľské subjekty v sektore ťažby nerastných surovín, obce.</w:t>
            </w:r>
          </w:p>
          <w:p w14:paraId="62C846F6" w14:textId="77777777" w:rsidR="00AD62CD" w:rsidRPr="00E25CF8" w:rsidRDefault="00AD62CD" w:rsidP="003627DF">
            <w:pPr>
              <w:jc w:val="both"/>
              <w:rPr>
                <w:rFonts w:ascii="Times New Roman" w:hAnsi="Times New Roman" w:cs="Times New Roman"/>
                <w:iCs/>
                <w:sz w:val="20"/>
                <w:szCs w:val="20"/>
                <w:lang w:eastAsia="sk-SK"/>
              </w:rPr>
            </w:pPr>
            <w:r w:rsidRPr="00E25CF8">
              <w:rPr>
                <w:rFonts w:ascii="Times New Roman" w:hAnsi="Times New Roman" w:cs="Times New Roman"/>
                <w:iCs/>
                <w:sz w:val="20"/>
                <w:szCs w:val="20"/>
                <w:lang w:eastAsia="sk-SK"/>
              </w:rPr>
              <w:t>Orgány štátnej banskej správy - Ministerstvo hospodárstva SR, Hlavný banský úrad a obvodné banské úrady.</w:t>
            </w:r>
          </w:p>
          <w:p w14:paraId="385729ED"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hAnsi="Times New Roman" w:cs="Times New Roman"/>
                <w:iCs/>
                <w:sz w:val="20"/>
                <w:szCs w:val="20"/>
                <w:lang w:eastAsia="sk-SK"/>
              </w:rPr>
              <w:t>Ministerstvo životného prostredia SR, Environmentálny fond.</w:t>
            </w:r>
          </w:p>
          <w:p w14:paraId="02F04BC8" w14:textId="77777777" w:rsidR="00AD62CD" w:rsidRPr="00E25CF8" w:rsidRDefault="00AD62CD" w:rsidP="003627DF">
            <w:pPr>
              <w:jc w:val="both"/>
              <w:rPr>
                <w:rFonts w:ascii="Times New Roman" w:eastAsia="Times New Roman" w:hAnsi="Times New Roman" w:cs="Times New Roman"/>
                <w:b/>
                <w:sz w:val="20"/>
                <w:szCs w:val="20"/>
                <w:lang w:eastAsia="sk-SK"/>
              </w:rPr>
            </w:pPr>
          </w:p>
          <w:p w14:paraId="5797F399"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štátnych sviatkoch, dňoch pracovného pokoja a pamätných dňoch</w:t>
            </w:r>
          </w:p>
          <w:p w14:paraId="7B691A69" w14:textId="77777777" w:rsidR="00AD62CD" w:rsidRPr="003C42D1" w:rsidRDefault="00AD62CD" w:rsidP="003627DF">
            <w:pPr>
              <w:jc w:val="both"/>
              <w:rPr>
                <w:rFonts w:ascii="Times New Roman" w:eastAsia="Times New Roman" w:hAnsi="Times New Roman" w:cs="Times New Roman"/>
                <w:bCs/>
                <w:sz w:val="20"/>
                <w:szCs w:val="20"/>
                <w:lang w:eastAsia="sk-SK"/>
              </w:rPr>
            </w:pPr>
            <w:r w:rsidRPr="003C42D1">
              <w:rPr>
                <w:rFonts w:ascii="Times New Roman" w:eastAsia="Times New Roman" w:hAnsi="Times New Roman" w:cs="Times New Roman"/>
                <w:bCs/>
                <w:sz w:val="20"/>
                <w:szCs w:val="20"/>
                <w:lang w:eastAsia="sk-SK"/>
              </w:rPr>
              <w:t>Zamestnanci, zamestnávatelia</w:t>
            </w:r>
          </w:p>
          <w:p w14:paraId="0A271938" w14:textId="77777777" w:rsidR="00AD62CD" w:rsidRPr="00E25CF8" w:rsidRDefault="00AD62CD" w:rsidP="003627DF">
            <w:pPr>
              <w:jc w:val="both"/>
              <w:rPr>
                <w:rFonts w:ascii="Times New Roman" w:eastAsia="Times New Roman" w:hAnsi="Times New Roman" w:cs="Times New Roman"/>
                <w:b/>
                <w:sz w:val="20"/>
                <w:szCs w:val="20"/>
                <w:lang w:eastAsia="sk-SK"/>
              </w:rPr>
            </w:pPr>
          </w:p>
          <w:p w14:paraId="18FF428D"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cestovných náhradách</w:t>
            </w:r>
          </w:p>
          <w:p w14:paraId="13A8E076"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hAnsi="Times New Roman" w:cs="Times New Roman"/>
                <w:sz w:val="20"/>
                <w:szCs w:val="20"/>
              </w:rPr>
              <w:t>Osobitné skupiny zamestnancov</w:t>
            </w:r>
          </w:p>
          <w:p w14:paraId="50B7BC0C" w14:textId="77777777" w:rsidR="00AD62CD" w:rsidRPr="00E25CF8" w:rsidRDefault="00AD62CD" w:rsidP="003627DF">
            <w:pPr>
              <w:jc w:val="both"/>
              <w:rPr>
                <w:rFonts w:ascii="Times New Roman" w:eastAsia="Times New Roman" w:hAnsi="Times New Roman" w:cs="Times New Roman"/>
                <w:b/>
                <w:sz w:val="20"/>
                <w:szCs w:val="20"/>
                <w:lang w:eastAsia="sk-SK"/>
              </w:rPr>
            </w:pPr>
          </w:p>
          <w:p w14:paraId="33B60681"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sociálnom poistení, Zákon o náhrade príjmu pri dočasnej pracovnej neschopnosti zamestnanca</w:t>
            </w:r>
          </w:p>
          <w:p w14:paraId="69245D26" w14:textId="77777777" w:rsidR="00AD62CD" w:rsidRPr="00E25CF8" w:rsidRDefault="00AD62CD" w:rsidP="003627DF">
            <w:pPr>
              <w:rPr>
                <w:rFonts w:ascii="Times New Roman" w:eastAsia="Times New Roman" w:hAnsi="Times New Roman" w:cs="Times New Roman"/>
                <w:sz w:val="20"/>
                <w:szCs w:val="20"/>
                <w:lang w:eastAsia="sk-SK"/>
              </w:rPr>
            </w:pPr>
            <w:r w:rsidRPr="00E25CF8">
              <w:rPr>
                <w:rFonts w:ascii="Times New Roman" w:eastAsia="Times New Roman" w:hAnsi="Times New Roman" w:cs="Times New Roman"/>
                <w:sz w:val="20"/>
                <w:szCs w:val="20"/>
                <w:lang w:eastAsia="sk-SK"/>
              </w:rPr>
              <w:t>Obce, VÚC, SZČO, zamestnávatelia, zamestnanci, dôchodcovia.</w:t>
            </w:r>
          </w:p>
          <w:p w14:paraId="3316764A" w14:textId="77777777" w:rsidR="00AD62CD" w:rsidRPr="00E25CF8" w:rsidRDefault="00AD62CD" w:rsidP="003627DF">
            <w:pPr>
              <w:rPr>
                <w:rFonts w:ascii="Times New Roman" w:eastAsia="Times New Roman" w:hAnsi="Times New Roman" w:cs="Times New Roman"/>
                <w:i/>
                <w:sz w:val="20"/>
                <w:szCs w:val="20"/>
                <w:lang w:eastAsia="sk-SK"/>
              </w:rPr>
            </w:pPr>
          </w:p>
          <w:p w14:paraId="7FC4B58B" w14:textId="77777777" w:rsidR="00AD62CD" w:rsidRPr="00E25CF8" w:rsidRDefault="00AD62CD" w:rsidP="003627DF">
            <w:pPr>
              <w:rPr>
                <w:rFonts w:ascii="Times New Roman" w:eastAsia="Times New Roman" w:hAnsi="Times New Roman" w:cs="Times New Roman"/>
                <w:b/>
                <w:bCs/>
                <w:sz w:val="20"/>
                <w:szCs w:val="20"/>
                <w:lang w:eastAsia="sk-SK"/>
              </w:rPr>
            </w:pPr>
            <w:r w:rsidRPr="00E25CF8">
              <w:rPr>
                <w:rFonts w:ascii="Times New Roman" w:eastAsia="Times New Roman" w:hAnsi="Times New Roman" w:cs="Times New Roman"/>
                <w:b/>
                <w:bCs/>
                <w:sz w:val="20"/>
                <w:szCs w:val="20"/>
                <w:lang w:eastAsia="sk-SK"/>
              </w:rPr>
              <w:t>Zákon o dani z príjmov</w:t>
            </w:r>
          </w:p>
          <w:p w14:paraId="38758C55" w14:textId="77777777" w:rsidR="00AD62CD" w:rsidRPr="00E25CF8" w:rsidRDefault="00AD62CD" w:rsidP="003627DF">
            <w:pPr>
              <w:rPr>
                <w:rFonts w:ascii="Times New Roman" w:eastAsia="Times New Roman" w:hAnsi="Times New Roman" w:cs="Times New Roman"/>
                <w:bCs/>
                <w:sz w:val="20"/>
                <w:szCs w:val="20"/>
                <w:lang w:eastAsia="sk-SK"/>
              </w:rPr>
            </w:pPr>
            <w:r w:rsidRPr="00E25CF8">
              <w:rPr>
                <w:rFonts w:ascii="Times New Roman" w:eastAsia="Times New Roman" w:hAnsi="Times New Roman" w:cs="Times New Roman"/>
                <w:bCs/>
                <w:sz w:val="20"/>
                <w:szCs w:val="20"/>
                <w:lang w:eastAsia="sk-SK"/>
              </w:rPr>
              <w:t>Právnické osoby, banky, fyzické osoby – podnikatelia, fyzické osoby – zamestnanci.</w:t>
            </w:r>
          </w:p>
          <w:p w14:paraId="10957605" w14:textId="77777777" w:rsidR="00AD62CD" w:rsidRPr="00E25CF8" w:rsidRDefault="00AD62CD" w:rsidP="003627DF">
            <w:pPr>
              <w:rPr>
                <w:rFonts w:ascii="Times New Roman" w:eastAsia="Times New Roman" w:hAnsi="Times New Roman" w:cs="Times New Roman"/>
                <w:i/>
                <w:sz w:val="20"/>
                <w:szCs w:val="20"/>
                <w:lang w:eastAsia="sk-SK"/>
              </w:rPr>
            </w:pPr>
          </w:p>
          <w:p w14:paraId="50DD48D3" w14:textId="77777777" w:rsidR="00AD62CD" w:rsidRPr="003C42D1"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starobnom dôchodkovom sporení</w:t>
            </w:r>
          </w:p>
          <w:p w14:paraId="543FAA88" w14:textId="77777777" w:rsidR="00AD62CD" w:rsidRPr="003C42D1" w:rsidRDefault="00AD62CD" w:rsidP="003627DF">
            <w:pPr>
              <w:jc w:val="both"/>
              <w:rPr>
                <w:rFonts w:ascii="Times New Roman" w:eastAsia="Times New Roman" w:hAnsi="Times New Roman" w:cs="Times New Roman"/>
                <w:bCs/>
                <w:sz w:val="20"/>
                <w:szCs w:val="20"/>
                <w:lang w:eastAsia="sk-SK"/>
              </w:rPr>
            </w:pPr>
            <w:r w:rsidRPr="003C42D1">
              <w:rPr>
                <w:rFonts w:ascii="Times New Roman" w:eastAsia="Times New Roman" w:hAnsi="Times New Roman" w:cs="Times New Roman"/>
                <w:bCs/>
                <w:sz w:val="20"/>
                <w:szCs w:val="20"/>
                <w:lang w:eastAsia="sk-SK"/>
              </w:rPr>
              <w:t>SZČO – povinne dôchodkovo poistená osoba a dobrovoľne dôchodkovo poistená osoba</w:t>
            </w:r>
          </w:p>
          <w:p w14:paraId="297E021E" w14:textId="77777777" w:rsidR="00AD62CD" w:rsidRDefault="00AD62CD" w:rsidP="003627DF">
            <w:pPr>
              <w:jc w:val="both"/>
              <w:rPr>
                <w:rFonts w:ascii="Times New Roman" w:eastAsia="Times New Roman" w:hAnsi="Times New Roman" w:cs="Times New Roman"/>
                <w:b/>
                <w:sz w:val="20"/>
                <w:szCs w:val="20"/>
                <w:lang w:eastAsia="sk-SK"/>
              </w:rPr>
            </w:pPr>
          </w:p>
          <w:p w14:paraId="62240327"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dani z pridanej hodnoty</w:t>
            </w:r>
          </w:p>
          <w:p w14:paraId="1A99C93C"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hAnsi="Times New Roman" w:cs="Times New Roman"/>
                <w:sz w:val="20"/>
                <w:szCs w:val="20"/>
                <w:lang w:eastAsia="sk-SK"/>
              </w:rPr>
              <w:t>Finančné riaditeľstvo SR, daňové úrady, colné úrady, zdaniteľné osoby, fyzické osoby.</w:t>
            </w:r>
          </w:p>
          <w:p w14:paraId="18C9C303" w14:textId="77777777" w:rsidR="00AD62CD" w:rsidRPr="00E25CF8" w:rsidRDefault="00AD62CD" w:rsidP="003627DF">
            <w:pPr>
              <w:jc w:val="both"/>
              <w:rPr>
                <w:rFonts w:ascii="Times New Roman" w:eastAsia="Times New Roman" w:hAnsi="Times New Roman" w:cs="Times New Roman"/>
                <w:b/>
                <w:sz w:val="20"/>
                <w:szCs w:val="20"/>
                <w:lang w:eastAsia="sk-SK"/>
              </w:rPr>
            </w:pPr>
          </w:p>
          <w:p w14:paraId="0F4B171F"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rozpočtovom určení výnosu dane z príjmov územnej samospráve</w:t>
            </w:r>
          </w:p>
          <w:p w14:paraId="4EC2A93F" w14:textId="77777777" w:rsidR="00AD62CD" w:rsidRPr="003C42D1" w:rsidRDefault="00AD62CD" w:rsidP="003627DF">
            <w:pPr>
              <w:jc w:val="both"/>
              <w:rPr>
                <w:rFonts w:ascii="Times New Roman" w:eastAsia="Times New Roman" w:hAnsi="Times New Roman" w:cs="Times New Roman"/>
                <w:bCs/>
                <w:sz w:val="20"/>
                <w:szCs w:val="20"/>
                <w:lang w:eastAsia="sk-SK"/>
              </w:rPr>
            </w:pPr>
            <w:r w:rsidRPr="003C42D1">
              <w:rPr>
                <w:rFonts w:ascii="Times New Roman" w:eastAsia="Times New Roman" w:hAnsi="Times New Roman" w:cs="Times New Roman"/>
                <w:bCs/>
                <w:sz w:val="20"/>
                <w:szCs w:val="20"/>
                <w:lang w:eastAsia="sk-SK"/>
              </w:rPr>
              <w:t>Obce, VÚC</w:t>
            </w:r>
          </w:p>
          <w:p w14:paraId="1CE3BD71" w14:textId="77777777" w:rsidR="00AD62CD" w:rsidRPr="00E25CF8" w:rsidRDefault="00AD62CD" w:rsidP="003627DF">
            <w:pPr>
              <w:jc w:val="both"/>
              <w:rPr>
                <w:rFonts w:ascii="Times New Roman" w:eastAsia="Times New Roman" w:hAnsi="Times New Roman" w:cs="Times New Roman"/>
                <w:b/>
                <w:sz w:val="20"/>
                <w:szCs w:val="20"/>
                <w:lang w:eastAsia="sk-SK"/>
              </w:rPr>
            </w:pPr>
          </w:p>
          <w:p w14:paraId="67E74C93"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zdravotnom poistení</w:t>
            </w:r>
          </w:p>
          <w:p w14:paraId="2F7189E8" w14:textId="77777777" w:rsidR="00AD62CD" w:rsidRPr="003C42D1" w:rsidRDefault="00AD62CD" w:rsidP="003627DF">
            <w:pPr>
              <w:jc w:val="both"/>
              <w:rPr>
                <w:rFonts w:ascii="Times New Roman" w:hAnsi="Times New Roman" w:cs="Times New Roman"/>
                <w:sz w:val="20"/>
                <w:szCs w:val="20"/>
              </w:rPr>
            </w:pPr>
            <w:r w:rsidRPr="003C42D1">
              <w:rPr>
                <w:rFonts w:ascii="Times New Roman" w:hAnsi="Times New Roman" w:cs="Times New Roman"/>
                <w:sz w:val="20"/>
                <w:szCs w:val="20"/>
              </w:rPr>
              <w:t>Zdravotné poisťovne, platitelia poistného.</w:t>
            </w:r>
          </w:p>
          <w:p w14:paraId="31C44F57" w14:textId="77777777" w:rsidR="00AD62CD" w:rsidRPr="00E25CF8" w:rsidRDefault="00AD62CD" w:rsidP="003627DF">
            <w:pPr>
              <w:jc w:val="both"/>
              <w:rPr>
                <w:rFonts w:ascii="Times New Roman" w:eastAsia="Times New Roman" w:hAnsi="Times New Roman" w:cs="Times New Roman"/>
                <w:bCs/>
                <w:sz w:val="20"/>
                <w:szCs w:val="20"/>
                <w:lang w:eastAsia="sk-SK"/>
              </w:rPr>
            </w:pPr>
          </w:p>
          <w:p w14:paraId="53249013"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Environmentálnom fonde</w:t>
            </w:r>
          </w:p>
          <w:p w14:paraId="3CB81014" w14:textId="77777777" w:rsidR="00AD62CD" w:rsidRPr="00E25CF8" w:rsidRDefault="00AD62CD" w:rsidP="003627DF">
            <w:pPr>
              <w:jc w:val="both"/>
              <w:rPr>
                <w:rFonts w:ascii="Times New Roman" w:eastAsia="Times New Roman" w:hAnsi="Times New Roman" w:cs="Times New Roman"/>
                <w:bCs/>
                <w:sz w:val="20"/>
                <w:szCs w:val="20"/>
                <w:lang w:eastAsia="sk-SK"/>
              </w:rPr>
            </w:pPr>
            <w:r w:rsidRPr="00E25CF8">
              <w:rPr>
                <w:rFonts w:ascii="Times New Roman" w:eastAsia="Times New Roman" w:hAnsi="Times New Roman" w:cs="Times New Roman"/>
                <w:bCs/>
                <w:sz w:val="20"/>
                <w:szCs w:val="20"/>
                <w:lang w:eastAsia="sk-SK"/>
              </w:rPr>
              <w:t>Environmentálny fond</w:t>
            </w:r>
          </w:p>
          <w:p w14:paraId="7C4DADAC" w14:textId="77777777" w:rsidR="00AD62CD" w:rsidRPr="00E25CF8" w:rsidRDefault="00AD62CD" w:rsidP="003627DF">
            <w:pPr>
              <w:jc w:val="both"/>
              <w:rPr>
                <w:rFonts w:ascii="Times New Roman" w:eastAsia="Times New Roman" w:hAnsi="Times New Roman" w:cs="Times New Roman"/>
                <w:bCs/>
                <w:sz w:val="20"/>
                <w:szCs w:val="20"/>
                <w:lang w:eastAsia="sk-SK"/>
              </w:rPr>
            </w:pPr>
          </w:p>
          <w:p w14:paraId="4B0C9A97"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inšpekcii práce</w:t>
            </w:r>
          </w:p>
          <w:p w14:paraId="3D937D7B" w14:textId="77777777" w:rsidR="00AD62CD" w:rsidRPr="003C42D1" w:rsidRDefault="00AD62CD" w:rsidP="003627DF">
            <w:pPr>
              <w:jc w:val="both"/>
              <w:rPr>
                <w:rFonts w:ascii="Times New Roman" w:eastAsia="Times New Roman" w:hAnsi="Times New Roman" w:cs="Times New Roman"/>
                <w:bCs/>
                <w:sz w:val="20"/>
                <w:szCs w:val="20"/>
                <w:lang w:eastAsia="sk-SK"/>
              </w:rPr>
            </w:pPr>
            <w:r w:rsidRPr="003C42D1">
              <w:rPr>
                <w:rFonts w:ascii="Times New Roman" w:eastAsia="Times New Roman" w:hAnsi="Times New Roman" w:cs="Times New Roman"/>
                <w:bCs/>
                <w:sz w:val="20"/>
                <w:szCs w:val="20"/>
                <w:lang w:eastAsia="sk-SK"/>
              </w:rPr>
              <w:t>Zamestnávatelia</w:t>
            </w:r>
          </w:p>
          <w:p w14:paraId="5E419D5E" w14:textId="77777777" w:rsidR="00AD62CD" w:rsidRPr="00E25CF8" w:rsidRDefault="00AD62CD" w:rsidP="003627DF">
            <w:pPr>
              <w:jc w:val="both"/>
              <w:rPr>
                <w:rFonts w:ascii="Times New Roman" w:eastAsia="Times New Roman" w:hAnsi="Times New Roman" w:cs="Times New Roman"/>
                <w:b/>
                <w:sz w:val="20"/>
                <w:szCs w:val="20"/>
                <w:lang w:eastAsia="sk-SK"/>
              </w:rPr>
            </w:pPr>
          </w:p>
          <w:p w14:paraId="163EF625" w14:textId="77777777" w:rsidR="00AD62CD" w:rsidRPr="00E25CF8" w:rsidRDefault="00AD62CD" w:rsidP="003627DF">
            <w:pPr>
              <w:jc w:val="both"/>
              <w:rPr>
                <w:rFonts w:ascii="Times New Roman" w:eastAsia="Times New Roman" w:hAnsi="Times New Roman" w:cs="Times New Roman"/>
                <w:b/>
                <w:sz w:val="20"/>
                <w:szCs w:val="20"/>
                <w:lang w:eastAsia="sk-SK"/>
              </w:rPr>
            </w:pPr>
            <w:r w:rsidRPr="003C42D1">
              <w:rPr>
                <w:rFonts w:ascii="Times New Roman" w:eastAsia="Times New Roman" w:hAnsi="Times New Roman" w:cs="Times New Roman"/>
                <w:b/>
                <w:sz w:val="20"/>
                <w:szCs w:val="20"/>
                <w:lang w:eastAsia="sk-SK"/>
              </w:rPr>
              <w:t>Zákon o platobných službách</w:t>
            </w:r>
          </w:p>
          <w:p w14:paraId="08759880" w14:textId="77777777" w:rsidR="00AD62CD" w:rsidRPr="003C42D1" w:rsidRDefault="00AD62CD" w:rsidP="003627DF">
            <w:pPr>
              <w:rPr>
                <w:rFonts w:ascii="Times New Roman" w:eastAsia="Times New Roman" w:hAnsi="Times New Roman" w:cs="Times New Roman"/>
                <w:iCs/>
                <w:sz w:val="20"/>
                <w:szCs w:val="20"/>
                <w:lang w:eastAsia="sk-SK"/>
              </w:rPr>
            </w:pPr>
            <w:r w:rsidRPr="003C42D1">
              <w:rPr>
                <w:rFonts w:ascii="Times New Roman" w:eastAsia="Times New Roman" w:hAnsi="Times New Roman" w:cs="Times New Roman"/>
                <w:iCs/>
                <w:sz w:val="20"/>
                <w:szCs w:val="20"/>
                <w:lang w:eastAsia="sk-SK"/>
              </w:rPr>
              <w:t>Poskytovatelia platobných služieb</w:t>
            </w:r>
          </w:p>
          <w:p w14:paraId="22681CAD" w14:textId="77777777" w:rsidR="00AD62CD" w:rsidRPr="00E25CF8" w:rsidRDefault="00AD62CD" w:rsidP="003627DF">
            <w:pPr>
              <w:rPr>
                <w:rFonts w:ascii="Times New Roman" w:eastAsia="Times New Roman" w:hAnsi="Times New Roman" w:cs="Times New Roman"/>
                <w:i/>
                <w:sz w:val="20"/>
                <w:szCs w:val="20"/>
                <w:lang w:eastAsia="sk-SK"/>
              </w:rPr>
            </w:pPr>
            <w:r w:rsidRPr="00E25CF8">
              <w:rPr>
                <w:rFonts w:ascii="Times New Roman" w:eastAsia="Times New Roman" w:hAnsi="Times New Roman" w:cs="Times New Roman"/>
                <w:i/>
                <w:sz w:val="20"/>
                <w:szCs w:val="20"/>
                <w:lang w:eastAsia="sk-SK"/>
              </w:rPr>
              <w:t xml:space="preserve"> </w:t>
            </w:r>
          </w:p>
          <w:p w14:paraId="0F20D8D7" w14:textId="77777777" w:rsidR="00AD62CD" w:rsidRPr="00E25CF8" w:rsidRDefault="00AD62CD" w:rsidP="003627DF">
            <w:pPr>
              <w:jc w:val="both"/>
              <w:rPr>
                <w:rFonts w:ascii="Times New Roman" w:eastAsia="Times New Roman" w:hAnsi="Times New Roman" w:cs="Times New Roman"/>
                <w:b/>
                <w:sz w:val="20"/>
                <w:szCs w:val="20"/>
                <w:lang w:eastAsia="sk-SK"/>
              </w:rPr>
            </w:pPr>
            <w:r w:rsidRPr="00E25CF8">
              <w:rPr>
                <w:rFonts w:ascii="Times New Roman" w:eastAsia="Times New Roman" w:hAnsi="Times New Roman" w:cs="Times New Roman"/>
                <w:b/>
                <w:sz w:val="20"/>
                <w:szCs w:val="20"/>
                <w:lang w:eastAsia="sk-SK"/>
              </w:rPr>
              <w:t>Zákon o osobitnom odvode v regulovaných odvetviach</w:t>
            </w:r>
          </w:p>
          <w:p w14:paraId="7A2B6839" w14:textId="77777777" w:rsidR="00AD62CD" w:rsidRPr="00E25CF8" w:rsidRDefault="00AD62CD" w:rsidP="003627DF">
            <w:pPr>
              <w:jc w:val="both"/>
              <w:rPr>
                <w:rFonts w:ascii="Times New Roman" w:eastAsia="Times New Roman" w:hAnsi="Times New Roman" w:cs="Times New Roman"/>
                <w:bCs/>
                <w:sz w:val="20"/>
                <w:szCs w:val="20"/>
                <w:lang w:eastAsia="sk-SK"/>
              </w:rPr>
            </w:pPr>
            <w:r w:rsidRPr="00E25CF8">
              <w:rPr>
                <w:rFonts w:ascii="Times New Roman" w:eastAsia="Times New Roman" w:hAnsi="Times New Roman" w:cs="Times New Roman"/>
                <w:bCs/>
                <w:sz w:val="20"/>
                <w:szCs w:val="20"/>
                <w:lang w:eastAsia="sk-SK"/>
              </w:rPr>
              <w:t>Dôchodkové správcovské spoločnosti, doplnkové dôchodkové spoločnosti, správcovské spoločnosti podnikajúce v oblasti kolektívneho investovania na základe povolenia udeleného Národnou bankou Slovenska, ktoré dosiahnu výsledok hospodárenia najmenej 3 mil. eur.</w:t>
            </w:r>
          </w:p>
          <w:p w14:paraId="6E4A54C8" w14:textId="77777777" w:rsidR="00AD62CD" w:rsidRPr="00E25CF8" w:rsidRDefault="00AD62CD" w:rsidP="003627DF">
            <w:pPr>
              <w:rPr>
                <w:rFonts w:ascii="Times New Roman" w:eastAsia="Times New Roman" w:hAnsi="Times New Roman" w:cs="Times New Roman"/>
                <w:b/>
                <w:bCs/>
                <w:sz w:val="20"/>
                <w:szCs w:val="20"/>
                <w:lang w:eastAsia="sk-SK"/>
              </w:rPr>
            </w:pPr>
          </w:p>
          <w:p w14:paraId="34A36316" w14:textId="77777777" w:rsidR="00AD62CD" w:rsidRPr="00E25CF8" w:rsidRDefault="00AD62CD" w:rsidP="003627DF">
            <w:pPr>
              <w:rPr>
                <w:rFonts w:ascii="Times New Roman" w:eastAsia="Times New Roman" w:hAnsi="Times New Roman" w:cs="Times New Roman"/>
                <w:b/>
                <w:bCs/>
                <w:sz w:val="20"/>
                <w:szCs w:val="20"/>
                <w:lang w:eastAsia="sk-SK"/>
              </w:rPr>
            </w:pPr>
            <w:r w:rsidRPr="00E25CF8">
              <w:rPr>
                <w:rFonts w:ascii="Times New Roman" w:eastAsia="Times New Roman" w:hAnsi="Times New Roman" w:cs="Times New Roman"/>
                <w:b/>
                <w:bCs/>
                <w:sz w:val="20"/>
                <w:szCs w:val="20"/>
                <w:lang w:eastAsia="sk-SK"/>
              </w:rPr>
              <w:t>Zákon o poisťovníctve</w:t>
            </w:r>
          </w:p>
          <w:p w14:paraId="7B1D0227" w14:textId="77777777" w:rsidR="00AD62CD" w:rsidRPr="00E25CF8" w:rsidRDefault="00AD62CD" w:rsidP="003627DF">
            <w:pPr>
              <w:rPr>
                <w:rFonts w:ascii="Times New Roman" w:eastAsia="Times New Roman" w:hAnsi="Times New Roman" w:cs="Times New Roman"/>
                <w:sz w:val="20"/>
                <w:szCs w:val="20"/>
                <w:lang w:eastAsia="sk-SK"/>
              </w:rPr>
            </w:pPr>
            <w:r w:rsidRPr="00E25CF8">
              <w:rPr>
                <w:rFonts w:ascii="Times New Roman" w:eastAsia="Times New Roman" w:hAnsi="Times New Roman" w:cs="Times New Roman"/>
                <w:sz w:val="20"/>
                <w:szCs w:val="20"/>
                <w:lang w:eastAsia="sk-SK"/>
              </w:rPr>
              <w:t xml:space="preserve">Poisťovne poskytujúce PZP.  </w:t>
            </w:r>
          </w:p>
          <w:p w14:paraId="22E89718" w14:textId="77777777" w:rsidR="00AD62CD" w:rsidRPr="00E25CF8" w:rsidRDefault="00AD62CD" w:rsidP="003627DF">
            <w:pPr>
              <w:rPr>
                <w:rFonts w:ascii="Times New Roman" w:eastAsia="Times New Roman" w:hAnsi="Times New Roman" w:cs="Times New Roman"/>
                <w:sz w:val="20"/>
                <w:szCs w:val="20"/>
                <w:lang w:eastAsia="sk-SK"/>
              </w:rPr>
            </w:pPr>
          </w:p>
          <w:p w14:paraId="4FF9302F" w14:textId="77777777" w:rsidR="00AD62CD" w:rsidRPr="00E25CF8" w:rsidRDefault="00AD62CD" w:rsidP="003627DF">
            <w:pPr>
              <w:jc w:val="both"/>
              <w:rPr>
                <w:rFonts w:ascii="Times New Roman" w:hAnsi="Times New Roman" w:cs="Times New Roman"/>
                <w:b/>
                <w:bCs/>
                <w:sz w:val="20"/>
                <w:szCs w:val="20"/>
              </w:rPr>
            </w:pPr>
            <w:r w:rsidRPr="00E25CF8">
              <w:rPr>
                <w:rFonts w:ascii="Times New Roman" w:hAnsi="Times New Roman" w:cs="Times New Roman"/>
                <w:b/>
                <w:bCs/>
                <w:sz w:val="20"/>
                <w:szCs w:val="20"/>
              </w:rPr>
              <w:t>Zákon o dani z poistenia</w:t>
            </w:r>
          </w:p>
          <w:p w14:paraId="25BA6B52" w14:textId="77777777" w:rsidR="00AD62CD" w:rsidRPr="00E25CF8" w:rsidRDefault="00AD62CD" w:rsidP="003627DF">
            <w:pPr>
              <w:rPr>
                <w:rFonts w:ascii="Times New Roman" w:eastAsia="Times New Roman" w:hAnsi="Times New Roman" w:cs="Times New Roman"/>
                <w:iCs/>
                <w:sz w:val="20"/>
                <w:szCs w:val="20"/>
                <w:lang w:eastAsia="sk-SK"/>
              </w:rPr>
            </w:pPr>
            <w:r w:rsidRPr="00E25CF8">
              <w:rPr>
                <w:rFonts w:ascii="Times New Roman" w:eastAsia="Times New Roman" w:hAnsi="Times New Roman" w:cs="Times New Roman"/>
                <w:iCs/>
                <w:sz w:val="20"/>
                <w:szCs w:val="20"/>
                <w:lang w:eastAsia="sk-SK"/>
              </w:rPr>
              <w:t>Poistníci – fyzické a právnické osoby, poisťovne.</w:t>
            </w:r>
          </w:p>
          <w:p w14:paraId="7BB3E002" w14:textId="77777777" w:rsidR="00AD62CD" w:rsidRPr="00E25CF8" w:rsidRDefault="00AD62CD" w:rsidP="003627DF">
            <w:pPr>
              <w:jc w:val="both"/>
              <w:rPr>
                <w:rFonts w:ascii="Times New Roman" w:hAnsi="Times New Roman" w:cs="Times New Roman"/>
                <w:b/>
                <w:bCs/>
                <w:sz w:val="20"/>
                <w:szCs w:val="20"/>
              </w:rPr>
            </w:pPr>
          </w:p>
          <w:p w14:paraId="3EA5A7E9" w14:textId="77777777" w:rsidR="00AD62CD" w:rsidRPr="00E25CF8" w:rsidRDefault="00AD62CD" w:rsidP="003627DF">
            <w:pPr>
              <w:jc w:val="both"/>
              <w:rPr>
                <w:rFonts w:ascii="Times New Roman" w:hAnsi="Times New Roman" w:cs="Times New Roman"/>
                <w:b/>
                <w:bCs/>
                <w:sz w:val="20"/>
                <w:szCs w:val="20"/>
              </w:rPr>
            </w:pPr>
            <w:r w:rsidRPr="003C42D1">
              <w:rPr>
                <w:rFonts w:ascii="Times New Roman" w:hAnsi="Times New Roman" w:cs="Times New Roman"/>
                <w:b/>
                <w:bCs/>
                <w:sz w:val="20"/>
                <w:szCs w:val="20"/>
              </w:rPr>
              <w:t>Zákon o hazardných hrách</w:t>
            </w:r>
          </w:p>
          <w:p w14:paraId="742760CB" w14:textId="77777777" w:rsidR="00AD62CD" w:rsidRPr="003C42D1" w:rsidRDefault="00AD62CD" w:rsidP="003627DF">
            <w:pPr>
              <w:jc w:val="both"/>
              <w:rPr>
                <w:rFonts w:ascii="Times New Roman" w:hAnsi="Times New Roman" w:cs="Times New Roman"/>
                <w:sz w:val="20"/>
                <w:szCs w:val="20"/>
              </w:rPr>
            </w:pPr>
            <w:r w:rsidRPr="003C42D1">
              <w:rPr>
                <w:rFonts w:ascii="Times New Roman" w:hAnsi="Times New Roman" w:cs="Times New Roman"/>
                <w:sz w:val="20"/>
                <w:szCs w:val="20"/>
              </w:rPr>
              <w:t>Prevádzkovatelia hazardných hier</w:t>
            </w:r>
          </w:p>
          <w:p w14:paraId="25B95312" w14:textId="77777777" w:rsidR="00AD62CD" w:rsidRPr="00E25CF8" w:rsidRDefault="00AD62CD" w:rsidP="003627DF">
            <w:pPr>
              <w:jc w:val="both"/>
              <w:rPr>
                <w:rFonts w:ascii="Times New Roman" w:hAnsi="Times New Roman" w:cs="Times New Roman"/>
                <w:b/>
                <w:bCs/>
                <w:sz w:val="20"/>
                <w:szCs w:val="20"/>
              </w:rPr>
            </w:pPr>
          </w:p>
          <w:p w14:paraId="51B48ED0" w14:textId="77777777" w:rsidR="00AD62CD" w:rsidRPr="00E25CF8" w:rsidRDefault="00AD62CD" w:rsidP="003627DF">
            <w:pPr>
              <w:jc w:val="both"/>
              <w:rPr>
                <w:rFonts w:ascii="Times New Roman" w:hAnsi="Times New Roman" w:cs="Times New Roman"/>
                <w:b/>
                <w:bCs/>
                <w:sz w:val="20"/>
                <w:szCs w:val="20"/>
              </w:rPr>
            </w:pPr>
            <w:r w:rsidRPr="003C42D1">
              <w:rPr>
                <w:rFonts w:ascii="Times New Roman" w:hAnsi="Times New Roman" w:cs="Times New Roman"/>
                <w:b/>
                <w:bCs/>
                <w:sz w:val="20"/>
                <w:szCs w:val="20"/>
              </w:rPr>
              <w:t>Zákon o elektronických komunikáciách</w:t>
            </w:r>
          </w:p>
          <w:p w14:paraId="16D7A106" w14:textId="77777777" w:rsidR="00AD62CD" w:rsidRPr="00612E08" w:rsidRDefault="00AD62CD" w:rsidP="003627DF">
            <w:pPr>
              <w:rPr>
                <w:rFonts w:ascii="Times New Roman" w:eastAsia="Times New Roman" w:hAnsi="Times New Roman" w:cs="Times New Roman"/>
                <w:i/>
                <w:sz w:val="20"/>
                <w:szCs w:val="20"/>
                <w:lang w:eastAsia="sk-SK"/>
              </w:rPr>
            </w:pPr>
            <w:r w:rsidRPr="003C42D1">
              <w:rPr>
                <w:rFonts w:ascii="Times New Roman" w:hAnsi="Times New Roman" w:cs="Times New Roman"/>
                <w:sz w:val="20"/>
                <w:szCs w:val="20"/>
              </w:rPr>
              <w:t>Úrad pre reguláciu hazardných hier</w:t>
            </w:r>
          </w:p>
        </w:tc>
      </w:tr>
      <w:tr w:rsidR="00AD62CD" w:rsidRPr="00612E08" w14:paraId="1B0C3BD2" w14:textId="77777777" w:rsidTr="003627DF">
        <w:tc>
          <w:tcPr>
            <w:tcW w:w="9180" w:type="dxa"/>
            <w:gridSpan w:val="11"/>
            <w:tcBorders>
              <w:top w:val="single" w:sz="4" w:space="0" w:color="auto"/>
              <w:left w:val="single" w:sz="4" w:space="0" w:color="auto"/>
              <w:bottom w:val="nil"/>
              <w:right w:val="single" w:sz="4" w:space="0" w:color="auto"/>
            </w:tcBorders>
            <w:shd w:val="clear" w:color="auto" w:fill="E2E2E2"/>
          </w:tcPr>
          <w:p w14:paraId="3652A18C" w14:textId="77777777" w:rsidR="00AD62CD" w:rsidRPr="00612E08" w:rsidRDefault="00AD62CD" w:rsidP="00AD62CD">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AD62CD" w:rsidRPr="00612E08" w14:paraId="37468A38" w14:textId="77777777" w:rsidTr="003627DF">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3F5FB776" w14:textId="77777777" w:rsidR="00AD62CD" w:rsidRPr="00B043B4" w:rsidRDefault="00AD62CD" w:rsidP="003627DF">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560E1158" w14:textId="77777777" w:rsidR="00AD62CD" w:rsidRPr="00B043B4" w:rsidRDefault="00AD62CD" w:rsidP="003627DF">
            <w:pPr>
              <w:rPr>
                <w:rFonts w:ascii="Times New Roman" w:eastAsia="Times New Roman" w:hAnsi="Times New Roman" w:cs="Times New Roman"/>
                <w:i/>
                <w:sz w:val="20"/>
                <w:szCs w:val="20"/>
                <w:lang w:eastAsia="sk-SK"/>
              </w:rPr>
            </w:pPr>
          </w:p>
          <w:p w14:paraId="74BC30E3" w14:textId="77777777" w:rsidR="00AD62CD" w:rsidRDefault="00AD62CD" w:rsidP="003627DF">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72AC5F16" w14:textId="77777777" w:rsidR="00AD62CD" w:rsidRDefault="00AD62CD" w:rsidP="003627DF">
            <w:pPr>
              <w:jc w:val="both"/>
              <w:rPr>
                <w:rFonts w:ascii="Times New Roman" w:eastAsia="Times New Roman" w:hAnsi="Times New Roman" w:cs="Times New Roman"/>
                <w:b/>
                <w:bCs/>
                <w:sz w:val="20"/>
                <w:szCs w:val="20"/>
                <w:lang w:eastAsia="sk-SK"/>
              </w:rPr>
            </w:pPr>
          </w:p>
          <w:p w14:paraId="59C8BB1D" w14:textId="77777777" w:rsidR="00AD62CD" w:rsidRPr="000F5A90" w:rsidRDefault="00AD62CD" w:rsidP="003627DF">
            <w:pPr>
              <w:jc w:val="both"/>
              <w:rPr>
                <w:rFonts w:ascii="Times New Roman" w:eastAsia="Times New Roman" w:hAnsi="Times New Roman" w:cs="Times New Roman"/>
                <w:b/>
                <w:sz w:val="20"/>
                <w:szCs w:val="20"/>
                <w:lang w:eastAsia="sk-SK"/>
              </w:rPr>
            </w:pPr>
            <w:r w:rsidRPr="000F5A90">
              <w:rPr>
                <w:rFonts w:ascii="Times New Roman" w:eastAsia="Times New Roman" w:hAnsi="Times New Roman" w:cs="Times New Roman"/>
                <w:b/>
                <w:sz w:val="20"/>
                <w:szCs w:val="20"/>
                <w:lang w:eastAsia="sk-SK"/>
              </w:rPr>
              <w:t>Zákonník práce</w:t>
            </w:r>
          </w:p>
          <w:p w14:paraId="04BF2593" w14:textId="77777777" w:rsidR="00AD62CD" w:rsidRPr="000F5A90" w:rsidRDefault="00AD62CD" w:rsidP="003627DF">
            <w:pPr>
              <w:jc w:val="both"/>
              <w:rPr>
                <w:rFonts w:ascii="Times New Roman" w:eastAsia="Times New Roman" w:hAnsi="Times New Roman" w:cs="Times New Roman"/>
                <w:b/>
                <w:sz w:val="20"/>
                <w:szCs w:val="20"/>
                <w:lang w:eastAsia="sk-SK"/>
              </w:rPr>
            </w:pPr>
            <w:r w:rsidRPr="000F5A90">
              <w:rPr>
                <w:rFonts w:ascii="Times New Roman" w:eastAsia="Times New Roman" w:hAnsi="Times New Roman" w:cs="Times New Roman"/>
                <w:b/>
                <w:sz w:val="20"/>
                <w:szCs w:val="20"/>
                <w:lang w:eastAsia="sk-SK"/>
              </w:rPr>
              <w:t xml:space="preserve">Nulový variant - </w:t>
            </w:r>
            <w:r w:rsidRPr="000F5A90">
              <w:rPr>
                <w:rFonts w:ascii="Times New Roman" w:eastAsia="Times New Roman" w:hAnsi="Times New Roman" w:cs="Times New Roman"/>
                <w:sz w:val="20"/>
                <w:szCs w:val="20"/>
                <w:lang w:eastAsia="sk-SK"/>
              </w:rPr>
              <w:t>Nedôjde ku konsolidácii príjmov a výdavkov a k úspore v rámci verejných financií v nadväznosti na úpravy v zákone o štátnych sviatkoch, dňoch pracovného pokoja a pamätných dňoch.</w:t>
            </w:r>
          </w:p>
          <w:p w14:paraId="34112A4E" w14:textId="77777777" w:rsidR="00AD62CD" w:rsidRPr="000F5A90" w:rsidRDefault="00AD62CD" w:rsidP="003627DF">
            <w:pPr>
              <w:jc w:val="both"/>
              <w:rPr>
                <w:rFonts w:ascii="Times New Roman" w:eastAsia="Times New Roman" w:hAnsi="Times New Roman" w:cs="Times New Roman"/>
                <w:b/>
                <w:sz w:val="20"/>
                <w:szCs w:val="20"/>
                <w:lang w:eastAsia="sk-SK"/>
              </w:rPr>
            </w:pPr>
          </w:p>
          <w:p w14:paraId="1190CB21" w14:textId="77777777" w:rsidR="00AD62CD" w:rsidRPr="000F5A90" w:rsidRDefault="00AD62CD" w:rsidP="003627DF">
            <w:pPr>
              <w:jc w:val="both"/>
              <w:rPr>
                <w:rFonts w:ascii="Times New Roman" w:eastAsia="Times New Roman" w:hAnsi="Times New Roman" w:cs="Times New Roman"/>
                <w:b/>
                <w:sz w:val="20"/>
                <w:szCs w:val="20"/>
                <w:lang w:eastAsia="sk-SK"/>
              </w:rPr>
            </w:pPr>
            <w:r w:rsidRPr="000F5A90">
              <w:rPr>
                <w:rFonts w:ascii="Times New Roman" w:eastAsia="Times New Roman" w:hAnsi="Times New Roman" w:cs="Times New Roman"/>
                <w:b/>
                <w:sz w:val="20"/>
                <w:szCs w:val="20"/>
                <w:lang w:eastAsia="sk-SK"/>
              </w:rPr>
              <w:t>Banský zákon</w:t>
            </w:r>
          </w:p>
          <w:p w14:paraId="7ACD6DD4" w14:textId="77777777" w:rsidR="00AD62CD" w:rsidRPr="000969C3" w:rsidRDefault="00AD62CD" w:rsidP="003627DF">
            <w:pPr>
              <w:jc w:val="both"/>
              <w:rPr>
                <w:rFonts w:ascii="Times New Roman" w:hAnsi="Times New Roman" w:cs="Times New Roman"/>
                <w:iCs/>
                <w:sz w:val="20"/>
                <w:szCs w:val="20"/>
                <w:lang w:eastAsia="sk-SK"/>
              </w:rPr>
            </w:pPr>
            <w:r w:rsidRPr="000F5A90">
              <w:rPr>
                <w:rFonts w:ascii="Times New Roman" w:hAnsi="Times New Roman" w:cs="Times New Roman"/>
                <w:iCs/>
                <w:sz w:val="20"/>
                <w:szCs w:val="20"/>
                <w:lang w:eastAsia="sk-SK"/>
              </w:rPr>
              <w:t>Alternatíva 0 – ponechanie súčasného</w:t>
            </w:r>
            <w:r w:rsidRPr="000969C3">
              <w:rPr>
                <w:rFonts w:ascii="Times New Roman" w:hAnsi="Times New Roman" w:cs="Times New Roman"/>
                <w:iCs/>
                <w:sz w:val="20"/>
                <w:szCs w:val="20"/>
                <w:lang w:eastAsia="sk-SK"/>
              </w:rPr>
              <w:t xml:space="preserve"> stavu</w:t>
            </w:r>
          </w:p>
          <w:p w14:paraId="35FB4ABD" w14:textId="77777777" w:rsidR="00AD62CD" w:rsidRPr="000969C3" w:rsidRDefault="00AD62CD" w:rsidP="003627DF">
            <w:pPr>
              <w:jc w:val="both"/>
              <w:rPr>
                <w:rFonts w:ascii="Times New Roman" w:hAnsi="Times New Roman" w:cs="Times New Roman"/>
                <w:iCs/>
                <w:sz w:val="20"/>
                <w:szCs w:val="20"/>
                <w:lang w:eastAsia="sk-SK"/>
              </w:rPr>
            </w:pPr>
            <w:r w:rsidRPr="000969C3">
              <w:rPr>
                <w:rFonts w:ascii="Times New Roman" w:hAnsi="Times New Roman" w:cs="Times New Roman"/>
                <w:iCs/>
                <w:sz w:val="20"/>
                <w:szCs w:val="20"/>
                <w:lang w:eastAsia="sk-SK"/>
              </w:rPr>
              <w:t>V prípade zachovania súčasného stavu právna úprava v oblasti banskej činnosti nebude zohľadňovať aktuálne ekonomické a trhové podmienky.</w:t>
            </w:r>
          </w:p>
          <w:p w14:paraId="046EFDB8" w14:textId="77777777" w:rsidR="00AD62CD" w:rsidRPr="000969C3" w:rsidRDefault="00AD62CD" w:rsidP="003627DF">
            <w:pPr>
              <w:jc w:val="both"/>
              <w:rPr>
                <w:rFonts w:ascii="Times New Roman" w:hAnsi="Times New Roman" w:cs="Times New Roman"/>
                <w:iCs/>
                <w:sz w:val="20"/>
                <w:szCs w:val="20"/>
                <w:lang w:eastAsia="sk-SK"/>
              </w:rPr>
            </w:pPr>
          </w:p>
          <w:p w14:paraId="31083324" w14:textId="77777777" w:rsidR="00AD62CD" w:rsidRPr="000969C3" w:rsidRDefault="00AD62CD" w:rsidP="003627DF">
            <w:pPr>
              <w:jc w:val="both"/>
              <w:rPr>
                <w:rFonts w:ascii="Times New Roman" w:hAnsi="Times New Roman" w:cs="Times New Roman"/>
                <w:iCs/>
                <w:sz w:val="20"/>
                <w:szCs w:val="20"/>
                <w:lang w:eastAsia="sk-SK"/>
              </w:rPr>
            </w:pPr>
            <w:r w:rsidRPr="000969C3">
              <w:rPr>
                <w:rFonts w:ascii="Times New Roman" w:hAnsi="Times New Roman" w:cs="Times New Roman"/>
                <w:iCs/>
                <w:sz w:val="20"/>
                <w:szCs w:val="20"/>
                <w:lang w:eastAsia="sk-SK"/>
              </w:rPr>
              <w:t xml:space="preserve">Alternatíva 1 – prijatie návrhu nariadenia </w:t>
            </w:r>
          </w:p>
          <w:p w14:paraId="229EC7DE" w14:textId="77777777" w:rsidR="00AD62CD" w:rsidRPr="000969C3" w:rsidRDefault="00AD62CD" w:rsidP="003627DF">
            <w:pPr>
              <w:jc w:val="both"/>
              <w:rPr>
                <w:rFonts w:ascii="Times New Roman" w:eastAsia="Times New Roman" w:hAnsi="Times New Roman" w:cs="Times New Roman"/>
                <w:b/>
                <w:sz w:val="20"/>
                <w:szCs w:val="20"/>
                <w:lang w:eastAsia="sk-SK"/>
              </w:rPr>
            </w:pPr>
            <w:r w:rsidRPr="000969C3">
              <w:rPr>
                <w:rFonts w:ascii="Times New Roman" w:hAnsi="Times New Roman" w:cs="Times New Roman"/>
                <w:iCs/>
                <w:sz w:val="20"/>
                <w:szCs w:val="20"/>
                <w:lang w:eastAsia="sk-SK"/>
              </w:rPr>
              <w:t>Prijatie návrhu novely zákona umožní aktualizáciu právnej úpravy tak, aby zodpovedala súčasným hospodárskym podmienkam. Po prvé, navrhovaná úprava reflektuje potrebu reagovať na dlhodobý vývoj cien a inflácie. Premietnutie sadzieb do eur a ich úprava zohľadňujúca infláciu od zavedenia eura prispeje k reálnemu zhodnoteniu úhrad a k posilneniu príjmovej stránky verejných financií. Po druhé, návrh zavádza úhrady aj za primárne suroviny, ktoré doteraz nepodliehali spoplatneniu. Tým sa rozširuje základ pre príjmy štátneho rozpočtu a súčasne sa zabezpečuje spravodlivejšie nastavenie systému úhrad vzhľadom na rozsah využívania nerastného bohatstva. Takisto nové prerozdelenie príjmov posilní postavenie obcí, ktoré získajú celé úhrady za dobývací priestor, a zároveň umožní účelové nasmerovanie príjmov štátneho rozpočtu na činnosti spojené s odstraňovaním následkov po banskej činnosti či geologickým prieskumom.</w:t>
            </w:r>
          </w:p>
          <w:p w14:paraId="406656AE" w14:textId="77777777" w:rsidR="00AD62CD" w:rsidRDefault="00AD62CD" w:rsidP="003627DF">
            <w:pPr>
              <w:jc w:val="both"/>
              <w:rPr>
                <w:rFonts w:ascii="Times New Roman" w:eastAsia="Times New Roman" w:hAnsi="Times New Roman" w:cs="Times New Roman"/>
                <w:b/>
                <w:sz w:val="20"/>
                <w:szCs w:val="20"/>
                <w:lang w:eastAsia="sk-SK"/>
              </w:rPr>
            </w:pPr>
          </w:p>
          <w:p w14:paraId="3118328B" w14:textId="77777777" w:rsidR="00AD62CD" w:rsidRPr="000F5A90" w:rsidRDefault="00AD62CD" w:rsidP="003627DF">
            <w:pPr>
              <w:jc w:val="both"/>
              <w:rPr>
                <w:rFonts w:ascii="Times New Roman" w:eastAsia="Times New Roman" w:hAnsi="Times New Roman" w:cs="Times New Roman"/>
                <w:b/>
                <w:sz w:val="20"/>
                <w:szCs w:val="20"/>
                <w:lang w:eastAsia="sk-SK"/>
              </w:rPr>
            </w:pPr>
            <w:r w:rsidRPr="000F5A90">
              <w:rPr>
                <w:rFonts w:ascii="Times New Roman" w:eastAsia="Times New Roman" w:hAnsi="Times New Roman" w:cs="Times New Roman"/>
                <w:b/>
                <w:sz w:val="20"/>
                <w:szCs w:val="20"/>
                <w:lang w:eastAsia="sk-SK"/>
              </w:rPr>
              <w:t>Zákon o štátnych sviatkoch, dňoch pracovného pokoja a pamätných dňoch</w:t>
            </w:r>
          </w:p>
          <w:p w14:paraId="0857D677" w14:textId="77777777" w:rsidR="00AD62CD" w:rsidRDefault="00AD62CD" w:rsidP="003627DF">
            <w:pPr>
              <w:jc w:val="both"/>
              <w:rPr>
                <w:rFonts w:ascii="Times New Roman" w:eastAsia="Times New Roman" w:hAnsi="Times New Roman" w:cs="Times New Roman"/>
                <w:b/>
                <w:sz w:val="20"/>
                <w:szCs w:val="20"/>
                <w:lang w:eastAsia="sk-SK"/>
              </w:rPr>
            </w:pPr>
            <w:r w:rsidRPr="000F5A90">
              <w:rPr>
                <w:rFonts w:ascii="Times New Roman" w:eastAsia="Times New Roman" w:hAnsi="Times New Roman" w:cs="Times New Roman"/>
                <w:sz w:val="20"/>
                <w:szCs w:val="20"/>
                <w:lang w:eastAsia="sk-SK"/>
              </w:rPr>
              <w:t>Nulový variant - príjmy štátneho rozpočtu by boli nižšie a nebolo by naplnené konsolidačné úsilie vlády.</w:t>
            </w:r>
          </w:p>
          <w:p w14:paraId="2CCB5026" w14:textId="77777777" w:rsidR="00AD62CD" w:rsidRDefault="00AD62CD" w:rsidP="003627DF">
            <w:pPr>
              <w:jc w:val="both"/>
              <w:rPr>
                <w:rFonts w:ascii="Times New Roman" w:eastAsia="Times New Roman" w:hAnsi="Times New Roman" w:cs="Times New Roman"/>
                <w:b/>
                <w:sz w:val="20"/>
                <w:szCs w:val="20"/>
                <w:lang w:eastAsia="sk-SK"/>
              </w:rPr>
            </w:pPr>
          </w:p>
          <w:p w14:paraId="0ECE8F22" w14:textId="77777777" w:rsidR="00AD62CD" w:rsidRPr="00BA51F5" w:rsidRDefault="00AD62CD" w:rsidP="003627DF">
            <w:pPr>
              <w:jc w:val="both"/>
              <w:rPr>
                <w:rFonts w:ascii="Times New Roman" w:eastAsia="Times New Roman" w:hAnsi="Times New Roman" w:cs="Times New Roman"/>
                <w:b/>
                <w:sz w:val="20"/>
                <w:szCs w:val="20"/>
                <w:lang w:eastAsia="sk-SK"/>
              </w:rPr>
            </w:pPr>
            <w:r w:rsidRPr="00BA51F5">
              <w:rPr>
                <w:rFonts w:ascii="Times New Roman" w:eastAsia="Times New Roman" w:hAnsi="Times New Roman" w:cs="Times New Roman"/>
                <w:b/>
                <w:sz w:val="20"/>
                <w:szCs w:val="20"/>
                <w:lang w:eastAsia="sk-SK"/>
              </w:rPr>
              <w:t>Zákon o cestovných náhradách</w:t>
            </w:r>
          </w:p>
          <w:p w14:paraId="2555D036" w14:textId="77777777" w:rsidR="00AD62CD" w:rsidRPr="00BA51F5" w:rsidRDefault="00AD62CD" w:rsidP="003627DF">
            <w:pPr>
              <w:jc w:val="both"/>
              <w:rPr>
                <w:rFonts w:ascii="Times New Roman" w:eastAsia="Times New Roman" w:hAnsi="Times New Roman" w:cs="Times New Roman"/>
                <w:b/>
                <w:sz w:val="20"/>
                <w:szCs w:val="20"/>
                <w:lang w:eastAsia="sk-SK"/>
              </w:rPr>
            </w:pPr>
            <w:r w:rsidRPr="00BA51F5">
              <w:rPr>
                <w:rFonts w:ascii="Times New Roman" w:hAnsi="Times New Roman"/>
                <w:sz w:val="20"/>
                <w:szCs w:val="20"/>
              </w:rPr>
              <w:t>Zachovanie doterajšej právnej úpravy by mohlo spôsobiť kolaps niektorého odvetvia hospodárstva.</w:t>
            </w:r>
          </w:p>
          <w:p w14:paraId="68217EAF" w14:textId="77777777" w:rsidR="00AD62CD" w:rsidRDefault="00AD62CD" w:rsidP="003627DF">
            <w:pPr>
              <w:jc w:val="both"/>
              <w:rPr>
                <w:rFonts w:ascii="Times New Roman" w:eastAsia="Times New Roman" w:hAnsi="Times New Roman" w:cs="Times New Roman"/>
                <w:b/>
                <w:sz w:val="20"/>
                <w:szCs w:val="20"/>
                <w:highlight w:val="yellow"/>
                <w:lang w:eastAsia="sk-SK"/>
              </w:rPr>
            </w:pPr>
          </w:p>
          <w:p w14:paraId="6805DBF5" w14:textId="77777777" w:rsidR="00AD62CD" w:rsidRPr="00597E1C" w:rsidRDefault="00AD62CD" w:rsidP="003627DF">
            <w:pPr>
              <w:jc w:val="both"/>
              <w:rPr>
                <w:rFonts w:ascii="Times New Roman" w:eastAsia="Times New Roman" w:hAnsi="Times New Roman" w:cs="Times New Roman"/>
                <w:b/>
                <w:sz w:val="20"/>
                <w:szCs w:val="20"/>
                <w:lang w:eastAsia="sk-SK"/>
              </w:rPr>
            </w:pPr>
            <w:r w:rsidRPr="00597E1C">
              <w:rPr>
                <w:rFonts w:ascii="Times New Roman" w:eastAsia="Times New Roman" w:hAnsi="Times New Roman" w:cs="Times New Roman"/>
                <w:b/>
                <w:sz w:val="20"/>
                <w:szCs w:val="20"/>
                <w:lang w:eastAsia="sk-SK"/>
              </w:rPr>
              <w:t>Zákon o sociálnom poistení</w:t>
            </w:r>
          </w:p>
          <w:p w14:paraId="43D444C8" w14:textId="77777777" w:rsidR="00AD62CD" w:rsidRPr="008F0BD9" w:rsidRDefault="00AD62CD" w:rsidP="003627DF">
            <w:pPr>
              <w:jc w:val="both"/>
              <w:rPr>
                <w:rFonts w:ascii="Times New Roman" w:eastAsia="Times New Roman" w:hAnsi="Times New Roman" w:cs="Times New Roman"/>
                <w:sz w:val="20"/>
                <w:szCs w:val="20"/>
                <w:lang w:eastAsia="sk-SK"/>
              </w:rPr>
            </w:pPr>
            <w:r w:rsidRPr="00597E1C">
              <w:rPr>
                <w:rFonts w:ascii="Times New Roman" w:eastAsia="Times New Roman" w:hAnsi="Times New Roman" w:cs="Times New Roman"/>
                <w:sz w:val="20"/>
                <w:szCs w:val="20"/>
                <w:lang w:eastAsia="sk-SK"/>
              </w:rPr>
              <w:t>Nulový variant - zachovanie</w:t>
            </w:r>
            <w:r w:rsidRPr="008F0BD9">
              <w:rPr>
                <w:rFonts w:ascii="Times New Roman" w:eastAsia="Times New Roman" w:hAnsi="Times New Roman" w:cs="Times New Roman"/>
                <w:sz w:val="20"/>
                <w:szCs w:val="20"/>
                <w:lang w:eastAsia="sk-SK"/>
              </w:rPr>
              <w:t xml:space="preserve"> doterajšej právnej úpravy.</w:t>
            </w:r>
          </w:p>
          <w:p w14:paraId="415F9362" w14:textId="77777777" w:rsidR="00AD62CD" w:rsidRPr="001F5B25" w:rsidRDefault="00AD62CD" w:rsidP="003627DF">
            <w:pPr>
              <w:jc w:val="both"/>
              <w:rPr>
                <w:rFonts w:ascii="Times New Roman" w:eastAsia="Times New Roman" w:hAnsi="Times New Roman" w:cs="Times New Roman"/>
                <w:b/>
                <w:sz w:val="20"/>
                <w:szCs w:val="20"/>
                <w:lang w:eastAsia="sk-SK"/>
              </w:rPr>
            </w:pPr>
            <w:r w:rsidRPr="008F0BD9">
              <w:rPr>
                <w:rFonts w:ascii="Times New Roman" w:eastAsia="Times New Roman" w:hAnsi="Times New Roman" w:cs="Times New Roman"/>
                <w:sz w:val="20"/>
                <w:szCs w:val="20"/>
                <w:lang w:eastAsia="sk-SK"/>
              </w:rPr>
              <w:t>Nedôjde k</w:t>
            </w:r>
            <w:r>
              <w:rPr>
                <w:rFonts w:ascii="Times New Roman" w:eastAsia="Times New Roman" w:hAnsi="Times New Roman" w:cs="Times New Roman"/>
                <w:sz w:val="20"/>
                <w:szCs w:val="20"/>
                <w:lang w:eastAsia="sk-SK"/>
              </w:rPr>
              <w:t>u</w:t>
            </w:r>
            <w:r w:rsidRPr="008F0BD9">
              <w:rPr>
                <w:rFonts w:ascii="Times New Roman" w:eastAsia="Times New Roman" w:hAnsi="Times New Roman" w:cs="Times New Roman"/>
                <w:sz w:val="20"/>
                <w:szCs w:val="20"/>
                <w:lang w:eastAsia="sk-SK"/>
              </w:rPr>
              <w:t xml:space="preserve"> konsolidácii príjmov a výdavkov v systéme sociálneho poistenia a k úspore v rámci verejných financií.</w:t>
            </w:r>
          </w:p>
          <w:p w14:paraId="0AA5F191" w14:textId="77777777" w:rsidR="00AD62CD" w:rsidRDefault="00AD62CD" w:rsidP="003627DF">
            <w:pPr>
              <w:jc w:val="both"/>
              <w:rPr>
                <w:rFonts w:ascii="Times New Roman" w:eastAsia="Times New Roman" w:hAnsi="Times New Roman" w:cs="Times New Roman"/>
                <w:b/>
                <w:bCs/>
                <w:sz w:val="20"/>
                <w:szCs w:val="20"/>
                <w:lang w:eastAsia="sk-SK"/>
              </w:rPr>
            </w:pPr>
          </w:p>
          <w:p w14:paraId="1B310EC9" w14:textId="77777777" w:rsidR="00AD62CD" w:rsidRPr="005D418F" w:rsidRDefault="00AD62CD" w:rsidP="003627DF">
            <w:pPr>
              <w:jc w:val="both"/>
              <w:rPr>
                <w:rFonts w:ascii="Times New Roman" w:eastAsia="Times New Roman" w:hAnsi="Times New Roman" w:cs="Times New Roman"/>
                <w:b/>
                <w:bCs/>
                <w:sz w:val="20"/>
                <w:szCs w:val="20"/>
                <w:lang w:eastAsia="sk-SK"/>
              </w:rPr>
            </w:pPr>
            <w:r w:rsidRPr="005D418F">
              <w:rPr>
                <w:rFonts w:ascii="Times New Roman" w:eastAsia="Times New Roman" w:hAnsi="Times New Roman" w:cs="Times New Roman"/>
                <w:b/>
                <w:bCs/>
                <w:sz w:val="20"/>
                <w:szCs w:val="20"/>
                <w:lang w:eastAsia="sk-SK"/>
              </w:rPr>
              <w:t>Zákon o dani z príjmov</w:t>
            </w:r>
          </w:p>
          <w:p w14:paraId="4410F6F5" w14:textId="77777777" w:rsidR="00AD62CD" w:rsidRDefault="00AD62CD" w:rsidP="003627DF">
            <w:pPr>
              <w:rPr>
                <w:rFonts w:ascii="Times New Roman" w:eastAsia="Times New Roman" w:hAnsi="Times New Roman" w:cs="Times New Roman"/>
                <w:sz w:val="20"/>
                <w:szCs w:val="20"/>
                <w:lang w:eastAsia="sk-SK"/>
              </w:rPr>
            </w:pPr>
            <w:r w:rsidRPr="005D418F">
              <w:rPr>
                <w:rFonts w:ascii="Times New Roman" w:eastAsia="Times New Roman" w:hAnsi="Times New Roman" w:cs="Times New Roman"/>
                <w:sz w:val="20"/>
                <w:szCs w:val="20"/>
                <w:lang w:eastAsia="sk-SK"/>
              </w:rPr>
              <w:t xml:space="preserve">Nulový variant - </w:t>
            </w:r>
            <w:r>
              <w:rPr>
                <w:rFonts w:ascii="Times New Roman" w:eastAsia="Times New Roman" w:hAnsi="Times New Roman" w:cs="Times New Roman"/>
                <w:sz w:val="20"/>
                <w:szCs w:val="20"/>
                <w:lang w:eastAsia="sk-SK"/>
              </w:rPr>
              <w:t>ak</w:t>
            </w:r>
            <w:r w:rsidRPr="005D418F">
              <w:rPr>
                <w:rFonts w:ascii="Times New Roman" w:eastAsia="Times New Roman" w:hAnsi="Times New Roman" w:cs="Times New Roman"/>
                <w:sz w:val="20"/>
                <w:szCs w:val="20"/>
                <w:lang w:eastAsia="sk-SK"/>
              </w:rPr>
              <w:t xml:space="preserve"> by navrhované opatrenia  neboli prijaté, </w:t>
            </w:r>
            <w:r>
              <w:rPr>
                <w:rFonts w:ascii="Times New Roman" w:eastAsia="Times New Roman" w:hAnsi="Times New Roman" w:cs="Times New Roman"/>
                <w:sz w:val="20"/>
                <w:szCs w:val="20"/>
                <w:lang w:eastAsia="sk-SK"/>
              </w:rPr>
              <w:t xml:space="preserve">príjmy štátneho rozpočtu by boli nižšie </w:t>
            </w:r>
            <w:r w:rsidRPr="005D418F">
              <w:rPr>
                <w:rFonts w:ascii="Times New Roman" w:eastAsia="Times New Roman" w:hAnsi="Times New Roman" w:cs="Times New Roman"/>
                <w:sz w:val="20"/>
                <w:szCs w:val="20"/>
                <w:lang w:eastAsia="sk-SK"/>
              </w:rPr>
              <w:t>a nebol</w:t>
            </w:r>
            <w:r>
              <w:rPr>
                <w:rFonts w:ascii="Times New Roman" w:eastAsia="Times New Roman" w:hAnsi="Times New Roman" w:cs="Times New Roman"/>
                <w:sz w:val="20"/>
                <w:szCs w:val="20"/>
                <w:lang w:eastAsia="sk-SK"/>
              </w:rPr>
              <w:t>o</w:t>
            </w:r>
            <w:r w:rsidRPr="005D418F">
              <w:rPr>
                <w:rFonts w:ascii="Times New Roman" w:eastAsia="Times New Roman" w:hAnsi="Times New Roman" w:cs="Times New Roman"/>
                <w:sz w:val="20"/>
                <w:szCs w:val="20"/>
                <w:lang w:eastAsia="sk-SK"/>
              </w:rPr>
              <w:t xml:space="preserve"> by naplnené </w:t>
            </w:r>
            <w:r>
              <w:rPr>
                <w:rFonts w:ascii="Times New Roman" w:eastAsia="Times New Roman" w:hAnsi="Times New Roman" w:cs="Times New Roman"/>
                <w:sz w:val="20"/>
                <w:szCs w:val="20"/>
                <w:lang w:eastAsia="sk-SK"/>
              </w:rPr>
              <w:t>konsolidačné úsilie vlády.</w:t>
            </w:r>
          </w:p>
          <w:p w14:paraId="59DEE8D9" w14:textId="77777777" w:rsidR="00AD62CD" w:rsidRDefault="00AD62CD" w:rsidP="003627DF">
            <w:pPr>
              <w:jc w:val="both"/>
              <w:rPr>
                <w:rFonts w:ascii="Times New Roman" w:eastAsia="Times New Roman" w:hAnsi="Times New Roman" w:cs="Times New Roman"/>
                <w:i/>
                <w:sz w:val="20"/>
                <w:szCs w:val="20"/>
                <w:lang w:eastAsia="sk-SK"/>
              </w:rPr>
            </w:pPr>
          </w:p>
          <w:p w14:paraId="5797B07C" w14:textId="77777777" w:rsidR="00AD62CD" w:rsidRPr="000226E2" w:rsidRDefault="00AD62CD" w:rsidP="003627DF">
            <w:pPr>
              <w:jc w:val="both"/>
              <w:rPr>
                <w:rFonts w:ascii="Times New Roman" w:eastAsia="Times New Roman" w:hAnsi="Times New Roman" w:cs="Times New Roman"/>
                <w:b/>
                <w:sz w:val="20"/>
                <w:szCs w:val="20"/>
                <w:lang w:eastAsia="sk-SK"/>
              </w:rPr>
            </w:pPr>
            <w:r w:rsidRPr="006B4E2F">
              <w:rPr>
                <w:rFonts w:ascii="Times New Roman" w:eastAsia="Times New Roman" w:hAnsi="Times New Roman" w:cs="Times New Roman"/>
                <w:b/>
                <w:sz w:val="20"/>
                <w:szCs w:val="20"/>
                <w:lang w:eastAsia="sk-SK"/>
              </w:rPr>
              <w:t>Zákon o dani z pridanej hodnoty</w:t>
            </w:r>
          </w:p>
          <w:p w14:paraId="715A7536" w14:textId="77777777" w:rsidR="00AD62CD" w:rsidRDefault="00AD62CD" w:rsidP="003627DF">
            <w:pPr>
              <w:jc w:val="both"/>
              <w:rPr>
                <w:rFonts w:ascii="Times New Roman" w:hAnsi="Times New Roman"/>
                <w:sz w:val="20"/>
                <w:szCs w:val="20"/>
                <w:lang w:eastAsia="sk-SK"/>
              </w:rPr>
            </w:pPr>
            <w:r>
              <w:rPr>
                <w:rFonts w:ascii="Times New Roman" w:hAnsi="Times New Roman"/>
                <w:sz w:val="20"/>
                <w:szCs w:val="20"/>
                <w:lang w:eastAsia="sk-SK"/>
              </w:rPr>
              <w:t>Nulový variant - z</w:t>
            </w:r>
            <w:r w:rsidRPr="002F266D">
              <w:rPr>
                <w:rFonts w:ascii="Times New Roman" w:hAnsi="Times New Roman"/>
                <w:sz w:val="20"/>
                <w:szCs w:val="20"/>
                <w:lang w:eastAsia="sk-SK"/>
              </w:rPr>
              <w:t>achovanie doterajšej právnej úpravy</w:t>
            </w:r>
            <w:r>
              <w:rPr>
                <w:rFonts w:ascii="Times New Roman" w:hAnsi="Times New Roman"/>
                <w:sz w:val="20"/>
                <w:szCs w:val="20"/>
                <w:lang w:eastAsia="sk-SK"/>
              </w:rPr>
              <w:t>.</w:t>
            </w:r>
          </w:p>
          <w:p w14:paraId="364F9599" w14:textId="77777777" w:rsidR="00AD62CD" w:rsidRDefault="00AD62CD" w:rsidP="003627DF">
            <w:pPr>
              <w:jc w:val="both"/>
              <w:rPr>
                <w:rFonts w:ascii="Times New Roman" w:eastAsia="Times New Roman" w:hAnsi="Times New Roman" w:cs="Times New Roman"/>
                <w:b/>
                <w:sz w:val="20"/>
                <w:szCs w:val="20"/>
                <w:lang w:eastAsia="sk-SK"/>
              </w:rPr>
            </w:pPr>
            <w:r>
              <w:rPr>
                <w:rFonts w:ascii="Times New Roman" w:hAnsi="Times New Roman"/>
                <w:sz w:val="20"/>
                <w:szCs w:val="20"/>
                <w:lang w:eastAsia="sk-SK"/>
              </w:rPr>
              <w:t>Nedôjde k zvýšeniu príjmov štátneho rozpočtu.</w:t>
            </w:r>
          </w:p>
          <w:p w14:paraId="262AE786" w14:textId="77777777" w:rsidR="00AD62CD" w:rsidRDefault="00AD62CD" w:rsidP="003627DF">
            <w:pPr>
              <w:jc w:val="both"/>
              <w:rPr>
                <w:rFonts w:ascii="Times New Roman" w:eastAsia="Times New Roman" w:hAnsi="Times New Roman" w:cs="Times New Roman"/>
                <w:b/>
                <w:sz w:val="20"/>
                <w:szCs w:val="20"/>
                <w:lang w:eastAsia="sk-SK"/>
              </w:rPr>
            </w:pPr>
          </w:p>
          <w:p w14:paraId="5700CA75" w14:textId="77777777" w:rsidR="00AD62CD" w:rsidRDefault="00AD62CD" w:rsidP="003627DF">
            <w:pPr>
              <w:jc w:val="both"/>
              <w:rPr>
                <w:rFonts w:ascii="Times New Roman" w:eastAsia="Times New Roman" w:hAnsi="Times New Roman" w:cs="Times New Roman"/>
                <w:b/>
                <w:sz w:val="20"/>
                <w:szCs w:val="20"/>
                <w:lang w:eastAsia="sk-SK"/>
              </w:rPr>
            </w:pPr>
            <w:r w:rsidRPr="000C062C">
              <w:rPr>
                <w:rFonts w:ascii="Times New Roman" w:eastAsia="Times New Roman" w:hAnsi="Times New Roman" w:cs="Times New Roman"/>
                <w:b/>
                <w:sz w:val="20"/>
                <w:szCs w:val="20"/>
                <w:lang w:eastAsia="sk-SK"/>
              </w:rPr>
              <w:t>Zákon o zdravotnom poistení</w:t>
            </w:r>
          </w:p>
          <w:p w14:paraId="5463CEFB" w14:textId="77777777" w:rsidR="00AD62CD" w:rsidRPr="008D2695" w:rsidRDefault="00AD62CD" w:rsidP="003627DF">
            <w:pPr>
              <w:jc w:val="both"/>
              <w:rPr>
                <w:rFonts w:ascii="Times New Roman" w:hAnsi="Times New Roman"/>
              </w:rPr>
            </w:pPr>
            <w:r w:rsidRPr="008D2695">
              <w:rPr>
                <w:rFonts w:ascii="Times New Roman" w:hAnsi="Times New Roman"/>
              </w:rPr>
              <w:t>Nie sú.</w:t>
            </w:r>
          </w:p>
          <w:p w14:paraId="14086348" w14:textId="77777777" w:rsidR="00AD62CD" w:rsidRPr="008D2695" w:rsidRDefault="00AD62CD" w:rsidP="003627DF">
            <w:pPr>
              <w:jc w:val="both"/>
              <w:rPr>
                <w:rFonts w:ascii="Times New Roman" w:hAnsi="Times New Roman"/>
              </w:rPr>
            </w:pPr>
            <w:r>
              <w:rPr>
                <w:rFonts w:ascii="Times New Roman" w:hAnsi="Times New Roman"/>
              </w:rPr>
              <w:t>P</w:t>
            </w:r>
            <w:r w:rsidRPr="008D2695">
              <w:rPr>
                <w:rFonts w:ascii="Times New Roman" w:hAnsi="Times New Roman"/>
              </w:rPr>
              <w:t xml:space="preserve">opis nulového variantu: </w:t>
            </w:r>
          </w:p>
          <w:p w14:paraId="20D56A72" w14:textId="77777777" w:rsidR="00AD62CD" w:rsidRPr="00CF4BD4" w:rsidRDefault="00AD62CD" w:rsidP="003627DF">
            <w:pPr>
              <w:jc w:val="both"/>
              <w:rPr>
                <w:rFonts w:ascii="Times New Roman" w:eastAsia="Times New Roman" w:hAnsi="Times New Roman" w:cs="Times New Roman"/>
                <w:b/>
                <w:sz w:val="20"/>
                <w:szCs w:val="20"/>
                <w:lang w:eastAsia="sk-SK"/>
              </w:rPr>
            </w:pPr>
            <w:r>
              <w:rPr>
                <w:rFonts w:ascii="Times New Roman" w:hAnsi="Times New Roman"/>
                <w:lang w:eastAsia="sk-SK"/>
              </w:rPr>
              <w:t>Zachovanie súčasných sadzieb pre odvod poistného na verejné zdravotné poistenie a s tým súvisiaci ďalší prehlbujúci sa deficit verejných financií SR.</w:t>
            </w:r>
          </w:p>
          <w:p w14:paraId="36614E1D" w14:textId="77777777" w:rsidR="00AD62CD" w:rsidRDefault="00AD62CD" w:rsidP="003627DF">
            <w:pPr>
              <w:jc w:val="both"/>
              <w:rPr>
                <w:rFonts w:ascii="Times New Roman" w:eastAsia="Times New Roman" w:hAnsi="Times New Roman" w:cs="Times New Roman"/>
                <w:bCs/>
                <w:sz w:val="20"/>
                <w:szCs w:val="20"/>
                <w:lang w:eastAsia="sk-SK"/>
              </w:rPr>
            </w:pPr>
          </w:p>
          <w:p w14:paraId="4DFE78F0" w14:textId="77777777" w:rsidR="00AD62CD" w:rsidRPr="00CF4BD4" w:rsidRDefault="00AD62CD" w:rsidP="003627DF">
            <w:pPr>
              <w:jc w:val="both"/>
              <w:rPr>
                <w:rFonts w:ascii="Times New Roman" w:eastAsia="Times New Roman" w:hAnsi="Times New Roman" w:cs="Times New Roman"/>
                <w:b/>
                <w:sz w:val="20"/>
                <w:szCs w:val="20"/>
                <w:lang w:eastAsia="sk-SK"/>
              </w:rPr>
            </w:pPr>
            <w:r w:rsidRPr="000F5A90">
              <w:rPr>
                <w:rFonts w:ascii="Times New Roman" w:eastAsia="Times New Roman" w:hAnsi="Times New Roman" w:cs="Times New Roman"/>
                <w:b/>
                <w:sz w:val="20"/>
                <w:szCs w:val="20"/>
                <w:lang w:eastAsia="sk-SK"/>
              </w:rPr>
              <w:t>Zákon o Environmentálnom fonde</w:t>
            </w:r>
          </w:p>
          <w:p w14:paraId="36727730" w14:textId="77777777" w:rsidR="00AD62CD" w:rsidRDefault="00AD62CD" w:rsidP="003627DF">
            <w:pPr>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Nulový variant – nesúlad s banským zákonom.</w:t>
            </w:r>
          </w:p>
          <w:p w14:paraId="60534AC5" w14:textId="77777777" w:rsidR="00AD62CD" w:rsidRDefault="00AD62CD" w:rsidP="003627DF">
            <w:pPr>
              <w:jc w:val="both"/>
              <w:rPr>
                <w:rFonts w:ascii="Times New Roman" w:eastAsia="Times New Roman" w:hAnsi="Times New Roman" w:cs="Times New Roman"/>
                <w:b/>
                <w:sz w:val="20"/>
                <w:szCs w:val="20"/>
                <w:lang w:eastAsia="sk-SK"/>
              </w:rPr>
            </w:pPr>
          </w:p>
          <w:p w14:paraId="76685BB4" w14:textId="77777777" w:rsidR="00AD62CD" w:rsidRPr="0031696C" w:rsidRDefault="00AD62CD" w:rsidP="003627DF">
            <w:pPr>
              <w:jc w:val="both"/>
              <w:rPr>
                <w:rFonts w:ascii="Times New Roman" w:eastAsia="Times New Roman" w:hAnsi="Times New Roman" w:cs="Times New Roman"/>
                <w:b/>
                <w:sz w:val="20"/>
                <w:szCs w:val="20"/>
                <w:lang w:eastAsia="sk-SK"/>
              </w:rPr>
            </w:pPr>
            <w:r w:rsidRPr="0031696C">
              <w:rPr>
                <w:rFonts w:ascii="Times New Roman" w:eastAsia="Times New Roman" w:hAnsi="Times New Roman" w:cs="Times New Roman"/>
                <w:b/>
                <w:sz w:val="20"/>
                <w:szCs w:val="20"/>
                <w:lang w:eastAsia="sk-SK"/>
              </w:rPr>
              <w:t>Zákon o osobitnom odvode v regulovaných odvetviach</w:t>
            </w:r>
          </w:p>
          <w:p w14:paraId="1C92F710" w14:textId="77777777" w:rsidR="00AD62CD" w:rsidRPr="0031696C" w:rsidRDefault="00AD62CD" w:rsidP="003627DF">
            <w:pPr>
              <w:jc w:val="both"/>
              <w:rPr>
                <w:rFonts w:ascii="Times New Roman" w:eastAsia="Times New Roman" w:hAnsi="Times New Roman" w:cs="Times New Roman"/>
                <w:bCs/>
                <w:sz w:val="20"/>
                <w:szCs w:val="20"/>
                <w:lang w:eastAsia="sk-SK"/>
              </w:rPr>
            </w:pPr>
            <w:r w:rsidRPr="0031696C">
              <w:rPr>
                <w:rFonts w:ascii="Times New Roman" w:eastAsia="Times New Roman" w:hAnsi="Times New Roman" w:cs="Times New Roman"/>
                <w:bCs/>
                <w:sz w:val="20"/>
                <w:szCs w:val="20"/>
                <w:lang w:eastAsia="sk-SK"/>
              </w:rPr>
              <w:t>Nulový variant – zachovanie doterajšej právnej úpravy.</w:t>
            </w:r>
          </w:p>
          <w:p w14:paraId="4D1CDF3A" w14:textId="77777777" w:rsidR="00AD62CD" w:rsidRPr="0031696C" w:rsidRDefault="00AD62CD" w:rsidP="003627DF">
            <w:pPr>
              <w:jc w:val="both"/>
              <w:rPr>
                <w:rFonts w:ascii="Times New Roman" w:eastAsia="Times New Roman" w:hAnsi="Times New Roman" w:cs="Times New Roman"/>
                <w:bCs/>
                <w:sz w:val="20"/>
                <w:szCs w:val="20"/>
                <w:lang w:eastAsia="sk-SK"/>
              </w:rPr>
            </w:pPr>
            <w:r w:rsidRPr="0031696C">
              <w:rPr>
                <w:rFonts w:ascii="Times New Roman" w:eastAsia="Times New Roman" w:hAnsi="Times New Roman" w:cs="Times New Roman"/>
                <w:bCs/>
                <w:sz w:val="20"/>
                <w:szCs w:val="20"/>
                <w:lang w:eastAsia="sk-SK"/>
              </w:rPr>
              <w:t>Nedôjde k zvýšeniu príjmov štátneho rozpočtu.</w:t>
            </w:r>
          </w:p>
          <w:p w14:paraId="67AC99AC" w14:textId="77777777" w:rsidR="00AD62CD" w:rsidRDefault="00AD62CD" w:rsidP="003627DF">
            <w:pPr>
              <w:jc w:val="both"/>
              <w:rPr>
                <w:rFonts w:ascii="Times New Roman" w:eastAsia="Times New Roman" w:hAnsi="Times New Roman" w:cs="Times New Roman"/>
                <w:b/>
                <w:bCs/>
                <w:sz w:val="20"/>
                <w:szCs w:val="20"/>
                <w:lang w:eastAsia="sk-SK"/>
              </w:rPr>
            </w:pPr>
          </w:p>
          <w:p w14:paraId="63904103" w14:textId="77777777" w:rsidR="00AD62CD" w:rsidRPr="00F27110" w:rsidRDefault="00AD62CD" w:rsidP="003627DF">
            <w:pPr>
              <w:jc w:val="both"/>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Zákon o poisťovníctve</w:t>
            </w:r>
          </w:p>
          <w:p w14:paraId="301AEEA7" w14:textId="77777777" w:rsidR="00AD62CD" w:rsidRPr="00F27110" w:rsidRDefault="00AD62CD" w:rsidP="003627DF">
            <w:pPr>
              <w:jc w:val="both"/>
              <w:rPr>
                <w:rFonts w:ascii="Times New Roman" w:eastAsia="Times New Roman" w:hAnsi="Times New Roman" w:cs="Times New Roman"/>
                <w:bCs/>
                <w:sz w:val="20"/>
                <w:szCs w:val="20"/>
                <w:lang w:eastAsia="sk-SK"/>
              </w:rPr>
            </w:pPr>
            <w:r w:rsidRPr="00F27110">
              <w:rPr>
                <w:rFonts w:ascii="Times New Roman" w:eastAsia="Times New Roman" w:hAnsi="Times New Roman" w:cs="Times New Roman"/>
                <w:bCs/>
                <w:sz w:val="20"/>
                <w:szCs w:val="20"/>
                <w:lang w:eastAsia="sk-SK"/>
              </w:rPr>
              <w:t>Nulový variant - zachovanie doterajšej právnej úpravy</w:t>
            </w:r>
            <w:r>
              <w:rPr>
                <w:rFonts w:ascii="Times New Roman" w:eastAsia="Times New Roman" w:hAnsi="Times New Roman" w:cs="Times New Roman"/>
                <w:bCs/>
                <w:sz w:val="20"/>
                <w:szCs w:val="20"/>
                <w:lang w:eastAsia="sk-SK"/>
              </w:rPr>
              <w:t>.</w:t>
            </w:r>
          </w:p>
          <w:p w14:paraId="144238FD" w14:textId="77777777" w:rsidR="00AD62CD" w:rsidRDefault="00AD62CD" w:rsidP="003627DF">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Výdavky Ministerstva vnútra SR </w:t>
            </w:r>
            <w:r w:rsidRPr="00F27110">
              <w:rPr>
                <w:rFonts w:ascii="Times New Roman" w:eastAsia="Times New Roman" w:hAnsi="Times New Roman" w:cs="Times New Roman"/>
                <w:sz w:val="20"/>
                <w:szCs w:val="20"/>
                <w:lang w:eastAsia="sk-SK"/>
              </w:rPr>
              <w:t>hasičským jednotkám a jednotlivým zložkám ministerstva vnútra</w:t>
            </w:r>
            <w:r>
              <w:rPr>
                <w:rFonts w:ascii="Times New Roman" w:eastAsia="Times New Roman" w:hAnsi="Times New Roman" w:cs="Times New Roman"/>
                <w:sz w:val="20"/>
                <w:szCs w:val="20"/>
                <w:lang w:eastAsia="sk-SK"/>
              </w:rPr>
              <w:t>, na ktoré je možné využiť finančné prostriedky z osobitného účtu by sa muselo realizovať zo štátneho rozpočtu, čo by znamenalo zvýšenie výdavky zo štátneho rozpočtu.</w:t>
            </w:r>
          </w:p>
          <w:p w14:paraId="4B90FDDA" w14:textId="77777777" w:rsidR="00AD62CD" w:rsidRDefault="00AD62CD" w:rsidP="003627DF">
            <w:pPr>
              <w:jc w:val="both"/>
              <w:rPr>
                <w:rFonts w:ascii="Times New Roman" w:eastAsia="Times New Roman" w:hAnsi="Times New Roman" w:cs="Times New Roman"/>
                <w:sz w:val="20"/>
                <w:szCs w:val="20"/>
                <w:lang w:eastAsia="sk-SK"/>
              </w:rPr>
            </w:pPr>
          </w:p>
          <w:p w14:paraId="14677A07" w14:textId="77777777" w:rsidR="00AD62CD" w:rsidRDefault="00AD62CD" w:rsidP="003627DF">
            <w:pPr>
              <w:jc w:val="both"/>
              <w:rPr>
                <w:rFonts w:ascii="Times New Roman" w:hAnsi="Times New Roman" w:cs="Times New Roman"/>
                <w:b/>
                <w:bCs/>
                <w:sz w:val="20"/>
                <w:szCs w:val="20"/>
              </w:rPr>
            </w:pPr>
            <w:r w:rsidRPr="004F7247">
              <w:rPr>
                <w:rFonts w:ascii="Times New Roman" w:hAnsi="Times New Roman" w:cs="Times New Roman"/>
                <w:b/>
                <w:bCs/>
                <w:sz w:val="20"/>
                <w:szCs w:val="20"/>
              </w:rPr>
              <w:t>Zákon o dani z poistenia</w:t>
            </w:r>
          </w:p>
          <w:p w14:paraId="60C10C3F" w14:textId="77777777" w:rsidR="00AD62CD" w:rsidRPr="003265FF" w:rsidRDefault="00AD62CD" w:rsidP="003627DF">
            <w:pPr>
              <w:jc w:val="both"/>
              <w:rPr>
                <w:rFonts w:ascii="Times New Roman" w:eastAsia="Times New Roman" w:hAnsi="Times New Roman" w:cs="Times New Roman"/>
                <w:sz w:val="20"/>
                <w:szCs w:val="20"/>
                <w:lang w:eastAsia="sk-SK"/>
              </w:rPr>
            </w:pPr>
            <w:r w:rsidRPr="003265FF">
              <w:rPr>
                <w:rFonts w:ascii="Times New Roman" w:eastAsia="Times New Roman" w:hAnsi="Times New Roman" w:cs="Times New Roman"/>
                <w:sz w:val="20"/>
                <w:szCs w:val="20"/>
                <w:lang w:eastAsia="sk-SK"/>
              </w:rPr>
              <w:t>Nulový variant – zachovanie doterajšej právnej úpravy.</w:t>
            </w:r>
          </w:p>
          <w:p w14:paraId="68FFC572" w14:textId="77777777" w:rsidR="00AD62CD" w:rsidRPr="00612E08" w:rsidRDefault="00AD62CD" w:rsidP="003627DF">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Nedôjde k zvýšeniu príjmov štátneho rozpočtu.</w:t>
            </w:r>
          </w:p>
        </w:tc>
      </w:tr>
      <w:tr w:rsidR="00AD62CD" w:rsidRPr="00612E08" w14:paraId="08F3405F" w14:textId="77777777" w:rsidTr="003627D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8315E16" w14:textId="77777777" w:rsidR="00AD62CD" w:rsidRPr="00612E08" w:rsidRDefault="00AD62CD" w:rsidP="00AD62CD">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AD62CD" w:rsidRPr="00612E08" w14:paraId="39773323" w14:textId="77777777" w:rsidTr="003627DF">
        <w:tc>
          <w:tcPr>
            <w:tcW w:w="6203" w:type="dxa"/>
            <w:gridSpan w:val="7"/>
            <w:tcBorders>
              <w:top w:val="single" w:sz="4" w:space="0" w:color="FFFFFF"/>
              <w:left w:val="single" w:sz="4" w:space="0" w:color="auto"/>
              <w:bottom w:val="nil"/>
              <w:right w:val="nil"/>
            </w:tcBorders>
            <w:shd w:val="clear" w:color="auto" w:fill="FFFFFF"/>
          </w:tcPr>
          <w:p w14:paraId="76F92FD6" w14:textId="77777777" w:rsidR="00AD62CD" w:rsidRPr="00612E08" w:rsidRDefault="00AD62CD" w:rsidP="003627D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0AD0ED7" w14:textId="77777777" w:rsidR="00AD62CD" w:rsidRPr="00612E08" w:rsidRDefault="00000000" w:rsidP="003627D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Content>
                <w:r w:rsidR="00AD62CD">
                  <w:rPr>
                    <w:rFonts w:ascii="MS Gothic" w:eastAsia="MS Gothic" w:hAnsi="MS Gothic" w:cs="Times New Roman" w:hint="eastAsia"/>
                    <w:b/>
                    <w:sz w:val="20"/>
                    <w:szCs w:val="20"/>
                    <w:lang w:eastAsia="sk-SK"/>
                  </w:rPr>
                  <w:t>☒</w:t>
                </w:r>
              </w:sdtContent>
            </w:sdt>
            <w:r w:rsidR="00AD62CD"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A1F2FBD" w14:textId="77777777" w:rsidR="00AD62CD" w:rsidRPr="00612E08" w:rsidRDefault="00000000" w:rsidP="003627D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Content>
                <w:r w:rsidR="00AD62CD" w:rsidRPr="00612E08">
                  <w:rPr>
                    <w:rFonts w:ascii="MS Gothic" w:eastAsia="MS Gothic" w:hAnsi="MS Gothic" w:cs="Times New Roman" w:hint="eastAsia"/>
                    <w:b/>
                    <w:sz w:val="20"/>
                    <w:szCs w:val="20"/>
                    <w:lang w:eastAsia="sk-SK"/>
                  </w:rPr>
                  <w:t>☐</w:t>
                </w:r>
              </w:sdtContent>
            </w:sdt>
            <w:r w:rsidR="00AD62CD" w:rsidRPr="00612E08">
              <w:rPr>
                <w:rFonts w:ascii="Times New Roman" w:eastAsia="Times New Roman" w:hAnsi="Times New Roman" w:cs="Times New Roman"/>
                <w:b/>
                <w:sz w:val="20"/>
                <w:szCs w:val="20"/>
                <w:lang w:eastAsia="sk-SK"/>
              </w:rPr>
              <w:t xml:space="preserve">  Nie</w:t>
            </w:r>
          </w:p>
        </w:tc>
      </w:tr>
      <w:tr w:rsidR="00AD62CD" w:rsidRPr="00612E08" w14:paraId="1FF28BB2" w14:textId="77777777" w:rsidTr="003627DF">
        <w:tc>
          <w:tcPr>
            <w:tcW w:w="9180" w:type="dxa"/>
            <w:gridSpan w:val="11"/>
            <w:tcBorders>
              <w:top w:val="nil"/>
              <w:left w:val="single" w:sz="4" w:space="0" w:color="auto"/>
              <w:bottom w:val="single" w:sz="4" w:space="0" w:color="auto"/>
              <w:right w:val="single" w:sz="4" w:space="0" w:color="auto"/>
            </w:tcBorders>
            <w:shd w:val="clear" w:color="auto" w:fill="FFFFFF"/>
          </w:tcPr>
          <w:p w14:paraId="2CF19883" w14:textId="77777777" w:rsidR="00AD62CD" w:rsidRDefault="00AD62CD" w:rsidP="003627D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4B74A86A" w14:textId="77777777" w:rsidR="00AD62CD" w:rsidRDefault="00AD62CD" w:rsidP="003627DF">
            <w:pPr>
              <w:rPr>
                <w:rFonts w:ascii="Times New Roman" w:eastAsia="Times New Roman" w:hAnsi="Times New Roman" w:cs="Times New Roman"/>
                <w:i/>
                <w:sz w:val="20"/>
                <w:szCs w:val="20"/>
                <w:lang w:eastAsia="sk-SK"/>
              </w:rPr>
            </w:pPr>
          </w:p>
          <w:p w14:paraId="556DC7A5" w14:textId="77777777" w:rsidR="00AD62CD" w:rsidRPr="000969C3" w:rsidRDefault="00AD62CD" w:rsidP="003627DF">
            <w:pPr>
              <w:rPr>
                <w:rFonts w:ascii="Times New Roman" w:eastAsia="Times New Roman" w:hAnsi="Times New Roman" w:cs="Times New Roman"/>
                <w:b/>
                <w:bCs/>
                <w:iCs/>
                <w:sz w:val="20"/>
                <w:szCs w:val="20"/>
                <w:lang w:eastAsia="sk-SK"/>
              </w:rPr>
            </w:pPr>
            <w:r w:rsidRPr="000969C3">
              <w:rPr>
                <w:rFonts w:ascii="Times New Roman" w:eastAsia="Times New Roman" w:hAnsi="Times New Roman" w:cs="Times New Roman"/>
                <w:b/>
                <w:bCs/>
                <w:iCs/>
                <w:sz w:val="20"/>
                <w:szCs w:val="20"/>
                <w:lang w:eastAsia="sk-SK"/>
              </w:rPr>
              <w:t>Banský zákon</w:t>
            </w:r>
          </w:p>
          <w:p w14:paraId="6F90D650" w14:textId="77777777" w:rsidR="00AD62CD" w:rsidRPr="000969C3" w:rsidRDefault="00AD62CD" w:rsidP="003627DF">
            <w:pPr>
              <w:jc w:val="both"/>
              <w:rPr>
                <w:rFonts w:ascii="Times New Roman" w:hAnsi="Times New Roman" w:cs="Times New Roman"/>
                <w:iCs/>
                <w:sz w:val="20"/>
                <w:szCs w:val="20"/>
                <w:lang w:eastAsia="sk-SK"/>
              </w:rPr>
            </w:pPr>
            <w:r w:rsidRPr="000969C3">
              <w:rPr>
                <w:rFonts w:ascii="Times New Roman" w:hAnsi="Times New Roman" w:cs="Times New Roman"/>
                <w:iCs/>
                <w:sz w:val="20"/>
                <w:szCs w:val="20"/>
                <w:lang w:eastAsia="sk-SK"/>
              </w:rPr>
              <w:t>Ak áno, uveďte ktoré oblasti budú nimi upravené, resp. ktorých vykonávacích predpisov sa zmena dotkne:</w:t>
            </w:r>
          </w:p>
          <w:p w14:paraId="227A9EF2" w14:textId="77777777" w:rsidR="00AD62CD" w:rsidRPr="000969C3" w:rsidRDefault="00AD62CD" w:rsidP="003627DF">
            <w:pPr>
              <w:jc w:val="both"/>
              <w:rPr>
                <w:rFonts w:ascii="Times New Roman" w:hAnsi="Times New Roman" w:cs="Times New Roman"/>
                <w:iCs/>
                <w:sz w:val="20"/>
                <w:szCs w:val="20"/>
                <w:lang w:eastAsia="sk-SK"/>
              </w:rPr>
            </w:pPr>
            <w:r w:rsidRPr="000969C3">
              <w:rPr>
                <w:rFonts w:ascii="Times New Roman" w:hAnsi="Times New Roman" w:cs="Times New Roman"/>
                <w:iCs/>
                <w:sz w:val="20"/>
                <w:szCs w:val="20"/>
                <w:lang w:eastAsia="sk-SK"/>
              </w:rPr>
              <w:t>Nariadenie vlády č. 50/2002 Z.</w:t>
            </w:r>
            <w:r>
              <w:rPr>
                <w:rFonts w:ascii="Times New Roman" w:hAnsi="Times New Roman" w:cs="Times New Roman"/>
                <w:iCs/>
                <w:sz w:val="20"/>
                <w:szCs w:val="20"/>
                <w:lang w:eastAsia="sk-SK"/>
              </w:rPr>
              <w:t xml:space="preserve"> </w:t>
            </w:r>
            <w:r w:rsidRPr="000969C3">
              <w:rPr>
                <w:rFonts w:ascii="Times New Roman" w:hAnsi="Times New Roman" w:cs="Times New Roman"/>
                <w:iCs/>
                <w:sz w:val="20"/>
                <w:szCs w:val="20"/>
                <w:lang w:eastAsia="sk-SK"/>
              </w:rPr>
              <w:t>z. o úhrade za dobývací priestor, úhrade za vydobyté nerasty a o úhrade za uskladňovanie plynov alebo kvapalín</w:t>
            </w:r>
            <w:r>
              <w:rPr>
                <w:rFonts w:ascii="Times New Roman" w:hAnsi="Times New Roman" w:cs="Times New Roman"/>
                <w:iCs/>
                <w:sz w:val="20"/>
                <w:szCs w:val="20"/>
                <w:lang w:eastAsia="sk-SK"/>
              </w:rPr>
              <w:t>.</w:t>
            </w:r>
          </w:p>
          <w:p w14:paraId="55306256" w14:textId="77777777" w:rsidR="00AD62CD" w:rsidRDefault="00AD62CD" w:rsidP="003627DF">
            <w:pPr>
              <w:rPr>
                <w:rFonts w:ascii="Times New Roman" w:eastAsia="Times New Roman" w:hAnsi="Times New Roman" w:cs="Times New Roman"/>
                <w:i/>
                <w:sz w:val="20"/>
                <w:szCs w:val="20"/>
                <w:lang w:eastAsia="sk-SK"/>
              </w:rPr>
            </w:pPr>
          </w:p>
          <w:p w14:paraId="3C394E77" w14:textId="77777777" w:rsidR="00AD62CD" w:rsidRPr="00BA51F5" w:rsidRDefault="00AD62CD" w:rsidP="003627DF">
            <w:pPr>
              <w:jc w:val="both"/>
              <w:rPr>
                <w:rFonts w:ascii="Times New Roman" w:eastAsia="Times New Roman" w:hAnsi="Times New Roman" w:cs="Times New Roman"/>
                <w:b/>
                <w:sz w:val="20"/>
                <w:szCs w:val="20"/>
                <w:lang w:eastAsia="sk-SK"/>
              </w:rPr>
            </w:pPr>
            <w:r w:rsidRPr="00BA51F5">
              <w:rPr>
                <w:rFonts w:ascii="Times New Roman" w:eastAsia="Times New Roman" w:hAnsi="Times New Roman" w:cs="Times New Roman"/>
                <w:b/>
                <w:sz w:val="20"/>
                <w:szCs w:val="20"/>
                <w:lang w:eastAsia="sk-SK"/>
              </w:rPr>
              <w:t>Zákon o cestovných náhradách</w:t>
            </w:r>
          </w:p>
          <w:p w14:paraId="7D84012B" w14:textId="77777777" w:rsidR="00AD62CD" w:rsidRDefault="00AD62CD" w:rsidP="003627DF">
            <w:pPr>
              <w:jc w:val="both"/>
              <w:rPr>
                <w:rFonts w:ascii="Times New Roman" w:eastAsia="Times New Roman" w:hAnsi="Times New Roman" w:cs="Times New Roman"/>
                <w:i/>
                <w:sz w:val="20"/>
                <w:szCs w:val="20"/>
                <w:lang w:eastAsia="sk-SK"/>
              </w:rPr>
            </w:pPr>
            <w:r w:rsidRPr="006F128C">
              <w:rPr>
                <w:rFonts w:ascii="Times New Roman" w:eastAsia="Times New Roman" w:hAnsi="Times New Roman" w:cs="Times New Roman"/>
                <w:i/>
                <w:sz w:val="20"/>
                <w:szCs w:val="20"/>
                <w:lang w:eastAsia="sk-SK"/>
              </w:rPr>
              <w:t>Všeobecne záväzný právny predpis, ktorý vydáva Ministerstvo financií SR pre základné sadzby stravného v eurách alebo v cudzej mene pri zahraničných pracovných cestách, by sa doplnil aj o ustanovenie osobitných základných sadzieb stravného pre niektoré skupiny zamestnancov a pre niektoré krajiny.</w:t>
            </w:r>
          </w:p>
          <w:p w14:paraId="4C2DDBEF" w14:textId="77777777" w:rsidR="00AD62CD" w:rsidRPr="000C062C" w:rsidRDefault="00AD62CD" w:rsidP="003627DF">
            <w:pPr>
              <w:jc w:val="both"/>
              <w:rPr>
                <w:rFonts w:ascii="Times New Roman" w:eastAsia="Times New Roman" w:hAnsi="Times New Roman" w:cs="Times New Roman"/>
                <w:i/>
                <w:sz w:val="20"/>
                <w:szCs w:val="20"/>
                <w:lang w:eastAsia="sk-SK"/>
              </w:rPr>
            </w:pPr>
          </w:p>
          <w:p w14:paraId="165B4FD8" w14:textId="77777777" w:rsidR="00AD62CD" w:rsidRPr="000C062C" w:rsidRDefault="00AD62CD" w:rsidP="003627DF">
            <w:pPr>
              <w:jc w:val="both"/>
              <w:rPr>
                <w:rFonts w:ascii="Times New Roman" w:eastAsia="Times New Roman" w:hAnsi="Times New Roman" w:cs="Times New Roman"/>
                <w:b/>
                <w:bCs/>
                <w:i/>
                <w:sz w:val="20"/>
                <w:szCs w:val="20"/>
                <w:lang w:eastAsia="sk-SK"/>
              </w:rPr>
            </w:pPr>
            <w:r w:rsidRPr="000C062C">
              <w:rPr>
                <w:rFonts w:ascii="Times New Roman" w:eastAsia="Times New Roman" w:hAnsi="Times New Roman" w:cs="Times New Roman"/>
                <w:b/>
                <w:bCs/>
                <w:i/>
                <w:sz w:val="20"/>
                <w:szCs w:val="20"/>
                <w:lang w:eastAsia="sk-SK"/>
              </w:rPr>
              <w:t>Zákon o zdravotnom poistení</w:t>
            </w:r>
          </w:p>
          <w:p w14:paraId="4812DA26" w14:textId="77777777" w:rsidR="00AD62CD" w:rsidRPr="000C062C" w:rsidRDefault="00AD62CD" w:rsidP="003627DF">
            <w:pPr>
              <w:rPr>
                <w:rFonts w:ascii="Times New Roman" w:hAnsi="Times New Roman" w:cs="Times New Roman"/>
                <w:sz w:val="20"/>
                <w:szCs w:val="20"/>
              </w:rPr>
            </w:pPr>
            <w:r w:rsidRPr="000C062C">
              <w:rPr>
                <w:rFonts w:ascii="Times New Roman" w:hAnsi="Times New Roman" w:cs="Times New Roman"/>
                <w:sz w:val="20"/>
                <w:szCs w:val="20"/>
              </w:rPr>
              <w:t>Preskúmanie účelnosti navrhovaného predpisu bude vykonávané po vykonaní ročného zúčtovania poistného za prvý rok platnosti (za rok 2026).</w:t>
            </w:r>
          </w:p>
          <w:p w14:paraId="1647C4FD" w14:textId="77777777" w:rsidR="00AD62CD" w:rsidRPr="000C062C" w:rsidRDefault="00AD62CD" w:rsidP="003627DF">
            <w:pPr>
              <w:rPr>
                <w:rFonts w:ascii="Times New Roman" w:hAnsi="Times New Roman" w:cs="Times New Roman"/>
                <w:sz w:val="20"/>
                <w:szCs w:val="20"/>
              </w:rPr>
            </w:pPr>
            <w:r w:rsidRPr="000C062C">
              <w:rPr>
                <w:rFonts w:ascii="Times New Roman" w:hAnsi="Times New Roman" w:cs="Times New Roman"/>
                <w:sz w:val="20"/>
                <w:szCs w:val="20"/>
              </w:rPr>
              <w:t xml:space="preserve">Kritériá </w:t>
            </w:r>
          </w:p>
          <w:p w14:paraId="5A5CE7F0" w14:textId="77777777" w:rsidR="00AD62CD" w:rsidRPr="000C062C" w:rsidRDefault="00AD62CD" w:rsidP="00AD62CD">
            <w:pPr>
              <w:pStyle w:val="Odsekzoznamu"/>
              <w:numPr>
                <w:ilvl w:val="0"/>
                <w:numId w:val="8"/>
              </w:numPr>
              <w:contextualSpacing w:val="0"/>
              <w:rPr>
                <w:rFonts w:ascii="Times New Roman" w:hAnsi="Times New Roman" w:cs="Times New Roman"/>
                <w:sz w:val="20"/>
                <w:szCs w:val="20"/>
                <w:lang w:eastAsia="sk-SK"/>
              </w:rPr>
            </w:pPr>
            <w:r w:rsidRPr="000C062C">
              <w:rPr>
                <w:rFonts w:ascii="Times New Roman" w:hAnsi="Times New Roman" w:cs="Times New Roman"/>
                <w:sz w:val="20"/>
                <w:szCs w:val="20"/>
                <w:lang w:eastAsia="sk-SK"/>
              </w:rPr>
              <w:t>porovnanie medziročného rastu/poklesu deficitu verejných financií,</w:t>
            </w:r>
          </w:p>
          <w:p w14:paraId="393ACDB6" w14:textId="77777777" w:rsidR="00AD62CD" w:rsidRPr="00612E08" w:rsidRDefault="00AD62CD" w:rsidP="00AD62CD">
            <w:pPr>
              <w:pStyle w:val="Odsekzoznamu"/>
              <w:numPr>
                <w:ilvl w:val="0"/>
                <w:numId w:val="8"/>
              </w:numPr>
              <w:jc w:val="both"/>
              <w:rPr>
                <w:rFonts w:ascii="Times New Roman" w:eastAsia="Times New Roman" w:hAnsi="Times New Roman" w:cs="Times New Roman"/>
                <w:sz w:val="20"/>
                <w:szCs w:val="20"/>
                <w:lang w:eastAsia="sk-SK"/>
              </w:rPr>
            </w:pPr>
            <w:r w:rsidRPr="00E81D01">
              <w:rPr>
                <w:rFonts w:ascii="Times New Roman" w:hAnsi="Times New Roman" w:cs="Times New Roman"/>
                <w:sz w:val="20"/>
                <w:szCs w:val="20"/>
                <w:lang w:eastAsia="sk-SK"/>
              </w:rPr>
              <w:t>porovnanie medziročného rastu/poklesu zdrojov verejného zdravotného poistenia.</w:t>
            </w:r>
          </w:p>
        </w:tc>
      </w:tr>
      <w:tr w:rsidR="00AD62CD" w:rsidRPr="00612E08" w14:paraId="2F574F97" w14:textId="77777777" w:rsidTr="003627D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6E5F791" w14:textId="77777777" w:rsidR="00AD62CD" w:rsidRPr="00612E08" w:rsidRDefault="00AD62CD" w:rsidP="00AD62CD">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AD62CD" w:rsidRPr="00612E08" w14:paraId="52E5D90D" w14:textId="77777777" w:rsidTr="003627DF">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D62CD" w:rsidRPr="00612E08" w14:paraId="4CD8D968" w14:textId="77777777" w:rsidTr="003627DF">
              <w:trPr>
                <w:trHeight w:val="90"/>
              </w:trPr>
              <w:tc>
                <w:tcPr>
                  <w:tcW w:w="8643" w:type="dxa"/>
                </w:tcPr>
                <w:p w14:paraId="43952C7F" w14:textId="77777777" w:rsidR="00AD62CD" w:rsidRPr="00612E08" w:rsidRDefault="00AD62CD" w:rsidP="003627DF">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AD62CD" w:rsidRPr="00612E08" w14:paraId="369DCC4B" w14:textId="77777777" w:rsidTr="003627DF">
              <w:trPr>
                <w:trHeight w:val="296"/>
              </w:trPr>
              <w:tc>
                <w:tcPr>
                  <w:tcW w:w="8643" w:type="dxa"/>
                </w:tcPr>
                <w:p w14:paraId="36193962" w14:textId="77777777" w:rsidR="00AD62CD" w:rsidRPr="00612E08" w:rsidRDefault="00AD62CD" w:rsidP="003627D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00BB2CD6" w14:textId="77777777" w:rsidR="00AD62CD" w:rsidRPr="00612E08" w:rsidRDefault="00AD62CD" w:rsidP="003627DF">
                  <w:pPr>
                    <w:pStyle w:val="Default"/>
                    <w:rPr>
                      <w:i/>
                      <w:iCs/>
                      <w:color w:val="auto"/>
                      <w:sz w:val="20"/>
                      <w:szCs w:val="20"/>
                    </w:rPr>
                  </w:pPr>
                </w:p>
                <w:p w14:paraId="27B3C51E" w14:textId="77777777" w:rsidR="00AD62CD" w:rsidRPr="00612E08" w:rsidRDefault="00AD62CD" w:rsidP="003627DF">
                  <w:pPr>
                    <w:pStyle w:val="Default"/>
                    <w:rPr>
                      <w:color w:val="auto"/>
                      <w:sz w:val="20"/>
                      <w:szCs w:val="20"/>
                    </w:rPr>
                  </w:pPr>
                  <w:r w:rsidRPr="00612E08">
                    <w:rPr>
                      <w:i/>
                      <w:iCs/>
                      <w:color w:val="auto"/>
                      <w:sz w:val="20"/>
                      <w:szCs w:val="20"/>
                    </w:rPr>
                    <w:t xml:space="preserve">Ak áno, uveďte, ktorých vplyvov podľa bodu 9 sa goldplating týka: </w:t>
                  </w:r>
                </w:p>
              </w:tc>
            </w:tr>
            <w:tr w:rsidR="00AD62CD" w:rsidRPr="00612E08" w14:paraId="1A05486D" w14:textId="77777777" w:rsidTr="003627DF">
              <w:trPr>
                <w:trHeight w:val="296"/>
              </w:trPr>
              <w:tc>
                <w:tcPr>
                  <w:tcW w:w="8643" w:type="dxa"/>
                </w:tcPr>
                <w:p w14:paraId="5EB327A8" w14:textId="77777777" w:rsidR="00AD62CD" w:rsidRPr="00612E08" w:rsidRDefault="00AD62CD" w:rsidP="003627DF">
                  <w:pPr>
                    <w:pStyle w:val="Default"/>
                    <w:rPr>
                      <w:rFonts w:ascii="Segoe UI Symbol" w:hAnsi="Segoe UI Symbol" w:cs="Segoe UI Symbol"/>
                      <w:color w:val="auto"/>
                      <w:sz w:val="20"/>
                      <w:szCs w:val="20"/>
                    </w:rPr>
                  </w:pPr>
                </w:p>
              </w:tc>
            </w:tr>
          </w:tbl>
          <w:p w14:paraId="57B842C1" w14:textId="77777777" w:rsidR="00AD62CD" w:rsidRPr="00612E08" w:rsidRDefault="00AD62CD" w:rsidP="003627DF">
            <w:pPr>
              <w:jc w:val="both"/>
              <w:rPr>
                <w:rFonts w:ascii="Times New Roman" w:eastAsia="Times New Roman" w:hAnsi="Times New Roman" w:cs="Times New Roman"/>
                <w:i/>
                <w:sz w:val="20"/>
                <w:szCs w:val="20"/>
                <w:lang w:eastAsia="sk-SK"/>
              </w:rPr>
            </w:pPr>
          </w:p>
        </w:tc>
      </w:tr>
      <w:tr w:rsidR="00AD62CD" w:rsidRPr="00612E08" w14:paraId="541FF8D3" w14:textId="77777777" w:rsidTr="003627DF">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56C4B9FD" w14:textId="77777777" w:rsidR="00AD62CD" w:rsidRPr="00612E08" w:rsidRDefault="00AD62CD" w:rsidP="003627DF">
            <w:pPr>
              <w:jc w:val="center"/>
              <w:rPr>
                <w:rFonts w:ascii="Times New Roman" w:eastAsia="Times New Roman" w:hAnsi="Times New Roman" w:cs="Times New Roman"/>
                <w:sz w:val="20"/>
                <w:szCs w:val="20"/>
                <w:lang w:eastAsia="sk-SK"/>
              </w:rPr>
            </w:pPr>
          </w:p>
        </w:tc>
      </w:tr>
      <w:tr w:rsidR="00AD62CD" w:rsidRPr="00612E08" w14:paraId="431B0584" w14:textId="77777777" w:rsidTr="003627D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9998F4A" w14:textId="77777777" w:rsidR="00AD62CD" w:rsidRPr="00612E08" w:rsidRDefault="00AD62CD" w:rsidP="00AD62CD">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AD62CD" w:rsidRPr="00612E08" w14:paraId="5A61986B" w14:textId="77777777" w:rsidTr="003627DF">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EAF678D" w14:textId="77777777" w:rsidR="00AD62CD" w:rsidRPr="00612E08" w:rsidRDefault="00AD62CD" w:rsidP="003627D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2A247AD2" w14:textId="77777777" w:rsidR="00AD62CD" w:rsidRPr="00612E08" w:rsidRDefault="00AD62CD" w:rsidP="003627D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14:paraId="548881A9" w14:textId="77777777" w:rsidR="00AD62CD" w:rsidRDefault="00AD62CD" w:rsidP="003627DF">
            <w:pPr>
              <w:rPr>
                <w:rFonts w:ascii="Times New Roman" w:eastAsia="Times New Roman" w:hAnsi="Times New Roman" w:cs="Times New Roman"/>
                <w:i/>
                <w:sz w:val="20"/>
                <w:szCs w:val="20"/>
                <w:lang w:eastAsia="sk-SK"/>
              </w:rPr>
            </w:pPr>
          </w:p>
          <w:p w14:paraId="13E31327" w14:textId="77777777" w:rsidR="00AD62CD" w:rsidRPr="00611E2B" w:rsidRDefault="00AD62CD" w:rsidP="003627DF">
            <w:pPr>
              <w:jc w:val="both"/>
              <w:rPr>
                <w:rFonts w:ascii="Times New Roman" w:eastAsia="Times New Roman" w:hAnsi="Times New Roman" w:cs="Times New Roman"/>
                <w:b/>
                <w:sz w:val="20"/>
                <w:szCs w:val="20"/>
                <w:lang w:eastAsia="sk-SK"/>
              </w:rPr>
            </w:pPr>
            <w:r w:rsidRPr="00611E2B">
              <w:rPr>
                <w:rFonts w:ascii="Times New Roman" w:eastAsia="Times New Roman" w:hAnsi="Times New Roman" w:cs="Times New Roman"/>
                <w:b/>
                <w:sz w:val="20"/>
                <w:szCs w:val="20"/>
                <w:lang w:eastAsia="sk-SK"/>
              </w:rPr>
              <w:t>Banský zákon</w:t>
            </w:r>
          </w:p>
          <w:p w14:paraId="09628215" w14:textId="77777777" w:rsidR="00AD62CD" w:rsidRPr="00611E2B" w:rsidRDefault="00AD62CD" w:rsidP="003627DF">
            <w:pPr>
              <w:jc w:val="both"/>
              <w:rPr>
                <w:rFonts w:ascii="Times New Roman" w:eastAsia="Times New Roman" w:hAnsi="Times New Roman" w:cs="Times New Roman"/>
                <w:bCs/>
                <w:sz w:val="20"/>
                <w:szCs w:val="20"/>
                <w:lang w:eastAsia="sk-SK"/>
              </w:rPr>
            </w:pPr>
            <w:r w:rsidRPr="00611E2B">
              <w:rPr>
                <w:rFonts w:ascii="Times New Roman" w:eastAsia="Times New Roman" w:hAnsi="Times New Roman" w:cs="Times New Roman"/>
                <w:bCs/>
                <w:sz w:val="20"/>
                <w:szCs w:val="20"/>
                <w:lang w:eastAsia="sk-SK"/>
              </w:rPr>
              <w:t>Preskúmanie účelnosti návrhu novely zákona v oblasti úhrad bude možné vykonať po predložení priznania úhrad za 4. štvrťrok kalendárneho roka v nasledujúcom roku po nadobudnutí účinnosti návrhu zákona, nakoľko súčasťou výpočtu úhrady za 4. štvrťrok je aj zúčtovanie úhrad za kalendárny rok. V prípade priznania úhrad za 4. štvrťrok kalendárneho roka tak výška platby úhrady vyplýva z rozdielu sumy zaplatených úhrad za 1. až 3. štvrťrok a výška úhrady, ktorá je vypočítaná z celoročných nákladov a tržieb. Výška platby úhrady  je potom preplatok alebo nedoplatok vypočítaný organizáciou z rozdielu medzi kvartálnymi priznaniami a ročným priznaním.</w:t>
            </w:r>
          </w:p>
          <w:p w14:paraId="23251AF9" w14:textId="77777777" w:rsidR="00AD62CD" w:rsidRPr="00611E2B" w:rsidRDefault="00AD62CD" w:rsidP="003627DF">
            <w:pPr>
              <w:jc w:val="both"/>
              <w:rPr>
                <w:rFonts w:ascii="Times New Roman" w:eastAsia="Times New Roman" w:hAnsi="Times New Roman" w:cs="Times New Roman"/>
                <w:b/>
                <w:sz w:val="20"/>
                <w:szCs w:val="20"/>
                <w:lang w:eastAsia="sk-SK"/>
              </w:rPr>
            </w:pPr>
          </w:p>
          <w:p w14:paraId="618896E6" w14:textId="77777777" w:rsidR="00AD62CD" w:rsidRPr="00611E2B" w:rsidRDefault="00AD62CD" w:rsidP="003627DF">
            <w:pPr>
              <w:jc w:val="both"/>
              <w:rPr>
                <w:rFonts w:ascii="Times New Roman" w:eastAsia="Times New Roman" w:hAnsi="Times New Roman" w:cs="Times New Roman"/>
                <w:b/>
                <w:sz w:val="20"/>
                <w:szCs w:val="20"/>
                <w:lang w:eastAsia="sk-SK"/>
              </w:rPr>
            </w:pPr>
            <w:r w:rsidRPr="00611E2B">
              <w:rPr>
                <w:rFonts w:ascii="Times New Roman" w:eastAsia="Times New Roman" w:hAnsi="Times New Roman" w:cs="Times New Roman"/>
                <w:b/>
                <w:sz w:val="20"/>
                <w:szCs w:val="20"/>
                <w:lang w:eastAsia="sk-SK"/>
              </w:rPr>
              <w:t>Zákon o cestovných náhradách</w:t>
            </w:r>
          </w:p>
          <w:p w14:paraId="5011EA98" w14:textId="77777777" w:rsidR="00AD62CD" w:rsidRPr="00611E2B" w:rsidRDefault="00AD62CD" w:rsidP="003627DF">
            <w:pPr>
              <w:rPr>
                <w:rFonts w:ascii="Times New Roman" w:eastAsia="Times New Roman" w:hAnsi="Times New Roman" w:cs="Times New Roman"/>
                <w:iCs/>
                <w:sz w:val="20"/>
                <w:szCs w:val="20"/>
                <w:lang w:eastAsia="sk-SK"/>
              </w:rPr>
            </w:pPr>
            <w:r w:rsidRPr="00611E2B">
              <w:rPr>
                <w:rFonts w:ascii="Times New Roman" w:eastAsia="Times New Roman" w:hAnsi="Times New Roman" w:cs="Times New Roman"/>
                <w:iCs/>
                <w:sz w:val="20"/>
                <w:szCs w:val="20"/>
                <w:lang w:eastAsia="sk-SK"/>
              </w:rPr>
              <w:t>Preskúmanie účinnosti  a účelnosti predkladaného materiálu sa uskutoční v 2. polovici 2026, pri posudzovaní splnenia cieľov navrhovaných úprav.</w:t>
            </w:r>
          </w:p>
        </w:tc>
      </w:tr>
      <w:tr w:rsidR="00AD62CD" w:rsidRPr="00612E08" w14:paraId="6D1CC478" w14:textId="77777777" w:rsidTr="003627DF">
        <w:tc>
          <w:tcPr>
            <w:tcW w:w="9180" w:type="dxa"/>
            <w:gridSpan w:val="11"/>
            <w:tcBorders>
              <w:top w:val="nil"/>
              <w:left w:val="nil"/>
              <w:bottom w:val="single" w:sz="4" w:space="0" w:color="auto"/>
              <w:right w:val="nil"/>
            </w:tcBorders>
            <w:shd w:val="clear" w:color="auto" w:fill="FFFFFF"/>
          </w:tcPr>
          <w:p w14:paraId="6D211A7C" w14:textId="77777777" w:rsidR="00AD62CD" w:rsidRPr="00612E08" w:rsidRDefault="00AD62CD" w:rsidP="003627DF">
            <w:pPr>
              <w:jc w:val="both"/>
              <w:rPr>
                <w:rFonts w:ascii="Times New Roman" w:eastAsia="Times New Roman" w:hAnsi="Times New Roman" w:cs="Times New Roman"/>
                <w:b/>
                <w:sz w:val="20"/>
                <w:szCs w:val="20"/>
                <w:lang w:eastAsia="sk-SK"/>
              </w:rPr>
            </w:pPr>
          </w:p>
          <w:p w14:paraId="2A01EA2E" w14:textId="77777777" w:rsidR="00AD62CD" w:rsidRPr="00612E08" w:rsidRDefault="00AD62CD" w:rsidP="003627DF">
            <w:pPr>
              <w:jc w:val="both"/>
              <w:rPr>
                <w:rFonts w:ascii="Times New Roman" w:eastAsia="Times New Roman" w:hAnsi="Times New Roman" w:cs="Times New Roman"/>
                <w:b/>
                <w:sz w:val="20"/>
                <w:szCs w:val="20"/>
                <w:lang w:eastAsia="sk-SK"/>
              </w:rPr>
            </w:pPr>
          </w:p>
          <w:p w14:paraId="2681A62D" w14:textId="77777777" w:rsidR="00AD62CD" w:rsidRPr="00612E08" w:rsidRDefault="00AD62CD" w:rsidP="003627D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56D0E06B" w14:textId="77777777" w:rsidR="00AD62CD" w:rsidRPr="00612E08" w:rsidRDefault="00AD62CD" w:rsidP="003627D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263E3B12" w14:textId="77777777" w:rsidR="00AD62CD" w:rsidRPr="00612E08" w:rsidRDefault="00AD62CD" w:rsidP="003627D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3C6CDEFB" w14:textId="77777777" w:rsidR="00AD62CD" w:rsidRPr="00612E08" w:rsidRDefault="00AD62CD" w:rsidP="003627DF">
            <w:pPr>
              <w:jc w:val="both"/>
              <w:rPr>
                <w:rFonts w:ascii="Times New Roman" w:eastAsia="Times New Roman" w:hAnsi="Times New Roman" w:cs="Times New Roman"/>
                <w:sz w:val="20"/>
                <w:szCs w:val="20"/>
                <w:lang w:eastAsia="sk-SK"/>
              </w:rPr>
            </w:pPr>
          </w:p>
          <w:p w14:paraId="37B31AED" w14:textId="77777777" w:rsidR="00AD62CD" w:rsidRPr="00612E08" w:rsidRDefault="00AD62CD" w:rsidP="003627DF">
            <w:pPr>
              <w:jc w:val="both"/>
              <w:rPr>
                <w:rFonts w:ascii="Times New Roman" w:eastAsia="Times New Roman" w:hAnsi="Times New Roman" w:cs="Times New Roman"/>
                <w:b/>
                <w:sz w:val="20"/>
                <w:szCs w:val="20"/>
                <w:lang w:eastAsia="sk-SK"/>
              </w:rPr>
            </w:pPr>
          </w:p>
        </w:tc>
      </w:tr>
      <w:tr w:rsidR="00AD62CD" w:rsidRPr="00612E08" w14:paraId="32F2B71E" w14:textId="77777777" w:rsidTr="003627DF">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3AA2FA6" w14:textId="77777777" w:rsidR="00AD62CD" w:rsidRPr="00612E08" w:rsidRDefault="00AD62CD" w:rsidP="00AD62CD">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AD62CD" w:rsidRPr="00612E08" w14:paraId="28021822" w14:textId="77777777" w:rsidTr="003627DF">
        <w:tc>
          <w:tcPr>
            <w:tcW w:w="3812" w:type="dxa"/>
            <w:tcBorders>
              <w:top w:val="single" w:sz="4" w:space="0" w:color="auto"/>
              <w:left w:val="single" w:sz="4" w:space="0" w:color="auto"/>
              <w:bottom w:val="nil"/>
              <w:right w:val="single" w:sz="4" w:space="0" w:color="auto"/>
            </w:tcBorders>
            <w:shd w:val="clear" w:color="auto" w:fill="E2E2E2"/>
          </w:tcPr>
          <w:p w14:paraId="2467BC23"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3AA95412" w14:textId="77777777" w:rsidR="00AD62CD" w:rsidRPr="00612E08" w:rsidRDefault="00AD62CD" w:rsidP="003627D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0D0B09B7"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7B80566B" w14:textId="77777777" w:rsidR="00AD62CD" w:rsidRPr="00612E08" w:rsidRDefault="00AD62CD" w:rsidP="003627D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058035C5"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229B7373" w14:textId="77777777" w:rsidR="00AD62CD" w:rsidRPr="00612E08" w:rsidRDefault="00AD62CD" w:rsidP="003627DF">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0A8D50D" w14:textId="77777777" w:rsidR="00AD62CD" w:rsidRPr="00612E08" w:rsidRDefault="00AD62CD" w:rsidP="003627DF">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D62CD" w:rsidRPr="00612E08" w14:paraId="1774EB21" w14:textId="77777777" w:rsidTr="003627DF">
        <w:tc>
          <w:tcPr>
            <w:tcW w:w="3812" w:type="dxa"/>
            <w:tcBorders>
              <w:top w:val="nil"/>
              <w:left w:val="single" w:sz="4" w:space="0" w:color="auto"/>
              <w:bottom w:val="nil"/>
              <w:right w:val="single" w:sz="4" w:space="0" w:color="auto"/>
            </w:tcBorders>
            <w:shd w:val="clear" w:color="auto" w:fill="E2E2E2"/>
          </w:tcPr>
          <w:p w14:paraId="7364A3F8" w14:textId="77777777" w:rsidR="00AD62CD" w:rsidRPr="00612E08" w:rsidRDefault="00AD62CD" w:rsidP="003627D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76F35634" w14:textId="77777777" w:rsidR="00AD62CD" w:rsidRPr="00612E08" w:rsidRDefault="00AD62CD" w:rsidP="003627D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703F057E" w14:textId="77777777" w:rsidR="00AD62CD" w:rsidRPr="00612E08" w:rsidRDefault="00AD62CD" w:rsidP="003627D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3CC2B5AC" w14:textId="77777777" w:rsidR="00AD62CD" w:rsidRPr="00611E2B" w:rsidRDefault="00AD62CD" w:rsidP="003627DF">
                <w:pPr>
                  <w:jc w:val="center"/>
                  <w:rPr>
                    <w:rFonts w:ascii="Times New Roman" w:eastAsia="Times New Roman" w:hAnsi="Times New Roman" w:cs="Times New Roman"/>
                    <w:sz w:val="20"/>
                    <w:szCs w:val="20"/>
                    <w:lang w:eastAsia="sk-SK"/>
                  </w:rPr>
                </w:pPr>
                <w:r w:rsidRPr="00611E2B">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4C06DEA" w14:textId="77777777" w:rsidR="00AD62CD" w:rsidRPr="00611E2B" w:rsidRDefault="00AD62CD" w:rsidP="003627DF">
            <w:pPr>
              <w:rPr>
                <w:rFonts w:ascii="Times New Roman" w:eastAsia="Times New Roman" w:hAnsi="Times New Roman" w:cs="Times New Roman"/>
                <w:sz w:val="20"/>
                <w:szCs w:val="20"/>
                <w:lang w:eastAsia="sk-SK"/>
              </w:rPr>
            </w:pPr>
            <w:r w:rsidRPr="00611E2B">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35456919" w14:textId="77777777" w:rsidR="00AD62CD" w:rsidRPr="00611E2B" w:rsidRDefault="00AD62CD" w:rsidP="003627DF">
                <w:pPr>
                  <w:jc w:val="center"/>
                  <w:rPr>
                    <w:rFonts w:ascii="Times New Roman" w:eastAsia="Times New Roman" w:hAnsi="Times New Roman" w:cs="Times New Roman"/>
                    <w:sz w:val="20"/>
                    <w:szCs w:val="20"/>
                    <w:lang w:eastAsia="sk-SK"/>
                  </w:rPr>
                </w:pPr>
                <w:r w:rsidRPr="00611E2B">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2DDBBAC" w14:textId="77777777" w:rsidR="00AD62CD" w:rsidRPr="00611E2B" w:rsidRDefault="00AD62CD" w:rsidP="003627DF">
            <w:pPr>
              <w:rPr>
                <w:rFonts w:ascii="Times New Roman" w:eastAsia="Times New Roman" w:hAnsi="Times New Roman" w:cs="Times New Roman"/>
                <w:sz w:val="20"/>
                <w:szCs w:val="20"/>
                <w:lang w:eastAsia="sk-SK"/>
              </w:rPr>
            </w:pPr>
            <w:r w:rsidRPr="00611E2B">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4F759C49" w14:textId="77777777" w:rsidR="00AD62CD" w:rsidRPr="00611E2B" w:rsidRDefault="00AD62CD" w:rsidP="003627DF">
                <w:pPr>
                  <w:ind w:left="-107" w:right="-108"/>
                  <w:jc w:val="center"/>
                  <w:rPr>
                    <w:rFonts w:ascii="Times New Roman" w:eastAsia="Times New Roman" w:hAnsi="Times New Roman" w:cs="Times New Roman"/>
                    <w:sz w:val="20"/>
                    <w:szCs w:val="20"/>
                    <w:lang w:eastAsia="sk-SK"/>
                  </w:rPr>
                </w:pPr>
                <w:r w:rsidRPr="00611E2B">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DF97E73" w14:textId="77777777" w:rsidR="00AD62CD" w:rsidRPr="00611E2B" w:rsidRDefault="00AD62CD" w:rsidP="003627DF">
            <w:pPr>
              <w:ind w:left="34"/>
              <w:rPr>
                <w:rFonts w:ascii="Times New Roman" w:eastAsia="Times New Roman" w:hAnsi="Times New Roman" w:cs="Times New Roman"/>
                <w:sz w:val="20"/>
                <w:szCs w:val="20"/>
                <w:lang w:eastAsia="sk-SK"/>
              </w:rPr>
            </w:pPr>
            <w:r w:rsidRPr="00611E2B">
              <w:rPr>
                <w:rFonts w:ascii="Times New Roman" w:eastAsia="Times New Roman" w:hAnsi="Times New Roman" w:cs="Times New Roman"/>
                <w:sz w:val="20"/>
                <w:szCs w:val="20"/>
                <w:lang w:eastAsia="sk-SK"/>
              </w:rPr>
              <w:t>Čiastočne</w:t>
            </w:r>
          </w:p>
        </w:tc>
      </w:tr>
      <w:tr w:rsidR="00AD62CD" w:rsidRPr="00612E08" w14:paraId="1DCDE29A" w14:textId="77777777" w:rsidTr="003627DF">
        <w:tc>
          <w:tcPr>
            <w:tcW w:w="3812" w:type="dxa"/>
            <w:tcBorders>
              <w:top w:val="nil"/>
              <w:left w:val="single" w:sz="4" w:space="0" w:color="auto"/>
              <w:bottom w:val="nil"/>
              <w:right w:val="single" w:sz="4" w:space="0" w:color="auto"/>
            </w:tcBorders>
            <w:shd w:val="clear" w:color="auto" w:fill="E2E2E2"/>
          </w:tcPr>
          <w:p w14:paraId="7B6D1372"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2290010A" w14:textId="77777777" w:rsidR="00AD62CD" w:rsidRPr="00612E08" w:rsidRDefault="00AD62CD" w:rsidP="003627D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0984A398"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4084B238" w14:textId="77777777" w:rsidR="00AD62CD" w:rsidRPr="00612E08" w:rsidRDefault="00AD62CD" w:rsidP="003627D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3DB5EA6E"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06EF60DF" w14:textId="77777777" w:rsidR="00AD62CD" w:rsidRPr="00612E08" w:rsidRDefault="00AD62CD" w:rsidP="003627DF">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2863F57F" w14:textId="77777777" w:rsidR="00AD62CD" w:rsidRPr="00612E08" w:rsidRDefault="00AD62CD" w:rsidP="003627DF">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D62CD" w:rsidRPr="00612E08" w14:paraId="3731595E" w14:textId="77777777" w:rsidTr="003627DF">
        <w:tc>
          <w:tcPr>
            <w:tcW w:w="3812" w:type="dxa"/>
            <w:tcBorders>
              <w:top w:val="nil"/>
              <w:left w:val="single" w:sz="4" w:space="0" w:color="auto"/>
              <w:bottom w:val="single" w:sz="4" w:space="0" w:color="auto"/>
              <w:right w:val="single" w:sz="4" w:space="0" w:color="auto"/>
            </w:tcBorders>
            <w:shd w:val="clear" w:color="auto" w:fill="E2E2E2"/>
          </w:tcPr>
          <w:p w14:paraId="7E7B0323" w14:textId="77777777" w:rsidR="00AD62CD" w:rsidRPr="00612E08" w:rsidRDefault="00AD62CD" w:rsidP="003627DF">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503443B5" w14:textId="77777777" w:rsidR="00AD62CD" w:rsidRPr="00612E08" w:rsidRDefault="00AD62CD" w:rsidP="003627DF">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shd w:val="clear" w:color="auto" w:fill="auto"/>
                <w:vAlign w:val="center"/>
              </w:tcPr>
              <w:p w14:paraId="00166979" w14:textId="77777777" w:rsidR="00AD62CD" w:rsidRPr="00611E2B" w:rsidRDefault="00AD62CD" w:rsidP="003627DF">
                <w:pPr>
                  <w:jc w:val="center"/>
                  <w:rPr>
                    <w:rFonts w:ascii="Times New Roman" w:eastAsia="Times New Roman" w:hAnsi="Times New Roman" w:cs="Times New Roman"/>
                    <w:sz w:val="20"/>
                    <w:szCs w:val="20"/>
                    <w:lang w:eastAsia="sk-SK"/>
                  </w:rPr>
                </w:pPr>
                <w:r w:rsidRPr="00611E2B">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shd w:val="clear" w:color="auto" w:fill="auto"/>
            <w:vAlign w:val="center"/>
          </w:tcPr>
          <w:p w14:paraId="76D8FDF4" w14:textId="77777777" w:rsidR="00AD62CD" w:rsidRPr="00611E2B" w:rsidRDefault="00AD62CD" w:rsidP="003627DF">
            <w:pPr>
              <w:rPr>
                <w:rFonts w:ascii="Times New Roman" w:eastAsia="Times New Roman" w:hAnsi="Times New Roman" w:cs="Times New Roman"/>
                <w:sz w:val="20"/>
                <w:szCs w:val="20"/>
                <w:lang w:eastAsia="sk-SK"/>
              </w:rPr>
            </w:pPr>
            <w:r w:rsidRPr="00611E2B">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shd w:val="clear" w:color="auto" w:fill="auto"/>
                <w:vAlign w:val="center"/>
              </w:tcPr>
              <w:p w14:paraId="7D935FEA" w14:textId="77777777" w:rsidR="00AD62CD" w:rsidRPr="00611E2B" w:rsidRDefault="00AD62CD" w:rsidP="003627DF">
                <w:pPr>
                  <w:jc w:val="center"/>
                  <w:rPr>
                    <w:rFonts w:ascii="Times New Roman" w:eastAsia="Times New Roman" w:hAnsi="Times New Roman" w:cs="Times New Roman"/>
                    <w:sz w:val="20"/>
                    <w:szCs w:val="20"/>
                    <w:lang w:eastAsia="sk-SK"/>
                  </w:rPr>
                </w:pPr>
                <w:r w:rsidRPr="00611E2B">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shd w:val="clear" w:color="auto" w:fill="auto"/>
            <w:vAlign w:val="center"/>
          </w:tcPr>
          <w:p w14:paraId="19D39F9A" w14:textId="77777777" w:rsidR="00AD62CD" w:rsidRPr="00611E2B" w:rsidRDefault="00AD62CD" w:rsidP="003627DF">
            <w:pPr>
              <w:rPr>
                <w:rFonts w:ascii="Times New Roman" w:eastAsia="Times New Roman" w:hAnsi="Times New Roman" w:cs="Times New Roman"/>
                <w:sz w:val="20"/>
                <w:szCs w:val="20"/>
                <w:lang w:eastAsia="sk-SK"/>
              </w:rPr>
            </w:pPr>
            <w:r w:rsidRPr="00611E2B">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shd w:val="clear" w:color="auto" w:fill="auto"/>
                <w:vAlign w:val="center"/>
              </w:tcPr>
              <w:p w14:paraId="669E99B4" w14:textId="77777777" w:rsidR="00AD62CD" w:rsidRPr="00611E2B" w:rsidRDefault="00AD62CD" w:rsidP="003627DF">
                <w:pPr>
                  <w:ind w:left="-107" w:right="-108"/>
                  <w:jc w:val="center"/>
                  <w:rPr>
                    <w:rFonts w:ascii="Times New Roman" w:eastAsia="Times New Roman" w:hAnsi="Times New Roman" w:cs="Times New Roman"/>
                    <w:sz w:val="20"/>
                    <w:szCs w:val="20"/>
                    <w:lang w:eastAsia="sk-SK"/>
                  </w:rPr>
                </w:pPr>
                <w:r w:rsidRPr="00611E2B">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shd w:val="clear" w:color="auto" w:fill="auto"/>
            <w:vAlign w:val="center"/>
          </w:tcPr>
          <w:p w14:paraId="6D7B8885" w14:textId="77777777" w:rsidR="00AD62CD" w:rsidRPr="00611E2B" w:rsidRDefault="00AD62CD" w:rsidP="003627DF">
            <w:pPr>
              <w:ind w:left="34"/>
              <w:rPr>
                <w:rFonts w:ascii="Times New Roman" w:eastAsia="Times New Roman" w:hAnsi="Times New Roman" w:cs="Times New Roman"/>
                <w:sz w:val="20"/>
                <w:szCs w:val="20"/>
                <w:lang w:eastAsia="sk-SK"/>
              </w:rPr>
            </w:pPr>
            <w:r w:rsidRPr="00611E2B">
              <w:rPr>
                <w:rFonts w:ascii="Times New Roman" w:eastAsia="Times New Roman" w:hAnsi="Times New Roman" w:cs="Times New Roman"/>
                <w:sz w:val="20"/>
                <w:szCs w:val="20"/>
                <w:lang w:eastAsia="sk-SK"/>
              </w:rPr>
              <w:t>Čiastočne</w:t>
            </w:r>
          </w:p>
        </w:tc>
      </w:tr>
      <w:tr w:rsidR="00AD62CD" w:rsidRPr="00612E08" w14:paraId="63C1CFB7" w14:textId="77777777" w:rsidTr="003627DF">
        <w:tc>
          <w:tcPr>
            <w:tcW w:w="3812" w:type="dxa"/>
            <w:tcBorders>
              <w:top w:val="single" w:sz="4" w:space="0" w:color="auto"/>
              <w:left w:val="single" w:sz="4" w:space="0" w:color="auto"/>
              <w:bottom w:val="single" w:sz="4" w:space="0" w:color="auto"/>
              <w:right w:val="single" w:sz="4" w:space="0" w:color="auto"/>
            </w:tcBorders>
            <w:shd w:val="clear" w:color="auto" w:fill="E2E2E2"/>
          </w:tcPr>
          <w:p w14:paraId="7B3E3925" w14:textId="77777777" w:rsidR="00AD62CD" w:rsidRPr="00612E08" w:rsidRDefault="00AD62CD" w:rsidP="003627DF">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1D234405" w14:textId="77777777" w:rsidR="00AD62CD" w:rsidRPr="00611E2B" w:rsidRDefault="00AD62CD" w:rsidP="003627DF">
                <w:pPr>
                  <w:jc w:val="center"/>
                  <w:rPr>
                    <w:rFonts w:ascii="Times New Roman" w:eastAsia="Times New Roman" w:hAnsi="Times New Roman" w:cs="Times New Roman"/>
                    <w:sz w:val="20"/>
                    <w:szCs w:val="20"/>
                    <w:lang w:eastAsia="sk-SK"/>
                  </w:rPr>
                </w:pPr>
                <w:r w:rsidRPr="00611E2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CF525CB" w14:textId="77777777" w:rsidR="00AD62CD" w:rsidRPr="00611E2B" w:rsidRDefault="00AD62CD" w:rsidP="003627DF">
            <w:pPr>
              <w:rPr>
                <w:rFonts w:ascii="Times New Roman" w:eastAsia="Times New Roman" w:hAnsi="Times New Roman" w:cs="Times New Roman"/>
                <w:sz w:val="20"/>
                <w:szCs w:val="20"/>
                <w:lang w:eastAsia="sk-SK"/>
              </w:rPr>
            </w:pPr>
            <w:r w:rsidRPr="00611E2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3B7BC82" w14:textId="77777777" w:rsidR="00AD62CD" w:rsidRPr="00611E2B" w:rsidRDefault="00AD62CD" w:rsidP="003627DF">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0AC7801A" w14:textId="77777777" w:rsidR="00AD62CD" w:rsidRPr="00611E2B" w:rsidRDefault="00AD62CD" w:rsidP="003627D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228A13C1" w14:textId="77777777" w:rsidR="00AD62CD" w:rsidRPr="00611E2B" w:rsidRDefault="00AD62CD" w:rsidP="003627DF">
                <w:pPr>
                  <w:ind w:left="-107" w:right="-108"/>
                  <w:jc w:val="center"/>
                  <w:rPr>
                    <w:rFonts w:ascii="Times New Roman" w:eastAsia="Times New Roman" w:hAnsi="Times New Roman" w:cs="Times New Roman"/>
                    <w:sz w:val="20"/>
                    <w:szCs w:val="20"/>
                    <w:lang w:eastAsia="sk-SK"/>
                  </w:rPr>
                </w:pPr>
                <w:r w:rsidRPr="00611E2B">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6249055" w14:textId="77777777" w:rsidR="00AD62CD" w:rsidRPr="00611E2B" w:rsidRDefault="00AD62CD" w:rsidP="003627DF">
            <w:pPr>
              <w:ind w:left="34"/>
              <w:rPr>
                <w:rFonts w:ascii="Times New Roman" w:eastAsia="Times New Roman" w:hAnsi="Times New Roman" w:cs="Times New Roman"/>
                <w:sz w:val="20"/>
                <w:szCs w:val="20"/>
                <w:lang w:eastAsia="sk-SK"/>
              </w:rPr>
            </w:pPr>
            <w:r w:rsidRPr="00611E2B">
              <w:rPr>
                <w:rFonts w:ascii="Times New Roman" w:eastAsia="Times New Roman" w:hAnsi="Times New Roman" w:cs="Times New Roman"/>
                <w:sz w:val="20"/>
                <w:szCs w:val="20"/>
                <w:lang w:eastAsia="sk-SK"/>
              </w:rPr>
              <w:t>Nie</w:t>
            </w:r>
          </w:p>
        </w:tc>
      </w:tr>
      <w:tr w:rsidR="00AD62CD" w:rsidRPr="00612E08" w14:paraId="0C388A37" w14:textId="77777777" w:rsidTr="003627DF">
        <w:tc>
          <w:tcPr>
            <w:tcW w:w="3812" w:type="dxa"/>
            <w:tcBorders>
              <w:top w:val="single" w:sz="4" w:space="0" w:color="auto"/>
              <w:left w:val="single" w:sz="4" w:space="0" w:color="auto"/>
              <w:bottom w:val="single" w:sz="4" w:space="0" w:color="auto"/>
              <w:right w:val="single" w:sz="4" w:space="0" w:color="auto"/>
            </w:tcBorders>
            <w:shd w:val="clear" w:color="auto" w:fill="E2E2E2"/>
          </w:tcPr>
          <w:p w14:paraId="1D4A7A39"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4D3F8EE9" w14:textId="77777777" w:rsidR="00AD62CD" w:rsidRPr="00611E2B" w:rsidRDefault="00AD62CD" w:rsidP="003627DF">
                <w:pPr>
                  <w:jc w:val="center"/>
                  <w:rPr>
                    <w:rFonts w:ascii="Times New Roman" w:eastAsia="Times New Roman" w:hAnsi="Times New Roman" w:cs="Times New Roman"/>
                    <w:sz w:val="20"/>
                    <w:szCs w:val="20"/>
                    <w:lang w:eastAsia="sk-SK"/>
                  </w:rPr>
                </w:pPr>
                <w:r w:rsidRPr="00611E2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A5A4EF2" w14:textId="77777777" w:rsidR="00AD62CD" w:rsidRPr="00611E2B" w:rsidRDefault="00AD62CD" w:rsidP="003627DF">
            <w:pPr>
              <w:rPr>
                <w:rFonts w:ascii="Times New Roman" w:eastAsia="Times New Roman" w:hAnsi="Times New Roman" w:cs="Times New Roman"/>
                <w:sz w:val="20"/>
                <w:szCs w:val="20"/>
                <w:lang w:eastAsia="sk-SK"/>
              </w:rPr>
            </w:pPr>
            <w:r w:rsidRPr="00611E2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15936CA3" w14:textId="77777777" w:rsidR="00AD62CD" w:rsidRPr="00611E2B" w:rsidRDefault="00AD62CD" w:rsidP="003627DF">
                <w:pPr>
                  <w:jc w:val="center"/>
                  <w:rPr>
                    <w:rFonts w:ascii="Times New Roman" w:eastAsia="Times New Roman" w:hAnsi="Times New Roman" w:cs="Times New Roman"/>
                    <w:sz w:val="20"/>
                    <w:szCs w:val="20"/>
                    <w:lang w:eastAsia="sk-SK"/>
                  </w:rPr>
                </w:pPr>
                <w:r w:rsidRPr="00611E2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3BB7112" w14:textId="77777777" w:rsidR="00AD62CD" w:rsidRPr="00611E2B" w:rsidRDefault="00AD62CD" w:rsidP="003627DF">
            <w:pPr>
              <w:rPr>
                <w:rFonts w:ascii="Times New Roman" w:eastAsia="Times New Roman" w:hAnsi="Times New Roman" w:cs="Times New Roman"/>
                <w:sz w:val="20"/>
                <w:szCs w:val="20"/>
                <w:lang w:eastAsia="sk-SK"/>
              </w:rPr>
            </w:pPr>
            <w:r w:rsidRPr="00611E2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58EDA0CB" w14:textId="77777777" w:rsidR="00AD62CD" w:rsidRPr="00611E2B" w:rsidRDefault="00AD62CD" w:rsidP="003627DF">
                <w:pPr>
                  <w:ind w:left="-107" w:right="-108"/>
                  <w:jc w:val="center"/>
                  <w:rPr>
                    <w:rFonts w:ascii="Times New Roman" w:eastAsia="Times New Roman" w:hAnsi="Times New Roman" w:cs="Times New Roman"/>
                    <w:sz w:val="20"/>
                    <w:szCs w:val="20"/>
                    <w:lang w:eastAsia="sk-SK"/>
                  </w:rPr>
                </w:pPr>
                <w:r w:rsidRPr="00611E2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F3E831C" w14:textId="77777777" w:rsidR="00AD62CD" w:rsidRPr="00611E2B" w:rsidRDefault="00AD62CD" w:rsidP="003627DF">
            <w:pPr>
              <w:ind w:left="34"/>
              <w:rPr>
                <w:rFonts w:ascii="Times New Roman" w:eastAsia="Times New Roman" w:hAnsi="Times New Roman" w:cs="Times New Roman"/>
                <w:sz w:val="20"/>
                <w:szCs w:val="20"/>
                <w:lang w:eastAsia="sk-SK"/>
              </w:rPr>
            </w:pPr>
            <w:r w:rsidRPr="00611E2B">
              <w:rPr>
                <w:rFonts w:ascii="Times New Roman" w:eastAsia="Times New Roman" w:hAnsi="Times New Roman" w:cs="Times New Roman"/>
                <w:b/>
                <w:sz w:val="20"/>
                <w:szCs w:val="20"/>
                <w:lang w:eastAsia="sk-SK"/>
              </w:rPr>
              <w:t>Negatívne</w:t>
            </w:r>
          </w:p>
        </w:tc>
      </w:tr>
      <w:tr w:rsidR="00AD62CD" w:rsidRPr="00612E08" w14:paraId="6F34A1EE" w14:textId="77777777" w:rsidTr="003627DF">
        <w:tc>
          <w:tcPr>
            <w:tcW w:w="3812" w:type="dxa"/>
            <w:tcBorders>
              <w:top w:val="single" w:sz="4" w:space="0" w:color="auto"/>
              <w:left w:val="single" w:sz="4" w:space="0" w:color="auto"/>
              <w:bottom w:val="nil"/>
              <w:right w:val="single" w:sz="4" w:space="0" w:color="auto"/>
            </w:tcBorders>
            <w:shd w:val="clear" w:color="auto" w:fill="E2E2E2"/>
          </w:tcPr>
          <w:p w14:paraId="701B0691"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57D7D76B" w14:textId="77777777" w:rsidR="00AD62CD" w:rsidRPr="00612E08" w:rsidRDefault="00AD62CD" w:rsidP="003627D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E700FB2" w14:textId="77777777" w:rsidR="00AD62CD" w:rsidRPr="00612E08" w:rsidRDefault="00AD62CD" w:rsidP="003627D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7C16E1BF" w14:textId="77777777" w:rsidR="00AD62CD" w:rsidRPr="00612E08" w:rsidRDefault="00AD62CD" w:rsidP="003627D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14DF6489"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592090E4" w14:textId="77777777" w:rsidR="00AD62CD" w:rsidRPr="00612E08" w:rsidRDefault="00AD62CD" w:rsidP="003627D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516372B6" w14:textId="77777777" w:rsidR="00AD62CD" w:rsidRPr="00612E08" w:rsidRDefault="00AD62CD" w:rsidP="003627D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D62CD" w:rsidRPr="00612E08" w14:paraId="18A1A119" w14:textId="77777777" w:rsidTr="003627DF">
        <w:tc>
          <w:tcPr>
            <w:tcW w:w="3812" w:type="dxa"/>
            <w:tcBorders>
              <w:top w:val="nil"/>
              <w:left w:val="single" w:sz="4" w:space="0" w:color="000000"/>
              <w:bottom w:val="nil"/>
              <w:right w:val="single" w:sz="4" w:space="0" w:color="000000"/>
            </w:tcBorders>
            <w:shd w:val="clear" w:color="auto" w:fill="E2E2E2"/>
          </w:tcPr>
          <w:p w14:paraId="5135244A" w14:textId="77777777" w:rsidR="00AD62CD" w:rsidRPr="00612E08" w:rsidRDefault="00AD62CD" w:rsidP="003627D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7EBE1C65" w14:textId="77777777" w:rsidR="00AD62CD" w:rsidRPr="00612E08" w:rsidRDefault="00AD62CD" w:rsidP="003627D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5E545603" w14:textId="77777777" w:rsidR="00AD62CD" w:rsidRPr="00612E08" w:rsidRDefault="00AD62CD" w:rsidP="003627D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64748CBA" w14:textId="77777777" w:rsidR="00AD62CD" w:rsidRPr="00612E08" w:rsidRDefault="00AD62CD" w:rsidP="003627DF">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66479B07" w14:textId="77777777" w:rsidR="00AD62CD" w:rsidRPr="00612E08" w:rsidRDefault="00AD62CD" w:rsidP="003627D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413451D" w14:textId="77777777" w:rsidR="00AD62CD" w:rsidRPr="00612E08" w:rsidRDefault="00AD62CD" w:rsidP="003627D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524F671D" w14:textId="77777777" w:rsidR="00AD62CD" w:rsidRPr="00612E08" w:rsidRDefault="00AD62CD" w:rsidP="003627D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B33ADDC" w14:textId="77777777" w:rsidR="00AD62CD" w:rsidRPr="00612E08" w:rsidRDefault="00AD62CD" w:rsidP="003627DF">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AD62CD" w:rsidRPr="00612E08" w14:paraId="65E42EA7" w14:textId="77777777" w:rsidTr="003627DF">
        <w:tc>
          <w:tcPr>
            <w:tcW w:w="3812" w:type="dxa"/>
            <w:tcBorders>
              <w:top w:val="nil"/>
              <w:left w:val="single" w:sz="4" w:space="0" w:color="auto"/>
              <w:bottom w:val="single" w:sz="4" w:space="0" w:color="auto"/>
              <w:right w:val="single" w:sz="4" w:space="0" w:color="auto"/>
            </w:tcBorders>
            <w:shd w:val="clear" w:color="auto" w:fill="E2E2E2"/>
          </w:tcPr>
          <w:p w14:paraId="0BADFD33" w14:textId="77777777" w:rsidR="00AD62CD" w:rsidRPr="00612E08" w:rsidRDefault="00AD62CD" w:rsidP="003627D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2CD73B16"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58027F40" w14:textId="77777777" w:rsidR="00AD62CD" w:rsidRPr="00612E08" w:rsidRDefault="00AD62CD" w:rsidP="003627D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72D8A64B" w14:textId="77777777" w:rsidR="00AD62CD" w:rsidRPr="00612E08" w:rsidRDefault="00AD62CD" w:rsidP="003627D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7C708899" w14:textId="77777777" w:rsidR="00AD62CD" w:rsidRPr="00612E08" w:rsidRDefault="00AD62CD" w:rsidP="003627DF">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4355171" w14:textId="77777777" w:rsidR="00AD62CD" w:rsidRPr="00612E08" w:rsidRDefault="00AD62CD" w:rsidP="003627D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0C821945" w14:textId="77777777" w:rsidR="00AD62CD" w:rsidRPr="00612E08" w:rsidRDefault="00AD62CD" w:rsidP="003627D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6102EE6" w14:textId="77777777" w:rsidR="00AD62CD" w:rsidRPr="00612E08" w:rsidRDefault="00AD62CD" w:rsidP="003627D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AD62CD" w:rsidRPr="00612E08" w14:paraId="7668D438" w14:textId="77777777" w:rsidTr="003627DF">
        <w:tc>
          <w:tcPr>
            <w:tcW w:w="3812" w:type="dxa"/>
            <w:tcBorders>
              <w:top w:val="single" w:sz="4" w:space="0" w:color="000000"/>
              <w:left w:val="single" w:sz="4" w:space="0" w:color="auto"/>
              <w:bottom w:val="single" w:sz="4" w:space="0" w:color="auto"/>
              <w:right w:val="single" w:sz="4" w:space="0" w:color="auto"/>
            </w:tcBorders>
            <w:shd w:val="clear" w:color="auto" w:fill="E2E2E2"/>
          </w:tcPr>
          <w:p w14:paraId="7DDEBBAB"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64D28AC0" w14:textId="77777777" w:rsidR="00AD62CD" w:rsidRPr="00612E08" w:rsidRDefault="00AD62CD" w:rsidP="003627D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C21DCDC" w14:textId="77777777" w:rsidR="00AD62CD" w:rsidRPr="00612E08" w:rsidRDefault="00AD62CD" w:rsidP="003627D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3A22E074" w14:textId="77777777" w:rsidR="00AD62CD" w:rsidRPr="00612E08" w:rsidRDefault="00AD62CD" w:rsidP="003627D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70997C8"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7610C518" w14:textId="77777777" w:rsidR="00AD62CD" w:rsidRPr="00612E08" w:rsidRDefault="00AD62CD" w:rsidP="003627D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C662A11" w14:textId="77777777" w:rsidR="00AD62CD" w:rsidRPr="00612E08" w:rsidRDefault="00AD62CD" w:rsidP="003627D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D62CD" w:rsidRPr="00612E08" w14:paraId="08B45109" w14:textId="77777777" w:rsidTr="003627DF">
        <w:tc>
          <w:tcPr>
            <w:tcW w:w="3812" w:type="dxa"/>
            <w:tcBorders>
              <w:top w:val="single" w:sz="4" w:space="0" w:color="auto"/>
              <w:left w:val="single" w:sz="4" w:space="0" w:color="auto"/>
              <w:bottom w:val="nil"/>
              <w:right w:val="single" w:sz="4" w:space="0" w:color="auto"/>
            </w:tcBorders>
            <w:shd w:val="clear" w:color="auto" w:fill="E2E2E2"/>
          </w:tcPr>
          <w:p w14:paraId="2EA266E6"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27525774" w14:textId="77777777" w:rsidR="00AD62CD" w:rsidRPr="00612E08" w:rsidRDefault="00AD62CD" w:rsidP="003627D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CF1C513" w14:textId="77777777" w:rsidR="00AD62CD" w:rsidRPr="00612E08" w:rsidRDefault="00AD62CD" w:rsidP="003627D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2222BC5" w14:textId="77777777" w:rsidR="00AD62CD" w:rsidRPr="00612E08" w:rsidRDefault="00AD62CD" w:rsidP="003627D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3F5CB14"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377CA60B" w14:textId="77777777" w:rsidR="00AD62CD" w:rsidRPr="00612E08" w:rsidRDefault="00AD62CD" w:rsidP="003627D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3FAD46E" w14:textId="77777777" w:rsidR="00AD62CD" w:rsidRPr="00612E08" w:rsidRDefault="00AD62CD" w:rsidP="003627D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D62CD" w:rsidRPr="00612E08" w14:paraId="4300B50F" w14:textId="77777777" w:rsidTr="003627DF">
        <w:tc>
          <w:tcPr>
            <w:tcW w:w="3812" w:type="dxa"/>
            <w:tcBorders>
              <w:top w:val="nil"/>
              <w:left w:val="single" w:sz="4" w:space="0" w:color="auto"/>
              <w:bottom w:val="single" w:sz="4" w:space="0" w:color="auto"/>
              <w:right w:val="single" w:sz="4" w:space="0" w:color="auto"/>
            </w:tcBorders>
            <w:shd w:val="clear" w:color="auto" w:fill="E2E2E2"/>
          </w:tcPr>
          <w:p w14:paraId="08958E48" w14:textId="77777777" w:rsidR="00AD62CD" w:rsidRPr="00612E08" w:rsidRDefault="00AD62CD" w:rsidP="003627DF">
            <w:pPr>
              <w:rPr>
                <w:rFonts w:ascii="Times New Roman" w:eastAsia="Times New Roman" w:hAnsi="Times New Roman" w:cs="Times New Roman"/>
                <w:sz w:val="20"/>
                <w:szCs w:val="20"/>
                <w:lang w:eastAsia="sk-SK"/>
              </w:rPr>
            </w:pPr>
          </w:p>
          <w:p w14:paraId="6C80029F" w14:textId="77777777" w:rsidR="00AD62CD" w:rsidRPr="00612E08" w:rsidRDefault="00AD62CD" w:rsidP="003627DF">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05F17CE2" w14:textId="77777777" w:rsidR="00AD62CD" w:rsidRPr="00612E08" w:rsidRDefault="00AD62CD" w:rsidP="003627D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C50ABF7" w14:textId="77777777" w:rsidR="00AD62CD" w:rsidRPr="00612E08" w:rsidRDefault="00AD62CD" w:rsidP="003627D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DE1EF9B" w14:textId="77777777" w:rsidR="00AD62CD" w:rsidRPr="00612E08" w:rsidRDefault="00AD62CD" w:rsidP="003627DF">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3FB1F516" w14:textId="77777777" w:rsidR="00AD62CD" w:rsidRPr="00612E08" w:rsidRDefault="00AD62CD" w:rsidP="003627D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2914166C" w14:textId="77777777" w:rsidR="00AD62CD" w:rsidRPr="00612E08" w:rsidRDefault="00AD62CD" w:rsidP="003627D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2AD0761" w14:textId="77777777" w:rsidR="00AD62CD" w:rsidRPr="00612E08" w:rsidRDefault="00AD62CD" w:rsidP="003627D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AD62CD" w:rsidRPr="00612E08" w14:paraId="3930B246" w14:textId="77777777" w:rsidTr="003627DF">
        <w:tc>
          <w:tcPr>
            <w:tcW w:w="3812" w:type="dxa"/>
            <w:tcBorders>
              <w:top w:val="single" w:sz="4" w:space="0" w:color="auto"/>
              <w:left w:val="single" w:sz="4" w:space="0" w:color="auto"/>
              <w:bottom w:val="single" w:sz="4" w:space="0" w:color="auto"/>
              <w:right w:val="single" w:sz="4" w:space="0" w:color="auto"/>
            </w:tcBorders>
            <w:shd w:val="clear" w:color="auto" w:fill="E2E2E2"/>
          </w:tcPr>
          <w:p w14:paraId="0D2EC95C"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56EF8EC9" w14:textId="77777777" w:rsidR="00AD62CD" w:rsidRPr="00612E08" w:rsidRDefault="00AD62CD" w:rsidP="003627D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F458FFC" w14:textId="77777777" w:rsidR="00AD62CD" w:rsidRPr="00612E08" w:rsidRDefault="00AD62CD" w:rsidP="003627D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6AB17DA7" w14:textId="77777777" w:rsidR="00AD62CD" w:rsidRPr="00612E08" w:rsidRDefault="00AD62CD" w:rsidP="003627D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62E57F8"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2AF198F1" w14:textId="77777777" w:rsidR="00AD62CD" w:rsidRPr="00612E08" w:rsidRDefault="00AD62CD" w:rsidP="003627D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18512D8" w14:textId="77777777" w:rsidR="00AD62CD" w:rsidRPr="00612E08" w:rsidRDefault="00AD62CD" w:rsidP="003627D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D62CD" w:rsidRPr="00612E08" w14:paraId="4A76875F" w14:textId="77777777" w:rsidTr="003627DF">
        <w:tc>
          <w:tcPr>
            <w:tcW w:w="3812" w:type="dxa"/>
            <w:tcBorders>
              <w:top w:val="single" w:sz="4" w:space="0" w:color="auto"/>
              <w:left w:val="single" w:sz="4" w:space="0" w:color="auto"/>
              <w:bottom w:val="nil"/>
              <w:right w:val="single" w:sz="4" w:space="0" w:color="auto"/>
            </w:tcBorders>
            <w:shd w:val="clear" w:color="auto" w:fill="E2E2E2"/>
          </w:tcPr>
          <w:p w14:paraId="1C33FE0D" w14:textId="77777777" w:rsidR="00AD62CD" w:rsidRPr="00612E08" w:rsidRDefault="00AD62CD" w:rsidP="003627DF">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11A5EB4D" w14:textId="77777777" w:rsidR="00AD62CD" w:rsidRPr="00612E08" w:rsidRDefault="00AD62CD" w:rsidP="003627DF">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2540B3C1" w14:textId="77777777" w:rsidR="00AD62CD" w:rsidRPr="00612E08" w:rsidRDefault="00AD62CD" w:rsidP="003627DF">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3E3CB13B" w14:textId="77777777" w:rsidR="00AD62CD" w:rsidRPr="00612E08" w:rsidRDefault="00AD62CD" w:rsidP="003627DF">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3967EE2A" w14:textId="77777777" w:rsidR="00AD62CD" w:rsidRPr="00612E08" w:rsidRDefault="00AD62CD" w:rsidP="003627DF">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632890E8" w14:textId="77777777" w:rsidR="00AD62CD" w:rsidRPr="00612E08" w:rsidRDefault="00AD62CD" w:rsidP="003627DF">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64BF158" w14:textId="77777777" w:rsidR="00AD62CD" w:rsidRPr="00612E08" w:rsidRDefault="00AD62CD" w:rsidP="003627DF">
            <w:pPr>
              <w:spacing w:after="0" w:line="240" w:lineRule="auto"/>
              <w:ind w:left="54"/>
              <w:rPr>
                <w:rFonts w:ascii="Times New Roman" w:eastAsia="Times New Roman" w:hAnsi="Times New Roman" w:cs="Times New Roman"/>
                <w:b/>
                <w:sz w:val="20"/>
                <w:szCs w:val="20"/>
                <w:lang w:eastAsia="sk-SK"/>
              </w:rPr>
            </w:pPr>
          </w:p>
        </w:tc>
      </w:tr>
      <w:tr w:rsidR="00AD62CD" w:rsidRPr="00612E08" w14:paraId="36145A42" w14:textId="77777777" w:rsidTr="003627DF">
        <w:tc>
          <w:tcPr>
            <w:tcW w:w="3812" w:type="dxa"/>
            <w:tcBorders>
              <w:top w:val="nil"/>
              <w:left w:val="single" w:sz="4" w:space="0" w:color="auto"/>
              <w:bottom w:val="nil"/>
              <w:right w:val="single" w:sz="4" w:space="0" w:color="auto"/>
            </w:tcBorders>
            <w:shd w:val="clear" w:color="auto" w:fill="E2E2E2"/>
          </w:tcPr>
          <w:p w14:paraId="40342F83" w14:textId="77777777" w:rsidR="00AD62CD" w:rsidRPr="00612E08" w:rsidRDefault="00AD62CD" w:rsidP="003627DF">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2D0F92ED" w14:textId="77777777" w:rsidR="00AD62CD" w:rsidRPr="00612E08" w:rsidRDefault="00AD62CD" w:rsidP="003627DF">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9845BDF" w14:textId="77777777" w:rsidR="00AD62CD" w:rsidRPr="00612E08" w:rsidRDefault="00AD62CD" w:rsidP="003627DF">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75C568AE" w14:textId="77777777" w:rsidR="00AD62CD" w:rsidRPr="00612E08" w:rsidRDefault="00AD62CD" w:rsidP="003627D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314DBFEA" w14:textId="77777777" w:rsidR="00AD62CD" w:rsidRPr="00612E08" w:rsidRDefault="00AD62CD" w:rsidP="003627DF">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0EC852A5" w14:textId="77777777" w:rsidR="00AD62CD" w:rsidRPr="00612E08" w:rsidRDefault="00AD62CD" w:rsidP="003627DF">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3617473A" w14:textId="77777777" w:rsidR="00AD62CD" w:rsidRPr="00612E08" w:rsidRDefault="00AD62CD" w:rsidP="003627DF">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AD62CD" w:rsidRPr="00612E08" w14:paraId="1D2CF6C1" w14:textId="77777777" w:rsidTr="003627DF">
        <w:tc>
          <w:tcPr>
            <w:tcW w:w="3812" w:type="dxa"/>
            <w:tcBorders>
              <w:top w:val="nil"/>
              <w:left w:val="single" w:sz="4" w:space="0" w:color="auto"/>
              <w:bottom w:val="nil"/>
              <w:right w:val="single" w:sz="4" w:space="0" w:color="auto"/>
            </w:tcBorders>
            <w:shd w:val="clear" w:color="auto" w:fill="E2E2E2"/>
          </w:tcPr>
          <w:p w14:paraId="45D755D1" w14:textId="77777777" w:rsidR="00AD62CD" w:rsidRPr="00612E08" w:rsidRDefault="00AD62CD" w:rsidP="003627DF">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71040379" w14:textId="77777777" w:rsidR="00AD62CD" w:rsidRPr="00612E08" w:rsidRDefault="00AD62CD" w:rsidP="003627DF">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2061CE9" w14:textId="77777777" w:rsidR="00AD62CD" w:rsidRPr="00612E08" w:rsidRDefault="00AD62CD" w:rsidP="003627DF">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7F8FFC78" w14:textId="77777777" w:rsidR="00AD62CD" w:rsidRPr="00612E08" w:rsidRDefault="00AD62CD" w:rsidP="003627D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51D58207" w14:textId="77777777" w:rsidR="00AD62CD" w:rsidRPr="00612E08" w:rsidRDefault="00AD62CD" w:rsidP="003627DF">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06EA18E5" w14:textId="77777777" w:rsidR="00AD62CD" w:rsidRPr="00612E08" w:rsidRDefault="00AD62CD" w:rsidP="003627DF">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5DC9AE34" w14:textId="77777777" w:rsidR="00AD62CD" w:rsidRPr="00612E08" w:rsidRDefault="00AD62CD" w:rsidP="003627DF">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D62CD" w:rsidRPr="00612E08" w14:paraId="6788D491" w14:textId="77777777" w:rsidTr="003627DF">
        <w:tc>
          <w:tcPr>
            <w:tcW w:w="3812" w:type="dxa"/>
            <w:tcBorders>
              <w:top w:val="single" w:sz="4" w:space="0" w:color="000000"/>
              <w:left w:val="single" w:sz="4" w:space="0" w:color="auto"/>
              <w:bottom w:val="single" w:sz="4" w:space="0" w:color="auto"/>
              <w:right w:val="single" w:sz="4" w:space="0" w:color="auto"/>
            </w:tcBorders>
            <w:shd w:val="clear" w:color="auto" w:fill="E2E2E2"/>
          </w:tcPr>
          <w:p w14:paraId="6103193C" w14:textId="77777777" w:rsidR="00AD62CD" w:rsidRPr="00612E08" w:rsidRDefault="00AD62CD" w:rsidP="003627D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4EEC0BCE" w14:textId="77777777" w:rsidR="00AD62CD" w:rsidRPr="001A72C6" w:rsidRDefault="00AD62CD" w:rsidP="003627DF">
                <w:pPr>
                  <w:jc w:val="center"/>
                  <w:rPr>
                    <w:rFonts w:ascii="Times New Roman" w:eastAsia="Times New Roman" w:hAnsi="Times New Roman" w:cs="Times New Roman"/>
                    <w:b/>
                    <w:sz w:val="20"/>
                    <w:szCs w:val="20"/>
                    <w:lang w:eastAsia="sk-SK"/>
                  </w:rPr>
                </w:pPr>
                <w:r w:rsidRPr="001A72C6">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508DC516" w14:textId="77777777" w:rsidR="00AD62CD" w:rsidRPr="001A72C6" w:rsidRDefault="00AD62CD" w:rsidP="003627DF">
            <w:pPr>
              <w:ind w:right="-108"/>
              <w:rPr>
                <w:rFonts w:ascii="Times New Roman" w:eastAsia="Times New Roman" w:hAnsi="Times New Roman" w:cs="Times New Roman"/>
                <w:b/>
                <w:sz w:val="20"/>
                <w:szCs w:val="20"/>
                <w:lang w:eastAsia="sk-SK"/>
              </w:rPr>
            </w:pPr>
            <w:r w:rsidRPr="001A72C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69CEC25E" w14:textId="77777777" w:rsidR="00AD62CD" w:rsidRPr="001A72C6" w:rsidRDefault="00AD62CD" w:rsidP="003627DF">
                <w:pPr>
                  <w:jc w:val="center"/>
                  <w:rPr>
                    <w:rFonts w:ascii="Times New Roman" w:eastAsia="Times New Roman" w:hAnsi="Times New Roman" w:cs="Times New Roman"/>
                    <w:b/>
                    <w:sz w:val="20"/>
                    <w:szCs w:val="20"/>
                    <w:lang w:eastAsia="sk-SK"/>
                  </w:rPr>
                </w:pPr>
                <w:r w:rsidRPr="001A72C6">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C038723" w14:textId="77777777" w:rsidR="00AD62CD" w:rsidRPr="001A72C6" w:rsidRDefault="00AD62CD" w:rsidP="003627DF">
            <w:pPr>
              <w:rPr>
                <w:rFonts w:ascii="Times New Roman" w:eastAsia="Times New Roman" w:hAnsi="Times New Roman" w:cs="Times New Roman"/>
                <w:b/>
                <w:sz w:val="20"/>
                <w:szCs w:val="20"/>
                <w:lang w:eastAsia="sk-SK"/>
              </w:rPr>
            </w:pPr>
            <w:r w:rsidRPr="001A72C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6E640E46" w14:textId="77777777" w:rsidR="00AD62CD" w:rsidRPr="001A72C6" w:rsidRDefault="00AD62CD" w:rsidP="003627DF">
                <w:pPr>
                  <w:jc w:val="center"/>
                  <w:rPr>
                    <w:rFonts w:ascii="Times New Roman" w:eastAsia="Times New Roman" w:hAnsi="Times New Roman" w:cs="Times New Roman"/>
                    <w:b/>
                    <w:sz w:val="20"/>
                    <w:szCs w:val="20"/>
                    <w:lang w:eastAsia="sk-SK"/>
                  </w:rPr>
                </w:pPr>
                <w:r w:rsidRPr="001A72C6">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F8474FD" w14:textId="77777777" w:rsidR="00AD62CD" w:rsidRPr="001A72C6" w:rsidRDefault="00AD62CD" w:rsidP="003627DF">
            <w:pPr>
              <w:ind w:left="54"/>
              <w:rPr>
                <w:rFonts w:ascii="Times New Roman" w:eastAsia="Times New Roman" w:hAnsi="Times New Roman" w:cs="Times New Roman"/>
                <w:b/>
                <w:sz w:val="20"/>
                <w:szCs w:val="20"/>
                <w:lang w:eastAsia="sk-SK"/>
              </w:rPr>
            </w:pPr>
            <w:r w:rsidRPr="001A72C6">
              <w:rPr>
                <w:rFonts w:ascii="Times New Roman" w:eastAsia="Times New Roman" w:hAnsi="Times New Roman" w:cs="Times New Roman"/>
                <w:b/>
                <w:sz w:val="20"/>
                <w:szCs w:val="20"/>
                <w:lang w:eastAsia="sk-SK"/>
              </w:rPr>
              <w:t>Negatívne</w:t>
            </w:r>
          </w:p>
        </w:tc>
      </w:tr>
    </w:tbl>
    <w:p w14:paraId="074FA388" w14:textId="77777777" w:rsidR="00AD62CD" w:rsidRPr="00612E08" w:rsidRDefault="00AD62CD" w:rsidP="00AD62CD">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AD62CD" w:rsidRPr="00612E08" w14:paraId="07D78E72" w14:textId="77777777" w:rsidTr="003627DF">
        <w:tc>
          <w:tcPr>
            <w:tcW w:w="9176" w:type="dxa"/>
            <w:tcBorders>
              <w:top w:val="single" w:sz="4" w:space="0" w:color="auto"/>
              <w:left w:val="single" w:sz="4" w:space="0" w:color="auto"/>
              <w:bottom w:val="nil"/>
              <w:right w:val="single" w:sz="4" w:space="0" w:color="auto"/>
            </w:tcBorders>
            <w:shd w:val="clear" w:color="auto" w:fill="E2E2E2"/>
          </w:tcPr>
          <w:p w14:paraId="15415E9E" w14:textId="77777777" w:rsidR="00AD62CD" w:rsidRPr="00612E08" w:rsidRDefault="00AD62CD" w:rsidP="00AD62CD">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AD62CD" w:rsidRPr="00612E08" w14:paraId="22945443" w14:textId="77777777" w:rsidTr="003627DF">
        <w:trPr>
          <w:trHeight w:val="713"/>
        </w:trPr>
        <w:tc>
          <w:tcPr>
            <w:tcW w:w="9176" w:type="dxa"/>
            <w:tcBorders>
              <w:top w:val="nil"/>
              <w:left w:val="single" w:sz="4" w:space="0" w:color="auto"/>
              <w:bottom w:val="single" w:sz="4" w:space="0" w:color="FFFFFF"/>
              <w:right w:val="single" w:sz="4" w:space="0" w:color="auto"/>
            </w:tcBorders>
            <w:shd w:val="clear" w:color="auto" w:fill="auto"/>
          </w:tcPr>
          <w:p w14:paraId="738063FB" w14:textId="77777777" w:rsidR="00AD62CD" w:rsidRPr="00E81D01" w:rsidRDefault="00AD62CD" w:rsidP="003627DF">
            <w:pPr>
              <w:jc w:val="both"/>
              <w:rPr>
                <w:rFonts w:ascii="Times New Roman" w:eastAsia="Times New Roman" w:hAnsi="Times New Roman" w:cs="Times New Roman"/>
                <w:b/>
                <w:sz w:val="20"/>
                <w:szCs w:val="20"/>
                <w:lang w:eastAsia="sk-SK"/>
              </w:rPr>
            </w:pPr>
            <w:r w:rsidRPr="00E81D01">
              <w:rPr>
                <w:rFonts w:ascii="Times New Roman" w:eastAsia="Times New Roman" w:hAnsi="Times New Roman" w:cs="Times New Roman"/>
                <w:b/>
                <w:sz w:val="20"/>
                <w:szCs w:val="20"/>
                <w:lang w:eastAsia="sk-SK"/>
              </w:rPr>
              <w:t>Banský zákon</w:t>
            </w:r>
          </w:p>
          <w:p w14:paraId="1F8899B5" w14:textId="77777777" w:rsidR="00AD62CD" w:rsidRPr="00E81D01" w:rsidRDefault="00AD62CD" w:rsidP="003627DF">
            <w:pPr>
              <w:jc w:val="both"/>
              <w:rPr>
                <w:rFonts w:ascii="Times New Roman" w:hAnsi="Times New Roman" w:cs="Times New Roman"/>
                <w:iCs/>
                <w:sz w:val="20"/>
                <w:szCs w:val="20"/>
                <w:lang w:eastAsia="sk-SK"/>
              </w:rPr>
            </w:pPr>
            <w:r w:rsidRPr="00E81D01">
              <w:rPr>
                <w:rFonts w:ascii="Times New Roman" w:hAnsi="Times New Roman" w:cs="Times New Roman"/>
                <w:iCs/>
                <w:sz w:val="20"/>
                <w:szCs w:val="20"/>
                <w:lang w:eastAsia="sk-SK"/>
              </w:rPr>
              <w:t>Predložená novela banského zákona bude mať pozitívny vplyv na rozpočet verejnej správy, a to v dôsledku navýšenia úhrad za využívanie nerastného bohatstva a zavedenia systému platenia úhrad za primárne suroviny, čím sa posilní príjmová stránka verejných rozpočtov. Bude však zasiahnutá aj výdavková časť pre navýšenie rozpočtu MH SR a MŽP SR, ktorá je spojená s prerozdelením výnosov z úhrad za uskladňovanie plynov a kvapalín a za vydobyté vyhradené nerasty a ich účelové naviazanie napríklad na zabezpečenie a likvidáciu starých banských diel či riešenie problematiky ťažobných odpadov.</w:t>
            </w:r>
          </w:p>
          <w:p w14:paraId="567D829A" w14:textId="77777777" w:rsidR="00AD62CD" w:rsidRPr="00E81D01" w:rsidRDefault="00AD62CD" w:rsidP="003627DF">
            <w:pPr>
              <w:jc w:val="both"/>
              <w:rPr>
                <w:rFonts w:ascii="Times New Roman" w:hAnsi="Times New Roman" w:cs="Times New Roman"/>
                <w:iCs/>
                <w:sz w:val="20"/>
                <w:szCs w:val="20"/>
                <w:lang w:eastAsia="sk-SK"/>
              </w:rPr>
            </w:pPr>
          </w:p>
          <w:p w14:paraId="28084396" w14:textId="77777777" w:rsidR="00AD62CD" w:rsidRPr="00E81D01" w:rsidRDefault="00AD62CD" w:rsidP="003627DF">
            <w:pPr>
              <w:jc w:val="both"/>
              <w:rPr>
                <w:rFonts w:ascii="Times New Roman" w:eastAsia="Times New Roman" w:hAnsi="Times New Roman" w:cs="Times New Roman"/>
                <w:b/>
                <w:sz w:val="20"/>
                <w:szCs w:val="20"/>
                <w:lang w:eastAsia="sk-SK"/>
              </w:rPr>
            </w:pPr>
            <w:r w:rsidRPr="00E81D01">
              <w:rPr>
                <w:rFonts w:ascii="Times New Roman" w:hAnsi="Times New Roman" w:cs="Times New Roman"/>
                <w:iCs/>
                <w:sz w:val="20"/>
                <w:szCs w:val="20"/>
                <w:lang w:eastAsia="sk-SK"/>
              </w:rPr>
              <w:t>Predkladaná novela banského zákona má negatívny vplyv na podnikateľské prostredie keďže zvyšuje nákladové zaťaženie podnikateľských subjektov v sektore ťažby. Konkrétne ide o navrhované zvýšenie úhrad za využívanie dobývacieho priestoru, ako aj za uskladňovanie plynov a kvapalín a zavedenie systému platenia úhrad za primárne suroviny.</w:t>
            </w:r>
          </w:p>
          <w:p w14:paraId="60158BB6" w14:textId="77777777" w:rsidR="00AD62CD" w:rsidRPr="00E81D01" w:rsidRDefault="00AD62CD" w:rsidP="003627DF">
            <w:pPr>
              <w:jc w:val="both"/>
              <w:rPr>
                <w:rFonts w:ascii="Times New Roman" w:eastAsia="Times New Roman" w:hAnsi="Times New Roman" w:cs="Times New Roman"/>
                <w:b/>
                <w:sz w:val="20"/>
                <w:szCs w:val="20"/>
                <w:lang w:eastAsia="sk-SK"/>
              </w:rPr>
            </w:pPr>
          </w:p>
          <w:p w14:paraId="359DA421" w14:textId="77777777" w:rsidR="00AD62CD" w:rsidRPr="00E81D01" w:rsidRDefault="00AD62CD" w:rsidP="003627DF">
            <w:pPr>
              <w:jc w:val="both"/>
              <w:rPr>
                <w:rFonts w:ascii="Times New Roman" w:eastAsia="Times New Roman" w:hAnsi="Times New Roman" w:cs="Times New Roman"/>
                <w:b/>
                <w:sz w:val="20"/>
                <w:szCs w:val="20"/>
                <w:lang w:eastAsia="sk-SK"/>
              </w:rPr>
            </w:pPr>
            <w:r w:rsidRPr="00E81D01">
              <w:rPr>
                <w:rFonts w:ascii="Times New Roman" w:eastAsia="Times New Roman" w:hAnsi="Times New Roman" w:cs="Times New Roman"/>
                <w:b/>
                <w:sz w:val="20"/>
                <w:szCs w:val="20"/>
                <w:lang w:eastAsia="sk-SK"/>
              </w:rPr>
              <w:t>Zákon o cestovných náhradách</w:t>
            </w:r>
          </w:p>
          <w:p w14:paraId="7BAE45C0" w14:textId="77777777" w:rsidR="00AD62CD" w:rsidRPr="00E81D01" w:rsidRDefault="00AD62CD" w:rsidP="003627DF">
            <w:pPr>
              <w:jc w:val="both"/>
              <w:rPr>
                <w:rFonts w:ascii="Times New Roman" w:hAnsi="Times New Roman" w:cs="Times New Roman"/>
                <w:sz w:val="20"/>
                <w:szCs w:val="20"/>
              </w:rPr>
            </w:pPr>
            <w:r w:rsidRPr="00E81D01">
              <w:rPr>
                <w:rFonts w:ascii="Times New Roman" w:hAnsi="Times New Roman" w:cs="Times New Roman"/>
                <w:sz w:val="20"/>
                <w:szCs w:val="20"/>
              </w:rPr>
              <w:t>Navrhovaná novelizácia zákona o cestovných náhradách (čl. XY) nebude mať žiadny vplyv na rozpočet verejnej správy a ani na podnikateľské prostredie, ani žiadne sociálne vplyvy, pretože len vytvára priestor (len možnosť) na ustanovenie osobitných sadzieb stravného, ak takáto disproporcia v ekonomike nastane. Vplyvy na rozpočet verejnej správy, na podnikateľské prostredie ako aj sociálne vplyvy bude mať až vydanie samotného opatrenia Ministerstva financií SR, ktorým sa ustanovia osobitné sadzby stravného. Návrh novely zákona (čl. XY) nemá ani žiadne vplyvy na životné prostredie, informatizáciu spoločnosti, na služby verejnej správy na občana a na manželstvo rodičovstvo a rodinu.</w:t>
            </w:r>
          </w:p>
          <w:p w14:paraId="67B6C6B1" w14:textId="77777777" w:rsidR="00AD62CD" w:rsidRPr="00E81D01" w:rsidRDefault="00AD62CD" w:rsidP="003627DF">
            <w:pPr>
              <w:jc w:val="both"/>
              <w:rPr>
                <w:rFonts w:ascii="Times New Roman" w:hAnsi="Times New Roman" w:cs="Times New Roman"/>
                <w:sz w:val="20"/>
                <w:szCs w:val="20"/>
              </w:rPr>
            </w:pPr>
          </w:p>
          <w:p w14:paraId="69F15C86" w14:textId="77777777" w:rsidR="00AD62CD" w:rsidRPr="00E81D01" w:rsidRDefault="00AD62CD" w:rsidP="003627DF">
            <w:pPr>
              <w:jc w:val="both"/>
              <w:rPr>
                <w:rFonts w:ascii="Times New Roman" w:hAnsi="Times New Roman" w:cs="Times New Roman"/>
                <w:b/>
                <w:bCs/>
                <w:sz w:val="20"/>
                <w:szCs w:val="20"/>
              </w:rPr>
            </w:pPr>
            <w:r w:rsidRPr="00E81D01">
              <w:rPr>
                <w:rFonts w:ascii="Times New Roman" w:hAnsi="Times New Roman" w:cs="Times New Roman"/>
                <w:b/>
                <w:bCs/>
                <w:sz w:val="20"/>
                <w:szCs w:val="20"/>
              </w:rPr>
              <w:t>Zákon o zdravotnom poistení</w:t>
            </w:r>
          </w:p>
          <w:p w14:paraId="6B7773EB" w14:textId="77777777" w:rsidR="00AD62CD" w:rsidRPr="00E81D01" w:rsidRDefault="00AD62CD" w:rsidP="003627DF">
            <w:pPr>
              <w:jc w:val="both"/>
              <w:rPr>
                <w:rFonts w:ascii="Times New Roman" w:hAnsi="Times New Roman" w:cs="Times New Roman"/>
                <w:b/>
                <w:bCs/>
                <w:sz w:val="20"/>
                <w:szCs w:val="20"/>
              </w:rPr>
            </w:pPr>
            <w:r w:rsidRPr="00E81D01">
              <w:rPr>
                <w:rFonts w:ascii="Times New Roman" w:hAnsi="Times New Roman" w:cs="Times New Roman"/>
                <w:sz w:val="20"/>
                <w:szCs w:val="20"/>
              </w:rPr>
              <w:t>Podľa záverov Európskej komisie z 15. 10. 2014, podľa ktorého v slovenskom systéme zdravotného poistenia prevládajú sociálne ciele, jedná sa o systém založený najmä na zásade solidarity, pričom Komisia dospela k záveru, že dotknuté činnosti (výkon verejného zdravotného poistenia) nemajú ekonomickú povahu. (</w:t>
            </w:r>
            <w:hyperlink r:id="rId11" w:history="1">
              <w:r w:rsidRPr="00E81D01">
                <w:rPr>
                  <w:rStyle w:val="Hypertextovprepojenie"/>
                  <w:rFonts w:ascii="Times New Roman" w:hAnsi="Times New Roman" w:cs="Times New Roman"/>
                  <w:sz w:val="20"/>
                  <w:szCs w:val="20"/>
                </w:rPr>
                <w:t>http://europa.eu/rapid/press-release_IP-14-1158_sk.htm</w:t>
              </w:r>
            </w:hyperlink>
            <w:r w:rsidRPr="00E81D01">
              <w:rPr>
                <w:rFonts w:ascii="Times New Roman" w:hAnsi="Times New Roman" w:cs="Times New Roman"/>
                <w:sz w:val="20"/>
                <w:szCs w:val="20"/>
              </w:rPr>
              <w:t>). Tento záver sa vzťahuje na osobitný spôsob, akým je táto činnosť na Slovensku organizovaná a vykonávaná, a týka sa preto tohto konkrétneho systému v Slovenskej republike.</w:t>
            </w:r>
          </w:p>
          <w:p w14:paraId="60A6E625" w14:textId="77777777" w:rsidR="00AD62CD" w:rsidRPr="00E81D01" w:rsidRDefault="00AD62CD" w:rsidP="003627DF">
            <w:pPr>
              <w:jc w:val="both"/>
              <w:rPr>
                <w:rFonts w:ascii="Times New Roman" w:eastAsia="Times New Roman" w:hAnsi="Times New Roman" w:cs="Times New Roman"/>
                <w:b/>
                <w:bCs/>
                <w:sz w:val="20"/>
                <w:szCs w:val="20"/>
                <w:lang w:eastAsia="sk-SK"/>
              </w:rPr>
            </w:pPr>
          </w:p>
          <w:p w14:paraId="7DD8094E" w14:textId="77777777" w:rsidR="00AD62CD" w:rsidRPr="00E81D01" w:rsidRDefault="00AD62CD" w:rsidP="003627DF">
            <w:pPr>
              <w:jc w:val="both"/>
              <w:rPr>
                <w:rFonts w:ascii="Times New Roman" w:eastAsia="Times New Roman" w:hAnsi="Times New Roman" w:cs="Times New Roman"/>
                <w:b/>
                <w:bCs/>
                <w:sz w:val="20"/>
                <w:szCs w:val="20"/>
                <w:lang w:eastAsia="sk-SK"/>
              </w:rPr>
            </w:pPr>
            <w:r w:rsidRPr="00E81D01">
              <w:rPr>
                <w:rFonts w:ascii="Times New Roman" w:eastAsia="Times New Roman" w:hAnsi="Times New Roman" w:cs="Times New Roman"/>
                <w:b/>
                <w:bCs/>
                <w:sz w:val="20"/>
                <w:szCs w:val="20"/>
                <w:lang w:eastAsia="sk-SK"/>
              </w:rPr>
              <w:t>Zákon o poisťovníctve</w:t>
            </w:r>
          </w:p>
          <w:p w14:paraId="63E9FCCE" w14:textId="77777777" w:rsidR="00AD62CD" w:rsidRPr="00E81D01" w:rsidRDefault="00AD62CD" w:rsidP="003627DF">
            <w:pPr>
              <w:contextualSpacing/>
              <w:rPr>
                <w:rFonts w:ascii="Times New Roman" w:eastAsia="Calibri" w:hAnsi="Times New Roman" w:cs="Times New Roman"/>
                <w:b/>
              </w:rPr>
            </w:pPr>
            <w:r w:rsidRPr="00E81D01">
              <w:rPr>
                <w:rFonts w:ascii="Times New Roman" w:eastAsia="Calibri" w:hAnsi="Times New Roman" w:cs="Times New Roman"/>
                <w:bCs/>
                <w:sz w:val="20"/>
                <w:szCs w:val="20"/>
              </w:rPr>
              <w:t>Na základe výpočtu Inštitútu finančnej politiky pozitívny vplyv zvýšenia odvodu z PZP, ktorý je príjmom osobitného účtu Ministerstva vnútra SR sa očakáva vo výške 10 mil. eur v druhom roku účinnosti zákona (t. j. v roku 2027) v nasledujúcich rokoch je možné očakávať odvod vo výške viac ako 11 mil. eur.</w:t>
            </w:r>
          </w:p>
        </w:tc>
      </w:tr>
      <w:tr w:rsidR="00AD62CD" w:rsidRPr="00612E08" w14:paraId="2A3B3AF7" w14:textId="77777777" w:rsidTr="003627DF">
        <w:tc>
          <w:tcPr>
            <w:tcW w:w="9176" w:type="dxa"/>
            <w:tcBorders>
              <w:top w:val="single" w:sz="4" w:space="0" w:color="auto"/>
              <w:left w:val="single" w:sz="4" w:space="0" w:color="auto"/>
              <w:bottom w:val="single" w:sz="4" w:space="0" w:color="FFFFFF"/>
              <w:right w:val="single" w:sz="4" w:space="0" w:color="auto"/>
            </w:tcBorders>
            <w:shd w:val="clear" w:color="auto" w:fill="E2E2E2"/>
          </w:tcPr>
          <w:p w14:paraId="2F71579F" w14:textId="77777777" w:rsidR="00AD62CD" w:rsidRPr="00612E08" w:rsidRDefault="00AD62CD" w:rsidP="00AD62CD">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AD62CD" w:rsidRPr="00612E08" w14:paraId="30BAF1B5" w14:textId="77777777" w:rsidTr="003627D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D51E528" w14:textId="77777777" w:rsidR="00AD62CD" w:rsidRDefault="00AD62CD" w:rsidP="003627D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09D0F7B1" w14:textId="77777777" w:rsidR="00AD62CD" w:rsidRPr="00612E08" w:rsidRDefault="00AD62CD" w:rsidP="003627DF">
            <w:pPr>
              <w:rPr>
                <w:rFonts w:ascii="Times New Roman" w:eastAsia="Times New Roman" w:hAnsi="Times New Roman" w:cs="Times New Roman"/>
                <w:i/>
                <w:sz w:val="20"/>
                <w:szCs w:val="20"/>
                <w:lang w:eastAsia="sk-SK"/>
              </w:rPr>
            </w:pPr>
            <w:r w:rsidRPr="005046BA">
              <w:rPr>
                <w:rFonts w:ascii="Times New Roman" w:eastAsia="Times New Roman" w:hAnsi="Times New Roman" w:cs="Times New Roman"/>
                <w:iCs/>
                <w:sz w:val="20"/>
                <w:szCs w:val="20"/>
                <w:lang w:eastAsia="sk-SK"/>
              </w:rPr>
              <w:t>Ministerstvo financií SR</w:t>
            </w:r>
          </w:p>
        </w:tc>
      </w:tr>
      <w:tr w:rsidR="00AD62CD" w:rsidRPr="00612E08" w14:paraId="7987B299" w14:textId="77777777" w:rsidTr="003627DF">
        <w:tc>
          <w:tcPr>
            <w:tcW w:w="9176" w:type="dxa"/>
            <w:tcBorders>
              <w:top w:val="single" w:sz="4" w:space="0" w:color="auto"/>
              <w:left w:val="single" w:sz="4" w:space="0" w:color="auto"/>
              <w:bottom w:val="single" w:sz="4" w:space="0" w:color="FFFFFF"/>
              <w:right w:val="single" w:sz="4" w:space="0" w:color="auto"/>
            </w:tcBorders>
            <w:shd w:val="clear" w:color="auto" w:fill="E2E2E2"/>
          </w:tcPr>
          <w:p w14:paraId="0ED76D45" w14:textId="77777777" w:rsidR="00AD62CD" w:rsidRPr="00612E08" w:rsidRDefault="00AD62CD" w:rsidP="00AD62CD">
            <w:pPr>
              <w:numPr>
                <w:ilvl w:val="0"/>
                <w:numId w:val="4"/>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AD62CD" w:rsidRPr="00612E08" w14:paraId="56740479" w14:textId="77777777" w:rsidTr="003627D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5DBA32C" w14:textId="77777777" w:rsidR="00AD62CD" w:rsidRDefault="00AD62CD" w:rsidP="003627DF">
            <w:pPr>
              <w:jc w:val="both"/>
              <w:rPr>
                <w:rFonts w:ascii="Times New Roman" w:eastAsia="Times New Roman" w:hAnsi="Times New Roman" w:cs="Times New Roman"/>
                <w:b/>
                <w:sz w:val="20"/>
                <w:szCs w:val="20"/>
                <w:lang w:eastAsia="sk-SK"/>
              </w:rPr>
            </w:pPr>
            <w:r w:rsidRPr="00EB630A">
              <w:rPr>
                <w:rFonts w:ascii="Times New Roman" w:eastAsia="Times New Roman" w:hAnsi="Times New Roman" w:cs="Times New Roman"/>
                <w:b/>
                <w:sz w:val="20"/>
                <w:szCs w:val="20"/>
                <w:lang w:eastAsia="sk-SK"/>
              </w:rPr>
              <w:t>Zákon o cestovných náhradách</w:t>
            </w:r>
          </w:p>
          <w:p w14:paraId="360FB81C" w14:textId="77777777" w:rsidR="00AD62CD" w:rsidRDefault="00AD62CD" w:rsidP="003627DF">
            <w:pPr>
              <w:jc w:val="both"/>
              <w:rPr>
                <w:rFonts w:ascii="Times New Roman" w:eastAsia="Times New Roman" w:hAnsi="Times New Roman" w:cs="Times New Roman"/>
                <w:b/>
                <w:sz w:val="20"/>
                <w:szCs w:val="20"/>
                <w:lang w:eastAsia="sk-SK"/>
              </w:rPr>
            </w:pPr>
            <w:r w:rsidRPr="00C64F32">
              <w:rPr>
                <w:rFonts w:ascii="Times New Roman" w:hAnsi="Times New Roman"/>
                <w:sz w:val="20"/>
                <w:szCs w:val="20"/>
                <w:lang w:eastAsia="sk-SK"/>
              </w:rPr>
              <w:t>Inštitút finančnej politiky MF SR</w:t>
            </w:r>
            <w:r>
              <w:rPr>
                <w:rFonts w:ascii="Times New Roman" w:hAnsi="Times New Roman"/>
                <w:sz w:val="20"/>
                <w:szCs w:val="20"/>
                <w:lang w:eastAsia="sk-SK"/>
              </w:rPr>
              <w:t>.</w:t>
            </w:r>
          </w:p>
          <w:p w14:paraId="1416DDF2" w14:textId="77777777" w:rsidR="00AD62CD" w:rsidRDefault="00AD62CD" w:rsidP="003627DF">
            <w:pPr>
              <w:jc w:val="both"/>
              <w:rPr>
                <w:rFonts w:ascii="Times New Roman" w:eastAsia="Times New Roman" w:hAnsi="Times New Roman" w:cs="Times New Roman"/>
                <w:b/>
                <w:bCs/>
                <w:sz w:val="20"/>
                <w:szCs w:val="20"/>
                <w:lang w:eastAsia="sk-SK"/>
              </w:rPr>
            </w:pPr>
          </w:p>
          <w:p w14:paraId="4C4D433D" w14:textId="77777777" w:rsidR="00AD62CD" w:rsidRPr="005D418F" w:rsidRDefault="00AD62CD" w:rsidP="003627DF">
            <w:pPr>
              <w:jc w:val="both"/>
              <w:rPr>
                <w:rFonts w:ascii="Times New Roman" w:eastAsia="Times New Roman" w:hAnsi="Times New Roman" w:cs="Times New Roman"/>
                <w:b/>
                <w:bCs/>
                <w:sz w:val="20"/>
                <w:szCs w:val="20"/>
                <w:lang w:eastAsia="sk-SK"/>
              </w:rPr>
            </w:pPr>
            <w:r w:rsidRPr="005D418F">
              <w:rPr>
                <w:rFonts w:ascii="Times New Roman" w:eastAsia="Times New Roman" w:hAnsi="Times New Roman" w:cs="Times New Roman"/>
                <w:b/>
                <w:bCs/>
                <w:sz w:val="20"/>
                <w:szCs w:val="20"/>
                <w:lang w:eastAsia="sk-SK"/>
              </w:rPr>
              <w:t>Zákon o dani z príjmov</w:t>
            </w:r>
          </w:p>
          <w:p w14:paraId="4B194916" w14:textId="77777777" w:rsidR="00AD62CD" w:rsidRDefault="00AD62CD" w:rsidP="003627DF">
            <w:pPr>
              <w:rPr>
                <w:rFonts w:ascii="Times New Roman" w:eastAsia="Times New Roman" w:hAnsi="Times New Roman" w:cs="Times New Roman"/>
                <w:iCs/>
                <w:sz w:val="20"/>
                <w:szCs w:val="20"/>
                <w:lang w:eastAsia="sk-SK"/>
              </w:rPr>
            </w:pPr>
            <w:r w:rsidRPr="005D418F">
              <w:rPr>
                <w:rFonts w:ascii="Times New Roman" w:eastAsia="Times New Roman" w:hAnsi="Times New Roman" w:cs="Times New Roman"/>
                <w:iCs/>
                <w:sz w:val="20"/>
                <w:szCs w:val="20"/>
                <w:lang w:eastAsia="sk-SK"/>
              </w:rPr>
              <w:t>Pri vypracovaní doložky vplyvov na rozpočet verejnej správy vychádzalo Ministerstvo financií SR z dostupných zdrojov Ministerstva financií Slovenskej republiky a analýz Inštitútu finančnej politiky.</w:t>
            </w:r>
          </w:p>
          <w:p w14:paraId="2415A73D" w14:textId="77777777" w:rsidR="00AD62CD" w:rsidRPr="00CF4BD4" w:rsidRDefault="00AD62CD" w:rsidP="003627DF">
            <w:pPr>
              <w:jc w:val="both"/>
              <w:rPr>
                <w:rFonts w:ascii="Times New Roman" w:eastAsia="Times New Roman" w:hAnsi="Times New Roman" w:cs="Times New Roman"/>
                <w:b/>
                <w:sz w:val="20"/>
                <w:szCs w:val="20"/>
                <w:highlight w:val="yellow"/>
                <w:lang w:eastAsia="sk-SK"/>
              </w:rPr>
            </w:pPr>
          </w:p>
          <w:p w14:paraId="6DBD8542" w14:textId="77777777" w:rsidR="00AD62CD" w:rsidRPr="000226E2" w:rsidRDefault="00AD62CD" w:rsidP="003627DF">
            <w:pPr>
              <w:jc w:val="both"/>
              <w:rPr>
                <w:rFonts w:ascii="Times New Roman" w:eastAsia="Times New Roman" w:hAnsi="Times New Roman" w:cs="Times New Roman"/>
                <w:b/>
                <w:sz w:val="20"/>
                <w:szCs w:val="20"/>
                <w:lang w:eastAsia="sk-SK"/>
              </w:rPr>
            </w:pPr>
            <w:r w:rsidRPr="006B4E2F">
              <w:rPr>
                <w:rFonts w:ascii="Times New Roman" w:eastAsia="Times New Roman" w:hAnsi="Times New Roman" w:cs="Times New Roman"/>
                <w:b/>
                <w:sz w:val="20"/>
                <w:szCs w:val="20"/>
                <w:lang w:eastAsia="sk-SK"/>
              </w:rPr>
              <w:t>Zákon o dani z pridanej hodnoty</w:t>
            </w:r>
          </w:p>
          <w:p w14:paraId="1AAE145D" w14:textId="77777777" w:rsidR="00AD62CD" w:rsidRDefault="00AD62CD" w:rsidP="003627DF">
            <w:pPr>
              <w:jc w:val="both"/>
              <w:rPr>
                <w:rFonts w:ascii="Times New Roman" w:hAnsi="Times New Roman"/>
                <w:sz w:val="20"/>
                <w:szCs w:val="20"/>
                <w:lang w:eastAsia="sk-SK"/>
              </w:rPr>
            </w:pPr>
            <w:r w:rsidRPr="00C64F32">
              <w:rPr>
                <w:rFonts w:ascii="Times New Roman" w:hAnsi="Times New Roman"/>
                <w:sz w:val="20"/>
                <w:szCs w:val="20"/>
                <w:lang w:eastAsia="sk-SK"/>
              </w:rPr>
              <w:t>Inštitút finančnej politiky MF SR</w:t>
            </w:r>
            <w:r>
              <w:rPr>
                <w:rFonts w:ascii="Times New Roman" w:hAnsi="Times New Roman"/>
                <w:sz w:val="20"/>
                <w:szCs w:val="20"/>
                <w:lang w:eastAsia="sk-SK"/>
              </w:rPr>
              <w:t>.</w:t>
            </w:r>
          </w:p>
          <w:p w14:paraId="234FF01B" w14:textId="77777777" w:rsidR="00AD62CD" w:rsidRPr="00BB1400" w:rsidRDefault="00AD62CD" w:rsidP="003627DF">
            <w:pPr>
              <w:jc w:val="both"/>
              <w:rPr>
                <w:rFonts w:ascii="Times New Roman" w:hAnsi="Times New Roman"/>
                <w:sz w:val="20"/>
                <w:szCs w:val="20"/>
                <w:lang w:eastAsia="sk-SK"/>
              </w:rPr>
            </w:pPr>
            <w:r>
              <w:rPr>
                <w:rFonts w:ascii="Times New Roman" w:hAnsi="Times New Roman"/>
                <w:sz w:val="20"/>
                <w:szCs w:val="20"/>
                <w:lang w:eastAsia="sk-SK"/>
              </w:rPr>
              <w:t>Akčný plán boja proti daňovým únikom</w:t>
            </w:r>
            <w:r>
              <w:rPr>
                <w:rFonts w:ascii="Times New Roman" w:eastAsia="Calibri" w:hAnsi="Times New Roman" w:cs="Times New Roman"/>
                <w:sz w:val="24"/>
                <w:szCs w:val="24"/>
              </w:rPr>
              <w:t>.</w:t>
            </w:r>
          </w:p>
          <w:p w14:paraId="4CBAF7C0" w14:textId="77777777" w:rsidR="00AD62CD" w:rsidRPr="00040103" w:rsidRDefault="00AD62CD" w:rsidP="003627DF">
            <w:pPr>
              <w:jc w:val="both"/>
              <w:rPr>
                <w:rFonts w:ascii="Times New Roman" w:eastAsia="Times New Roman" w:hAnsi="Times New Roman" w:cs="Times New Roman"/>
                <w:b/>
                <w:sz w:val="20"/>
                <w:szCs w:val="20"/>
                <w:lang w:eastAsia="sk-SK"/>
              </w:rPr>
            </w:pPr>
          </w:p>
          <w:p w14:paraId="3BBF6694" w14:textId="77777777" w:rsidR="00AD62CD" w:rsidRPr="00040103" w:rsidRDefault="00AD62CD" w:rsidP="003627DF">
            <w:pPr>
              <w:jc w:val="both"/>
              <w:rPr>
                <w:rFonts w:ascii="Times New Roman" w:eastAsia="Times New Roman" w:hAnsi="Times New Roman" w:cs="Times New Roman"/>
                <w:b/>
                <w:sz w:val="20"/>
                <w:szCs w:val="20"/>
                <w:lang w:eastAsia="sk-SK"/>
              </w:rPr>
            </w:pPr>
            <w:r w:rsidRPr="00040103">
              <w:rPr>
                <w:rFonts w:ascii="Times New Roman" w:eastAsia="Times New Roman" w:hAnsi="Times New Roman" w:cs="Times New Roman"/>
                <w:b/>
                <w:sz w:val="20"/>
                <w:szCs w:val="20"/>
                <w:lang w:eastAsia="sk-SK"/>
              </w:rPr>
              <w:t>Zákon o zdravotnom poistení</w:t>
            </w:r>
          </w:p>
          <w:p w14:paraId="38CF0FD6" w14:textId="77777777" w:rsidR="00AD62CD" w:rsidRPr="00040103" w:rsidRDefault="00AD62CD" w:rsidP="003627DF">
            <w:pPr>
              <w:jc w:val="both"/>
              <w:rPr>
                <w:rFonts w:ascii="Times New Roman" w:eastAsia="Times New Roman" w:hAnsi="Times New Roman" w:cs="Times New Roman"/>
                <w:bCs/>
                <w:sz w:val="20"/>
                <w:szCs w:val="20"/>
                <w:lang w:eastAsia="sk-SK"/>
              </w:rPr>
            </w:pPr>
            <w:r w:rsidRPr="00040103">
              <w:rPr>
                <w:rFonts w:ascii="Times New Roman" w:eastAsia="Times New Roman" w:hAnsi="Times New Roman"/>
                <w:sz w:val="20"/>
                <w:szCs w:val="20"/>
              </w:rPr>
              <w:t>IZA MZ SR, IFP MF SR, Štatistický úrad SR, údaje od zdravotných poisťovní</w:t>
            </w:r>
            <w:r>
              <w:rPr>
                <w:rFonts w:ascii="Times New Roman" w:eastAsia="Times New Roman" w:hAnsi="Times New Roman"/>
                <w:sz w:val="20"/>
                <w:szCs w:val="20"/>
              </w:rPr>
              <w:t>.</w:t>
            </w:r>
          </w:p>
          <w:p w14:paraId="7A9F56EF" w14:textId="77777777" w:rsidR="00AD62CD" w:rsidRDefault="00AD62CD" w:rsidP="003627DF">
            <w:pPr>
              <w:jc w:val="both"/>
              <w:rPr>
                <w:rFonts w:ascii="Times New Roman" w:eastAsia="Times New Roman" w:hAnsi="Times New Roman" w:cs="Times New Roman"/>
                <w:b/>
                <w:bCs/>
                <w:sz w:val="20"/>
                <w:szCs w:val="20"/>
                <w:lang w:eastAsia="sk-SK"/>
              </w:rPr>
            </w:pPr>
          </w:p>
          <w:p w14:paraId="4DD718FE" w14:textId="77777777" w:rsidR="00AD62CD" w:rsidRPr="00F27110" w:rsidRDefault="00AD62CD" w:rsidP="003627DF">
            <w:pPr>
              <w:jc w:val="both"/>
              <w:rPr>
                <w:rFonts w:ascii="Times New Roman" w:eastAsia="Times New Roman" w:hAnsi="Times New Roman" w:cs="Times New Roman"/>
                <w:b/>
                <w:bCs/>
                <w:sz w:val="20"/>
                <w:szCs w:val="20"/>
                <w:lang w:eastAsia="sk-SK"/>
              </w:rPr>
            </w:pPr>
            <w:r w:rsidRPr="00040348">
              <w:rPr>
                <w:rFonts w:ascii="Times New Roman" w:eastAsia="Times New Roman" w:hAnsi="Times New Roman" w:cs="Times New Roman"/>
                <w:b/>
                <w:bCs/>
                <w:sz w:val="20"/>
                <w:szCs w:val="20"/>
                <w:lang w:eastAsia="sk-SK"/>
              </w:rPr>
              <w:t>Zákon o poisťovníctve</w:t>
            </w:r>
          </w:p>
          <w:p w14:paraId="4FE6A004" w14:textId="77777777" w:rsidR="00AD62CD" w:rsidRDefault="00AD62CD" w:rsidP="003627DF">
            <w:pPr>
              <w:jc w:val="both"/>
              <w:rPr>
                <w:rFonts w:ascii="Times New Roman" w:hAnsi="Times New Roman" w:cs="Times New Roman"/>
                <w:b/>
                <w:bCs/>
                <w:sz w:val="20"/>
                <w:szCs w:val="20"/>
              </w:rPr>
            </w:pPr>
            <w:r w:rsidRPr="003265FF">
              <w:rPr>
                <w:rFonts w:ascii="Times New Roman" w:eastAsia="Times New Roman" w:hAnsi="Times New Roman" w:cs="Times New Roman"/>
                <w:iCs/>
                <w:sz w:val="20"/>
                <w:szCs w:val="20"/>
                <w:lang w:eastAsia="sk-SK"/>
              </w:rPr>
              <w:t>Inštitút finančnej politiky MF SR</w:t>
            </w:r>
            <w:r>
              <w:rPr>
                <w:rFonts w:ascii="Times New Roman" w:eastAsia="Times New Roman" w:hAnsi="Times New Roman" w:cs="Times New Roman"/>
                <w:iCs/>
                <w:sz w:val="20"/>
                <w:szCs w:val="20"/>
                <w:lang w:eastAsia="sk-SK"/>
              </w:rPr>
              <w:t>.</w:t>
            </w:r>
          </w:p>
          <w:p w14:paraId="5D9587D4" w14:textId="77777777" w:rsidR="00AD62CD" w:rsidRDefault="00AD62CD" w:rsidP="003627DF">
            <w:pPr>
              <w:jc w:val="both"/>
              <w:rPr>
                <w:rFonts w:ascii="Times New Roman" w:hAnsi="Times New Roman" w:cs="Times New Roman"/>
                <w:b/>
                <w:bCs/>
                <w:sz w:val="20"/>
                <w:szCs w:val="20"/>
              </w:rPr>
            </w:pPr>
          </w:p>
          <w:p w14:paraId="4C88A9B4" w14:textId="77777777" w:rsidR="00AD62CD" w:rsidRDefault="00AD62CD" w:rsidP="003627DF">
            <w:pPr>
              <w:jc w:val="both"/>
              <w:rPr>
                <w:rFonts w:ascii="Times New Roman" w:hAnsi="Times New Roman" w:cs="Times New Roman"/>
                <w:b/>
                <w:bCs/>
                <w:sz w:val="20"/>
                <w:szCs w:val="20"/>
              </w:rPr>
            </w:pPr>
            <w:r w:rsidRPr="004F7247">
              <w:rPr>
                <w:rFonts w:ascii="Times New Roman" w:hAnsi="Times New Roman" w:cs="Times New Roman"/>
                <w:b/>
                <w:bCs/>
                <w:sz w:val="20"/>
                <w:szCs w:val="20"/>
              </w:rPr>
              <w:t>Zákon o dani z poistenia</w:t>
            </w:r>
          </w:p>
          <w:p w14:paraId="31E3487E" w14:textId="77777777" w:rsidR="00AD62CD" w:rsidRPr="00BF1991" w:rsidRDefault="00AD62CD" w:rsidP="003627DF">
            <w:pPr>
              <w:rPr>
                <w:rFonts w:ascii="Times New Roman" w:eastAsia="Times New Roman" w:hAnsi="Times New Roman" w:cs="Times New Roman"/>
                <w:iCs/>
                <w:sz w:val="20"/>
                <w:szCs w:val="20"/>
                <w:lang w:eastAsia="sk-SK"/>
              </w:rPr>
            </w:pPr>
            <w:r w:rsidRPr="003265FF">
              <w:rPr>
                <w:rFonts w:ascii="Times New Roman" w:eastAsia="Times New Roman" w:hAnsi="Times New Roman" w:cs="Times New Roman"/>
                <w:iCs/>
                <w:sz w:val="20"/>
                <w:szCs w:val="20"/>
                <w:lang w:eastAsia="sk-SK"/>
              </w:rPr>
              <w:t>Inštitút finančnej politiky MF SR</w:t>
            </w:r>
            <w:r>
              <w:rPr>
                <w:rFonts w:ascii="Times New Roman" w:eastAsia="Times New Roman" w:hAnsi="Times New Roman" w:cs="Times New Roman"/>
                <w:iCs/>
                <w:sz w:val="20"/>
                <w:szCs w:val="20"/>
                <w:lang w:eastAsia="sk-SK"/>
              </w:rPr>
              <w:t>.</w:t>
            </w:r>
          </w:p>
          <w:p w14:paraId="7760C50A" w14:textId="77777777" w:rsidR="00AD62CD" w:rsidRPr="00612E08" w:rsidRDefault="00AD62CD" w:rsidP="003627DF">
            <w:pPr>
              <w:rPr>
                <w:rFonts w:ascii="Times New Roman" w:eastAsia="Times New Roman" w:hAnsi="Times New Roman" w:cs="Times New Roman"/>
                <w:b/>
                <w:sz w:val="20"/>
                <w:szCs w:val="20"/>
                <w:lang w:eastAsia="sk-SK"/>
              </w:rPr>
            </w:pPr>
          </w:p>
        </w:tc>
      </w:tr>
      <w:tr w:rsidR="00AD62CD" w:rsidRPr="00612E08" w14:paraId="5857E21B" w14:textId="77777777" w:rsidTr="003627DF">
        <w:tc>
          <w:tcPr>
            <w:tcW w:w="9176" w:type="dxa"/>
            <w:tcBorders>
              <w:top w:val="single" w:sz="4" w:space="0" w:color="auto"/>
              <w:left w:val="single" w:sz="4" w:space="0" w:color="auto"/>
              <w:bottom w:val="single" w:sz="4" w:space="0" w:color="FFFFFF"/>
              <w:right w:val="single" w:sz="4" w:space="0" w:color="auto"/>
            </w:tcBorders>
            <w:shd w:val="clear" w:color="auto" w:fill="E2E2E2"/>
          </w:tcPr>
          <w:p w14:paraId="3BDC68E7" w14:textId="77777777" w:rsidR="00AD62CD" w:rsidRPr="00612E08" w:rsidRDefault="00AD62CD" w:rsidP="00AD62CD">
            <w:pPr>
              <w:numPr>
                <w:ilvl w:val="0"/>
                <w:numId w:val="4"/>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11B142AF" w14:textId="77777777" w:rsidR="00AD62CD" w:rsidRPr="00612E08" w:rsidRDefault="00AD62CD" w:rsidP="003627DF">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AD62CD" w:rsidRPr="00612E08" w14:paraId="667EFE03" w14:textId="77777777" w:rsidTr="003627DF">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E89F7EE" w14:textId="77777777" w:rsidR="00AD62CD" w:rsidRPr="00612E08" w:rsidRDefault="00AD62CD" w:rsidP="003627D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D62CD" w:rsidRPr="00612E08" w14:paraId="61E3284A" w14:textId="77777777" w:rsidTr="003627DF">
              <w:trPr>
                <w:trHeight w:val="396"/>
              </w:trPr>
              <w:tc>
                <w:tcPr>
                  <w:tcW w:w="2552" w:type="dxa"/>
                </w:tcPr>
                <w:p w14:paraId="4DF9424C" w14:textId="77777777" w:rsidR="00AD62CD" w:rsidRPr="00612E08" w:rsidRDefault="00000000" w:rsidP="003627D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Content>
                      <w:r w:rsidR="00AD62CD" w:rsidRPr="00612E08">
                        <w:rPr>
                          <w:rFonts w:ascii="MS Gothic" w:eastAsia="MS Gothic" w:hAnsi="MS Gothic" w:cs="Times New Roman" w:hint="eastAsia"/>
                          <w:b/>
                          <w:sz w:val="20"/>
                          <w:szCs w:val="20"/>
                          <w:lang w:eastAsia="sk-SK"/>
                        </w:rPr>
                        <w:t>☐</w:t>
                      </w:r>
                    </w:sdtContent>
                  </w:sdt>
                  <w:r w:rsidR="00AD62CD" w:rsidRPr="00612E08">
                    <w:rPr>
                      <w:rFonts w:ascii="Times New Roman" w:eastAsia="Times New Roman" w:hAnsi="Times New Roman" w:cs="Times New Roman"/>
                      <w:b/>
                      <w:sz w:val="20"/>
                      <w:szCs w:val="20"/>
                      <w:lang w:eastAsia="sk-SK"/>
                    </w:rPr>
                    <w:t xml:space="preserve">  Súhlasné </w:t>
                  </w:r>
                </w:p>
              </w:tc>
              <w:tc>
                <w:tcPr>
                  <w:tcW w:w="3827" w:type="dxa"/>
                </w:tcPr>
                <w:p w14:paraId="6E713978" w14:textId="77777777" w:rsidR="00AD62CD" w:rsidRPr="00612E08" w:rsidRDefault="00000000" w:rsidP="003627D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Content>
                      <w:r w:rsidR="00AD62CD" w:rsidRPr="00612E08">
                        <w:rPr>
                          <w:rFonts w:ascii="MS Gothic" w:eastAsia="MS Gothic" w:hAnsi="MS Gothic" w:cs="Times New Roman" w:hint="eastAsia"/>
                          <w:b/>
                          <w:sz w:val="20"/>
                          <w:szCs w:val="20"/>
                          <w:lang w:eastAsia="sk-SK"/>
                        </w:rPr>
                        <w:t>☐</w:t>
                      </w:r>
                    </w:sdtContent>
                  </w:sdt>
                  <w:r w:rsidR="00AD62CD"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08B6A4F6" w14:textId="77777777" w:rsidR="00AD62CD" w:rsidRPr="00612E08" w:rsidRDefault="00000000" w:rsidP="003627D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Content>
                      <w:r w:rsidR="00AD62CD" w:rsidRPr="00612E08">
                        <w:rPr>
                          <w:rFonts w:ascii="MS Gothic" w:eastAsia="MS Gothic" w:hAnsi="MS Gothic" w:cs="Times New Roman" w:hint="eastAsia"/>
                          <w:b/>
                          <w:sz w:val="20"/>
                          <w:szCs w:val="20"/>
                          <w:lang w:eastAsia="sk-SK"/>
                        </w:rPr>
                        <w:t>☐</w:t>
                      </w:r>
                    </w:sdtContent>
                  </w:sdt>
                  <w:r w:rsidR="00AD62CD" w:rsidRPr="00612E08">
                    <w:rPr>
                      <w:rFonts w:ascii="Times New Roman" w:eastAsia="Times New Roman" w:hAnsi="Times New Roman" w:cs="Times New Roman"/>
                      <w:b/>
                      <w:sz w:val="20"/>
                      <w:szCs w:val="20"/>
                      <w:lang w:eastAsia="sk-SK"/>
                    </w:rPr>
                    <w:t xml:space="preserve">  Nesúhlasné</w:t>
                  </w:r>
                </w:p>
              </w:tc>
            </w:tr>
          </w:tbl>
          <w:p w14:paraId="628D7E31" w14:textId="77777777" w:rsidR="00AD62CD" w:rsidRPr="00612E08" w:rsidRDefault="00AD62CD" w:rsidP="003627DF">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692EF970" w14:textId="77777777" w:rsidR="00AD62CD" w:rsidRPr="00612E08" w:rsidRDefault="00AD62CD" w:rsidP="003627DF">
            <w:pPr>
              <w:rPr>
                <w:rFonts w:ascii="Times New Roman" w:eastAsia="Times New Roman" w:hAnsi="Times New Roman" w:cs="Times New Roman"/>
                <w:b/>
                <w:sz w:val="20"/>
                <w:szCs w:val="20"/>
                <w:lang w:eastAsia="sk-SK"/>
              </w:rPr>
            </w:pPr>
          </w:p>
          <w:p w14:paraId="4A241D25" w14:textId="77777777" w:rsidR="00AD62CD" w:rsidRPr="00612E08" w:rsidRDefault="00AD62CD" w:rsidP="003627DF">
            <w:pPr>
              <w:rPr>
                <w:rFonts w:ascii="Times New Roman" w:eastAsia="Times New Roman" w:hAnsi="Times New Roman" w:cs="Times New Roman"/>
                <w:b/>
                <w:sz w:val="20"/>
                <w:szCs w:val="20"/>
                <w:lang w:eastAsia="sk-SK"/>
              </w:rPr>
            </w:pPr>
          </w:p>
        </w:tc>
      </w:tr>
      <w:tr w:rsidR="00AD62CD" w:rsidRPr="00612E08" w14:paraId="2AE3A872" w14:textId="77777777" w:rsidTr="003627DF">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30E3B6AC" w14:textId="77777777" w:rsidR="00AD62CD" w:rsidRPr="00612E08" w:rsidRDefault="00AD62CD" w:rsidP="00AD62CD">
            <w:pPr>
              <w:numPr>
                <w:ilvl w:val="0"/>
                <w:numId w:val="4"/>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AD62CD" w:rsidRPr="00612E08" w14:paraId="1BF01330" w14:textId="77777777" w:rsidTr="003627DF">
        <w:tblPrEx>
          <w:tblBorders>
            <w:insideH w:val="single" w:sz="4" w:space="0" w:color="FFFFFF"/>
            <w:insideV w:val="single" w:sz="4" w:space="0" w:color="FFFFFF"/>
          </w:tblBorders>
        </w:tblPrEx>
        <w:tc>
          <w:tcPr>
            <w:tcW w:w="9176" w:type="dxa"/>
            <w:shd w:val="clear" w:color="auto" w:fill="FFFFFF"/>
          </w:tcPr>
          <w:p w14:paraId="7AC1ED96" w14:textId="77777777" w:rsidR="00AD62CD" w:rsidRPr="00612E08" w:rsidRDefault="00AD62CD" w:rsidP="003627D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D62CD" w:rsidRPr="00612E08" w14:paraId="1B0714ED" w14:textId="77777777" w:rsidTr="003627DF">
              <w:trPr>
                <w:trHeight w:val="396"/>
              </w:trPr>
              <w:tc>
                <w:tcPr>
                  <w:tcW w:w="2552" w:type="dxa"/>
                </w:tcPr>
                <w:p w14:paraId="7CC47AF7" w14:textId="77777777" w:rsidR="00AD62CD" w:rsidRPr="00612E08" w:rsidRDefault="00000000" w:rsidP="003627D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Content>
                      <w:r w:rsidR="00AD62CD" w:rsidRPr="00612E08">
                        <w:rPr>
                          <w:rFonts w:ascii="MS Gothic" w:eastAsia="MS Gothic" w:hAnsi="MS Gothic" w:cs="Times New Roman" w:hint="eastAsia"/>
                          <w:b/>
                          <w:sz w:val="20"/>
                          <w:szCs w:val="20"/>
                          <w:lang w:eastAsia="sk-SK"/>
                        </w:rPr>
                        <w:t>☐</w:t>
                      </w:r>
                    </w:sdtContent>
                  </w:sdt>
                  <w:r w:rsidR="00AD62CD" w:rsidRPr="00612E08">
                    <w:rPr>
                      <w:rFonts w:ascii="Times New Roman" w:eastAsia="Times New Roman" w:hAnsi="Times New Roman" w:cs="Times New Roman"/>
                      <w:b/>
                      <w:sz w:val="20"/>
                      <w:szCs w:val="20"/>
                      <w:lang w:eastAsia="sk-SK"/>
                    </w:rPr>
                    <w:t xml:space="preserve">   Súhlasné </w:t>
                  </w:r>
                </w:p>
              </w:tc>
              <w:tc>
                <w:tcPr>
                  <w:tcW w:w="3827" w:type="dxa"/>
                </w:tcPr>
                <w:p w14:paraId="18AE5017" w14:textId="77777777" w:rsidR="00AD62CD" w:rsidRPr="00612E08" w:rsidRDefault="00000000" w:rsidP="003627D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Content>
                      <w:r w:rsidR="00AD62CD" w:rsidRPr="00612E08">
                        <w:rPr>
                          <w:rFonts w:ascii="MS Gothic" w:eastAsia="MS Gothic" w:hAnsi="MS Gothic" w:cs="Times New Roman" w:hint="eastAsia"/>
                          <w:b/>
                          <w:sz w:val="20"/>
                          <w:szCs w:val="20"/>
                          <w:lang w:eastAsia="sk-SK"/>
                        </w:rPr>
                        <w:t>☐</w:t>
                      </w:r>
                    </w:sdtContent>
                  </w:sdt>
                  <w:r w:rsidR="00AD62CD"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72434DA8" w14:textId="77777777" w:rsidR="00AD62CD" w:rsidRPr="00612E08" w:rsidRDefault="00000000" w:rsidP="003627D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Content>
                      <w:r w:rsidR="00AD62CD" w:rsidRPr="00612E08">
                        <w:rPr>
                          <w:rFonts w:ascii="MS Gothic" w:eastAsia="MS Gothic" w:hAnsi="MS Gothic" w:cs="Times New Roman" w:hint="eastAsia"/>
                          <w:b/>
                          <w:sz w:val="20"/>
                          <w:szCs w:val="20"/>
                          <w:lang w:eastAsia="sk-SK"/>
                        </w:rPr>
                        <w:t>☐</w:t>
                      </w:r>
                    </w:sdtContent>
                  </w:sdt>
                  <w:r w:rsidR="00AD62CD" w:rsidRPr="00612E08">
                    <w:rPr>
                      <w:rFonts w:ascii="Times New Roman" w:eastAsia="Times New Roman" w:hAnsi="Times New Roman" w:cs="Times New Roman"/>
                      <w:b/>
                      <w:sz w:val="20"/>
                      <w:szCs w:val="20"/>
                      <w:lang w:eastAsia="sk-SK"/>
                    </w:rPr>
                    <w:t xml:space="preserve">  Nesúhlasné</w:t>
                  </w:r>
                </w:p>
              </w:tc>
            </w:tr>
          </w:tbl>
          <w:p w14:paraId="79BA9B57" w14:textId="77777777" w:rsidR="00AD62CD" w:rsidRPr="00612E08" w:rsidRDefault="00AD62CD" w:rsidP="003627DF">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06E6513E" w14:textId="77777777" w:rsidR="00AD62CD" w:rsidRPr="00612E08" w:rsidRDefault="00AD62CD" w:rsidP="003627DF">
            <w:pPr>
              <w:rPr>
                <w:rFonts w:ascii="Times New Roman" w:eastAsia="Times New Roman" w:hAnsi="Times New Roman" w:cs="Times New Roman"/>
                <w:b/>
                <w:sz w:val="20"/>
                <w:szCs w:val="20"/>
                <w:lang w:eastAsia="sk-SK"/>
              </w:rPr>
            </w:pPr>
          </w:p>
          <w:p w14:paraId="4CC77C15" w14:textId="77777777" w:rsidR="00AD62CD" w:rsidRPr="00612E08" w:rsidRDefault="00AD62CD" w:rsidP="003627DF">
            <w:pPr>
              <w:rPr>
                <w:rFonts w:ascii="Times New Roman" w:eastAsia="Times New Roman" w:hAnsi="Times New Roman" w:cs="Times New Roman"/>
                <w:b/>
                <w:sz w:val="20"/>
                <w:szCs w:val="20"/>
                <w:lang w:eastAsia="sk-SK"/>
              </w:rPr>
            </w:pPr>
          </w:p>
        </w:tc>
      </w:tr>
    </w:tbl>
    <w:p w14:paraId="641CDEF1" w14:textId="77777777" w:rsidR="00AD62CD" w:rsidRPr="00612E08" w:rsidRDefault="00AD62CD" w:rsidP="00AD62CD"/>
    <w:p w14:paraId="0B1C1925" w14:textId="77777777" w:rsidR="00D550F1" w:rsidRDefault="00D550F1" w:rsidP="00D550F1">
      <w:pPr>
        <w:spacing w:line="240" w:lineRule="auto"/>
        <w:jc w:val="both"/>
        <w:rPr>
          <w:rFonts w:ascii="Times New Roman" w:hAnsi="Times New Roman" w:cs="Times New Roman"/>
        </w:rPr>
      </w:pPr>
    </w:p>
    <w:p w14:paraId="51169A5E" w14:textId="77777777" w:rsidR="00AD62CD" w:rsidRPr="00AD62CD" w:rsidRDefault="00AD62CD" w:rsidP="00AD62CD">
      <w:pPr>
        <w:spacing w:after="0" w:line="240" w:lineRule="auto"/>
        <w:jc w:val="center"/>
        <w:rPr>
          <w:rFonts w:ascii="Times New Roman" w:eastAsia="Calibri" w:hAnsi="Times New Roman" w:cs="Times New Roman"/>
          <w:b/>
          <w:bCs/>
          <w:kern w:val="0"/>
          <w:sz w:val="28"/>
          <w:szCs w:val="28"/>
          <w:lang w:eastAsia="sk-SK"/>
          <w14:ligatures w14:val="none"/>
        </w:rPr>
      </w:pPr>
      <w:r w:rsidRPr="00AD62CD">
        <w:rPr>
          <w:rFonts w:ascii="Times New Roman" w:eastAsia="Calibri" w:hAnsi="Times New Roman" w:cs="Times New Roman"/>
          <w:b/>
          <w:bCs/>
          <w:kern w:val="0"/>
          <w:sz w:val="28"/>
          <w:szCs w:val="28"/>
          <w:lang w:eastAsia="sk-SK"/>
          <w14:ligatures w14:val="none"/>
        </w:rPr>
        <w:t>Analýza vplyvov na rozpočet verejnej správy,</w:t>
      </w:r>
    </w:p>
    <w:p w14:paraId="6B2CD5D9" w14:textId="77777777" w:rsidR="00AD62CD" w:rsidRPr="00AD62CD" w:rsidRDefault="00AD62CD" w:rsidP="00AD62CD">
      <w:pPr>
        <w:spacing w:after="0" w:line="240" w:lineRule="auto"/>
        <w:jc w:val="center"/>
        <w:rPr>
          <w:rFonts w:ascii="Times New Roman" w:eastAsia="Calibri" w:hAnsi="Times New Roman" w:cs="Times New Roman"/>
          <w:b/>
          <w:bCs/>
          <w:kern w:val="0"/>
          <w:sz w:val="28"/>
          <w:szCs w:val="28"/>
          <w:lang w:eastAsia="sk-SK"/>
          <w14:ligatures w14:val="none"/>
        </w:rPr>
      </w:pPr>
      <w:r w:rsidRPr="00AD62CD">
        <w:rPr>
          <w:rFonts w:ascii="Times New Roman" w:eastAsia="Calibri" w:hAnsi="Times New Roman" w:cs="Times New Roman"/>
          <w:b/>
          <w:bCs/>
          <w:kern w:val="0"/>
          <w:sz w:val="28"/>
          <w:szCs w:val="28"/>
          <w:lang w:eastAsia="sk-SK"/>
          <w14:ligatures w14:val="none"/>
        </w:rPr>
        <w:t>na zamestnanosť vo verejnej správe a financovanie návrhu</w:t>
      </w:r>
    </w:p>
    <w:p w14:paraId="3214CD89"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p>
    <w:p w14:paraId="631DC33B"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 Zhrnutie vplyvov na rozpočet verejnej správy v návrhu</w:t>
      </w:r>
    </w:p>
    <w:p w14:paraId="07D78CB2"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Tabuľka č. 1 </w:t>
      </w:r>
    </w:p>
    <w:tbl>
      <w:tblPr>
        <w:tblW w:w="9747" w:type="dxa"/>
        <w:tblCellMar>
          <w:left w:w="70" w:type="dxa"/>
          <w:right w:w="70" w:type="dxa"/>
        </w:tblCellMar>
        <w:tblLook w:val="04A0" w:firstRow="1" w:lastRow="0" w:firstColumn="1" w:lastColumn="0" w:noHBand="0" w:noVBand="1"/>
      </w:tblPr>
      <w:tblGrid>
        <w:gridCol w:w="4668"/>
        <w:gridCol w:w="1276"/>
        <w:gridCol w:w="1417"/>
        <w:gridCol w:w="1149"/>
        <w:gridCol w:w="1237"/>
      </w:tblGrid>
      <w:tr w:rsidR="00AD62CD" w:rsidRPr="00AD62CD" w14:paraId="3C2210EE" w14:textId="77777777" w:rsidTr="003627DF">
        <w:trPr>
          <w:trHeight w:val="705"/>
        </w:trPr>
        <w:tc>
          <w:tcPr>
            <w:tcW w:w="466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33D4F7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Vplyvy na rozpočet verejnej správy</w:t>
            </w:r>
          </w:p>
        </w:tc>
        <w:tc>
          <w:tcPr>
            <w:tcW w:w="5079" w:type="dxa"/>
            <w:gridSpan w:val="4"/>
            <w:tcBorders>
              <w:top w:val="single" w:sz="8" w:space="0" w:color="auto"/>
              <w:left w:val="nil"/>
              <w:bottom w:val="single" w:sz="8" w:space="0" w:color="auto"/>
              <w:right w:val="single" w:sz="8" w:space="0" w:color="000000"/>
            </w:tcBorders>
            <w:shd w:val="clear" w:color="000000" w:fill="BFBFBF"/>
            <w:vAlign w:val="center"/>
            <w:hideMark/>
          </w:tcPr>
          <w:p w14:paraId="121EA16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rozpočet verejnej správy (v eurách, v metodike ESA 2010)</w:t>
            </w:r>
          </w:p>
        </w:tc>
      </w:tr>
      <w:tr w:rsidR="00AD62CD" w:rsidRPr="00AD62CD" w14:paraId="112700BC" w14:textId="77777777" w:rsidTr="003627DF">
        <w:trPr>
          <w:trHeight w:val="315"/>
        </w:trPr>
        <w:tc>
          <w:tcPr>
            <w:tcW w:w="4668" w:type="dxa"/>
            <w:vMerge/>
            <w:tcBorders>
              <w:top w:val="single" w:sz="8" w:space="0" w:color="auto"/>
              <w:left w:val="single" w:sz="8" w:space="0" w:color="auto"/>
              <w:bottom w:val="single" w:sz="8" w:space="0" w:color="000000"/>
              <w:right w:val="single" w:sz="8" w:space="0" w:color="auto"/>
            </w:tcBorders>
            <w:vAlign w:val="center"/>
            <w:hideMark/>
          </w:tcPr>
          <w:p w14:paraId="01F05C9F"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276" w:type="dxa"/>
            <w:tcBorders>
              <w:top w:val="nil"/>
              <w:left w:val="nil"/>
              <w:bottom w:val="single" w:sz="8" w:space="0" w:color="auto"/>
              <w:right w:val="single" w:sz="8" w:space="0" w:color="auto"/>
            </w:tcBorders>
            <w:shd w:val="clear" w:color="000000" w:fill="BFBFBF"/>
            <w:vAlign w:val="center"/>
            <w:hideMark/>
          </w:tcPr>
          <w:p w14:paraId="7D1DF14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1417" w:type="dxa"/>
            <w:tcBorders>
              <w:top w:val="nil"/>
              <w:left w:val="nil"/>
              <w:bottom w:val="single" w:sz="8" w:space="0" w:color="auto"/>
              <w:right w:val="single" w:sz="8" w:space="0" w:color="auto"/>
            </w:tcBorders>
            <w:shd w:val="clear" w:color="000000" w:fill="BFBFBF"/>
            <w:vAlign w:val="center"/>
            <w:hideMark/>
          </w:tcPr>
          <w:p w14:paraId="00BE803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149" w:type="dxa"/>
            <w:tcBorders>
              <w:top w:val="nil"/>
              <w:left w:val="nil"/>
              <w:bottom w:val="single" w:sz="8" w:space="0" w:color="auto"/>
              <w:right w:val="single" w:sz="8" w:space="0" w:color="auto"/>
            </w:tcBorders>
            <w:shd w:val="clear" w:color="000000" w:fill="BFBFBF"/>
            <w:vAlign w:val="center"/>
            <w:hideMark/>
          </w:tcPr>
          <w:p w14:paraId="2748E6B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237" w:type="dxa"/>
            <w:tcBorders>
              <w:top w:val="nil"/>
              <w:left w:val="nil"/>
              <w:bottom w:val="single" w:sz="8" w:space="0" w:color="auto"/>
              <w:right w:val="single" w:sz="8" w:space="0" w:color="auto"/>
            </w:tcBorders>
            <w:shd w:val="clear" w:color="000000" w:fill="BFBFBF"/>
            <w:vAlign w:val="center"/>
            <w:hideMark/>
          </w:tcPr>
          <w:p w14:paraId="32C6D6B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r>
      <w:tr w:rsidR="00AD62CD" w:rsidRPr="00AD62CD" w14:paraId="0D682803" w14:textId="77777777" w:rsidTr="003627DF">
        <w:trPr>
          <w:trHeight w:val="315"/>
        </w:trPr>
        <w:tc>
          <w:tcPr>
            <w:tcW w:w="4668" w:type="dxa"/>
            <w:tcBorders>
              <w:top w:val="nil"/>
              <w:left w:val="single" w:sz="8" w:space="0" w:color="auto"/>
              <w:bottom w:val="single" w:sz="8" w:space="0" w:color="auto"/>
              <w:right w:val="single" w:sz="8" w:space="0" w:color="auto"/>
            </w:tcBorders>
            <w:shd w:val="clear" w:color="000000" w:fill="C0C0C0"/>
            <w:noWrap/>
            <w:vAlign w:val="center"/>
            <w:hideMark/>
          </w:tcPr>
          <w:p w14:paraId="2053DF83"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Príjmy verejnej správy celkom</w:t>
            </w:r>
          </w:p>
        </w:tc>
        <w:tc>
          <w:tcPr>
            <w:tcW w:w="1276" w:type="dxa"/>
            <w:tcBorders>
              <w:top w:val="nil"/>
              <w:left w:val="nil"/>
              <w:bottom w:val="single" w:sz="8" w:space="0" w:color="auto"/>
              <w:right w:val="single" w:sz="8" w:space="0" w:color="auto"/>
            </w:tcBorders>
            <w:shd w:val="clear" w:color="000000" w:fill="C0C0C0"/>
            <w:vAlign w:val="center"/>
            <w:hideMark/>
          </w:tcPr>
          <w:p w14:paraId="4CB2710E"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000000" w:fill="C0C0C0"/>
            <w:vAlign w:val="center"/>
            <w:hideMark/>
          </w:tcPr>
          <w:p w14:paraId="74A7FAB7"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1 361 474 513</w:t>
            </w:r>
          </w:p>
        </w:tc>
        <w:tc>
          <w:tcPr>
            <w:tcW w:w="1149" w:type="dxa"/>
            <w:tcBorders>
              <w:top w:val="nil"/>
              <w:left w:val="nil"/>
              <w:bottom w:val="single" w:sz="8" w:space="0" w:color="auto"/>
              <w:right w:val="single" w:sz="8" w:space="0" w:color="auto"/>
            </w:tcBorders>
            <w:shd w:val="clear" w:color="000000" w:fill="C0C0C0"/>
            <w:vAlign w:val="center"/>
            <w:hideMark/>
          </w:tcPr>
          <w:p w14:paraId="6B4A31B8"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1 489 846 137</w:t>
            </w:r>
          </w:p>
        </w:tc>
        <w:tc>
          <w:tcPr>
            <w:tcW w:w="1237" w:type="dxa"/>
            <w:tcBorders>
              <w:top w:val="nil"/>
              <w:left w:val="nil"/>
              <w:bottom w:val="single" w:sz="8" w:space="0" w:color="auto"/>
              <w:right w:val="single" w:sz="8" w:space="0" w:color="auto"/>
            </w:tcBorders>
            <w:shd w:val="clear" w:color="000000" w:fill="C0C0C0"/>
            <w:vAlign w:val="center"/>
            <w:hideMark/>
          </w:tcPr>
          <w:p w14:paraId="186247C6"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1 569 955 868</w:t>
            </w:r>
          </w:p>
        </w:tc>
      </w:tr>
      <w:tr w:rsidR="00AD62CD" w:rsidRPr="00AD62CD" w14:paraId="262FF7AA"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FD3AD97"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v tom: za každý subjekt verejnej správy zvlášť</w:t>
            </w:r>
          </w:p>
        </w:tc>
        <w:tc>
          <w:tcPr>
            <w:tcW w:w="1276" w:type="dxa"/>
            <w:tcBorders>
              <w:top w:val="nil"/>
              <w:left w:val="nil"/>
              <w:bottom w:val="single" w:sz="8" w:space="0" w:color="auto"/>
              <w:right w:val="single" w:sz="8" w:space="0" w:color="auto"/>
            </w:tcBorders>
            <w:shd w:val="clear" w:color="auto" w:fill="auto"/>
            <w:noWrap/>
            <w:vAlign w:val="center"/>
            <w:hideMark/>
          </w:tcPr>
          <w:p w14:paraId="26B7640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64854937"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c>
          <w:tcPr>
            <w:tcW w:w="1149" w:type="dxa"/>
            <w:tcBorders>
              <w:top w:val="nil"/>
              <w:left w:val="nil"/>
              <w:bottom w:val="single" w:sz="8" w:space="0" w:color="auto"/>
              <w:right w:val="single" w:sz="8" w:space="0" w:color="auto"/>
            </w:tcBorders>
            <w:shd w:val="clear" w:color="auto" w:fill="auto"/>
            <w:noWrap/>
            <w:vAlign w:val="center"/>
            <w:hideMark/>
          </w:tcPr>
          <w:p w14:paraId="6856B9AA"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c>
          <w:tcPr>
            <w:tcW w:w="1237" w:type="dxa"/>
            <w:tcBorders>
              <w:top w:val="nil"/>
              <w:left w:val="nil"/>
              <w:bottom w:val="single" w:sz="8" w:space="0" w:color="auto"/>
              <w:right w:val="single" w:sz="8" w:space="0" w:color="auto"/>
            </w:tcBorders>
            <w:shd w:val="clear" w:color="auto" w:fill="auto"/>
            <w:noWrap/>
            <w:vAlign w:val="center"/>
            <w:hideMark/>
          </w:tcPr>
          <w:p w14:paraId="621DA42B"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378C2CA9"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93CF9C5"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xml:space="preserve">z toho:  </w:t>
            </w:r>
          </w:p>
        </w:tc>
        <w:tc>
          <w:tcPr>
            <w:tcW w:w="1276" w:type="dxa"/>
            <w:tcBorders>
              <w:top w:val="nil"/>
              <w:left w:val="nil"/>
              <w:bottom w:val="single" w:sz="8" w:space="0" w:color="auto"/>
              <w:right w:val="single" w:sz="8" w:space="0" w:color="auto"/>
            </w:tcBorders>
            <w:shd w:val="clear" w:color="auto" w:fill="auto"/>
            <w:noWrap/>
            <w:vAlign w:val="center"/>
            <w:hideMark/>
          </w:tcPr>
          <w:p w14:paraId="5346B935"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5B3BFA66"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149" w:type="dxa"/>
            <w:tcBorders>
              <w:top w:val="nil"/>
              <w:left w:val="nil"/>
              <w:bottom w:val="single" w:sz="8" w:space="0" w:color="auto"/>
              <w:right w:val="single" w:sz="8" w:space="0" w:color="auto"/>
            </w:tcBorders>
            <w:shd w:val="clear" w:color="auto" w:fill="auto"/>
            <w:noWrap/>
            <w:vAlign w:val="center"/>
            <w:hideMark/>
          </w:tcPr>
          <w:p w14:paraId="2701F439"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237" w:type="dxa"/>
            <w:tcBorders>
              <w:top w:val="nil"/>
              <w:left w:val="nil"/>
              <w:bottom w:val="single" w:sz="8" w:space="0" w:color="auto"/>
              <w:right w:val="single" w:sz="8" w:space="0" w:color="auto"/>
            </w:tcBorders>
            <w:shd w:val="clear" w:color="auto" w:fill="auto"/>
            <w:noWrap/>
            <w:vAlign w:val="center"/>
            <w:hideMark/>
          </w:tcPr>
          <w:p w14:paraId="1102E808"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r>
      <w:tr w:rsidR="00AD62CD" w:rsidRPr="00AD62CD" w14:paraId="203FEC57"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79A1A40"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ŠR</w:t>
            </w:r>
          </w:p>
        </w:tc>
        <w:tc>
          <w:tcPr>
            <w:tcW w:w="1276" w:type="dxa"/>
            <w:tcBorders>
              <w:top w:val="nil"/>
              <w:left w:val="nil"/>
              <w:bottom w:val="single" w:sz="8" w:space="0" w:color="auto"/>
              <w:right w:val="single" w:sz="8" w:space="0" w:color="auto"/>
            </w:tcBorders>
            <w:shd w:val="clear" w:color="auto" w:fill="auto"/>
            <w:noWrap/>
            <w:vAlign w:val="center"/>
            <w:hideMark/>
          </w:tcPr>
          <w:p w14:paraId="0DEDCE56"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77117ED9"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606 064 341</w:t>
            </w:r>
          </w:p>
        </w:tc>
        <w:tc>
          <w:tcPr>
            <w:tcW w:w="1149" w:type="dxa"/>
            <w:tcBorders>
              <w:top w:val="nil"/>
              <w:left w:val="nil"/>
              <w:bottom w:val="single" w:sz="8" w:space="0" w:color="auto"/>
              <w:right w:val="single" w:sz="8" w:space="0" w:color="auto"/>
            </w:tcBorders>
            <w:shd w:val="clear" w:color="auto" w:fill="auto"/>
            <w:noWrap/>
            <w:vAlign w:val="center"/>
            <w:hideMark/>
          </w:tcPr>
          <w:p w14:paraId="753C4137"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551 362 196</w:t>
            </w:r>
          </w:p>
        </w:tc>
        <w:tc>
          <w:tcPr>
            <w:tcW w:w="1237" w:type="dxa"/>
            <w:tcBorders>
              <w:top w:val="nil"/>
              <w:left w:val="nil"/>
              <w:bottom w:val="single" w:sz="8" w:space="0" w:color="auto"/>
              <w:right w:val="single" w:sz="8" w:space="0" w:color="auto"/>
            </w:tcBorders>
            <w:shd w:val="clear" w:color="auto" w:fill="auto"/>
            <w:noWrap/>
            <w:vAlign w:val="center"/>
            <w:hideMark/>
          </w:tcPr>
          <w:p w14:paraId="239EDAE3"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578 302 281</w:t>
            </w:r>
          </w:p>
        </w:tc>
      </w:tr>
      <w:tr w:rsidR="00AD62CD" w:rsidRPr="00AD62CD" w14:paraId="38F49598"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4F5A9015"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 (Zákon o DPH)</w:t>
            </w:r>
          </w:p>
        </w:tc>
        <w:tc>
          <w:tcPr>
            <w:tcW w:w="1276" w:type="dxa"/>
            <w:tcBorders>
              <w:top w:val="nil"/>
              <w:left w:val="nil"/>
              <w:bottom w:val="single" w:sz="8" w:space="0" w:color="auto"/>
              <w:right w:val="single" w:sz="8" w:space="0" w:color="auto"/>
            </w:tcBorders>
            <w:shd w:val="clear" w:color="auto" w:fill="auto"/>
            <w:noWrap/>
            <w:vAlign w:val="center"/>
            <w:hideMark/>
          </w:tcPr>
          <w:p w14:paraId="6056649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6D5E1BC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177 739 000</w:t>
            </w:r>
          </w:p>
        </w:tc>
        <w:tc>
          <w:tcPr>
            <w:tcW w:w="1149" w:type="dxa"/>
            <w:tcBorders>
              <w:top w:val="nil"/>
              <w:left w:val="nil"/>
              <w:bottom w:val="single" w:sz="8" w:space="0" w:color="auto"/>
              <w:right w:val="single" w:sz="8" w:space="0" w:color="auto"/>
            </w:tcBorders>
            <w:shd w:val="clear" w:color="auto" w:fill="auto"/>
            <w:noWrap/>
            <w:vAlign w:val="center"/>
            <w:hideMark/>
          </w:tcPr>
          <w:p w14:paraId="4E5D2F4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183 449 000</w:t>
            </w:r>
          </w:p>
        </w:tc>
        <w:tc>
          <w:tcPr>
            <w:tcW w:w="1237" w:type="dxa"/>
            <w:tcBorders>
              <w:top w:val="nil"/>
              <w:left w:val="nil"/>
              <w:bottom w:val="single" w:sz="8" w:space="0" w:color="auto"/>
              <w:right w:val="single" w:sz="8" w:space="0" w:color="auto"/>
            </w:tcBorders>
            <w:shd w:val="clear" w:color="auto" w:fill="auto"/>
            <w:noWrap/>
            <w:vAlign w:val="center"/>
            <w:hideMark/>
          </w:tcPr>
          <w:p w14:paraId="67EAE23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188 922 000</w:t>
            </w:r>
          </w:p>
        </w:tc>
      </w:tr>
      <w:tr w:rsidR="00AD62CD" w:rsidRPr="00AD62CD" w14:paraId="3E5883B6"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A1BC49C"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 (Zákon o osobitnom odvode v regulovaných odvetviach)</w:t>
            </w:r>
          </w:p>
        </w:tc>
        <w:tc>
          <w:tcPr>
            <w:tcW w:w="1276" w:type="dxa"/>
            <w:tcBorders>
              <w:top w:val="nil"/>
              <w:left w:val="nil"/>
              <w:bottom w:val="single" w:sz="8" w:space="0" w:color="auto"/>
              <w:right w:val="single" w:sz="8" w:space="0" w:color="auto"/>
            </w:tcBorders>
            <w:shd w:val="clear" w:color="auto" w:fill="auto"/>
            <w:noWrap/>
            <w:vAlign w:val="center"/>
            <w:hideMark/>
          </w:tcPr>
          <w:p w14:paraId="365246B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0D700DF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4 940 000</w:t>
            </w:r>
          </w:p>
        </w:tc>
        <w:tc>
          <w:tcPr>
            <w:tcW w:w="1149" w:type="dxa"/>
            <w:tcBorders>
              <w:top w:val="nil"/>
              <w:left w:val="nil"/>
              <w:bottom w:val="single" w:sz="8" w:space="0" w:color="auto"/>
              <w:right w:val="single" w:sz="8" w:space="0" w:color="auto"/>
            </w:tcBorders>
            <w:shd w:val="clear" w:color="auto" w:fill="auto"/>
            <w:noWrap/>
            <w:vAlign w:val="center"/>
            <w:hideMark/>
          </w:tcPr>
          <w:p w14:paraId="1ED364C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4 940 000</w:t>
            </w:r>
          </w:p>
        </w:tc>
        <w:tc>
          <w:tcPr>
            <w:tcW w:w="1237" w:type="dxa"/>
            <w:tcBorders>
              <w:top w:val="nil"/>
              <w:left w:val="nil"/>
              <w:bottom w:val="single" w:sz="8" w:space="0" w:color="auto"/>
              <w:right w:val="single" w:sz="8" w:space="0" w:color="auto"/>
            </w:tcBorders>
            <w:shd w:val="clear" w:color="auto" w:fill="auto"/>
            <w:noWrap/>
            <w:vAlign w:val="center"/>
            <w:hideMark/>
          </w:tcPr>
          <w:p w14:paraId="2ECE607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4 940 000</w:t>
            </w:r>
          </w:p>
        </w:tc>
      </w:tr>
      <w:tr w:rsidR="00AD62CD" w:rsidRPr="00AD62CD" w14:paraId="44E5C332"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4C1B0F6"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 (Zákon o dani z príjmov)</w:t>
            </w:r>
          </w:p>
        </w:tc>
        <w:tc>
          <w:tcPr>
            <w:tcW w:w="1276" w:type="dxa"/>
            <w:tcBorders>
              <w:top w:val="nil"/>
              <w:left w:val="nil"/>
              <w:bottom w:val="single" w:sz="8" w:space="0" w:color="auto"/>
              <w:right w:val="single" w:sz="8" w:space="0" w:color="auto"/>
            </w:tcBorders>
            <w:shd w:val="clear" w:color="auto" w:fill="auto"/>
            <w:noWrap/>
            <w:vAlign w:val="center"/>
            <w:hideMark/>
          </w:tcPr>
          <w:p w14:paraId="75AEB10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49C9FCF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108 185 000</w:t>
            </w:r>
          </w:p>
        </w:tc>
        <w:tc>
          <w:tcPr>
            <w:tcW w:w="1149" w:type="dxa"/>
            <w:tcBorders>
              <w:top w:val="nil"/>
              <w:left w:val="nil"/>
              <w:bottom w:val="single" w:sz="8" w:space="0" w:color="auto"/>
              <w:right w:val="single" w:sz="8" w:space="0" w:color="auto"/>
            </w:tcBorders>
            <w:shd w:val="clear" w:color="auto" w:fill="auto"/>
            <w:noWrap/>
            <w:vAlign w:val="center"/>
            <w:hideMark/>
          </w:tcPr>
          <w:p w14:paraId="64FB263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58 451 000</w:t>
            </w:r>
          </w:p>
        </w:tc>
        <w:tc>
          <w:tcPr>
            <w:tcW w:w="1237" w:type="dxa"/>
            <w:tcBorders>
              <w:top w:val="nil"/>
              <w:left w:val="nil"/>
              <w:bottom w:val="single" w:sz="8" w:space="0" w:color="auto"/>
              <w:right w:val="single" w:sz="8" w:space="0" w:color="auto"/>
            </w:tcBorders>
            <w:shd w:val="clear" w:color="auto" w:fill="auto"/>
            <w:noWrap/>
            <w:vAlign w:val="center"/>
            <w:hideMark/>
          </w:tcPr>
          <w:p w14:paraId="11F6D21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59 805 000</w:t>
            </w:r>
          </w:p>
        </w:tc>
      </w:tr>
      <w:tr w:rsidR="00AD62CD" w:rsidRPr="00AD62CD" w14:paraId="3C18A02E"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3D7E3A05"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 (Zákon o zdravotnom poistení)</w:t>
            </w:r>
          </w:p>
        </w:tc>
        <w:tc>
          <w:tcPr>
            <w:tcW w:w="1276" w:type="dxa"/>
            <w:tcBorders>
              <w:top w:val="nil"/>
              <w:left w:val="nil"/>
              <w:bottom w:val="single" w:sz="8" w:space="0" w:color="auto"/>
              <w:right w:val="single" w:sz="8" w:space="0" w:color="auto"/>
            </w:tcBorders>
            <w:shd w:val="clear" w:color="auto" w:fill="auto"/>
            <w:noWrap/>
            <w:vAlign w:val="center"/>
            <w:hideMark/>
          </w:tcPr>
          <w:p w14:paraId="2E84980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2FC8FF9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-25 207 000</w:t>
            </w:r>
          </w:p>
        </w:tc>
        <w:tc>
          <w:tcPr>
            <w:tcW w:w="1149" w:type="dxa"/>
            <w:tcBorders>
              <w:top w:val="nil"/>
              <w:left w:val="nil"/>
              <w:bottom w:val="single" w:sz="8" w:space="0" w:color="auto"/>
              <w:right w:val="single" w:sz="8" w:space="0" w:color="auto"/>
            </w:tcBorders>
            <w:shd w:val="clear" w:color="auto" w:fill="auto"/>
            <w:noWrap/>
            <w:vAlign w:val="center"/>
            <w:hideMark/>
          </w:tcPr>
          <w:p w14:paraId="4D01FC6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-13 337 000</w:t>
            </w:r>
          </w:p>
        </w:tc>
        <w:tc>
          <w:tcPr>
            <w:tcW w:w="1237" w:type="dxa"/>
            <w:tcBorders>
              <w:top w:val="nil"/>
              <w:left w:val="nil"/>
              <w:bottom w:val="single" w:sz="8" w:space="0" w:color="auto"/>
              <w:right w:val="single" w:sz="8" w:space="0" w:color="auto"/>
            </w:tcBorders>
            <w:shd w:val="clear" w:color="auto" w:fill="auto"/>
            <w:noWrap/>
            <w:vAlign w:val="center"/>
            <w:hideMark/>
          </w:tcPr>
          <w:p w14:paraId="603DC0C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-13 785 000</w:t>
            </w:r>
          </w:p>
        </w:tc>
      </w:tr>
      <w:tr w:rsidR="00AD62CD" w:rsidRPr="00AD62CD" w14:paraId="45311322"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7C5C60D"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 (Zákon o hazardných hrách)</w:t>
            </w:r>
          </w:p>
        </w:tc>
        <w:tc>
          <w:tcPr>
            <w:tcW w:w="1276" w:type="dxa"/>
            <w:tcBorders>
              <w:top w:val="nil"/>
              <w:left w:val="nil"/>
              <w:bottom w:val="single" w:sz="8" w:space="0" w:color="auto"/>
              <w:right w:val="single" w:sz="8" w:space="0" w:color="auto"/>
            </w:tcBorders>
            <w:shd w:val="clear" w:color="auto" w:fill="auto"/>
            <w:noWrap/>
            <w:vAlign w:val="center"/>
            <w:hideMark/>
          </w:tcPr>
          <w:p w14:paraId="194BA33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05C0205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41 296 000</w:t>
            </w:r>
          </w:p>
        </w:tc>
        <w:tc>
          <w:tcPr>
            <w:tcW w:w="1149" w:type="dxa"/>
            <w:tcBorders>
              <w:top w:val="nil"/>
              <w:left w:val="nil"/>
              <w:bottom w:val="single" w:sz="8" w:space="0" w:color="auto"/>
              <w:right w:val="single" w:sz="8" w:space="0" w:color="auto"/>
            </w:tcBorders>
            <w:shd w:val="clear" w:color="auto" w:fill="auto"/>
            <w:noWrap/>
            <w:vAlign w:val="center"/>
            <w:hideMark/>
          </w:tcPr>
          <w:p w14:paraId="36A54A0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43 769 000</w:t>
            </w:r>
          </w:p>
        </w:tc>
        <w:tc>
          <w:tcPr>
            <w:tcW w:w="1237" w:type="dxa"/>
            <w:tcBorders>
              <w:top w:val="nil"/>
              <w:left w:val="nil"/>
              <w:bottom w:val="single" w:sz="8" w:space="0" w:color="auto"/>
              <w:right w:val="single" w:sz="8" w:space="0" w:color="auto"/>
            </w:tcBorders>
            <w:shd w:val="clear" w:color="auto" w:fill="auto"/>
            <w:noWrap/>
            <w:vAlign w:val="center"/>
            <w:hideMark/>
          </w:tcPr>
          <w:p w14:paraId="7E16A12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46 237 000</w:t>
            </w:r>
          </w:p>
        </w:tc>
      </w:tr>
      <w:tr w:rsidR="00AD62CD" w:rsidRPr="00AD62CD" w14:paraId="561B48E3"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06B7E196"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 (Zákon z poistenia)</w:t>
            </w:r>
          </w:p>
        </w:tc>
        <w:tc>
          <w:tcPr>
            <w:tcW w:w="1276" w:type="dxa"/>
            <w:tcBorders>
              <w:top w:val="nil"/>
              <w:left w:val="nil"/>
              <w:bottom w:val="single" w:sz="8" w:space="0" w:color="auto"/>
              <w:right w:val="single" w:sz="8" w:space="0" w:color="auto"/>
            </w:tcBorders>
            <w:shd w:val="clear" w:color="auto" w:fill="auto"/>
            <w:noWrap/>
            <w:vAlign w:val="center"/>
            <w:hideMark/>
          </w:tcPr>
          <w:p w14:paraId="5755EFF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16E4951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27 130 000</w:t>
            </w:r>
          </w:p>
        </w:tc>
        <w:tc>
          <w:tcPr>
            <w:tcW w:w="1149" w:type="dxa"/>
            <w:tcBorders>
              <w:top w:val="nil"/>
              <w:left w:val="nil"/>
              <w:bottom w:val="single" w:sz="8" w:space="0" w:color="auto"/>
              <w:right w:val="single" w:sz="8" w:space="0" w:color="auto"/>
            </w:tcBorders>
            <w:shd w:val="clear" w:color="auto" w:fill="auto"/>
            <w:noWrap/>
            <w:vAlign w:val="center"/>
            <w:hideMark/>
          </w:tcPr>
          <w:p w14:paraId="5A38D84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32 288 000</w:t>
            </w:r>
          </w:p>
        </w:tc>
        <w:tc>
          <w:tcPr>
            <w:tcW w:w="1237" w:type="dxa"/>
            <w:tcBorders>
              <w:top w:val="nil"/>
              <w:left w:val="nil"/>
              <w:bottom w:val="single" w:sz="8" w:space="0" w:color="auto"/>
              <w:right w:val="single" w:sz="8" w:space="0" w:color="auto"/>
            </w:tcBorders>
            <w:shd w:val="clear" w:color="auto" w:fill="auto"/>
            <w:noWrap/>
            <w:vAlign w:val="center"/>
            <w:hideMark/>
          </w:tcPr>
          <w:p w14:paraId="51CD900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33 658 000</w:t>
            </w:r>
          </w:p>
        </w:tc>
      </w:tr>
      <w:tr w:rsidR="00AD62CD" w:rsidRPr="00AD62CD" w14:paraId="38E0C802"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FC81F54"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 (Zákon z poistenia - PZP)</w:t>
            </w:r>
          </w:p>
        </w:tc>
        <w:tc>
          <w:tcPr>
            <w:tcW w:w="1276" w:type="dxa"/>
            <w:tcBorders>
              <w:top w:val="nil"/>
              <w:left w:val="nil"/>
              <w:bottom w:val="single" w:sz="8" w:space="0" w:color="auto"/>
              <w:right w:val="single" w:sz="8" w:space="0" w:color="auto"/>
            </w:tcBorders>
            <w:shd w:val="clear" w:color="auto" w:fill="auto"/>
            <w:noWrap/>
            <w:vAlign w:val="center"/>
            <w:hideMark/>
          </w:tcPr>
          <w:p w14:paraId="6B66C4D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60993D9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9 393 000</w:t>
            </w:r>
          </w:p>
        </w:tc>
        <w:tc>
          <w:tcPr>
            <w:tcW w:w="1149" w:type="dxa"/>
            <w:tcBorders>
              <w:top w:val="nil"/>
              <w:left w:val="nil"/>
              <w:bottom w:val="single" w:sz="8" w:space="0" w:color="auto"/>
              <w:right w:val="single" w:sz="8" w:space="0" w:color="auto"/>
            </w:tcBorders>
            <w:shd w:val="clear" w:color="auto" w:fill="auto"/>
            <w:noWrap/>
            <w:vAlign w:val="center"/>
            <w:hideMark/>
          </w:tcPr>
          <w:p w14:paraId="71DCEEE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11 214 000</w:t>
            </w:r>
          </w:p>
        </w:tc>
        <w:tc>
          <w:tcPr>
            <w:tcW w:w="1237" w:type="dxa"/>
            <w:tcBorders>
              <w:top w:val="nil"/>
              <w:left w:val="nil"/>
              <w:bottom w:val="single" w:sz="8" w:space="0" w:color="auto"/>
              <w:right w:val="single" w:sz="8" w:space="0" w:color="auto"/>
            </w:tcBorders>
            <w:shd w:val="clear" w:color="auto" w:fill="auto"/>
            <w:noWrap/>
            <w:vAlign w:val="center"/>
            <w:hideMark/>
          </w:tcPr>
          <w:p w14:paraId="43C6B37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11 772 000</w:t>
            </w:r>
          </w:p>
        </w:tc>
      </w:tr>
      <w:tr w:rsidR="00AD62CD" w:rsidRPr="00AD62CD" w14:paraId="2D4CA4B3"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2265C966"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 (Zákon o ochrane a využití nerastného bohatstva)</w:t>
            </w:r>
          </w:p>
        </w:tc>
        <w:tc>
          <w:tcPr>
            <w:tcW w:w="1276" w:type="dxa"/>
            <w:tcBorders>
              <w:top w:val="nil"/>
              <w:left w:val="nil"/>
              <w:bottom w:val="single" w:sz="8" w:space="0" w:color="auto"/>
              <w:right w:val="single" w:sz="8" w:space="0" w:color="auto"/>
            </w:tcBorders>
            <w:shd w:val="clear" w:color="auto" w:fill="auto"/>
            <w:noWrap/>
            <w:vAlign w:val="center"/>
            <w:hideMark/>
          </w:tcPr>
          <w:p w14:paraId="35EC0B4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3B793F4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27 182 067</w:t>
            </w:r>
          </w:p>
        </w:tc>
        <w:tc>
          <w:tcPr>
            <w:tcW w:w="1149" w:type="dxa"/>
            <w:tcBorders>
              <w:top w:val="nil"/>
              <w:left w:val="nil"/>
              <w:bottom w:val="single" w:sz="8" w:space="0" w:color="auto"/>
              <w:right w:val="single" w:sz="8" w:space="0" w:color="auto"/>
            </w:tcBorders>
            <w:shd w:val="clear" w:color="auto" w:fill="auto"/>
            <w:noWrap/>
            <w:vAlign w:val="center"/>
            <w:hideMark/>
          </w:tcPr>
          <w:p w14:paraId="357CEE7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35 164 317</w:t>
            </w:r>
          </w:p>
        </w:tc>
        <w:tc>
          <w:tcPr>
            <w:tcW w:w="1237" w:type="dxa"/>
            <w:tcBorders>
              <w:top w:val="nil"/>
              <w:left w:val="nil"/>
              <w:bottom w:val="single" w:sz="8" w:space="0" w:color="auto"/>
              <w:right w:val="single" w:sz="8" w:space="0" w:color="auto"/>
            </w:tcBorders>
            <w:shd w:val="clear" w:color="auto" w:fill="auto"/>
            <w:noWrap/>
            <w:vAlign w:val="center"/>
            <w:hideMark/>
          </w:tcPr>
          <w:p w14:paraId="14D43D9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35 164 317</w:t>
            </w:r>
          </w:p>
        </w:tc>
      </w:tr>
      <w:tr w:rsidR="00AD62CD" w:rsidRPr="00AD62CD" w14:paraId="0C03869F"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05739BF"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 (Zákonník práce)</w:t>
            </w:r>
          </w:p>
        </w:tc>
        <w:tc>
          <w:tcPr>
            <w:tcW w:w="1276" w:type="dxa"/>
            <w:tcBorders>
              <w:top w:val="nil"/>
              <w:left w:val="nil"/>
              <w:bottom w:val="single" w:sz="8" w:space="0" w:color="auto"/>
              <w:right w:val="single" w:sz="8" w:space="0" w:color="auto"/>
            </w:tcBorders>
            <w:shd w:val="clear" w:color="auto" w:fill="auto"/>
            <w:noWrap/>
            <w:vAlign w:val="center"/>
            <w:hideMark/>
          </w:tcPr>
          <w:p w14:paraId="5D4F429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44BB15A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111 434 000</w:t>
            </w:r>
          </w:p>
        </w:tc>
        <w:tc>
          <w:tcPr>
            <w:tcW w:w="1149" w:type="dxa"/>
            <w:tcBorders>
              <w:top w:val="nil"/>
              <w:left w:val="nil"/>
              <w:bottom w:val="single" w:sz="8" w:space="0" w:color="auto"/>
              <w:right w:val="single" w:sz="8" w:space="0" w:color="auto"/>
            </w:tcBorders>
            <w:shd w:val="clear" w:color="auto" w:fill="auto"/>
            <w:noWrap/>
            <w:vAlign w:val="center"/>
            <w:hideMark/>
          </w:tcPr>
          <w:p w14:paraId="583A0C8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61 659 000</w:t>
            </w:r>
          </w:p>
        </w:tc>
        <w:tc>
          <w:tcPr>
            <w:tcW w:w="1237" w:type="dxa"/>
            <w:tcBorders>
              <w:top w:val="nil"/>
              <w:left w:val="nil"/>
              <w:bottom w:val="single" w:sz="8" w:space="0" w:color="auto"/>
              <w:right w:val="single" w:sz="8" w:space="0" w:color="auto"/>
            </w:tcBorders>
            <w:shd w:val="clear" w:color="auto" w:fill="auto"/>
            <w:noWrap/>
            <w:vAlign w:val="center"/>
            <w:hideMark/>
          </w:tcPr>
          <w:p w14:paraId="460013C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66 139 000</w:t>
            </w:r>
          </w:p>
        </w:tc>
      </w:tr>
      <w:tr w:rsidR="00AD62CD" w:rsidRPr="00AD62CD" w14:paraId="04714D2E"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E50469E"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 (Zákon o sociálnom poistení)</w:t>
            </w:r>
          </w:p>
        </w:tc>
        <w:tc>
          <w:tcPr>
            <w:tcW w:w="1276" w:type="dxa"/>
            <w:tcBorders>
              <w:top w:val="nil"/>
              <w:left w:val="nil"/>
              <w:bottom w:val="single" w:sz="8" w:space="0" w:color="auto"/>
              <w:right w:val="single" w:sz="8" w:space="0" w:color="auto"/>
            </w:tcBorders>
            <w:shd w:val="clear" w:color="auto" w:fill="auto"/>
            <w:noWrap/>
            <w:vAlign w:val="center"/>
            <w:hideMark/>
          </w:tcPr>
          <w:p w14:paraId="68B218D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136F598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-13 450 402</w:t>
            </w:r>
          </w:p>
        </w:tc>
        <w:tc>
          <w:tcPr>
            <w:tcW w:w="1149" w:type="dxa"/>
            <w:tcBorders>
              <w:top w:val="nil"/>
              <w:left w:val="nil"/>
              <w:bottom w:val="single" w:sz="8" w:space="0" w:color="auto"/>
              <w:right w:val="single" w:sz="8" w:space="0" w:color="auto"/>
            </w:tcBorders>
            <w:shd w:val="clear" w:color="auto" w:fill="auto"/>
            <w:noWrap/>
            <w:vAlign w:val="center"/>
            <w:hideMark/>
          </w:tcPr>
          <w:p w14:paraId="31CB5C9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-10 088 175</w:t>
            </w:r>
          </w:p>
        </w:tc>
        <w:tc>
          <w:tcPr>
            <w:tcW w:w="1237" w:type="dxa"/>
            <w:tcBorders>
              <w:top w:val="nil"/>
              <w:left w:val="nil"/>
              <w:bottom w:val="single" w:sz="8" w:space="0" w:color="auto"/>
              <w:right w:val="single" w:sz="8" w:space="0" w:color="auto"/>
            </w:tcBorders>
            <w:shd w:val="clear" w:color="auto" w:fill="auto"/>
            <w:noWrap/>
            <w:vAlign w:val="center"/>
            <w:hideMark/>
          </w:tcPr>
          <w:p w14:paraId="61AB51E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-6 024 414</w:t>
            </w:r>
          </w:p>
        </w:tc>
      </w:tr>
      <w:tr w:rsidR="00AD62CD" w:rsidRPr="00AD62CD" w14:paraId="62E8D07C"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09AA9DC7"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 (Zákon o zdravotnej starostlivosti)</w:t>
            </w:r>
          </w:p>
        </w:tc>
        <w:tc>
          <w:tcPr>
            <w:tcW w:w="1276" w:type="dxa"/>
            <w:tcBorders>
              <w:top w:val="nil"/>
              <w:left w:val="nil"/>
              <w:bottom w:val="single" w:sz="8" w:space="0" w:color="auto"/>
              <w:right w:val="single" w:sz="8" w:space="0" w:color="auto"/>
            </w:tcBorders>
            <w:shd w:val="clear" w:color="auto" w:fill="auto"/>
            <w:noWrap/>
            <w:vAlign w:val="center"/>
            <w:hideMark/>
          </w:tcPr>
          <w:p w14:paraId="71739A6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7AF6793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440 676</w:t>
            </w:r>
          </w:p>
        </w:tc>
        <w:tc>
          <w:tcPr>
            <w:tcW w:w="1149" w:type="dxa"/>
            <w:tcBorders>
              <w:top w:val="nil"/>
              <w:left w:val="nil"/>
              <w:bottom w:val="single" w:sz="8" w:space="0" w:color="auto"/>
              <w:right w:val="single" w:sz="8" w:space="0" w:color="auto"/>
            </w:tcBorders>
            <w:shd w:val="clear" w:color="auto" w:fill="auto"/>
            <w:noWrap/>
            <w:vAlign w:val="center"/>
            <w:hideMark/>
          </w:tcPr>
          <w:p w14:paraId="5C9433A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323 054</w:t>
            </w:r>
          </w:p>
        </w:tc>
        <w:tc>
          <w:tcPr>
            <w:tcW w:w="1237" w:type="dxa"/>
            <w:tcBorders>
              <w:top w:val="nil"/>
              <w:left w:val="nil"/>
              <w:bottom w:val="single" w:sz="8" w:space="0" w:color="auto"/>
              <w:right w:val="single" w:sz="8" w:space="0" w:color="auto"/>
            </w:tcBorders>
            <w:shd w:val="clear" w:color="auto" w:fill="auto"/>
            <w:noWrap/>
            <w:vAlign w:val="center"/>
            <w:hideMark/>
          </w:tcPr>
          <w:p w14:paraId="3C8F5CD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306 378</w:t>
            </w:r>
          </w:p>
        </w:tc>
      </w:tr>
      <w:tr w:rsidR="00AD62CD" w:rsidRPr="00AD62CD" w14:paraId="4D096650"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89309FA"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 (Zákon o o rozpočtovom určení výnosu dane z príjmov územnej samospráve)</w:t>
            </w:r>
          </w:p>
        </w:tc>
        <w:tc>
          <w:tcPr>
            <w:tcW w:w="1276" w:type="dxa"/>
            <w:tcBorders>
              <w:top w:val="nil"/>
              <w:left w:val="nil"/>
              <w:bottom w:val="single" w:sz="8" w:space="0" w:color="auto"/>
              <w:right w:val="single" w:sz="8" w:space="0" w:color="auto"/>
            </w:tcBorders>
            <w:shd w:val="clear" w:color="auto" w:fill="auto"/>
            <w:noWrap/>
            <w:vAlign w:val="center"/>
            <w:hideMark/>
          </w:tcPr>
          <w:p w14:paraId="5BF288F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027E7BE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136 982 000</w:t>
            </w:r>
          </w:p>
        </w:tc>
        <w:tc>
          <w:tcPr>
            <w:tcW w:w="1149" w:type="dxa"/>
            <w:tcBorders>
              <w:top w:val="nil"/>
              <w:left w:val="nil"/>
              <w:bottom w:val="single" w:sz="8" w:space="0" w:color="auto"/>
              <w:right w:val="single" w:sz="8" w:space="0" w:color="auto"/>
            </w:tcBorders>
            <w:shd w:val="clear" w:color="auto" w:fill="auto"/>
            <w:noWrap/>
            <w:vAlign w:val="center"/>
            <w:hideMark/>
          </w:tcPr>
          <w:p w14:paraId="4964EC0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143 530 000</w:t>
            </w:r>
          </w:p>
        </w:tc>
        <w:tc>
          <w:tcPr>
            <w:tcW w:w="1237" w:type="dxa"/>
            <w:tcBorders>
              <w:top w:val="nil"/>
              <w:left w:val="nil"/>
              <w:bottom w:val="single" w:sz="8" w:space="0" w:color="auto"/>
              <w:right w:val="single" w:sz="8" w:space="0" w:color="auto"/>
            </w:tcBorders>
            <w:shd w:val="clear" w:color="auto" w:fill="auto"/>
            <w:noWrap/>
            <w:vAlign w:val="center"/>
            <w:hideMark/>
          </w:tcPr>
          <w:p w14:paraId="3FC03DA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151 168 000</w:t>
            </w:r>
          </w:p>
        </w:tc>
      </w:tr>
      <w:tr w:rsidR="00AD62CD" w:rsidRPr="00AD62CD" w14:paraId="3ED315BD"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CA6EB91"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EÚ zdroje</w:t>
            </w:r>
          </w:p>
        </w:tc>
        <w:tc>
          <w:tcPr>
            <w:tcW w:w="1276" w:type="dxa"/>
            <w:tcBorders>
              <w:top w:val="nil"/>
              <w:left w:val="nil"/>
              <w:bottom w:val="single" w:sz="8" w:space="0" w:color="auto"/>
              <w:right w:val="single" w:sz="8" w:space="0" w:color="auto"/>
            </w:tcBorders>
            <w:shd w:val="clear" w:color="auto" w:fill="auto"/>
            <w:noWrap/>
            <w:vAlign w:val="center"/>
            <w:hideMark/>
          </w:tcPr>
          <w:p w14:paraId="2AA8181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0DB0A198" w14:textId="77777777" w:rsidR="00AD62CD" w:rsidRPr="00AD62CD" w:rsidRDefault="00AD62CD" w:rsidP="00AD62CD">
            <w:pPr>
              <w:spacing w:after="0" w:line="240" w:lineRule="auto"/>
              <w:jc w:val="right"/>
              <w:rPr>
                <w:rFonts w:ascii="Times New Roman" w:eastAsia="Times New Roman" w:hAnsi="Times New Roman" w:cs="Times New Roman"/>
                <w:color w:val="FF0000"/>
                <w:kern w:val="0"/>
                <w:sz w:val="20"/>
                <w:szCs w:val="20"/>
                <w:lang w:eastAsia="sk-SK"/>
                <w14:ligatures w14:val="none"/>
              </w:rPr>
            </w:pPr>
            <w:r w:rsidRPr="00AD62CD">
              <w:rPr>
                <w:rFonts w:ascii="Times New Roman" w:eastAsia="Times New Roman" w:hAnsi="Times New Roman" w:cs="Times New Roman"/>
                <w:color w:val="FF0000"/>
                <w:kern w:val="0"/>
                <w:sz w:val="20"/>
                <w:szCs w:val="20"/>
                <w:lang w:eastAsia="sk-SK"/>
                <w14:ligatures w14:val="none"/>
              </w:rPr>
              <w:t> </w:t>
            </w:r>
          </w:p>
        </w:tc>
        <w:tc>
          <w:tcPr>
            <w:tcW w:w="1149" w:type="dxa"/>
            <w:tcBorders>
              <w:top w:val="nil"/>
              <w:left w:val="nil"/>
              <w:bottom w:val="single" w:sz="8" w:space="0" w:color="auto"/>
              <w:right w:val="single" w:sz="8" w:space="0" w:color="auto"/>
            </w:tcBorders>
            <w:shd w:val="clear" w:color="auto" w:fill="auto"/>
            <w:noWrap/>
            <w:vAlign w:val="center"/>
            <w:hideMark/>
          </w:tcPr>
          <w:p w14:paraId="4C33EE07" w14:textId="77777777" w:rsidR="00AD62CD" w:rsidRPr="00AD62CD" w:rsidRDefault="00AD62CD" w:rsidP="00AD62CD">
            <w:pPr>
              <w:spacing w:after="0" w:line="240" w:lineRule="auto"/>
              <w:jc w:val="right"/>
              <w:rPr>
                <w:rFonts w:ascii="Times New Roman" w:eastAsia="Times New Roman" w:hAnsi="Times New Roman" w:cs="Times New Roman"/>
                <w:color w:val="FF0000"/>
                <w:kern w:val="0"/>
                <w:sz w:val="20"/>
                <w:szCs w:val="20"/>
                <w:lang w:eastAsia="sk-SK"/>
                <w14:ligatures w14:val="none"/>
              </w:rPr>
            </w:pPr>
            <w:r w:rsidRPr="00AD62CD">
              <w:rPr>
                <w:rFonts w:ascii="Times New Roman" w:eastAsia="Times New Roman" w:hAnsi="Times New Roman" w:cs="Times New Roman"/>
                <w:color w:val="FF0000"/>
                <w:kern w:val="0"/>
                <w:sz w:val="20"/>
                <w:szCs w:val="20"/>
                <w:lang w:eastAsia="sk-SK"/>
                <w14:ligatures w14:val="none"/>
              </w:rPr>
              <w:t> </w:t>
            </w:r>
          </w:p>
        </w:tc>
        <w:tc>
          <w:tcPr>
            <w:tcW w:w="1237" w:type="dxa"/>
            <w:tcBorders>
              <w:top w:val="nil"/>
              <w:left w:val="nil"/>
              <w:bottom w:val="single" w:sz="8" w:space="0" w:color="auto"/>
              <w:right w:val="single" w:sz="8" w:space="0" w:color="auto"/>
            </w:tcBorders>
            <w:shd w:val="clear" w:color="auto" w:fill="auto"/>
            <w:noWrap/>
            <w:vAlign w:val="center"/>
            <w:hideMark/>
          </w:tcPr>
          <w:p w14:paraId="7F3F6A04" w14:textId="77777777" w:rsidR="00AD62CD" w:rsidRPr="00AD62CD" w:rsidRDefault="00AD62CD" w:rsidP="00AD62CD">
            <w:pPr>
              <w:spacing w:after="0" w:line="240" w:lineRule="auto"/>
              <w:jc w:val="right"/>
              <w:rPr>
                <w:rFonts w:ascii="Times New Roman" w:eastAsia="Times New Roman" w:hAnsi="Times New Roman" w:cs="Times New Roman"/>
                <w:color w:val="FF0000"/>
                <w:kern w:val="0"/>
                <w:sz w:val="20"/>
                <w:szCs w:val="20"/>
                <w:lang w:eastAsia="sk-SK"/>
                <w14:ligatures w14:val="none"/>
              </w:rPr>
            </w:pPr>
            <w:r w:rsidRPr="00AD62CD">
              <w:rPr>
                <w:rFonts w:ascii="Times New Roman" w:eastAsia="Times New Roman" w:hAnsi="Times New Roman" w:cs="Times New Roman"/>
                <w:color w:val="FF0000"/>
                <w:kern w:val="0"/>
                <w:sz w:val="20"/>
                <w:szCs w:val="20"/>
                <w:lang w:eastAsia="sk-SK"/>
                <w14:ligatures w14:val="none"/>
              </w:rPr>
              <w:t> </w:t>
            </w:r>
          </w:p>
        </w:tc>
      </w:tr>
      <w:tr w:rsidR="00AD62CD" w:rsidRPr="00AD62CD" w14:paraId="17C9EF74"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42F5B7EC"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obce, z toho:</w:t>
            </w:r>
          </w:p>
        </w:tc>
        <w:tc>
          <w:tcPr>
            <w:tcW w:w="1276" w:type="dxa"/>
            <w:tcBorders>
              <w:top w:val="nil"/>
              <w:left w:val="nil"/>
              <w:bottom w:val="single" w:sz="8" w:space="0" w:color="auto"/>
              <w:right w:val="single" w:sz="8" w:space="0" w:color="auto"/>
            </w:tcBorders>
            <w:shd w:val="clear" w:color="auto" w:fill="auto"/>
            <w:noWrap/>
            <w:vAlign w:val="center"/>
            <w:hideMark/>
          </w:tcPr>
          <w:p w14:paraId="679D9E6A"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24D345DD"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-40 290 859</w:t>
            </w:r>
          </w:p>
        </w:tc>
        <w:tc>
          <w:tcPr>
            <w:tcW w:w="1149" w:type="dxa"/>
            <w:tcBorders>
              <w:top w:val="nil"/>
              <w:left w:val="nil"/>
              <w:bottom w:val="single" w:sz="8" w:space="0" w:color="auto"/>
              <w:right w:val="single" w:sz="8" w:space="0" w:color="auto"/>
            </w:tcBorders>
            <w:shd w:val="clear" w:color="auto" w:fill="auto"/>
            <w:noWrap/>
            <w:vAlign w:val="center"/>
            <w:hideMark/>
          </w:tcPr>
          <w:p w14:paraId="582C04B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-17 033 208</w:t>
            </w:r>
          </w:p>
        </w:tc>
        <w:tc>
          <w:tcPr>
            <w:tcW w:w="1237" w:type="dxa"/>
            <w:tcBorders>
              <w:top w:val="nil"/>
              <w:left w:val="nil"/>
              <w:bottom w:val="single" w:sz="8" w:space="0" w:color="auto"/>
              <w:right w:val="single" w:sz="8" w:space="0" w:color="auto"/>
            </w:tcBorders>
            <w:shd w:val="clear" w:color="auto" w:fill="auto"/>
            <w:noWrap/>
            <w:vAlign w:val="center"/>
            <w:hideMark/>
          </w:tcPr>
          <w:p w14:paraId="2BBD49EE"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-17 029 875</w:t>
            </w:r>
          </w:p>
        </w:tc>
      </w:tr>
      <w:tr w:rsidR="00AD62CD" w:rsidRPr="00AD62CD" w14:paraId="79E137A2"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38F3ED43"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 vplyv na obce (Zákon o dani z príjmov, zdravotnom poistení, Zákon o sociálnom poistení, Zákon o zdravotnej starostlivosti; Zákon o ochrane a využití nerastného bohatstva, DOPLN)</w:t>
            </w:r>
          </w:p>
        </w:tc>
        <w:tc>
          <w:tcPr>
            <w:tcW w:w="1276" w:type="dxa"/>
            <w:tcBorders>
              <w:top w:val="nil"/>
              <w:left w:val="nil"/>
              <w:bottom w:val="single" w:sz="8" w:space="0" w:color="auto"/>
              <w:right w:val="single" w:sz="8" w:space="0" w:color="auto"/>
            </w:tcBorders>
            <w:shd w:val="clear" w:color="auto" w:fill="auto"/>
            <w:noWrap/>
            <w:vAlign w:val="center"/>
            <w:hideMark/>
          </w:tcPr>
          <w:p w14:paraId="00E1FF0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79027C2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55 596 141</w:t>
            </w:r>
          </w:p>
        </w:tc>
        <w:tc>
          <w:tcPr>
            <w:tcW w:w="1149" w:type="dxa"/>
            <w:tcBorders>
              <w:top w:val="nil"/>
              <w:left w:val="nil"/>
              <w:bottom w:val="single" w:sz="8" w:space="0" w:color="auto"/>
              <w:right w:val="single" w:sz="8" w:space="0" w:color="auto"/>
            </w:tcBorders>
            <w:shd w:val="clear" w:color="auto" w:fill="auto"/>
            <w:noWrap/>
            <w:vAlign w:val="center"/>
            <w:hideMark/>
          </w:tcPr>
          <w:p w14:paraId="6F61A34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83 437 792</w:t>
            </w:r>
          </w:p>
        </w:tc>
        <w:tc>
          <w:tcPr>
            <w:tcW w:w="1237" w:type="dxa"/>
            <w:tcBorders>
              <w:top w:val="nil"/>
              <w:left w:val="nil"/>
              <w:bottom w:val="single" w:sz="8" w:space="0" w:color="auto"/>
              <w:right w:val="single" w:sz="8" w:space="0" w:color="auto"/>
            </w:tcBorders>
            <w:shd w:val="clear" w:color="auto" w:fill="auto"/>
            <w:noWrap/>
            <w:vAlign w:val="center"/>
            <w:hideMark/>
          </w:tcPr>
          <w:p w14:paraId="0FC0FE1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88 788 125</w:t>
            </w:r>
          </w:p>
        </w:tc>
      </w:tr>
      <w:tr w:rsidR="00AD62CD" w:rsidRPr="00AD62CD" w14:paraId="524EA68F"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50203C49"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 vplyv na obce (Zákon o o rozpočtovom určení výnosu dane z príjmov územnej samospráve)</w:t>
            </w:r>
          </w:p>
        </w:tc>
        <w:tc>
          <w:tcPr>
            <w:tcW w:w="1276" w:type="dxa"/>
            <w:tcBorders>
              <w:top w:val="nil"/>
              <w:left w:val="nil"/>
              <w:bottom w:val="single" w:sz="8" w:space="0" w:color="auto"/>
              <w:right w:val="single" w:sz="8" w:space="0" w:color="auto"/>
            </w:tcBorders>
            <w:shd w:val="clear" w:color="auto" w:fill="auto"/>
            <w:noWrap/>
            <w:vAlign w:val="center"/>
            <w:hideMark/>
          </w:tcPr>
          <w:p w14:paraId="7FB58ED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7336A60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-95 887 000</w:t>
            </w:r>
          </w:p>
        </w:tc>
        <w:tc>
          <w:tcPr>
            <w:tcW w:w="1149" w:type="dxa"/>
            <w:tcBorders>
              <w:top w:val="nil"/>
              <w:left w:val="nil"/>
              <w:bottom w:val="single" w:sz="8" w:space="0" w:color="auto"/>
              <w:right w:val="single" w:sz="8" w:space="0" w:color="auto"/>
            </w:tcBorders>
            <w:shd w:val="clear" w:color="auto" w:fill="auto"/>
            <w:noWrap/>
            <w:vAlign w:val="center"/>
            <w:hideMark/>
          </w:tcPr>
          <w:p w14:paraId="128C2A3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-100 471 000</w:t>
            </w:r>
          </w:p>
        </w:tc>
        <w:tc>
          <w:tcPr>
            <w:tcW w:w="1237" w:type="dxa"/>
            <w:tcBorders>
              <w:top w:val="nil"/>
              <w:left w:val="nil"/>
              <w:bottom w:val="single" w:sz="8" w:space="0" w:color="auto"/>
              <w:right w:val="single" w:sz="8" w:space="0" w:color="auto"/>
            </w:tcBorders>
            <w:shd w:val="clear" w:color="auto" w:fill="auto"/>
            <w:noWrap/>
            <w:vAlign w:val="center"/>
            <w:hideMark/>
          </w:tcPr>
          <w:p w14:paraId="263B76F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-105 818 000</w:t>
            </w:r>
          </w:p>
        </w:tc>
      </w:tr>
      <w:tr w:rsidR="00AD62CD" w:rsidRPr="00AD62CD" w14:paraId="5231FE7A"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2E589FD4"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vyššie územné celky, z toho:</w:t>
            </w:r>
          </w:p>
        </w:tc>
        <w:tc>
          <w:tcPr>
            <w:tcW w:w="1276" w:type="dxa"/>
            <w:tcBorders>
              <w:top w:val="nil"/>
              <w:left w:val="nil"/>
              <w:bottom w:val="single" w:sz="8" w:space="0" w:color="auto"/>
              <w:right w:val="single" w:sz="8" w:space="0" w:color="auto"/>
            </w:tcBorders>
            <w:shd w:val="clear" w:color="auto" w:fill="auto"/>
            <w:noWrap/>
            <w:vAlign w:val="center"/>
            <w:hideMark/>
          </w:tcPr>
          <w:p w14:paraId="18F866B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0C89B7D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-11 371 971</w:t>
            </w:r>
          </w:p>
        </w:tc>
        <w:tc>
          <w:tcPr>
            <w:tcW w:w="1149" w:type="dxa"/>
            <w:tcBorders>
              <w:top w:val="nil"/>
              <w:left w:val="nil"/>
              <w:bottom w:val="single" w:sz="8" w:space="0" w:color="auto"/>
              <w:right w:val="single" w:sz="8" w:space="0" w:color="auto"/>
            </w:tcBorders>
            <w:shd w:val="clear" w:color="auto" w:fill="auto"/>
            <w:noWrap/>
            <w:vAlign w:val="center"/>
            <w:hideMark/>
          </w:tcPr>
          <w:p w14:paraId="1A5DF3B8"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1 567 768</w:t>
            </w:r>
          </w:p>
        </w:tc>
        <w:tc>
          <w:tcPr>
            <w:tcW w:w="1237" w:type="dxa"/>
            <w:tcBorders>
              <w:top w:val="nil"/>
              <w:left w:val="nil"/>
              <w:bottom w:val="single" w:sz="8" w:space="0" w:color="auto"/>
              <w:right w:val="single" w:sz="8" w:space="0" w:color="auto"/>
            </w:tcBorders>
            <w:shd w:val="clear" w:color="auto" w:fill="auto"/>
            <w:noWrap/>
            <w:vAlign w:val="center"/>
            <w:hideMark/>
          </w:tcPr>
          <w:p w14:paraId="215B9A0F"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2 143 132</w:t>
            </w:r>
          </w:p>
        </w:tc>
      </w:tr>
      <w:tr w:rsidR="00AD62CD" w:rsidRPr="00AD62CD" w14:paraId="7A77E822"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2FC5DAB"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 vplyv na vyššie územné celky (Zákon o dani z príjmov, Zákon o sociálnom poistení, Zákon o zdravotnej starostlivosti)</w:t>
            </w:r>
          </w:p>
        </w:tc>
        <w:tc>
          <w:tcPr>
            <w:tcW w:w="1276" w:type="dxa"/>
            <w:tcBorders>
              <w:top w:val="nil"/>
              <w:left w:val="nil"/>
              <w:bottom w:val="single" w:sz="8" w:space="0" w:color="auto"/>
              <w:right w:val="single" w:sz="8" w:space="0" w:color="auto"/>
            </w:tcBorders>
            <w:shd w:val="clear" w:color="auto" w:fill="auto"/>
            <w:noWrap/>
            <w:vAlign w:val="center"/>
            <w:hideMark/>
          </w:tcPr>
          <w:p w14:paraId="06A250A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1BFDB16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29 723 029</w:t>
            </w:r>
          </w:p>
        </w:tc>
        <w:tc>
          <w:tcPr>
            <w:tcW w:w="1149" w:type="dxa"/>
            <w:tcBorders>
              <w:top w:val="nil"/>
              <w:left w:val="nil"/>
              <w:bottom w:val="single" w:sz="8" w:space="0" w:color="auto"/>
              <w:right w:val="single" w:sz="8" w:space="0" w:color="auto"/>
            </w:tcBorders>
            <w:shd w:val="clear" w:color="auto" w:fill="auto"/>
            <w:noWrap/>
            <w:vAlign w:val="center"/>
            <w:hideMark/>
          </w:tcPr>
          <w:p w14:paraId="6E8A700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44 626 768</w:t>
            </w:r>
          </w:p>
        </w:tc>
        <w:tc>
          <w:tcPr>
            <w:tcW w:w="1237" w:type="dxa"/>
            <w:tcBorders>
              <w:top w:val="nil"/>
              <w:left w:val="nil"/>
              <w:bottom w:val="single" w:sz="8" w:space="0" w:color="auto"/>
              <w:right w:val="single" w:sz="8" w:space="0" w:color="auto"/>
            </w:tcBorders>
            <w:shd w:val="clear" w:color="auto" w:fill="auto"/>
            <w:noWrap/>
            <w:vAlign w:val="center"/>
            <w:hideMark/>
          </w:tcPr>
          <w:p w14:paraId="4FF80F8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47 493 132</w:t>
            </w:r>
          </w:p>
        </w:tc>
      </w:tr>
      <w:tr w:rsidR="00AD62CD" w:rsidRPr="00AD62CD" w14:paraId="44DB52C0"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5114E7F"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 vplyv na vyššie územné celky (Zákon o o rozpočtovom určení výnosu dane z príjmov územnej samospráve)</w:t>
            </w:r>
          </w:p>
        </w:tc>
        <w:tc>
          <w:tcPr>
            <w:tcW w:w="1276" w:type="dxa"/>
            <w:tcBorders>
              <w:top w:val="nil"/>
              <w:left w:val="nil"/>
              <w:bottom w:val="single" w:sz="8" w:space="0" w:color="auto"/>
              <w:right w:val="single" w:sz="8" w:space="0" w:color="auto"/>
            </w:tcBorders>
            <w:shd w:val="clear" w:color="auto" w:fill="auto"/>
            <w:noWrap/>
            <w:vAlign w:val="center"/>
            <w:hideMark/>
          </w:tcPr>
          <w:p w14:paraId="63FD389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0470427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-41 095 000</w:t>
            </w:r>
          </w:p>
        </w:tc>
        <w:tc>
          <w:tcPr>
            <w:tcW w:w="1149" w:type="dxa"/>
            <w:tcBorders>
              <w:top w:val="nil"/>
              <w:left w:val="nil"/>
              <w:bottom w:val="single" w:sz="8" w:space="0" w:color="auto"/>
              <w:right w:val="single" w:sz="8" w:space="0" w:color="auto"/>
            </w:tcBorders>
            <w:shd w:val="clear" w:color="auto" w:fill="auto"/>
            <w:noWrap/>
            <w:vAlign w:val="center"/>
            <w:hideMark/>
          </w:tcPr>
          <w:p w14:paraId="61B2614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-43 059 000</w:t>
            </w:r>
          </w:p>
        </w:tc>
        <w:tc>
          <w:tcPr>
            <w:tcW w:w="1237" w:type="dxa"/>
            <w:tcBorders>
              <w:top w:val="nil"/>
              <w:left w:val="nil"/>
              <w:bottom w:val="single" w:sz="8" w:space="0" w:color="auto"/>
              <w:right w:val="single" w:sz="8" w:space="0" w:color="auto"/>
            </w:tcBorders>
            <w:shd w:val="clear" w:color="auto" w:fill="auto"/>
            <w:noWrap/>
            <w:vAlign w:val="center"/>
            <w:hideMark/>
          </w:tcPr>
          <w:p w14:paraId="134B251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-45 350 000</w:t>
            </w:r>
          </w:p>
        </w:tc>
      </w:tr>
      <w:tr w:rsidR="00AD62CD" w:rsidRPr="00AD62CD" w14:paraId="67AC5693"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2D0276B4"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xml:space="preserve"> - vplyv na Sociálnu poisťovňu</w:t>
            </w:r>
          </w:p>
        </w:tc>
        <w:tc>
          <w:tcPr>
            <w:tcW w:w="1276" w:type="dxa"/>
            <w:tcBorders>
              <w:top w:val="nil"/>
              <w:left w:val="nil"/>
              <w:bottom w:val="single" w:sz="8" w:space="0" w:color="auto"/>
              <w:right w:val="single" w:sz="8" w:space="0" w:color="auto"/>
            </w:tcBorders>
            <w:shd w:val="clear" w:color="auto" w:fill="auto"/>
            <w:noWrap/>
            <w:vAlign w:val="center"/>
            <w:hideMark/>
          </w:tcPr>
          <w:p w14:paraId="5290A0E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1179524D"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337 463 452</w:t>
            </w:r>
          </w:p>
        </w:tc>
        <w:tc>
          <w:tcPr>
            <w:tcW w:w="1149" w:type="dxa"/>
            <w:tcBorders>
              <w:top w:val="nil"/>
              <w:left w:val="nil"/>
              <w:bottom w:val="single" w:sz="8" w:space="0" w:color="auto"/>
              <w:right w:val="single" w:sz="8" w:space="0" w:color="auto"/>
            </w:tcBorders>
            <w:shd w:val="clear" w:color="auto" w:fill="auto"/>
            <w:noWrap/>
            <w:vAlign w:val="center"/>
            <w:hideMark/>
          </w:tcPr>
          <w:p w14:paraId="76571708"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469 945 515</w:t>
            </w:r>
          </w:p>
        </w:tc>
        <w:tc>
          <w:tcPr>
            <w:tcW w:w="1237" w:type="dxa"/>
            <w:tcBorders>
              <w:top w:val="nil"/>
              <w:left w:val="nil"/>
              <w:bottom w:val="single" w:sz="8" w:space="0" w:color="auto"/>
              <w:right w:val="single" w:sz="8" w:space="0" w:color="auto"/>
            </w:tcBorders>
            <w:shd w:val="clear" w:color="auto" w:fill="auto"/>
            <w:noWrap/>
            <w:vAlign w:val="center"/>
            <w:hideMark/>
          </w:tcPr>
          <w:p w14:paraId="061B7D8E"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500 862 042</w:t>
            </w:r>
          </w:p>
        </w:tc>
      </w:tr>
      <w:tr w:rsidR="00AD62CD" w:rsidRPr="00AD62CD" w14:paraId="0EB191E2"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598222C3"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 vplyv na Sociálnu poisťovňu (DOPLN, Zákon o sociálnom poistení, Zákon o zdravotnej starostlivosti)</w:t>
            </w:r>
          </w:p>
        </w:tc>
        <w:tc>
          <w:tcPr>
            <w:tcW w:w="1276" w:type="dxa"/>
            <w:tcBorders>
              <w:top w:val="nil"/>
              <w:left w:val="nil"/>
              <w:bottom w:val="single" w:sz="8" w:space="0" w:color="auto"/>
              <w:right w:val="single" w:sz="8" w:space="0" w:color="auto"/>
            </w:tcBorders>
            <w:shd w:val="clear" w:color="auto" w:fill="auto"/>
            <w:noWrap/>
            <w:vAlign w:val="center"/>
            <w:hideMark/>
          </w:tcPr>
          <w:p w14:paraId="707C791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723F4B6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337 463 452</w:t>
            </w:r>
          </w:p>
        </w:tc>
        <w:tc>
          <w:tcPr>
            <w:tcW w:w="1149" w:type="dxa"/>
            <w:tcBorders>
              <w:top w:val="nil"/>
              <w:left w:val="nil"/>
              <w:bottom w:val="single" w:sz="8" w:space="0" w:color="auto"/>
              <w:right w:val="single" w:sz="8" w:space="0" w:color="auto"/>
            </w:tcBorders>
            <w:shd w:val="clear" w:color="auto" w:fill="auto"/>
            <w:noWrap/>
            <w:vAlign w:val="center"/>
            <w:hideMark/>
          </w:tcPr>
          <w:p w14:paraId="013D015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469 945 515</w:t>
            </w:r>
          </w:p>
        </w:tc>
        <w:tc>
          <w:tcPr>
            <w:tcW w:w="1237" w:type="dxa"/>
            <w:tcBorders>
              <w:top w:val="nil"/>
              <w:left w:val="nil"/>
              <w:bottom w:val="single" w:sz="8" w:space="0" w:color="auto"/>
              <w:right w:val="single" w:sz="8" w:space="0" w:color="auto"/>
            </w:tcBorders>
            <w:shd w:val="clear" w:color="auto" w:fill="auto"/>
            <w:noWrap/>
            <w:vAlign w:val="center"/>
            <w:hideMark/>
          </w:tcPr>
          <w:p w14:paraId="1C694CB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500 862 042</w:t>
            </w:r>
          </w:p>
        </w:tc>
      </w:tr>
      <w:tr w:rsidR="00AD62CD" w:rsidRPr="00AD62CD" w14:paraId="622B6DA5"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4D3631F4"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xml:space="preserve"> - vplyv na zdravotné poisťovne</w:t>
            </w:r>
          </w:p>
        </w:tc>
        <w:tc>
          <w:tcPr>
            <w:tcW w:w="1276" w:type="dxa"/>
            <w:tcBorders>
              <w:top w:val="nil"/>
              <w:left w:val="nil"/>
              <w:bottom w:val="single" w:sz="8" w:space="0" w:color="auto"/>
              <w:right w:val="single" w:sz="8" w:space="0" w:color="auto"/>
            </w:tcBorders>
            <w:shd w:val="clear" w:color="auto" w:fill="auto"/>
            <w:noWrap/>
            <w:vAlign w:val="center"/>
            <w:hideMark/>
          </w:tcPr>
          <w:p w14:paraId="33272B3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00B24078"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473 069 550</w:t>
            </w:r>
          </w:p>
        </w:tc>
        <w:tc>
          <w:tcPr>
            <w:tcW w:w="1149" w:type="dxa"/>
            <w:tcBorders>
              <w:top w:val="nil"/>
              <w:left w:val="nil"/>
              <w:bottom w:val="single" w:sz="8" w:space="0" w:color="auto"/>
              <w:right w:val="single" w:sz="8" w:space="0" w:color="auto"/>
            </w:tcBorders>
            <w:shd w:val="clear" w:color="auto" w:fill="auto"/>
            <w:noWrap/>
            <w:vAlign w:val="center"/>
            <w:hideMark/>
          </w:tcPr>
          <w:p w14:paraId="515FDA63"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487 463 865</w:t>
            </w:r>
          </w:p>
        </w:tc>
        <w:tc>
          <w:tcPr>
            <w:tcW w:w="1237" w:type="dxa"/>
            <w:tcBorders>
              <w:top w:val="nil"/>
              <w:left w:val="nil"/>
              <w:bottom w:val="single" w:sz="8" w:space="0" w:color="auto"/>
              <w:right w:val="single" w:sz="8" w:space="0" w:color="auto"/>
            </w:tcBorders>
            <w:shd w:val="clear" w:color="auto" w:fill="auto"/>
            <w:noWrap/>
            <w:vAlign w:val="center"/>
            <w:hideMark/>
          </w:tcPr>
          <w:p w14:paraId="6549FAE7"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509 138 288</w:t>
            </w:r>
          </w:p>
        </w:tc>
      </w:tr>
      <w:tr w:rsidR="00AD62CD" w:rsidRPr="00AD62CD" w14:paraId="2398662E"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371A4B34"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 vplyv na zdravotné poisťovne (DOPLN, Zákon o zdravotnej starostlivosti)</w:t>
            </w:r>
          </w:p>
        </w:tc>
        <w:tc>
          <w:tcPr>
            <w:tcW w:w="1276" w:type="dxa"/>
            <w:tcBorders>
              <w:top w:val="nil"/>
              <w:left w:val="nil"/>
              <w:bottom w:val="single" w:sz="8" w:space="0" w:color="auto"/>
              <w:right w:val="single" w:sz="8" w:space="0" w:color="auto"/>
            </w:tcBorders>
            <w:shd w:val="clear" w:color="auto" w:fill="auto"/>
            <w:noWrap/>
            <w:vAlign w:val="center"/>
            <w:hideMark/>
          </w:tcPr>
          <w:p w14:paraId="06C3D1D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21554D8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473 069 550</w:t>
            </w:r>
          </w:p>
        </w:tc>
        <w:tc>
          <w:tcPr>
            <w:tcW w:w="1149" w:type="dxa"/>
            <w:tcBorders>
              <w:top w:val="nil"/>
              <w:left w:val="nil"/>
              <w:bottom w:val="single" w:sz="8" w:space="0" w:color="auto"/>
              <w:right w:val="single" w:sz="8" w:space="0" w:color="auto"/>
            </w:tcBorders>
            <w:shd w:val="clear" w:color="auto" w:fill="auto"/>
            <w:noWrap/>
            <w:vAlign w:val="center"/>
            <w:hideMark/>
          </w:tcPr>
          <w:p w14:paraId="608B8DD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487 463 865</w:t>
            </w:r>
          </w:p>
        </w:tc>
        <w:tc>
          <w:tcPr>
            <w:tcW w:w="1237" w:type="dxa"/>
            <w:tcBorders>
              <w:top w:val="nil"/>
              <w:left w:val="nil"/>
              <w:bottom w:val="single" w:sz="8" w:space="0" w:color="auto"/>
              <w:right w:val="single" w:sz="8" w:space="0" w:color="auto"/>
            </w:tcBorders>
            <w:shd w:val="clear" w:color="auto" w:fill="auto"/>
            <w:noWrap/>
            <w:vAlign w:val="center"/>
            <w:hideMark/>
          </w:tcPr>
          <w:p w14:paraId="64CCE5C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509 138 288</w:t>
            </w:r>
          </w:p>
        </w:tc>
      </w:tr>
      <w:tr w:rsidR="00AD62CD" w:rsidRPr="00AD62CD" w14:paraId="5F3E1B11"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2894A67D"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ostatné subjekty verejnej správy</w:t>
            </w:r>
          </w:p>
        </w:tc>
        <w:tc>
          <w:tcPr>
            <w:tcW w:w="1276" w:type="dxa"/>
            <w:tcBorders>
              <w:top w:val="nil"/>
              <w:left w:val="nil"/>
              <w:bottom w:val="single" w:sz="8" w:space="0" w:color="auto"/>
              <w:right w:val="single" w:sz="8" w:space="0" w:color="auto"/>
            </w:tcBorders>
            <w:shd w:val="clear" w:color="auto" w:fill="auto"/>
            <w:noWrap/>
            <w:vAlign w:val="center"/>
            <w:hideMark/>
          </w:tcPr>
          <w:p w14:paraId="69C3D09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1826202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-3 460 000</w:t>
            </w:r>
          </w:p>
        </w:tc>
        <w:tc>
          <w:tcPr>
            <w:tcW w:w="1149" w:type="dxa"/>
            <w:tcBorders>
              <w:top w:val="nil"/>
              <w:left w:val="nil"/>
              <w:bottom w:val="single" w:sz="8" w:space="0" w:color="auto"/>
              <w:right w:val="single" w:sz="8" w:space="0" w:color="auto"/>
            </w:tcBorders>
            <w:shd w:val="clear" w:color="auto" w:fill="auto"/>
            <w:noWrap/>
            <w:vAlign w:val="center"/>
            <w:hideMark/>
          </w:tcPr>
          <w:p w14:paraId="09AB3B5A"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-3 460 000</w:t>
            </w:r>
          </w:p>
        </w:tc>
        <w:tc>
          <w:tcPr>
            <w:tcW w:w="1237" w:type="dxa"/>
            <w:tcBorders>
              <w:top w:val="nil"/>
              <w:left w:val="nil"/>
              <w:bottom w:val="single" w:sz="8" w:space="0" w:color="auto"/>
              <w:right w:val="single" w:sz="8" w:space="0" w:color="auto"/>
            </w:tcBorders>
            <w:shd w:val="clear" w:color="auto" w:fill="auto"/>
            <w:noWrap/>
            <w:vAlign w:val="center"/>
            <w:hideMark/>
          </w:tcPr>
          <w:p w14:paraId="0910A95D"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-3 460 000</w:t>
            </w:r>
          </w:p>
        </w:tc>
      </w:tr>
      <w:tr w:rsidR="00AD62CD" w:rsidRPr="00AD62CD" w14:paraId="3D7779C5"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CA1438C"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 vplyv na Environmentálny fond</w:t>
            </w:r>
          </w:p>
        </w:tc>
        <w:tc>
          <w:tcPr>
            <w:tcW w:w="1276" w:type="dxa"/>
            <w:tcBorders>
              <w:top w:val="nil"/>
              <w:left w:val="nil"/>
              <w:bottom w:val="single" w:sz="8" w:space="0" w:color="auto"/>
              <w:right w:val="single" w:sz="8" w:space="0" w:color="auto"/>
            </w:tcBorders>
            <w:shd w:val="clear" w:color="auto" w:fill="auto"/>
            <w:noWrap/>
            <w:vAlign w:val="center"/>
            <w:hideMark/>
          </w:tcPr>
          <w:p w14:paraId="01A9530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57E35FC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-3 460 000</w:t>
            </w:r>
          </w:p>
        </w:tc>
        <w:tc>
          <w:tcPr>
            <w:tcW w:w="1149" w:type="dxa"/>
            <w:tcBorders>
              <w:top w:val="nil"/>
              <w:left w:val="nil"/>
              <w:bottom w:val="single" w:sz="8" w:space="0" w:color="auto"/>
              <w:right w:val="single" w:sz="8" w:space="0" w:color="auto"/>
            </w:tcBorders>
            <w:shd w:val="clear" w:color="auto" w:fill="auto"/>
            <w:noWrap/>
            <w:vAlign w:val="center"/>
            <w:hideMark/>
          </w:tcPr>
          <w:p w14:paraId="48DF2C0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-3 460 000</w:t>
            </w:r>
          </w:p>
        </w:tc>
        <w:tc>
          <w:tcPr>
            <w:tcW w:w="1237" w:type="dxa"/>
            <w:tcBorders>
              <w:top w:val="nil"/>
              <w:left w:val="nil"/>
              <w:bottom w:val="single" w:sz="8" w:space="0" w:color="auto"/>
              <w:right w:val="single" w:sz="8" w:space="0" w:color="auto"/>
            </w:tcBorders>
            <w:shd w:val="clear" w:color="auto" w:fill="auto"/>
            <w:noWrap/>
            <w:vAlign w:val="center"/>
            <w:hideMark/>
          </w:tcPr>
          <w:p w14:paraId="34A8740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-3 460 000</w:t>
            </w:r>
          </w:p>
        </w:tc>
      </w:tr>
      <w:tr w:rsidR="00AD62CD" w:rsidRPr="00AD62CD" w14:paraId="4AE77A03" w14:textId="77777777" w:rsidTr="003627DF">
        <w:trPr>
          <w:trHeight w:val="315"/>
        </w:trPr>
        <w:tc>
          <w:tcPr>
            <w:tcW w:w="4668" w:type="dxa"/>
            <w:tcBorders>
              <w:top w:val="nil"/>
              <w:left w:val="single" w:sz="8" w:space="0" w:color="auto"/>
              <w:bottom w:val="single" w:sz="8" w:space="0" w:color="auto"/>
              <w:right w:val="single" w:sz="8" w:space="0" w:color="auto"/>
            </w:tcBorders>
            <w:shd w:val="clear" w:color="000000" w:fill="C0C0C0"/>
            <w:noWrap/>
            <w:vAlign w:val="center"/>
            <w:hideMark/>
          </w:tcPr>
          <w:p w14:paraId="2B875CE0"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Výdavky verejnej správy celkom</w:t>
            </w:r>
          </w:p>
        </w:tc>
        <w:tc>
          <w:tcPr>
            <w:tcW w:w="1276" w:type="dxa"/>
            <w:tcBorders>
              <w:top w:val="nil"/>
              <w:left w:val="nil"/>
              <w:bottom w:val="single" w:sz="8" w:space="0" w:color="auto"/>
              <w:right w:val="single" w:sz="8" w:space="0" w:color="auto"/>
            </w:tcBorders>
            <w:shd w:val="clear" w:color="000000" w:fill="C0C0C0"/>
            <w:noWrap/>
            <w:vAlign w:val="center"/>
            <w:hideMark/>
          </w:tcPr>
          <w:p w14:paraId="0302BCD8"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1 030 832</w:t>
            </w:r>
          </w:p>
        </w:tc>
        <w:tc>
          <w:tcPr>
            <w:tcW w:w="1417" w:type="dxa"/>
            <w:tcBorders>
              <w:top w:val="nil"/>
              <w:left w:val="nil"/>
              <w:bottom w:val="single" w:sz="8" w:space="0" w:color="auto"/>
              <w:right w:val="single" w:sz="8" w:space="0" w:color="auto"/>
            </w:tcBorders>
            <w:shd w:val="clear" w:color="000000" w:fill="C0C0C0"/>
            <w:noWrap/>
            <w:vAlign w:val="center"/>
            <w:hideMark/>
          </w:tcPr>
          <w:p w14:paraId="1B13582D"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-74 780 679</w:t>
            </w:r>
          </w:p>
        </w:tc>
        <w:tc>
          <w:tcPr>
            <w:tcW w:w="1149" w:type="dxa"/>
            <w:tcBorders>
              <w:top w:val="nil"/>
              <w:left w:val="nil"/>
              <w:bottom w:val="single" w:sz="8" w:space="0" w:color="auto"/>
              <w:right w:val="single" w:sz="8" w:space="0" w:color="auto"/>
            </w:tcBorders>
            <w:shd w:val="clear" w:color="000000" w:fill="C0C0C0"/>
            <w:noWrap/>
            <w:vAlign w:val="center"/>
            <w:hideMark/>
          </w:tcPr>
          <w:p w14:paraId="502A888C"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-101 124 654</w:t>
            </w:r>
          </w:p>
        </w:tc>
        <w:tc>
          <w:tcPr>
            <w:tcW w:w="1237" w:type="dxa"/>
            <w:tcBorders>
              <w:top w:val="nil"/>
              <w:left w:val="nil"/>
              <w:bottom w:val="single" w:sz="8" w:space="0" w:color="auto"/>
              <w:right w:val="single" w:sz="8" w:space="0" w:color="auto"/>
            </w:tcBorders>
            <w:shd w:val="clear" w:color="000000" w:fill="C0C0C0"/>
            <w:noWrap/>
            <w:vAlign w:val="center"/>
            <w:hideMark/>
          </w:tcPr>
          <w:p w14:paraId="0AC5374F"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-146 276 205</w:t>
            </w:r>
          </w:p>
        </w:tc>
      </w:tr>
      <w:tr w:rsidR="00AD62CD" w:rsidRPr="00AD62CD" w14:paraId="01F0C2A1"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2D40944A"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v tom: za každý subjekt verejnej správy / program zvlášť</w:t>
            </w:r>
          </w:p>
        </w:tc>
        <w:tc>
          <w:tcPr>
            <w:tcW w:w="1276" w:type="dxa"/>
            <w:tcBorders>
              <w:top w:val="nil"/>
              <w:left w:val="nil"/>
              <w:bottom w:val="single" w:sz="8" w:space="0" w:color="auto"/>
              <w:right w:val="single" w:sz="8" w:space="0" w:color="auto"/>
            </w:tcBorders>
            <w:shd w:val="clear" w:color="auto" w:fill="auto"/>
            <w:noWrap/>
            <w:vAlign w:val="center"/>
            <w:hideMark/>
          </w:tcPr>
          <w:p w14:paraId="2185B480" w14:textId="77777777" w:rsidR="00AD62CD" w:rsidRPr="00AD62CD" w:rsidRDefault="00AD62CD" w:rsidP="00AD62CD">
            <w:pPr>
              <w:spacing w:after="0" w:line="240" w:lineRule="auto"/>
              <w:jc w:val="right"/>
              <w:rPr>
                <w:rFonts w:ascii="Times New Roman" w:eastAsia="Times New Roman" w:hAnsi="Times New Roman" w:cs="Times New Roman"/>
                <w:color w:val="FF0000"/>
                <w:kern w:val="0"/>
                <w:sz w:val="20"/>
                <w:szCs w:val="20"/>
                <w:lang w:eastAsia="sk-SK"/>
                <w14:ligatures w14:val="none"/>
              </w:rPr>
            </w:pPr>
            <w:r w:rsidRPr="00AD62CD">
              <w:rPr>
                <w:rFonts w:ascii="Times New Roman" w:eastAsia="Times New Roman" w:hAnsi="Times New Roman" w:cs="Times New Roman"/>
                <w:color w:val="FF0000"/>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216A4F45" w14:textId="77777777" w:rsidR="00AD62CD" w:rsidRPr="00AD62CD" w:rsidRDefault="00AD62CD" w:rsidP="00AD62CD">
            <w:pPr>
              <w:spacing w:after="0" w:line="240" w:lineRule="auto"/>
              <w:jc w:val="right"/>
              <w:rPr>
                <w:rFonts w:ascii="Times New Roman" w:eastAsia="Times New Roman" w:hAnsi="Times New Roman" w:cs="Times New Roman"/>
                <w:color w:val="FF0000"/>
                <w:kern w:val="0"/>
                <w:sz w:val="20"/>
                <w:szCs w:val="20"/>
                <w:lang w:eastAsia="sk-SK"/>
                <w14:ligatures w14:val="none"/>
              </w:rPr>
            </w:pPr>
            <w:r w:rsidRPr="00AD62CD">
              <w:rPr>
                <w:rFonts w:ascii="Times New Roman" w:eastAsia="Times New Roman" w:hAnsi="Times New Roman" w:cs="Times New Roman"/>
                <w:color w:val="FF0000"/>
                <w:kern w:val="0"/>
                <w:sz w:val="20"/>
                <w:szCs w:val="20"/>
                <w:lang w:eastAsia="sk-SK"/>
                <w14:ligatures w14:val="none"/>
              </w:rPr>
              <w:t> </w:t>
            </w:r>
          </w:p>
        </w:tc>
        <w:tc>
          <w:tcPr>
            <w:tcW w:w="1149" w:type="dxa"/>
            <w:tcBorders>
              <w:top w:val="nil"/>
              <w:left w:val="nil"/>
              <w:bottom w:val="single" w:sz="8" w:space="0" w:color="auto"/>
              <w:right w:val="single" w:sz="8" w:space="0" w:color="auto"/>
            </w:tcBorders>
            <w:shd w:val="clear" w:color="auto" w:fill="auto"/>
            <w:noWrap/>
            <w:vAlign w:val="center"/>
            <w:hideMark/>
          </w:tcPr>
          <w:p w14:paraId="066FC976" w14:textId="77777777" w:rsidR="00AD62CD" w:rsidRPr="00AD62CD" w:rsidRDefault="00AD62CD" w:rsidP="00AD62CD">
            <w:pPr>
              <w:spacing w:after="0" w:line="240" w:lineRule="auto"/>
              <w:jc w:val="right"/>
              <w:rPr>
                <w:rFonts w:ascii="Times New Roman" w:eastAsia="Times New Roman" w:hAnsi="Times New Roman" w:cs="Times New Roman"/>
                <w:color w:val="FF0000"/>
                <w:kern w:val="0"/>
                <w:sz w:val="20"/>
                <w:szCs w:val="20"/>
                <w:lang w:eastAsia="sk-SK"/>
                <w14:ligatures w14:val="none"/>
              </w:rPr>
            </w:pPr>
            <w:r w:rsidRPr="00AD62CD">
              <w:rPr>
                <w:rFonts w:ascii="Times New Roman" w:eastAsia="Times New Roman" w:hAnsi="Times New Roman" w:cs="Times New Roman"/>
                <w:color w:val="FF0000"/>
                <w:kern w:val="0"/>
                <w:sz w:val="20"/>
                <w:szCs w:val="20"/>
                <w:lang w:eastAsia="sk-SK"/>
                <w14:ligatures w14:val="none"/>
              </w:rPr>
              <w:t> </w:t>
            </w:r>
          </w:p>
        </w:tc>
        <w:tc>
          <w:tcPr>
            <w:tcW w:w="1237" w:type="dxa"/>
            <w:tcBorders>
              <w:top w:val="nil"/>
              <w:left w:val="nil"/>
              <w:bottom w:val="single" w:sz="8" w:space="0" w:color="auto"/>
              <w:right w:val="single" w:sz="8" w:space="0" w:color="auto"/>
            </w:tcBorders>
            <w:shd w:val="clear" w:color="auto" w:fill="auto"/>
            <w:noWrap/>
            <w:vAlign w:val="center"/>
            <w:hideMark/>
          </w:tcPr>
          <w:p w14:paraId="09905A9C" w14:textId="77777777" w:rsidR="00AD62CD" w:rsidRPr="00AD62CD" w:rsidRDefault="00AD62CD" w:rsidP="00AD62CD">
            <w:pPr>
              <w:spacing w:after="0" w:line="240" w:lineRule="auto"/>
              <w:jc w:val="right"/>
              <w:rPr>
                <w:rFonts w:ascii="Times New Roman" w:eastAsia="Times New Roman" w:hAnsi="Times New Roman" w:cs="Times New Roman"/>
                <w:color w:val="FF0000"/>
                <w:kern w:val="0"/>
                <w:sz w:val="20"/>
                <w:szCs w:val="20"/>
                <w:lang w:eastAsia="sk-SK"/>
                <w14:ligatures w14:val="none"/>
              </w:rPr>
            </w:pPr>
            <w:r w:rsidRPr="00AD62CD">
              <w:rPr>
                <w:rFonts w:ascii="Times New Roman" w:eastAsia="Times New Roman" w:hAnsi="Times New Roman" w:cs="Times New Roman"/>
                <w:color w:val="FF0000"/>
                <w:kern w:val="0"/>
                <w:sz w:val="20"/>
                <w:szCs w:val="20"/>
                <w:lang w:eastAsia="sk-SK"/>
                <w14:ligatures w14:val="none"/>
              </w:rPr>
              <w:t> </w:t>
            </w:r>
          </w:p>
        </w:tc>
      </w:tr>
      <w:tr w:rsidR="00AD62CD" w:rsidRPr="00AD62CD" w14:paraId="7593EADC"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0C67578F"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xml:space="preserve">z toho: </w:t>
            </w:r>
          </w:p>
        </w:tc>
        <w:tc>
          <w:tcPr>
            <w:tcW w:w="1276" w:type="dxa"/>
            <w:tcBorders>
              <w:top w:val="nil"/>
              <w:left w:val="nil"/>
              <w:bottom w:val="single" w:sz="8" w:space="0" w:color="auto"/>
              <w:right w:val="single" w:sz="8" w:space="0" w:color="auto"/>
            </w:tcBorders>
            <w:shd w:val="clear" w:color="auto" w:fill="auto"/>
            <w:noWrap/>
            <w:vAlign w:val="center"/>
            <w:hideMark/>
          </w:tcPr>
          <w:p w14:paraId="7396BDD9" w14:textId="77777777" w:rsidR="00AD62CD" w:rsidRPr="00AD62CD" w:rsidRDefault="00AD62CD" w:rsidP="00AD62CD">
            <w:pPr>
              <w:spacing w:after="0" w:line="240" w:lineRule="auto"/>
              <w:jc w:val="right"/>
              <w:rPr>
                <w:rFonts w:ascii="Times New Roman" w:eastAsia="Times New Roman" w:hAnsi="Times New Roman" w:cs="Times New Roman"/>
                <w:b/>
                <w:bCs/>
                <w:color w:val="FF0000"/>
                <w:kern w:val="0"/>
                <w:sz w:val="20"/>
                <w:szCs w:val="20"/>
                <w:lang w:eastAsia="sk-SK"/>
                <w14:ligatures w14:val="none"/>
              </w:rPr>
            </w:pPr>
            <w:r w:rsidRPr="00AD62CD">
              <w:rPr>
                <w:rFonts w:ascii="Times New Roman" w:eastAsia="Times New Roman" w:hAnsi="Times New Roman" w:cs="Times New Roman"/>
                <w:b/>
                <w:bCs/>
                <w:color w:val="FF0000"/>
                <w:kern w:val="0"/>
                <w:sz w:val="20"/>
                <w:szCs w:val="20"/>
                <w:lang w:eastAsia="sk-SK"/>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78FE27CE" w14:textId="77777777" w:rsidR="00AD62CD" w:rsidRPr="00AD62CD" w:rsidRDefault="00AD62CD" w:rsidP="00AD62CD">
            <w:pPr>
              <w:spacing w:after="0" w:line="240" w:lineRule="auto"/>
              <w:jc w:val="right"/>
              <w:rPr>
                <w:rFonts w:ascii="Times New Roman" w:eastAsia="Times New Roman" w:hAnsi="Times New Roman" w:cs="Times New Roman"/>
                <w:b/>
                <w:bCs/>
                <w:color w:val="FF0000"/>
                <w:kern w:val="0"/>
                <w:sz w:val="20"/>
                <w:szCs w:val="20"/>
                <w:lang w:eastAsia="sk-SK"/>
                <w14:ligatures w14:val="none"/>
              </w:rPr>
            </w:pPr>
            <w:r w:rsidRPr="00AD62CD">
              <w:rPr>
                <w:rFonts w:ascii="Times New Roman" w:eastAsia="Times New Roman" w:hAnsi="Times New Roman" w:cs="Times New Roman"/>
                <w:b/>
                <w:bCs/>
                <w:color w:val="FF0000"/>
                <w:kern w:val="0"/>
                <w:sz w:val="20"/>
                <w:szCs w:val="20"/>
                <w:lang w:eastAsia="sk-SK"/>
                <w14:ligatures w14:val="none"/>
              </w:rPr>
              <w:t> </w:t>
            </w:r>
          </w:p>
        </w:tc>
        <w:tc>
          <w:tcPr>
            <w:tcW w:w="1149" w:type="dxa"/>
            <w:tcBorders>
              <w:top w:val="nil"/>
              <w:left w:val="nil"/>
              <w:bottom w:val="single" w:sz="8" w:space="0" w:color="auto"/>
              <w:right w:val="single" w:sz="8" w:space="0" w:color="auto"/>
            </w:tcBorders>
            <w:shd w:val="clear" w:color="auto" w:fill="auto"/>
            <w:noWrap/>
            <w:vAlign w:val="center"/>
            <w:hideMark/>
          </w:tcPr>
          <w:p w14:paraId="4949EFD0" w14:textId="77777777" w:rsidR="00AD62CD" w:rsidRPr="00AD62CD" w:rsidRDefault="00AD62CD" w:rsidP="00AD62CD">
            <w:pPr>
              <w:spacing w:after="0" w:line="240" w:lineRule="auto"/>
              <w:jc w:val="right"/>
              <w:rPr>
                <w:rFonts w:ascii="Times New Roman" w:eastAsia="Times New Roman" w:hAnsi="Times New Roman" w:cs="Times New Roman"/>
                <w:b/>
                <w:bCs/>
                <w:color w:val="FF0000"/>
                <w:kern w:val="0"/>
                <w:sz w:val="20"/>
                <w:szCs w:val="20"/>
                <w:lang w:eastAsia="sk-SK"/>
                <w14:ligatures w14:val="none"/>
              </w:rPr>
            </w:pPr>
            <w:r w:rsidRPr="00AD62CD">
              <w:rPr>
                <w:rFonts w:ascii="Times New Roman" w:eastAsia="Times New Roman" w:hAnsi="Times New Roman" w:cs="Times New Roman"/>
                <w:b/>
                <w:bCs/>
                <w:color w:val="FF0000"/>
                <w:kern w:val="0"/>
                <w:sz w:val="20"/>
                <w:szCs w:val="20"/>
                <w:lang w:eastAsia="sk-SK"/>
                <w14:ligatures w14:val="none"/>
              </w:rPr>
              <w:t> </w:t>
            </w:r>
          </w:p>
        </w:tc>
        <w:tc>
          <w:tcPr>
            <w:tcW w:w="1237" w:type="dxa"/>
            <w:tcBorders>
              <w:top w:val="nil"/>
              <w:left w:val="nil"/>
              <w:bottom w:val="single" w:sz="8" w:space="0" w:color="auto"/>
              <w:right w:val="single" w:sz="8" w:space="0" w:color="auto"/>
            </w:tcBorders>
            <w:shd w:val="clear" w:color="auto" w:fill="auto"/>
            <w:noWrap/>
            <w:vAlign w:val="center"/>
            <w:hideMark/>
          </w:tcPr>
          <w:p w14:paraId="3481E0A5" w14:textId="77777777" w:rsidR="00AD62CD" w:rsidRPr="00AD62CD" w:rsidRDefault="00AD62CD" w:rsidP="00AD62CD">
            <w:pPr>
              <w:spacing w:after="0" w:line="240" w:lineRule="auto"/>
              <w:jc w:val="right"/>
              <w:rPr>
                <w:rFonts w:ascii="Times New Roman" w:eastAsia="Times New Roman" w:hAnsi="Times New Roman" w:cs="Times New Roman"/>
                <w:b/>
                <w:bCs/>
                <w:color w:val="FF0000"/>
                <w:kern w:val="0"/>
                <w:sz w:val="20"/>
                <w:szCs w:val="20"/>
                <w:lang w:eastAsia="sk-SK"/>
                <w14:ligatures w14:val="none"/>
              </w:rPr>
            </w:pPr>
            <w:r w:rsidRPr="00AD62CD">
              <w:rPr>
                <w:rFonts w:ascii="Times New Roman" w:eastAsia="Times New Roman" w:hAnsi="Times New Roman" w:cs="Times New Roman"/>
                <w:b/>
                <w:bCs/>
                <w:color w:val="FF0000"/>
                <w:kern w:val="0"/>
                <w:sz w:val="20"/>
                <w:szCs w:val="20"/>
                <w:lang w:eastAsia="sk-SK"/>
                <w14:ligatures w14:val="none"/>
              </w:rPr>
              <w:t> </w:t>
            </w:r>
          </w:p>
        </w:tc>
      </w:tr>
      <w:tr w:rsidR="00AD62CD" w:rsidRPr="00AD62CD" w14:paraId="343EBBA3"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46A600B8"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ŠR</w:t>
            </w:r>
          </w:p>
        </w:tc>
        <w:tc>
          <w:tcPr>
            <w:tcW w:w="1276" w:type="dxa"/>
            <w:tcBorders>
              <w:top w:val="nil"/>
              <w:left w:val="nil"/>
              <w:bottom w:val="single" w:sz="8" w:space="0" w:color="auto"/>
              <w:right w:val="single" w:sz="8" w:space="0" w:color="auto"/>
            </w:tcBorders>
            <w:shd w:val="clear" w:color="auto" w:fill="auto"/>
            <w:noWrap/>
            <w:vAlign w:val="center"/>
            <w:hideMark/>
          </w:tcPr>
          <w:p w14:paraId="697663FD"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1 030 832</w:t>
            </w:r>
          </w:p>
        </w:tc>
        <w:tc>
          <w:tcPr>
            <w:tcW w:w="1417" w:type="dxa"/>
            <w:tcBorders>
              <w:top w:val="nil"/>
              <w:left w:val="nil"/>
              <w:bottom w:val="single" w:sz="8" w:space="0" w:color="auto"/>
              <w:right w:val="single" w:sz="8" w:space="0" w:color="auto"/>
            </w:tcBorders>
            <w:shd w:val="clear" w:color="auto" w:fill="auto"/>
            <w:noWrap/>
            <w:vAlign w:val="center"/>
            <w:hideMark/>
          </w:tcPr>
          <w:p w14:paraId="7DE6D63F"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6 235 532</w:t>
            </w:r>
          </w:p>
        </w:tc>
        <w:tc>
          <w:tcPr>
            <w:tcW w:w="1149" w:type="dxa"/>
            <w:tcBorders>
              <w:top w:val="nil"/>
              <w:left w:val="nil"/>
              <w:bottom w:val="single" w:sz="8" w:space="0" w:color="auto"/>
              <w:right w:val="single" w:sz="8" w:space="0" w:color="auto"/>
            </w:tcBorders>
            <w:shd w:val="clear" w:color="auto" w:fill="auto"/>
            <w:noWrap/>
            <w:vAlign w:val="center"/>
            <w:hideMark/>
          </w:tcPr>
          <w:p w14:paraId="1BB619F6"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15 116 905</w:t>
            </w:r>
          </w:p>
        </w:tc>
        <w:tc>
          <w:tcPr>
            <w:tcW w:w="1237" w:type="dxa"/>
            <w:tcBorders>
              <w:top w:val="nil"/>
              <w:left w:val="nil"/>
              <w:bottom w:val="single" w:sz="8" w:space="0" w:color="auto"/>
              <w:right w:val="single" w:sz="8" w:space="0" w:color="auto"/>
            </w:tcBorders>
            <w:shd w:val="clear" w:color="auto" w:fill="auto"/>
            <w:noWrap/>
            <w:vAlign w:val="center"/>
            <w:hideMark/>
          </w:tcPr>
          <w:p w14:paraId="340EBB93"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16 741 937</w:t>
            </w:r>
          </w:p>
        </w:tc>
      </w:tr>
      <w:tr w:rsidR="00AD62CD" w:rsidRPr="00AD62CD" w14:paraId="301353D3"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5B12FC2"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Rozpočtové prostriedky (Zákon o DPH)</w:t>
            </w:r>
          </w:p>
        </w:tc>
        <w:tc>
          <w:tcPr>
            <w:tcW w:w="1276" w:type="dxa"/>
            <w:tcBorders>
              <w:top w:val="nil"/>
              <w:left w:val="nil"/>
              <w:bottom w:val="single" w:sz="8" w:space="0" w:color="auto"/>
              <w:right w:val="single" w:sz="8" w:space="0" w:color="auto"/>
            </w:tcBorders>
            <w:shd w:val="clear" w:color="auto" w:fill="auto"/>
            <w:noWrap/>
            <w:vAlign w:val="center"/>
            <w:hideMark/>
          </w:tcPr>
          <w:p w14:paraId="5982139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59 730</w:t>
            </w:r>
          </w:p>
        </w:tc>
        <w:tc>
          <w:tcPr>
            <w:tcW w:w="1417" w:type="dxa"/>
            <w:tcBorders>
              <w:top w:val="nil"/>
              <w:left w:val="nil"/>
              <w:bottom w:val="single" w:sz="8" w:space="0" w:color="auto"/>
              <w:right w:val="single" w:sz="8" w:space="0" w:color="auto"/>
            </w:tcBorders>
            <w:shd w:val="clear" w:color="auto" w:fill="auto"/>
            <w:noWrap/>
            <w:vAlign w:val="center"/>
            <w:hideMark/>
          </w:tcPr>
          <w:p w14:paraId="6E37950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149" w:type="dxa"/>
            <w:tcBorders>
              <w:top w:val="nil"/>
              <w:left w:val="nil"/>
              <w:bottom w:val="single" w:sz="8" w:space="0" w:color="auto"/>
              <w:right w:val="single" w:sz="8" w:space="0" w:color="auto"/>
            </w:tcBorders>
            <w:shd w:val="clear" w:color="auto" w:fill="auto"/>
            <w:noWrap/>
            <w:vAlign w:val="center"/>
            <w:hideMark/>
          </w:tcPr>
          <w:p w14:paraId="655DE8D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auto" w:fill="auto"/>
            <w:noWrap/>
            <w:vAlign w:val="center"/>
            <w:hideMark/>
          </w:tcPr>
          <w:p w14:paraId="5EBA672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76C21EB8"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083A2A3"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Rozpočtové prostriedky (Zákon o osobitnom odvode v regulovaných odvetviach)</w:t>
            </w:r>
          </w:p>
        </w:tc>
        <w:tc>
          <w:tcPr>
            <w:tcW w:w="1276" w:type="dxa"/>
            <w:tcBorders>
              <w:top w:val="nil"/>
              <w:left w:val="nil"/>
              <w:bottom w:val="single" w:sz="8" w:space="0" w:color="auto"/>
              <w:right w:val="single" w:sz="8" w:space="0" w:color="auto"/>
            </w:tcBorders>
            <w:shd w:val="clear" w:color="auto" w:fill="auto"/>
            <w:noWrap/>
            <w:vAlign w:val="center"/>
            <w:hideMark/>
          </w:tcPr>
          <w:p w14:paraId="0503310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70 972</w:t>
            </w:r>
          </w:p>
        </w:tc>
        <w:tc>
          <w:tcPr>
            <w:tcW w:w="1417" w:type="dxa"/>
            <w:tcBorders>
              <w:top w:val="nil"/>
              <w:left w:val="nil"/>
              <w:bottom w:val="single" w:sz="8" w:space="0" w:color="auto"/>
              <w:right w:val="single" w:sz="8" w:space="0" w:color="auto"/>
            </w:tcBorders>
            <w:shd w:val="clear" w:color="auto" w:fill="auto"/>
            <w:noWrap/>
            <w:vAlign w:val="center"/>
            <w:hideMark/>
          </w:tcPr>
          <w:p w14:paraId="667C2C3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149" w:type="dxa"/>
            <w:tcBorders>
              <w:top w:val="nil"/>
              <w:left w:val="nil"/>
              <w:bottom w:val="single" w:sz="8" w:space="0" w:color="auto"/>
              <w:right w:val="single" w:sz="8" w:space="0" w:color="auto"/>
            </w:tcBorders>
            <w:shd w:val="clear" w:color="auto" w:fill="auto"/>
            <w:noWrap/>
            <w:vAlign w:val="center"/>
            <w:hideMark/>
          </w:tcPr>
          <w:p w14:paraId="44B8F19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auto" w:fill="auto"/>
            <w:noWrap/>
            <w:vAlign w:val="center"/>
            <w:hideMark/>
          </w:tcPr>
          <w:p w14:paraId="06188C1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0685BCE9"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021820A"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Rozpočtové prostriedky (Zákon o dani z príjmov)</w:t>
            </w:r>
          </w:p>
        </w:tc>
        <w:tc>
          <w:tcPr>
            <w:tcW w:w="1276" w:type="dxa"/>
            <w:tcBorders>
              <w:top w:val="nil"/>
              <w:left w:val="nil"/>
              <w:bottom w:val="single" w:sz="8" w:space="0" w:color="auto"/>
              <w:right w:val="single" w:sz="8" w:space="0" w:color="auto"/>
            </w:tcBorders>
            <w:shd w:val="clear" w:color="auto" w:fill="auto"/>
            <w:noWrap/>
            <w:vAlign w:val="center"/>
            <w:hideMark/>
          </w:tcPr>
          <w:p w14:paraId="7086839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712 800</w:t>
            </w:r>
          </w:p>
        </w:tc>
        <w:tc>
          <w:tcPr>
            <w:tcW w:w="1417" w:type="dxa"/>
            <w:tcBorders>
              <w:top w:val="nil"/>
              <w:left w:val="nil"/>
              <w:bottom w:val="single" w:sz="8" w:space="0" w:color="auto"/>
              <w:right w:val="single" w:sz="8" w:space="0" w:color="auto"/>
            </w:tcBorders>
            <w:shd w:val="clear" w:color="auto" w:fill="auto"/>
            <w:noWrap/>
            <w:vAlign w:val="center"/>
            <w:hideMark/>
          </w:tcPr>
          <w:p w14:paraId="7372F60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930 600</w:t>
            </w:r>
          </w:p>
        </w:tc>
        <w:tc>
          <w:tcPr>
            <w:tcW w:w="1149" w:type="dxa"/>
            <w:tcBorders>
              <w:top w:val="nil"/>
              <w:left w:val="nil"/>
              <w:bottom w:val="single" w:sz="8" w:space="0" w:color="auto"/>
              <w:right w:val="single" w:sz="8" w:space="0" w:color="auto"/>
            </w:tcBorders>
            <w:shd w:val="clear" w:color="auto" w:fill="auto"/>
            <w:noWrap/>
            <w:vAlign w:val="center"/>
            <w:hideMark/>
          </w:tcPr>
          <w:p w14:paraId="1C55FB3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auto" w:fill="auto"/>
            <w:noWrap/>
            <w:vAlign w:val="center"/>
            <w:hideMark/>
          </w:tcPr>
          <w:p w14:paraId="2992F9C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55ED65AE"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53ACFA27"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Rozpočtové prostriedky (Zákon o dani z poistenia)</w:t>
            </w:r>
          </w:p>
        </w:tc>
        <w:tc>
          <w:tcPr>
            <w:tcW w:w="1276" w:type="dxa"/>
            <w:tcBorders>
              <w:top w:val="nil"/>
              <w:left w:val="nil"/>
              <w:bottom w:val="single" w:sz="8" w:space="0" w:color="auto"/>
              <w:right w:val="single" w:sz="8" w:space="0" w:color="auto"/>
            </w:tcBorders>
            <w:shd w:val="clear" w:color="auto" w:fill="auto"/>
            <w:noWrap/>
            <w:vAlign w:val="center"/>
            <w:hideMark/>
          </w:tcPr>
          <w:p w14:paraId="2E059D4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187 330</w:t>
            </w:r>
          </w:p>
        </w:tc>
        <w:tc>
          <w:tcPr>
            <w:tcW w:w="1417" w:type="dxa"/>
            <w:tcBorders>
              <w:top w:val="nil"/>
              <w:left w:val="nil"/>
              <w:bottom w:val="single" w:sz="8" w:space="0" w:color="auto"/>
              <w:right w:val="single" w:sz="8" w:space="0" w:color="auto"/>
            </w:tcBorders>
            <w:shd w:val="clear" w:color="auto" w:fill="auto"/>
            <w:noWrap/>
            <w:vAlign w:val="center"/>
            <w:hideMark/>
          </w:tcPr>
          <w:p w14:paraId="286EC6D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918 000</w:t>
            </w:r>
          </w:p>
        </w:tc>
        <w:tc>
          <w:tcPr>
            <w:tcW w:w="1149" w:type="dxa"/>
            <w:tcBorders>
              <w:top w:val="nil"/>
              <w:left w:val="nil"/>
              <w:bottom w:val="single" w:sz="8" w:space="0" w:color="auto"/>
              <w:right w:val="single" w:sz="8" w:space="0" w:color="auto"/>
            </w:tcBorders>
            <w:shd w:val="clear" w:color="auto" w:fill="auto"/>
            <w:noWrap/>
            <w:vAlign w:val="center"/>
            <w:hideMark/>
          </w:tcPr>
          <w:p w14:paraId="3CCE119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1 095 000</w:t>
            </w:r>
          </w:p>
        </w:tc>
        <w:tc>
          <w:tcPr>
            <w:tcW w:w="1237" w:type="dxa"/>
            <w:tcBorders>
              <w:top w:val="nil"/>
              <w:left w:val="nil"/>
              <w:bottom w:val="single" w:sz="8" w:space="0" w:color="auto"/>
              <w:right w:val="single" w:sz="8" w:space="0" w:color="auto"/>
            </w:tcBorders>
            <w:shd w:val="clear" w:color="auto" w:fill="auto"/>
            <w:noWrap/>
            <w:vAlign w:val="center"/>
            <w:hideMark/>
          </w:tcPr>
          <w:p w14:paraId="4885F3F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1 143 000</w:t>
            </w:r>
          </w:p>
        </w:tc>
      </w:tr>
      <w:tr w:rsidR="00AD62CD" w:rsidRPr="00AD62CD" w14:paraId="62FC80BA"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0F62B654"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Rozpočtové prostriedky (Zákon o poisťovníctve - PZP)</w:t>
            </w:r>
          </w:p>
        </w:tc>
        <w:tc>
          <w:tcPr>
            <w:tcW w:w="1276" w:type="dxa"/>
            <w:tcBorders>
              <w:top w:val="nil"/>
              <w:left w:val="nil"/>
              <w:bottom w:val="single" w:sz="8" w:space="0" w:color="auto"/>
              <w:right w:val="single" w:sz="8" w:space="0" w:color="auto"/>
            </w:tcBorders>
            <w:shd w:val="clear" w:color="auto" w:fill="auto"/>
            <w:noWrap/>
            <w:vAlign w:val="center"/>
            <w:hideMark/>
          </w:tcPr>
          <w:p w14:paraId="58F9807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76C342A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149" w:type="dxa"/>
            <w:tcBorders>
              <w:top w:val="nil"/>
              <w:left w:val="nil"/>
              <w:bottom w:val="single" w:sz="8" w:space="0" w:color="auto"/>
              <w:right w:val="single" w:sz="8" w:space="0" w:color="auto"/>
            </w:tcBorders>
            <w:shd w:val="clear" w:color="auto" w:fill="auto"/>
            <w:noWrap/>
            <w:vAlign w:val="center"/>
            <w:hideMark/>
          </w:tcPr>
          <w:p w14:paraId="3BE0FB8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9 393 000</w:t>
            </w:r>
          </w:p>
        </w:tc>
        <w:tc>
          <w:tcPr>
            <w:tcW w:w="1237" w:type="dxa"/>
            <w:tcBorders>
              <w:top w:val="nil"/>
              <w:left w:val="nil"/>
              <w:bottom w:val="single" w:sz="8" w:space="0" w:color="auto"/>
              <w:right w:val="single" w:sz="8" w:space="0" w:color="auto"/>
            </w:tcBorders>
            <w:shd w:val="clear" w:color="auto" w:fill="auto"/>
            <w:noWrap/>
            <w:vAlign w:val="center"/>
            <w:hideMark/>
          </w:tcPr>
          <w:p w14:paraId="411F25D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11 214 000</w:t>
            </w:r>
          </w:p>
        </w:tc>
      </w:tr>
      <w:tr w:rsidR="00AD62CD" w:rsidRPr="00AD62CD" w14:paraId="7C0BBD05"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0BE33990" w14:textId="77777777" w:rsidR="00AD62CD" w:rsidRPr="00AD62CD" w:rsidRDefault="00AD62CD" w:rsidP="00AD62CD">
            <w:pPr>
              <w:spacing w:after="0" w:line="240" w:lineRule="auto"/>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 xml:space="preserve">    Rozpočtové prostriedky (Zákon o sociálnom poistení)</w:t>
            </w:r>
          </w:p>
        </w:tc>
        <w:tc>
          <w:tcPr>
            <w:tcW w:w="1276" w:type="dxa"/>
            <w:tcBorders>
              <w:top w:val="nil"/>
              <w:left w:val="nil"/>
              <w:bottom w:val="single" w:sz="8" w:space="0" w:color="auto"/>
              <w:right w:val="single" w:sz="8" w:space="0" w:color="auto"/>
            </w:tcBorders>
            <w:shd w:val="clear" w:color="auto" w:fill="auto"/>
            <w:noWrap/>
            <w:vAlign w:val="center"/>
            <w:hideMark/>
          </w:tcPr>
          <w:p w14:paraId="2724028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2B82F91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4 386 932</w:t>
            </w:r>
          </w:p>
        </w:tc>
        <w:tc>
          <w:tcPr>
            <w:tcW w:w="1149" w:type="dxa"/>
            <w:tcBorders>
              <w:top w:val="nil"/>
              <w:left w:val="nil"/>
              <w:bottom w:val="single" w:sz="8" w:space="0" w:color="auto"/>
              <w:right w:val="single" w:sz="8" w:space="0" w:color="auto"/>
            </w:tcBorders>
            <w:shd w:val="clear" w:color="auto" w:fill="auto"/>
            <w:noWrap/>
            <w:vAlign w:val="center"/>
            <w:hideMark/>
          </w:tcPr>
          <w:p w14:paraId="5A9B030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4 628 905</w:t>
            </w:r>
          </w:p>
        </w:tc>
        <w:tc>
          <w:tcPr>
            <w:tcW w:w="1237" w:type="dxa"/>
            <w:tcBorders>
              <w:top w:val="nil"/>
              <w:left w:val="nil"/>
              <w:bottom w:val="single" w:sz="8" w:space="0" w:color="auto"/>
              <w:right w:val="single" w:sz="8" w:space="0" w:color="auto"/>
            </w:tcBorders>
            <w:shd w:val="clear" w:color="auto" w:fill="auto"/>
            <w:noWrap/>
            <w:vAlign w:val="center"/>
            <w:hideMark/>
          </w:tcPr>
          <w:p w14:paraId="07D11B2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4 384 937</w:t>
            </w:r>
          </w:p>
        </w:tc>
      </w:tr>
      <w:tr w:rsidR="00AD62CD" w:rsidRPr="00AD62CD" w14:paraId="625F3466"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95F73CE"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EÚ zdroje</w:t>
            </w:r>
          </w:p>
        </w:tc>
        <w:tc>
          <w:tcPr>
            <w:tcW w:w="1276" w:type="dxa"/>
            <w:tcBorders>
              <w:top w:val="nil"/>
              <w:left w:val="nil"/>
              <w:bottom w:val="single" w:sz="8" w:space="0" w:color="auto"/>
              <w:right w:val="single" w:sz="8" w:space="0" w:color="auto"/>
            </w:tcBorders>
            <w:shd w:val="clear" w:color="auto" w:fill="auto"/>
            <w:noWrap/>
            <w:vAlign w:val="center"/>
            <w:hideMark/>
          </w:tcPr>
          <w:p w14:paraId="0DEAA3F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7DA022E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149" w:type="dxa"/>
            <w:tcBorders>
              <w:top w:val="nil"/>
              <w:left w:val="nil"/>
              <w:bottom w:val="single" w:sz="8" w:space="0" w:color="auto"/>
              <w:right w:val="single" w:sz="8" w:space="0" w:color="auto"/>
            </w:tcBorders>
            <w:shd w:val="clear" w:color="auto" w:fill="auto"/>
            <w:noWrap/>
            <w:vAlign w:val="center"/>
            <w:hideMark/>
          </w:tcPr>
          <w:p w14:paraId="0368B7C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auto" w:fill="auto"/>
            <w:noWrap/>
            <w:vAlign w:val="center"/>
            <w:hideMark/>
          </w:tcPr>
          <w:p w14:paraId="635F843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7FBDDDFB"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96A1CC5"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spolufinancovanie</w:t>
            </w:r>
          </w:p>
        </w:tc>
        <w:tc>
          <w:tcPr>
            <w:tcW w:w="1276" w:type="dxa"/>
            <w:tcBorders>
              <w:top w:val="nil"/>
              <w:left w:val="nil"/>
              <w:bottom w:val="single" w:sz="8" w:space="0" w:color="auto"/>
              <w:right w:val="single" w:sz="8" w:space="0" w:color="auto"/>
            </w:tcBorders>
            <w:shd w:val="clear" w:color="auto" w:fill="auto"/>
            <w:noWrap/>
            <w:vAlign w:val="center"/>
            <w:hideMark/>
          </w:tcPr>
          <w:p w14:paraId="76DEAB1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5756CFE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149" w:type="dxa"/>
            <w:tcBorders>
              <w:top w:val="nil"/>
              <w:left w:val="nil"/>
              <w:bottom w:val="single" w:sz="8" w:space="0" w:color="auto"/>
              <w:right w:val="single" w:sz="8" w:space="0" w:color="auto"/>
            </w:tcBorders>
            <w:shd w:val="clear" w:color="auto" w:fill="auto"/>
            <w:noWrap/>
            <w:vAlign w:val="center"/>
            <w:hideMark/>
          </w:tcPr>
          <w:p w14:paraId="3872811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auto" w:fill="auto"/>
            <w:noWrap/>
            <w:vAlign w:val="center"/>
            <w:hideMark/>
          </w:tcPr>
          <w:p w14:paraId="1BCF6E0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1FEAC0D7"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31F9F0A7"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obce</w:t>
            </w:r>
          </w:p>
        </w:tc>
        <w:tc>
          <w:tcPr>
            <w:tcW w:w="1276" w:type="dxa"/>
            <w:tcBorders>
              <w:top w:val="nil"/>
              <w:left w:val="nil"/>
              <w:bottom w:val="single" w:sz="8" w:space="0" w:color="auto"/>
              <w:right w:val="single" w:sz="8" w:space="0" w:color="auto"/>
            </w:tcBorders>
            <w:shd w:val="clear" w:color="auto" w:fill="auto"/>
            <w:noWrap/>
            <w:vAlign w:val="center"/>
            <w:hideMark/>
          </w:tcPr>
          <w:p w14:paraId="5C9203EB"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68AD329F"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4 080 253</w:t>
            </w:r>
          </w:p>
        </w:tc>
        <w:tc>
          <w:tcPr>
            <w:tcW w:w="1149" w:type="dxa"/>
            <w:tcBorders>
              <w:top w:val="nil"/>
              <w:left w:val="nil"/>
              <w:bottom w:val="single" w:sz="8" w:space="0" w:color="auto"/>
              <w:right w:val="single" w:sz="8" w:space="0" w:color="auto"/>
            </w:tcBorders>
            <w:shd w:val="clear" w:color="auto" w:fill="auto"/>
            <w:noWrap/>
            <w:vAlign w:val="center"/>
            <w:hideMark/>
          </w:tcPr>
          <w:p w14:paraId="577BFF5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4 667 429</w:t>
            </w:r>
          </w:p>
        </w:tc>
        <w:tc>
          <w:tcPr>
            <w:tcW w:w="1237" w:type="dxa"/>
            <w:tcBorders>
              <w:top w:val="nil"/>
              <w:left w:val="nil"/>
              <w:bottom w:val="single" w:sz="8" w:space="0" w:color="auto"/>
              <w:right w:val="single" w:sz="8" w:space="0" w:color="auto"/>
            </w:tcBorders>
            <w:shd w:val="clear" w:color="auto" w:fill="auto"/>
            <w:noWrap/>
            <w:vAlign w:val="center"/>
            <w:hideMark/>
          </w:tcPr>
          <w:p w14:paraId="4AFE7C13"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4 881 594</w:t>
            </w:r>
          </w:p>
        </w:tc>
      </w:tr>
      <w:tr w:rsidR="00AD62CD" w:rsidRPr="00AD62CD" w14:paraId="7BB50D1F"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0BF4CD14"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 vplyv na obce (Zákon o sociálnom poistení; DOPLN)</w:t>
            </w:r>
          </w:p>
        </w:tc>
        <w:tc>
          <w:tcPr>
            <w:tcW w:w="1276" w:type="dxa"/>
            <w:tcBorders>
              <w:top w:val="nil"/>
              <w:left w:val="nil"/>
              <w:bottom w:val="nil"/>
              <w:right w:val="single" w:sz="8" w:space="0" w:color="auto"/>
            </w:tcBorders>
            <w:shd w:val="clear" w:color="auto" w:fill="auto"/>
            <w:noWrap/>
            <w:vAlign w:val="center"/>
            <w:hideMark/>
          </w:tcPr>
          <w:p w14:paraId="496C2AF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417" w:type="dxa"/>
            <w:tcBorders>
              <w:top w:val="nil"/>
              <w:left w:val="nil"/>
              <w:bottom w:val="nil"/>
              <w:right w:val="single" w:sz="8" w:space="0" w:color="auto"/>
            </w:tcBorders>
            <w:shd w:val="clear" w:color="auto" w:fill="auto"/>
            <w:noWrap/>
            <w:vAlign w:val="center"/>
            <w:hideMark/>
          </w:tcPr>
          <w:p w14:paraId="55BA2AF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4 080 253</w:t>
            </w:r>
          </w:p>
        </w:tc>
        <w:tc>
          <w:tcPr>
            <w:tcW w:w="1149" w:type="dxa"/>
            <w:tcBorders>
              <w:top w:val="nil"/>
              <w:left w:val="nil"/>
              <w:bottom w:val="nil"/>
              <w:right w:val="single" w:sz="8" w:space="0" w:color="auto"/>
            </w:tcBorders>
            <w:shd w:val="clear" w:color="auto" w:fill="auto"/>
            <w:noWrap/>
            <w:vAlign w:val="center"/>
            <w:hideMark/>
          </w:tcPr>
          <w:p w14:paraId="6210082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4 667 429</w:t>
            </w:r>
          </w:p>
        </w:tc>
        <w:tc>
          <w:tcPr>
            <w:tcW w:w="1237" w:type="dxa"/>
            <w:tcBorders>
              <w:top w:val="nil"/>
              <w:left w:val="nil"/>
              <w:bottom w:val="nil"/>
              <w:right w:val="single" w:sz="8" w:space="0" w:color="auto"/>
            </w:tcBorders>
            <w:shd w:val="clear" w:color="auto" w:fill="auto"/>
            <w:noWrap/>
            <w:vAlign w:val="center"/>
            <w:hideMark/>
          </w:tcPr>
          <w:p w14:paraId="1C15644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4 881 594</w:t>
            </w:r>
          </w:p>
        </w:tc>
      </w:tr>
      <w:tr w:rsidR="00AD62CD" w:rsidRPr="00AD62CD" w14:paraId="6DA16BE8"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BC55ED6"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hideMark/>
          </w:tcPr>
          <w:p w14:paraId="0DD42C42"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1FB2A4D7"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1 052 968</w:t>
            </w:r>
          </w:p>
        </w:tc>
        <w:tc>
          <w:tcPr>
            <w:tcW w:w="1149" w:type="dxa"/>
            <w:tcBorders>
              <w:top w:val="nil"/>
              <w:left w:val="nil"/>
              <w:bottom w:val="single" w:sz="8" w:space="0" w:color="auto"/>
              <w:right w:val="single" w:sz="8" w:space="0" w:color="auto"/>
            </w:tcBorders>
            <w:shd w:val="clear" w:color="auto" w:fill="auto"/>
            <w:noWrap/>
            <w:vAlign w:val="center"/>
            <w:hideMark/>
          </w:tcPr>
          <w:p w14:paraId="236A7CD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1 204 498</w:t>
            </w:r>
          </w:p>
        </w:tc>
        <w:tc>
          <w:tcPr>
            <w:tcW w:w="1237" w:type="dxa"/>
            <w:tcBorders>
              <w:top w:val="nil"/>
              <w:left w:val="nil"/>
              <w:bottom w:val="single" w:sz="8" w:space="0" w:color="auto"/>
              <w:right w:val="single" w:sz="8" w:space="0" w:color="auto"/>
            </w:tcBorders>
            <w:shd w:val="clear" w:color="auto" w:fill="auto"/>
            <w:noWrap/>
            <w:vAlign w:val="center"/>
            <w:hideMark/>
          </w:tcPr>
          <w:p w14:paraId="4742ED96"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1 259 766</w:t>
            </w:r>
          </w:p>
        </w:tc>
      </w:tr>
      <w:tr w:rsidR="00AD62CD" w:rsidRPr="00AD62CD" w14:paraId="76AE39D9"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4B58A02"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 vplyv na vyššie územné celky (Zákon o sociálnom poistení, DOPLN)</w:t>
            </w:r>
          </w:p>
        </w:tc>
        <w:tc>
          <w:tcPr>
            <w:tcW w:w="1276" w:type="dxa"/>
            <w:tcBorders>
              <w:top w:val="nil"/>
              <w:left w:val="nil"/>
              <w:bottom w:val="nil"/>
              <w:right w:val="single" w:sz="8" w:space="0" w:color="auto"/>
            </w:tcBorders>
            <w:shd w:val="clear" w:color="auto" w:fill="auto"/>
            <w:noWrap/>
            <w:vAlign w:val="center"/>
            <w:hideMark/>
          </w:tcPr>
          <w:p w14:paraId="237C49C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417" w:type="dxa"/>
            <w:tcBorders>
              <w:top w:val="nil"/>
              <w:left w:val="nil"/>
              <w:bottom w:val="nil"/>
              <w:right w:val="single" w:sz="8" w:space="0" w:color="auto"/>
            </w:tcBorders>
            <w:shd w:val="clear" w:color="auto" w:fill="auto"/>
            <w:noWrap/>
            <w:vAlign w:val="center"/>
            <w:hideMark/>
          </w:tcPr>
          <w:p w14:paraId="7226B24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1 052 968</w:t>
            </w:r>
          </w:p>
        </w:tc>
        <w:tc>
          <w:tcPr>
            <w:tcW w:w="1149" w:type="dxa"/>
            <w:tcBorders>
              <w:top w:val="nil"/>
              <w:left w:val="nil"/>
              <w:bottom w:val="nil"/>
              <w:right w:val="single" w:sz="8" w:space="0" w:color="auto"/>
            </w:tcBorders>
            <w:shd w:val="clear" w:color="auto" w:fill="auto"/>
            <w:noWrap/>
            <w:vAlign w:val="center"/>
            <w:hideMark/>
          </w:tcPr>
          <w:p w14:paraId="519231F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1 204 498</w:t>
            </w:r>
          </w:p>
        </w:tc>
        <w:tc>
          <w:tcPr>
            <w:tcW w:w="1237" w:type="dxa"/>
            <w:tcBorders>
              <w:top w:val="nil"/>
              <w:left w:val="nil"/>
              <w:bottom w:val="nil"/>
              <w:right w:val="single" w:sz="8" w:space="0" w:color="auto"/>
            </w:tcBorders>
            <w:shd w:val="clear" w:color="auto" w:fill="auto"/>
            <w:noWrap/>
            <w:vAlign w:val="center"/>
            <w:hideMark/>
          </w:tcPr>
          <w:p w14:paraId="7093F1C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1 259 766</w:t>
            </w:r>
          </w:p>
        </w:tc>
      </w:tr>
      <w:tr w:rsidR="00AD62CD" w:rsidRPr="00AD62CD" w14:paraId="657CC5B3"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4EE37A4"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ostatné subjekty verejnej správy</w:t>
            </w:r>
          </w:p>
        </w:tc>
        <w:tc>
          <w:tcPr>
            <w:tcW w:w="1276" w:type="dxa"/>
            <w:tcBorders>
              <w:top w:val="nil"/>
              <w:left w:val="nil"/>
              <w:bottom w:val="single" w:sz="8" w:space="0" w:color="auto"/>
              <w:right w:val="single" w:sz="8" w:space="0" w:color="auto"/>
            </w:tcBorders>
            <w:shd w:val="clear" w:color="auto" w:fill="auto"/>
            <w:noWrap/>
            <w:vAlign w:val="center"/>
            <w:hideMark/>
          </w:tcPr>
          <w:p w14:paraId="11D94128"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56A5664F"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-86 149 432</w:t>
            </w:r>
          </w:p>
        </w:tc>
        <w:tc>
          <w:tcPr>
            <w:tcW w:w="1149" w:type="dxa"/>
            <w:tcBorders>
              <w:top w:val="nil"/>
              <w:left w:val="nil"/>
              <w:bottom w:val="single" w:sz="8" w:space="0" w:color="auto"/>
              <w:right w:val="single" w:sz="8" w:space="0" w:color="auto"/>
            </w:tcBorders>
            <w:shd w:val="clear" w:color="auto" w:fill="auto"/>
            <w:noWrap/>
            <w:vAlign w:val="center"/>
            <w:hideMark/>
          </w:tcPr>
          <w:p w14:paraId="2252C92E"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-122 113 485</w:t>
            </w:r>
          </w:p>
        </w:tc>
        <w:tc>
          <w:tcPr>
            <w:tcW w:w="1237" w:type="dxa"/>
            <w:tcBorders>
              <w:top w:val="nil"/>
              <w:left w:val="nil"/>
              <w:bottom w:val="single" w:sz="8" w:space="0" w:color="auto"/>
              <w:right w:val="single" w:sz="8" w:space="0" w:color="auto"/>
            </w:tcBorders>
            <w:shd w:val="clear" w:color="auto" w:fill="auto"/>
            <w:noWrap/>
            <w:vAlign w:val="center"/>
            <w:hideMark/>
          </w:tcPr>
          <w:p w14:paraId="5CFCB37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-169 159 503</w:t>
            </w:r>
          </w:p>
        </w:tc>
      </w:tr>
      <w:tr w:rsidR="00AD62CD" w:rsidRPr="00AD62CD" w14:paraId="4FA6D0C8"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EB94116"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 vplyv na Sociálnu poisťovňu (Zákon o sociálnom poistení, Zákon o zdravotnej starostlivosti)</w:t>
            </w:r>
          </w:p>
        </w:tc>
        <w:tc>
          <w:tcPr>
            <w:tcW w:w="1276" w:type="dxa"/>
            <w:tcBorders>
              <w:top w:val="nil"/>
              <w:left w:val="nil"/>
              <w:bottom w:val="single" w:sz="8" w:space="0" w:color="auto"/>
              <w:right w:val="single" w:sz="8" w:space="0" w:color="auto"/>
            </w:tcBorders>
            <w:shd w:val="clear" w:color="auto" w:fill="auto"/>
            <w:noWrap/>
            <w:vAlign w:val="center"/>
            <w:hideMark/>
          </w:tcPr>
          <w:p w14:paraId="2402D9C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1C68CF8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-89 571 580</w:t>
            </w:r>
          </w:p>
        </w:tc>
        <w:tc>
          <w:tcPr>
            <w:tcW w:w="1149" w:type="dxa"/>
            <w:tcBorders>
              <w:top w:val="nil"/>
              <w:left w:val="nil"/>
              <w:bottom w:val="single" w:sz="8" w:space="0" w:color="auto"/>
              <w:right w:val="single" w:sz="8" w:space="0" w:color="auto"/>
            </w:tcBorders>
            <w:shd w:val="clear" w:color="auto" w:fill="auto"/>
            <w:noWrap/>
            <w:vAlign w:val="center"/>
            <w:hideMark/>
          </w:tcPr>
          <w:p w14:paraId="7BEF398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-126 028 103</w:t>
            </w:r>
          </w:p>
        </w:tc>
        <w:tc>
          <w:tcPr>
            <w:tcW w:w="1237" w:type="dxa"/>
            <w:tcBorders>
              <w:top w:val="nil"/>
              <w:left w:val="nil"/>
              <w:bottom w:val="single" w:sz="8" w:space="0" w:color="auto"/>
              <w:right w:val="single" w:sz="8" w:space="0" w:color="auto"/>
            </w:tcBorders>
            <w:shd w:val="clear" w:color="auto" w:fill="auto"/>
            <w:noWrap/>
            <w:vAlign w:val="center"/>
            <w:hideMark/>
          </w:tcPr>
          <w:p w14:paraId="237EB9B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-173 253 744</w:t>
            </w:r>
          </w:p>
        </w:tc>
      </w:tr>
      <w:tr w:rsidR="00AD62CD" w:rsidRPr="00AD62CD" w14:paraId="2C7E53B6"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4DA470CE"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 vplyv na ostatné subjekty verejnej správy (Zákon o sociálnom poistení)</w:t>
            </w:r>
          </w:p>
        </w:tc>
        <w:tc>
          <w:tcPr>
            <w:tcW w:w="1276" w:type="dxa"/>
            <w:tcBorders>
              <w:top w:val="nil"/>
              <w:left w:val="nil"/>
              <w:bottom w:val="single" w:sz="8" w:space="0" w:color="auto"/>
              <w:right w:val="single" w:sz="8" w:space="0" w:color="auto"/>
            </w:tcBorders>
            <w:shd w:val="clear" w:color="auto" w:fill="auto"/>
            <w:noWrap/>
            <w:vAlign w:val="center"/>
            <w:hideMark/>
          </w:tcPr>
          <w:p w14:paraId="38887B1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66E7A6B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3 422 147</w:t>
            </w:r>
          </w:p>
        </w:tc>
        <w:tc>
          <w:tcPr>
            <w:tcW w:w="1149" w:type="dxa"/>
            <w:tcBorders>
              <w:top w:val="nil"/>
              <w:left w:val="nil"/>
              <w:bottom w:val="single" w:sz="8" w:space="0" w:color="auto"/>
              <w:right w:val="single" w:sz="8" w:space="0" w:color="auto"/>
            </w:tcBorders>
            <w:shd w:val="clear" w:color="auto" w:fill="auto"/>
            <w:noWrap/>
            <w:vAlign w:val="center"/>
            <w:hideMark/>
          </w:tcPr>
          <w:p w14:paraId="5FF336C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3 914 618</w:t>
            </w:r>
          </w:p>
        </w:tc>
        <w:tc>
          <w:tcPr>
            <w:tcW w:w="1237" w:type="dxa"/>
            <w:tcBorders>
              <w:top w:val="nil"/>
              <w:left w:val="nil"/>
              <w:bottom w:val="single" w:sz="8" w:space="0" w:color="auto"/>
              <w:right w:val="single" w:sz="8" w:space="0" w:color="auto"/>
            </w:tcBorders>
            <w:shd w:val="clear" w:color="auto" w:fill="auto"/>
            <w:noWrap/>
            <w:vAlign w:val="center"/>
            <w:hideMark/>
          </w:tcPr>
          <w:p w14:paraId="108A80D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4 094 241</w:t>
            </w:r>
          </w:p>
        </w:tc>
      </w:tr>
      <w:tr w:rsidR="00AD62CD" w:rsidRPr="00AD62CD" w14:paraId="0501F84F" w14:textId="77777777" w:rsidTr="003627DF">
        <w:trPr>
          <w:trHeight w:val="315"/>
        </w:trPr>
        <w:tc>
          <w:tcPr>
            <w:tcW w:w="4668" w:type="dxa"/>
            <w:tcBorders>
              <w:top w:val="nil"/>
              <w:left w:val="single" w:sz="8" w:space="0" w:color="auto"/>
              <w:bottom w:val="single" w:sz="8" w:space="0" w:color="auto"/>
              <w:right w:val="single" w:sz="8" w:space="0" w:color="auto"/>
            </w:tcBorders>
            <w:shd w:val="clear" w:color="000000" w:fill="BFBFBF"/>
            <w:noWrap/>
            <w:vAlign w:val="center"/>
            <w:hideMark/>
          </w:tcPr>
          <w:p w14:paraId="055E3427"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xml:space="preserve">Vplyv na počet zamestnancov </w:t>
            </w:r>
          </w:p>
        </w:tc>
        <w:tc>
          <w:tcPr>
            <w:tcW w:w="1276" w:type="dxa"/>
            <w:tcBorders>
              <w:top w:val="nil"/>
              <w:left w:val="nil"/>
              <w:bottom w:val="single" w:sz="8" w:space="0" w:color="auto"/>
              <w:right w:val="single" w:sz="8" w:space="0" w:color="auto"/>
            </w:tcBorders>
            <w:shd w:val="clear" w:color="000000" w:fill="BFBFBF"/>
            <w:noWrap/>
            <w:vAlign w:val="center"/>
            <w:hideMark/>
          </w:tcPr>
          <w:p w14:paraId="0A03772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000000" w:fill="BFBFBF"/>
            <w:noWrap/>
            <w:vAlign w:val="center"/>
            <w:hideMark/>
          </w:tcPr>
          <w:p w14:paraId="41FE51AE"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149" w:type="dxa"/>
            <w:tcBorders>
              <w:top w:val="nil"/>
              <w:left w:val="nil"/>
              <w:bottom w:val="single" w:sz="8" w:space="0" w:color="auto"/>
              <w:right w:val="single" w:sz="8" w:space="0" w:color="auto"/>
            </w:tcBorders>
            <w:shd w:val="clear" w:color="000000" w:fill="BFBFBF"/>
            <w:noWrap/>
            <w:vAlign w:val="center"/>
            <w:hideMark/>
          </w:tcPr>
          <w:p w14:paraId="5490637D"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000000" w:fill="BFBFBF"/>
            <w:noWrap/>
            <w:vAlign w:val="center"/>
            <w:hideMark/>
          </w:tcPr>
          <w:p w14:paraId="4245A61A"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r>
      <w:tr w:rsidR="00AD62CD" w:rsidRPr="00AD62CD" w14:paraId="4B7EF17F"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379F9F67"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ŠR</w:t>
            </w:r>
          </w:p>
        </w:tc>
        <w:tc>
          <w:tcPr>
            <w:tcW w:w="1276" w:type="dxa"/>
            <w:tcBorders>
              <w:top w:val="nil"/>
              <w:left w:val="nil"/>
              <w:bottom w:val="single" w:sz="8" w:space="0" w:color="auto"/>
              <w:right w:val="single" w:sz="8" w:space="0" w:color="auto"/>
            </w:tcBorders>
            <w:shd w:val="clear" w:color="auto" w:fill="auto"/>
            <w:noWrap/>
            <w:vAlign w:val="center"/>
            <w:hideMark/>
          </w:tcPr>
          <w:p w14:paraId="01B30ECF"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4D4BCD4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149" w:type="dxa"/>
            <w:tcBorders>
              <w:top w:val="nil"/>
              <w:left w:val="nil"/>
              <w:bottom w:val="single" w:sz="8" w:space="0" w:color="auto"/>
              <w:right w:val="single" w:sz="8" w:space="0" w:color="auto"/>
            </w:tcBorders>
            <w:shd w:val="clear" w:color="auto" w:fill="auto"/>
            <w:noWrap/>
            <w:vAlign w:val="center"/>
            <w:hideMark/>
          </w:tcPr>
          <w:p w14:paraId="700DF6FA"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auto" w:fill="auto"/>
            <w:noWrap/>
            <w:vAlign w:val="center"/>
            <w:hideMark/>
          </w:tcPr>
          <w:p w14:paraId="62C8C6C9"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r>
      <w:tr w:rsidR="00AD62CD" w:rsidRPr="00AD62CD" w14:paraId="300B61F6" w14:textId="77777777" w:rsidTr="003627DF">
        <w:trPr>
          <w:trHeight w:val="315"/>
        </w:trPr>
        <w:tc>
          <w:tcPr>
            <w:tcW w:w="4668" w:type="dxa"/>
            <w:tcBorders>
              <w:top w:val="nil"/>
              <w:left w:val="single" w:sz="8" w:space="0" w:color="auto"/>
              <w:bottom w:val="single" w:sz="8" w:space="0" w:color="auto"/>
              <w:right w:val="single" w:sz="8" w:space="0" w:color="auto"/>
            </w:tcBorders>
            <w:shd w:val="clear" w:color="000000" w:fill="BFBFBF"/>
            <w:noWrap/>
            <w:vAlign w:val="center"/>
            <w:hideMark/>
          </w:tcPr>
          <w:p w14:paraId="6003853A"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mzdové výdavky</w:t>
            </w:r>
          </w:p>
        </w:tc>
        <w:tc>
          <w:tcPr>
            <w:tcW w:w="1276" w:type="dxa"/>
            <w:tcBorders>
              <w:top w:val="nil"/>
              <w:left w:val="nil"/>
              <w:bottom w:val="single" w:sz="8" w:space="0" w:color="auto"/>
              <w:right w:val="single" w:sz="8" w:space="0" w:color="auto"/>
            </w:tcBorders>
            <w:shd w:val="clear" w:color="000000" w:fill="BFBFBF"/>
            <w:noWrap/>
            <w:vAlign w:val="center"/>
            <w:hideMark/>
          </w:tcPr>
          <w:p w14:paraId="021AF816"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000000" w:fill="BFBFBF"/>
            <w:noWrap/>
            <w:vAlign w:val="center"/>
            <w:hideMark/>
          </w:tcPr>
          <w:p w14:paraId="5FAC1AB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149" w:type="dxa"/>
            <w:tcBorders>
              <w:top w:val="nil"/>
              <w:left w:val="nil"/>
              <w:bottom w:val="single" w:sz="8" w:space="0" w:color="auto"/>
              <w:right w:val="single" w:sz="8" w:space="0" w:color="auto"/>
            </w:tcBorders>
            <w:shd w:val="clear" w:color="000000" w:fill="BFBFBF"/>
            <w:noWrap/>
            <w:vAlign w:val="center"/>
            <w:hideMark/>
          </w:tcPr>
          <w:p w14:paraId="6888C2B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000000" w:fill="BFBFBF"/>
            <w:noWrap/>
            <w:vAlign w:val="center"/>
            <w:hideMark/>
          </w:tcPr>
          <w:p w14:paraId="61A2726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r>
      <w:tr w:rsidR="00AD62CD" w:rsidRPr="00AD62CD" w14:paraId="70F4C21A"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3FB9E8F8"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ŠR</w:t>
            </w:r>
          </w:p>
        </w:tc>
        <w:tc>
          <w:tcPr>
            <w:tcW w:w="1276" w:type="dxa"/>
            <w:tcBorders>
              <w:top w:val="nil"/>
              <w:left w:val="nil"/>
              <w:bottom w:val="single" w:sz="8" w:space="0" w:color="auto"/>
              <w:right w:val="single" w:sz="8" w:space="0" w:color="auto"/>
            </w:tcBorders>
            <w:shd w:val="clear" w:color="auto" w:fill="auto"/>
            <w:noWrap/>
            <w:vAlign w:val="center"/>
            <w:hideMark/>
          </w:tcPr>
          <w:p w14:paraId="5A2B3A53"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47695FE3"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149" w:type="dxa"/>
            <w:tcBorders>
              <w:top w:val="nil"/>
              <w:left w:val="nil"/>
              <w:bottom w:val="single" w:sz="8" w:space="0" w:color="auto"/>
              <w:right w:val="single" w:sz="8" w:space="0" w:color="auto"/>
            </w:tcBorders>
            <w:shd w:val="clear" w:color="auto" w:fill="auto"/>
            <w:noWrap/>
            <w:vAlign w:val="center"/>
            <w:hideMark/>
          </w:tcPr>
          <w:p w14:paraId="30906A39"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auto" w:fill="auto"/>
            <w:noWrap/>
            <w:vAlign w:val="center"/>
            <w:hideMark/>
          </w:tcPr>
          <w:p w14:paraId="2F47CF9F"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r>
      <w:tr w:rsidR="00AD62CD" w:rsidRPr="00AD62CD" w14:paraId="6E317FBB" w14:textId="77777777" w:rsidTr="003627DF">
        <w:trPr>
          <w:trHeight w:val="315"/>
        </w:trPr>
        <w:tc>
          <w:tcPr>
            <w:tcW w:w="4668" w:type="dxa"/>
            <w:tcBorders>
              <w:top w:val="nil"/>
              <w:left w:val="single" w:sz="8" w:space="0" w:color="auto"/>
              <w:bottom w:val="single" w:sz="8" w:space="0" w:color="auto"/>
              <w:right w:val="single" w:sz="8" w:space="0" w:color="auto"/>
            </w:tcBorders>
            <w:shd w:val="clear" w:color="000000" w:fill="C0C0C0"/>
            <w:noWrap/>
            <w:vAlign w:val="center"/>
            <w:hideMark/>
          </w:tcPr>
          <w:p w14:paraId="78C75A40"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Financovanie zabezpečené v rozpočte</w:t>
            </w:r>
          </w:p>
        </w:tc>
        <w:tc>
          <w:tcPr>
            <w:tcW w:w="1276" w:type="dxa"/>
            <w:tcBorders>
              <w:top w:val="nil"/>
              <w:left w:val="nil"/>
              <w:bottom w:val="single" w:sz="8" w:space="0" w:color="auto"/>
              <w:right w:val="single" w:sz="8" w:space="0" w:color="auto"/>
            </w:tcBorders>
            <w:shd w:val="clear" w:color="000000" w:fill="C0C0C0"/>
            <w:noWrap/>
            <w:vAlign w:val="center"/>
            <w:hideMark/>
          </w:tcPr>
          <w:p w14:paraId="12DE3E5E"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1 030 832</w:t>
            </w:r>
          </w:p>
        </w:tc>
        <w:tc>
          <w:tcPr>
            <w:tcW w:w="1417" w:type="dxa"/>
            <w:tcBorders>
              <w:top w:val="nil"/>
              <w:left w:val="nil"/>
              <w:bottom w:val="single" w:sz="8" w:space="0" w:color="auto"/>
              <w:right w:val="single" w:sz="8" w:space="0" w:color="auto"/>
            </w:tcBorders>
            <w:shd w:val="clear" w:color="000000" w:fill="C0C0C0"/>
            <w:noWrap/>
            <w:vAlign w:val="center"/>
            <w:hideMark/>
          </w:tcPr>
          <w:p w14:paraId="730B4C06"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1 082 600</w:t>
            </w:r>
          </w:p>
        </w:tc>
        <w:tc>
          <w:tcPr>
            <w:tcW w:w="1149" w:type="dxa"/>
            <w:tcBorders>
              <w:top w:val="nil"/>
              <w:left w:val="nil"/>
              <w:bottom w:val="single" w:sz="8" w:space="0" w:color="auto"/>
              <w:right w:val="single" w:sz="8" w:space="0" w:color="auto"/>
            </w:tcBorders>
            <w:shd w:val="clear" w:color="000000" w:fill="C0C0C0"/>
            <w:noWrap/>
            <w:vAlign w:val="center"/>
            <w:hideMark/>
          </w:tcPr>
          <w:p w14:paraId="13708502"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204 000</w:t>
            </w:r>
          </w:p>
        </w:tc>
        <w:tc>
          <w:tcPr>
            <w:tcW w:w="1237" w:type="dxa"/>
            <w:tcBorders>
              <w:top w:val="nil"/>
              <w:left w:val="nil"/>
              <w:bottom w:val="single" w:sz="8" w:space="0" w:color="auto"/>
              <w:right w:val="single" w:sz="8" w:space="0" w:color="auto"/>
            </w:tcBorders>
            <w:shd w:val="clear" w:color="000000" w:fill="C0C0C0"/>
            <w:noWrap/>
            <w:vAlign w:val="center"/>
            <w:hideMark/>
          </w:tcPr>
          <w:p w14:paraId="5EAB56E5"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213 000</w:t>
            </w:r>
          </w:p>
        </w:tc>
      </w:tr>
      <w:tr w:rsidR="00AD62CD" w:rsidRPr="00AD62CD" w14:paraId="3CA16066"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BFE2264"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(Zákon o DPH)</w:t>
            </w:r>
          </w:p>
        </w:tc>
        <w:tc>
          <w:tcPr>
            <w:tcW w:w="1276" w:type="dxa"/>
            <w:tcBorders>
              <w:top w:val="nil"/>
              <w:left w:val="nil"/>
              <w:bottom w:val="single" w:sz="8" w:space="0" w:color="auto"/>
              <w:right w:val="single" w:sz="8" w:space="0" w:color="auto"/>
            </w:tcBorders>
            <w:shd w:val="clear" w:color="auto" w:fill="auto"/>
            <w:noWrap/>
            <w:vAlign w:val="center"/>
            <w:hideMark/>
          </w:tcPr>
          <w:p w14:paraId="5F7A411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59 730</w:t>
            </w:r>
          </w:p>
        </w:tc>
        <w:tc>
          <w:tcPr>
            <w:tcW w:w="1417" w:type="dxa"/>
            <w:tcBorders>
              <w:top w:val="nil"/>
              <w:left w:val="nil"/>
              <w:bottom w:val="single" w:sz="8" w:space="0" w:color="auto"/>
              <w:right w:val="single" w:sz="8" w:space="0" w:color="auto"/>
            </w:tcBorders>
            <w:shd w:val="clear" w:color="auto" w:fill="auto"/>
            <w:noWrap/>
            <w:vAlign w:val="center"/>
            <w:hideMark/>
          </w:tcPr>
          <w:p w14:paraId="7020562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149" w:type="dxa"/>
            <w:tcBorders>
              <w:top w:val="nil"/>
              <w:left w:val="nil"/>
              <w:bottom w:val="single" w:sz="8" w:space="0" w:color="auto"/>
              <w:right w:val="single" w:sz="8" w:space="0" w:color="auto"/>
            </w:tcBorders>
            <w:shd w:val="clear" w:color="auto" w:fill="auto"/>
            <w:noWrap/>
            <w:vAlign w:val="center"/>
            <w:hideMark/>
          </w:tcPr>
          <w:p w14:paraId="239578C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auto" w:fill="auto"/>
            <w:noWrap/>
            <w:vAlign w:val="center"/>
            <w:hideMark/>
          </w:tcPr>
          <w:p w14:paraId="3847FC2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18EB7986"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5FC090A"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(Zákon osobitnom odvode v regulovaných odvetviach)</w:t>
            </w:r>
          </w:p>
        </w:tc>
        <w:tc>
          <w:tcPr>
            <w:tcW w:w="1276" w:type="dxa"/>
            <w:tcBorders>
              <w:top w:val="nil"/>
              <w:left w:val="nil"/>
              <w:bottom w:val="single" w:sz="8" w:space="0" w:color="auto"/>
              <w:right w:val="single" w:sz="8" w:space="0" w:color="auto"/>
            </w:tcBorders>
            <w:shd w:val="clear" w:color="auto" w:fill="auto"/>
            <w:noWrap/>
            <w:vAlign w:val="center"/>
            <w:hideMark/>
          </w:tcPr>
          <w:p w14:paraId="00F3924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70 972</w:t>
            </w:r>
          </w:p>
        </w:tc>
        <w:tc>
          <w:tcPr>
            <w:tcW w:w="1417" w:type="dxa"/>
            <w:tcBorders>
              <w:top w:val="nil"/>
              <w:left w:val="nil"/>
              <w:bottom w:val="single" w:sz="8" w:space="0" w:color="auto"/>
              <w:right w:val="single" w:sz="8" w:space="0" w:color="auto"/>
            </w:tcBorders>
            <w:shd w:val="clear" w:color="auto" w:fill="auto"/>
            <w:noWrap/>
            <w:vAlign w:val="center"/>
            <w:hideMark/>
          </w:tcPr>
          <w:p w14:paraId="1B3ECEB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149" w:type="dxa"/>
            <w:tcBorders>
              <w:top w:val="nil"/>
              <w:left w:val="nil"/>
              <w:bottom w:val="single" w:sz="8" w:space="0" w:color="auto"/>
              <w:right w:val="single" w:sz="8" w:space="0" w:color="auto"/>
            </w:tcBorders>
            <w:shd w:val="clear" w:color="auto" w:fill="auto"/>
            <w:noWrap/>
            <w:vAlign w:val="center"/>
            <w:hideMark/>
          </w:tcPr>
          <w:p w14:paraId="538CE2B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auto" w:fill="auto"/>
            <w:noWrap/>
            <w:vAlign w:val="center"/>
            <w:hideMark/>
          </w:tcPr>
          <w:p w14:paraId="5EE1D66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2093093D"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CA1DB6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(Zákon o dani z príjmov)</w:t>
            </w:r>
          </w:p>
        </w:tc>
        <w:tc>
          <w:tcPr>
            <w:tcW w:w="1276" w:type="dxa"/>
            <w:tcBorders>
              <w:top w:val="nil"/>
              <w:left w:val="nil"/>
              <w:bottom w:val="single" w:sz="8" w:space="0" w:color="auto"/>
              <w:right w:val="single" w:sz="8" w:space="0" w:color="auto"/>
            </w:tcBorders>
            <w:shd w:val="clear" w:color="auto" w:fill="auto"/>
            <w:noWrap/>
            <w:vAlign w:val="center"/>
            <w:hideMark/>
          </w:tcPr>
          <w:p w14:paraId="086BC4F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712 800</w:t>
            </w:r>
          </w:p>
        </w:tc>
        <w:tc>
          <w:tcPr>
            <w:tcW w:w="1417" w:type="dxa"/>
            <w:tcBorders>
              <w:top w:val="nil"/>
              <w:left w:val="nil"/>
              <w:bottom w:val="single" w:sz="8" w:space="0" w:color="auto"/>
              <w:right w:val="single" w:sz="8" w:space="0" w:color="auto"/>
            </w:tcBorders>
            <w:shd w:val="clear" w:color="auto" w:fill="auto"/>
            <w:noWrap/>
            <w:vAlign w:val="center"/>
            <w:hideMark/>
          </w:tcPr>
          <w:p w14:paraId="296FB51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930 600</w:t>
            </w:r>
          </w:p>
        </w:tc>
        <w:tc>
          <w:tcPr>
            <w:tcW w:w="1149" w:type="dxa"/>
            <w:tcBorders>
              <w:top w:val="nil"/>
              <w:left w:val="nil"/>
              <w:bottom w:val="single" w:sz="8" w:space="0" w:color="auto"/>
              <w:right w:val="single" w:sz="8" w:space="0" w:color="auto"/>
            </w:tcBorders>
            <w:shd w:val="clear" w:color="auto" w:fill="auto"/>
            <w:noWrap/>
            <w:vAlign w:val="center"/>
            <w:hideMark/>
          </w:tcPr>
          <w:p w14:paraId="3D83BF4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auto" w:fill="auto"/>
            <w:noWrap/>
            <w:vAlign w:val="center"/>
            <w:hideMark/>
          </w:tcPr>
          <w:p w14:paraId="024EB56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7E711C88" w14:textId="77777777" w:rsidTr="003627DF">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43D63F8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(Zákon o dani z poistenia)</w:t>
            </w:r>
          </w:p>
        </w:tc>
        <w:tc>
          <w:tcPr>
            <w:tcW w:w="1276" w:type="dxa"/>
            <w:tcBorders>
              <w:top w:val="nil"/>
              <w:left w:val="nil"/>
              <w:bottom w:val="single" w:sz="8" w:space="0" w:color="auto"/>
              <w:right w:val="single" w:sz="8" w:space="0" w:color="auto"/>
            </w:tcBorders>
            <w:shd w:val="clear" w:color="auto" w:fill="auto"/>
            <w:noWrap/>
            <w:vAlign w:val="center"/>
            <w:hideMark/>
          </w:tcPr>
          <w:p w14:paraId="0D5105A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187 330</w:t>
            </w:r>
          </w:p>
        </w:tc>
        <w:tc>
          <w:tcPr>
            <w:tcW w:w="1417" w:type="dxa"/>
            <w:tcBorders>
              <w:top w:val="nil"/>
              <w:left w:val="nil"/>
              <w:bottom w:val="single" w:sz="8" w:space="0" w:color="auto"/>
              <w:right w:val="single" w:sz="8" w:space="0" w:color="auto"/>
            </w:tcBorders>
            <w:shd w:val="clear" w:color="auto" w:fill="auto"/>
            <w:noWrap/>
            <w:vAlign w:val="center"/>
            <w:hideMark/>
          </w:tcPr>
          <w:p w14:paraId="7851993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152 000</w:t>
            </w:r>
          </w:p>
        </w:tc>
        <w:tc>
          <w:tcPr>
            <w:tcW w:w="1149" w:type="dxa"/>
            <w:tcBorders>
              <w:top w:val="nil"/>
              <w:left w:val="nil"/>
              <w:bottom w:val="single" w:sz="8" w:space="0" w:color="auto"/>
              <w:right w:val="single" w:sz="8" w:space="0" w:color="auto"/>
            </w:tcBorders>
            <w:shd w:val="clear" w:color="auto" w:fill="auto"/>
            <w:noWrap/>
            <w:vAlign w:val="center"/>
            <w:hideMark/>
          </w:tcPr>
          <w:p w14:paraId="6D6F1DB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204 000</w:t>
            </w:r>
          </w:p>
        </w:tc>
        <w:tc>
          <w:tcPr>
            <w:tcW w:w="1237" w:type="dxa"/>
            <w:tcBorders>
              <w:top w:val="nil"/>
              <w:left w:val="nil"/>
              <w:bottom w:val="single" w:sz="8" w:space="0" w:color="auto"/>
              <w:right w:val="single" w:sz="8" w:space="0" w:color="auto"/>
            </w:tcBorders>
            <w:shd w:val="clear" w:color="auto" w:fill="auto"/>
            <w:noWrap/>
            <w:vAlign w:val="center"/>
            <w:hideMark/>
          </w:tcPr>
          <w:p w14:paraId="5AD37D0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213 000</w:t>
            </w:r>
          </w:p>
        </w:tc>
      </w:tr>
      <w:tr w:rsidR="00AD62CD" w:rsidRPr="00AD62CD" w14:paraId="7F238FB7" w14:textId="77777777" w:rsidTr="003627DF">
        <w:trPr>
          <w:trHeight w:val="315"/>
        </w:trPr>
        <w:tc>
          <w:tcPr>
            <w:tcW w:w="4668" w:type="dxa"/>
            <w:tcBorders>
              <w:top w:val="nil"/>
              <w:left w:val="single" w:sz="8" w:space="0" w:color="auto"/>
              <w:bottom w:val="single" w:sz="8" w:space="0" w:color="auto"/>
              <w:right w:val="single" w:sz="8" w:space="0" w:color="auto"/>
            </w:tcBorders>
            <w:shd w:val="clear" w:color="000000" w:fill="BFBFBF"/>
            <w:noWrap/>
            <w:vAlign w:val="center"/>
            <w:hideMark/>
          </w:tcPr>
          <w:p w14:paraId="5460922E"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Iné ako rozpočtové zdroje</w:t>
            </w:r>
          </w:p>
        </w:tc>
        <w:tc>
          <w:tcPr>
            <w:tcW w:w="1276" w:type="dxa"/>
            <w:tcBorders>
              <w:top w:val="nil"/>
              <w:left w:val="nil"/>
              <w:bottom w:val="single" w:sz="8" w:space="0" w:color="auto"/>
              <w:right w:val="single" w:sz="8" w:space="0" w:color="auto"/>
            </w:tcBorders>
            <w:shd w:val="clear" w:color="000000" w:fill="BFBFBF"/>
            <w:noWrap/>
            <w:vAlign w:val="center"/>
            <w:hideMark/>
          </w:tcPr>
          <w:p w14:paraId="17D4C375"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000000" w:fill="BFBFBF"/>
            <w:noWrap/>
            <w:vAlign w:val="center"/>
            <w:hideMark/>
          </w:tcPr>
          <w:p w14:paraId="585B23B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149" w:type="dxa"/>
            <w:tcBorders>
              <w:top w:val="nil"/>
              <w:left w:val="nil"/>
              <w:bottom w:val="single" w:sz="8" w:space="0" w:color="auto"/>
              <w:right w:val="single" w:sz="8" w:space="0" w:color="auto"/>
            </w:tcBorders>
            <w:shd w:val="clear" w:color="000000" w:fill="BFBFBF"/>
            <w:noWrap/>
            <w:vAlign w:val="center"/>
            <w:hideMark/>
          </w:tcPr>
          <w:p w14:paraId="3B74FC0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37" w:type="dxa"/>
            <w:tcBorders>
              <w:top w:val="nil"/>
              <w:left w:val="nil"/>
              <w:bottom w:val="single" w:sz="8" w:space="0" w:color="auto"/>
              <w:right w:val="single" w:sz="8" w:space="0" w:color="auto"/>
            </w:tcBorders>
            <w:shd w:val="clear" w:color="000000" w:fill="BFBFBF"/>
            <w:noWrap/>
            <w:vAlign w:val="center"/>
            <w:hideMark/>
          </w:tcPr>
          <w:p w14:paraId="11F50092"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r>
      <w:tr w:rsidR="00AD62CD" w:rsidRPr="00AD62CD" w14:paraId="1F9D6DFE" w14:textId="77777777" w:rsidTr="003627DF">
        <w:trPr>
          <w:trHeight w:val="315"/>
        </w:trPr>
        <w:tc>
          <w:tcPr>
            <w:tcW w:w="4668" w:type="dxa"/>
            <w:tcBorders>
              <w:top w:val="nil"/>
              <w:left w:val="single" w:sz="8" w:space="0" w:color="auto"/>
              <w:bottom w:val="single" w:sz="8" w:space="0" w:color="auto"/>
              <w:right w:val="single" w:sz="8" w:space="0" w:color="auto"/>
            </w:tcBorders>
            <w:shd w:val="clear" w:color="000000" w:fill="A6A6A6"/>
            <w:noWrap/>
            <w:vAlign w:val="center"/>
            <w:hideMark/>
          </w:tcPr>
          <w:p w14:paraId="124D65E8"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Rozpočtovo nekrytý vplyv / úspora - Celkový vplyv na rozpočet (+negatívum/-pozitívum)</w:t>
            </w:r>
          </w:p>
        </w:tc>
        <w:tc>
          <w:tcPr>
            <w:tcW w:w="1276" w:type="dxa"/>
            <w:tcBorders>
              <w:top w:val="nil"/>
              <w:left w:val="nil"/>
              <w:bottom w:val="single" w:sz="8" w:space="0" w:color="auto"/>
              <w:right w:val="single" w:sz="8" w:space="0" w:color="auto"/>
            </w:tcBorders>
            <w:shd w:val="clear" w:color="000000" w:fill="A6A6A6"/>
            <w:noWrap/>
            <w:vAlign w:val="center"/>
            <w:hideMark/>
          </w:tcPr>
          <w:p w14:paraId="3E4B23AA"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000000" w:fill="A6A6A6"/>
            <w:noWrap/>
            <w:vAlign w:val="center"/>
            <w:hideMark/>
          </w:tcPr>
          <w:p w14:paraId="63A3F4F1"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-1 437 337 792</w:t>
            </w:r>
          </w:p>
        </w:tc>
        <w:tc>
          <w:tcPr>
            <w:tcW w:w="1149" w:type="dxa"/>
            <w:tcBorders>
              <w:top w:val="nil"/>
              <w:left w:val="nil"/>
              <w:bottom w:val="single" w:sz="8" w:space="0" w:color="auto"/>
              <w:right w:val="single" w:sz="8" w:space="0" w:color="auto"/>
            </w:tcBorders>
            <w:shd w:val="clear" w:color="000000" w:fill="A6A6A6"/>
            <w:noWrap/>
            <w:vAlign w:val="center"/>
            <w:hideMark/>
          </w:tcPr>
          <w:p w14:paraId="23F8A6A2"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-1 591 174 791</w:t>
            </w:r>
          </w:p>
        </w:tc>
        <w:tc>
          <w:tcPr>
            <w:tcW w:w="1237" w:type="dxa"/>
            <w:tcBorders>
              <w:top w:val="nil"/>
              <w:left w:val="nil"/>
              <w:bottom w:val="single" w:sz="8" w:space="0" w:color="auto"/>
              <w:right w:val="single" w:sz="8" w:space="0" w:color="auto"/>
            </w:tcBorders>
            <w:shd w:val="clear" w:color="000000" w:fill="A6A6A6"/>
            <w:noWrap/>
            <w:vAlign w:val="center"/>
            <w:hideMark/>
          </w:tcPr>
          <w:p w14:paraId="151D499B"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-1 716 445 073</w:t>
            </w:r>
          </w:p>
        </w:tc>
      </w:tr>
    </w:tbl>
    <w:p w14:paraId="759162F7" w14:textId="77777777" w:rsidR="00AD62CD" w:rsidRPr="00AD62CD" w:rsidRDefault="00AD62CD" w:rsidP="00AD62CD">
      <w:pPr>
        <w:spacing w:after="0" w:line="276" w:lineRule="auto"/>
        <w:jc w:val="both"/>
        <w:rPr>
          <w:rFonts w:ascii="Times New Roman" w:eastAsia="Times New Roman" w:hAnsi="Times New Roman" w:cs="Times New Roman"/>
          <w:b/>
          <w:bCs/>
          <w:kern w:val="0"/>
          <w:sz w:val="20"/>
          <w:szCs w:val="20"/>
          <w:lang w:eastAsia="sk-SK"/>
          <w14:ligatures w14:val="none"/>
        </w:rPr>
      </w:pPr>
    </w:p>
    <w:p w14:paraId="658E98B0" w14:textId="77777777" w:rsidR="00AD62CD" w:rsidRPr="00AD62CD" w:rsidRDefault="00AD62CD" w:rsidP="00AD62CD">
      <w:pPr>
        <w:spacing w:after="0" w:line="276" w:lineRule="auto"/>
        <w:jc w:val="both"/>
        <w:rPr>
          <w:rFonts w:ascii="Times New Roman" w:eastAsia="Times New Roman" w:hAnsi="Times New Roman" w:cs="Times New Roman"/>
          <w:b/>
          <w:bCs/>
          <w:kern w:val="0"/>
          <w:sz w:val="20"/>
          <w:szCs w:val="20"/>
          <w:lang w:eastAsia="sk-SK"/>
          <w14:ligatures w14:val="none"/>
        </w:rPr>
      </w:pPr>
    </w:p>
    <w:p w14:paraId="2A8474A0" w14:textId="77777777" w:rsidR="00AD62CD" w:rsidRPr="00AD62CD" w:rsidRDefault="00AD62CD" w:rsidP="00AD62CD">
      <w:pPr>
        <w:spacing w:after="0" w:line="276" w:lineRule="auto"/>
        <w:jc w:val="both"/>
        <w:rPr>
          <w:rFonts w:ascii="Times New Roman" w:eastAsia="Times New Roman" w:hAnsi="Times New Roman" w:cs="Times New Roman"/>
          <w:b/>
          <w:bCs/>
          <w:kern w:val="0"/>
          <w:sz w:val="20"/>
          <w:szCs w:val="20"/>
          <w:lang w:eastAsia="sk-SK"/>
          <w14:ligatures w14:val="none"/>
        </w:rPr>
      </w:pPr>
    </w:p>
    <w:p w14:paraId="367AEC0D" w14:textId="77777777" w:rsidR="00AD62CD" w:rsidRPr="00AD62CD" w:rsidRDefault="00AD62CD" w:rsidP="00AD62CD">
      <w:pPr>
        <w:spacing w:after="0" w:line="276" w:lineRule="auto"/>
        <w:jc w:val="both"/>
        <w:rPr>
          <w:rFonts w:ascii="Times New Roman" w:eastAsia="Times New Roman" w:hAnsi="Times New Roman" w:cs="Times New Roman"/>
          <w:b/>
          <w:bCs/>
          <w:kern w:val="0"/>
          <w:sz w:val="20"/>
          <w:szCs w:val="20"/>
          <w:lang w:eastAsia="sk-SK"/>
          <w14:ligatures w14:val="none"/>
        </w:rPr>
      </w:pPr>
    </w:p>
    <w:p w14:paraId="24BE84F8" w14:textId="77777777" w:rsidR="00AD62CD" w:rsidRPr="00AD62CD" w:rsidRDefault="00AD62CD" w:rsidP="00AD62CD">
      <w:pPr>
        <w:spacing w:after="0" w:line="276" w:lineRule="auto"/>
        <w:jc w:val="both"/>
        <w:rPr>
          <w:rFonts w:ascii="Times New Roman" w:eastAsia="Times New Roman" w:hAnsi="Times New Roman" w:cs="Times New Roman"/>
          <w:b/>
          <w:bCs/>
          <w:kern w:val="0"/>
          <w:sz w:val="20"/>
          <w:szCs w:val="20"/>
          <w:lang w:eastAsia="sk-SK"/>
          <w14:ligatures w14:val="none"/>
        </w:rPr>
      </w:pPr>
    </w:p>
    <w:p w14:paraId="3BFFD431" w14:textId="77777777" w:rsidR="00AD62CD" w:rsidRPr="00AD62CD" w:rsidRDefault="00AD62CD" w:rsidP="00AD62CD">
      <w:pPr>
        <w:spacing w:after="0" w:line="276" w:lineRule="auto"/>
        <w:jc w:val="both"/>
        <w:rPr>
          <w:rFonts w:ascii="Times New Roman" w:eastAsia="Times New Roman" w:hAnsi="Times New Roman" w:cs="Times New Roman"/>
          <w:b/>
          <w:bCs/>
          <w:kern w:val="0"/>
          <w:sz w:val="20"/>
          <w:szCs w:val="20"/>
          <w:lang w:eastAsia="sk-SK"/>
          <w14:ligatures w14:val="none"/>
        </w:rPr>
      </w:pPr>
    </w:p>
    <w:p w14:paraId="607C3B2F" w14:textId="77777777" w:rsidR="00AD62CD" w:rsidRPr="00AD62CD" w:rsidRDefault="00AD62CD" w:rsidP="00AD62CD">
      <w:pPr>
        <w:spacing w:after="0" w:line="276" w:lineRule="auto"/>
        <w:jc w:val="both"/>
        <w:rPr>
          <w:rFonts w:ascii="Times New Roman" w:eastAsia="Times New Roman" w:hAnsi="Times New Roman" w:cs="Times New Roman"/>
          <w:b/>
          <w:bCs/>
          <w:kern w:val="0"/>
          <w:sz w:val="20"/>
          <w:szCs w:val="20"/>
          <w:lang w:eastAsia="sk-SK"/>
          <w14:ligatures w14:val="none"/>
        </w:rPr>
      </w:pPr>
    </w:p>
    <w:p w14:paraId="18F75CAF" w14:textId="77777777" w:rsidR="00AD62CD" w:rsidRPr="00AD62CD" w:rsidRDefault="00AD62CD" w:rsidP="00AD62CD">
      <w:pPr>
        <w:spacing w:after="0" w:line="276" w:lineRule="auto"/>
        <w:jc w:val="both"/>
        <w:rPr>
          <w:rFonts w:ascii="Times New Roman" w:eastAsia="Times New Roman" w:hAnsi="Times New Roman" w:cs="Times New Roman"/>
          <w:b/>
          <w:bCs/>
          <w:kern w:val="0"/>
          <w:sz w:val="20"/>
          <w:szCs w:val="20"/>
          <w:lang w:eastAsia="sk-SK"/>
          <w14:ligatures w14:val="none"/>
        </w:rPr>
      </w:pPr>
    </w:p>
    <w:p w14:paraId="64AB5A8C" w14:textId="77777777" w:rsidR="00AD62CD" w:rsidRPr="00AD62CD" w:rsidRDefault="00AD62CD" w:rsidP="00AD62CD">
      <w:pPr>
        <w:spacing w:after="0" w:line="276" w:lineRule="auto"/>
        <w:jc w:val="both"/>
        <w:rPr>
          <w:rFonts w:ascii="Times New Roman" w:eastAsia="Times New Roman" w:hAnsi="Times New Roman" w:cs="Times New Roman"/>
          <w:b/>
          <w:bCs/>
          <w:kern w:val="0"/>
          <w:sz w:val="20"/>
          <w:szCs w:val="20"/>
          <w:lang w:eastAsia="sk-SK"/>
          <w14:ligatures w14:val="none"/>
        </w:rPr>
      </w:pPr>
    </w:p>
    <w:p w14:paraId="1CBD96CF" w14:textId="77777777" w:rsidR="00AD62CD" w:rsidRPr="00AD62CD" w:rsidRDefault="00AD62CD" w:rsidP="00AD62CD">
      <w:pPr>
        <w:spacing w:after="0" w:line="276" w:lineRule="auto"/>
        <w:jc w:val="both"/>
        <w:rPr>
          <w:rFonts w:ascii="Times New Roman" w:eastAsia="Times New Roman" w:hAnsi="Times New Roman" w:cs="Times New Roman"/>
          <w:b/>
          <w:bCs/>
          <w:kern w:val="0"/>
          <w:sz w:val="20"/>
          <w:szCs w:val="20"/>
          <w:lang w:eastAsia="sk-SK"/>
          <w14:ligatures w14:val="none"/>
        </w:rPr>
      </w:pPr>
    </w:p>
    <w:p w14:paraId="304F56E5" w14:textId="77777777" w:rsidR="00AD62CD" w:rsidRPr="00AD62CD" w:rsidRDefault="00AD62CD" w:rsidP="00AD62CD">
      <w:pPr>
        <w:spacing w:after="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Tabuľka č. 1/B</w:t>
      </w:r>
    </w:p>
    <w:tbl>
      <w:tblPr>
        <w:tblW w:w="9493" w:type="dxa"/>
        <w:tblCellMar>
          <w:left w:w="70" w:type="dxa"/>
          <w:right w:w="70" w:type="dxa"/>
        </w:tblCellMar>
        <w:tblLook w:val="04A0" w:firstRow="1" w:lastRow="0" w:firstColumn="1" w:lastColumn="0" w:noHBand="0" w:noVBand="1"/>
      </w:tblPr>
      <w:tblGrid>
        <w:gridCol w:w="3959"/>
        <w:gridCol w:w="1134"/>
        <w:gridCol w:w="1560"/>
        <w:gridCol w:w="1420"/>
        <w:gridCol w:w="1420"/>
      </w:tblGrid>
      <w:tr w:rsidR="00AD62CD" w:rsidRPr="00AD62CD" w14:paraId="440401D6" w14:textId="77777777" w:rsidTr="003627DF">
        <w:trPr>
          <w:trHeight w:val="270"/>
        </w:trPr>
        <w:tc>
          <w:tcPr>
            <w:tcW w:w="3959"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6EC564E8"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14:paraId="25BD10B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1560" w:type="dxa"/>
            <w:tcBorders>
              <w:top w:val="single" w:sz="8" w:space="0" w:color="auto"/>
              <w:left w:val="nil"/>
              <w:bottom w:val="single" w:sz="8" w:space="0" w:color="auto"/>
              <w:right w:val="single" w:sz="8" w:space="0" w:color="auto"/>
            </w:tcBorders>
            <w:shd w:val="clear" w:color="000000" w:fill="BFBFBF"/>
            <w:noWrap/>
            <w:vAlign w:val="center"/>
            <w:hideMark/>
          </w:tcPr>
          <w:p w14:paraId="61362C3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420" w:type="dxa"/>
            <w:tcBorders>
              <w:top w:val="single" w:sz="8" w:space="0" w:color="auto"/>
              <w:left w:val="nil"/>
              <w:bottom w:val="single" w:sz="8" w:space="0" w:color="auto"/>
              <w:right w:val="single" w:sz="8" w:space="0" w:color="auto"/>
            </w:tcBorders>
            <w:shd w:val="clear" w:color="000000" w:fill="BFBFBF"/>
            <w:noWrap/>
            <w:vAlign w:val="center"/>
            <w:hideMark/>
          </w:tcPr>
          <w:p w14:paraId="764C2D7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420" w:type="dxa"/>
            <w:tcBorders>
              <w:top w:val="single" w:sz="8" w:space="0" w:color="auto"/>
              <w:left w:val="nil"/>
              <w:bottom w:val="single" w:sz="8" w:space="0" w:color="auto"/>
              <w:right w:val="single" w:sz="8" w:space="0" w:color="auto"/>
            </w:tcBorders>
            <w:shd w:val="clear" w:color="000000" w:fill="BFBFBF"/>
            <w:noWrap/>
            <w:vAlign w:val="center"/>
            <w:hideMark/>
          </w:tcPr>
          <w:p w14:paraId="63796AD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r>
      <w:tr w:rsidR="00AD62CD" w:rsidRPr="00AD62CD" w14:paraId="35246DB0" w14:textId="77777777" w:rsidTr="003627DF">
        <w:trPr>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68C738C5"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Vplyvy na limit verejných výdavkov verejnej správy celkom (v metodike ESA 2010)</w:t>
            </w:r>
          </w:p>
        </w:tc>
        <w:tc>
          <w:tcPr>
            <w:tcW w:w="1134" w:type="dxa"/>
            <w:tcBorders>
              <w:top w:val="nil"/>
              <w:left w:val="nil"/>
              <w:bottom w:val="single" w:sz="8" w:space="0" w:color="auto"/>
              <w:right w:val="single" w:sz="8" w:space="0" w:color="auto"/>
            </w:tcBorders>
            <w:shd w:val="clear" w:color="auto" w:fill="auto"/>
            <w:noWrap/>
            <w:hideMark/>
          </w:tcPr>
          <w:p w14:paraId="3DD9C917" w14:textId="77777777" w:rsidR="00AD62CD" w:rsidRPr="00AD62CD" w:rsidRDefault="00AD62CD" w:rsidP="00AD62CD">
            <w:pPr>
              <w:spacing w:after="0" w:line="240" w:lineRule="auto"/>
              <w:ind w:firstLineChars="100" w:firstLine="220"/>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kern w:val="0"/>
                <w:sz w:val="22"/>
                <w:szCs w:val="22"/>
                <w14:ligatures w14:val="none"/>
              </w:rPr>
              <w:t>0</w:t>
            </w:r>
          </w:p>
        </w:tc>
        <w:tc>
          <w:tcPr>
            <w:tcW w:w="1560" w:type="dxa"/>
            <w:tcBorders>
              <w:top w:val="nil"/>
              <w:left w:val="nil"/>
              <w:bottom w:val="single" w:sz="8" w:space="0" w:color="auto"/>
              <w:right w:val="single" w:sz="8" w:space="0" w:color="auto"/>
            </w:tcBorders>
            <w:shd w:val="clear" w:color="auto" w:fill="auto"/>
            <w:noWrap/>
            <w:hideMark/>
          </w:tcPr>
          <w:p w14:paraId="670443EE"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-1 436 255 192</w:t>
            </w:r>
          </w:p>
        </w:tc>
        <w:tc>
          <w:tcPr>
            <w:tcW w:w="1420" w:type="dxa"/>
            <w:tcBorders>
              <w:top w:val="nil"/>
              <w:left w:val="nil"/>
              <w:bottom w:val="single" w:sz="8" w:space="0" w:color="auto"/>
              <w:right w:val="single" w:sz="8" w:space="0" w:color="auto"/>
            </w:tcBorders>
            <w:shd w:val="clear" w:color="auto" w:fill="auto"/>
            <w:noWrap/>
            <w:hideMark/>
          </w:tcPr>
          <w:p w14:paraId="29AEF3B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-1 591 378 791</w:t>
            </w:r>
          </w:p>
        </w:tc>
        <w:tc>
          <w:tcPr>
            <w:tcW w:w="1420" w:type="dxa"/>
            <w:tcBorders>
              <w:top w:val="nil"/>
              <w:left w:val="nil"/>
              <w:bottom w:val="single" w:sz="8" w:space="0" w:color="auto"/>
              <w:right w:val="single" w:sz="8" w:space="0" w:color="auto"/>
            </w:tcBorders>
            <w:shd w:val="clear" w:color="auto" w:fill="auto"/>
            <w:noWrap/>
            <w:hideMark/>
          </w:tcPr>
          <w:p w14:paraId="37C9007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-1 716 658 073</w:t>
            </w:r>
          </w:p>
        </w:tc>
      </w:tr>
      <w:tr w:rsidR="00AD62CD" w:rsidRPr="00AD62CD" w14:paraId="451D49F1" w14:textId="77777777" w:rsidTr="003627DF">
        <w:trPr>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5190CE35"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v tom: za každý subjekt verejnej správy zvlášť / program zvlášť</w:t>
            </w:r>
          </w:p>
        </w:tc>
        <w:tc>
          <w:tcPr>
            <w:tcW w:w="1134" w:type="dxa"/>
            <w:tcBorders>
              <w:top w:val="nil"/>
              <w:left w:val="nil"/>
              <w:bottom w:val="single" w:sz="8" w:space="0" w:color="auto"/>
              <w:right w:val="single" w:sz="8" w:space="0" w:color="auto"/>
            </w:tcBorders>
            <w:shd w:val="clear" w:color="auto" w:fill="auto"/>
            <w:noWrap/>
            <w:hideMark/>
          </w:tcPr>
          <w:p w14:paraId="3B4395DB" w14:textId="77777777" w:rsidR="00AD62CD" w:rsidRPr="00AD62CD" w:rsidRDefault="00AD62CD" w:rsidP="00AD62CD">
            <w:pPr>
              <w:spacing w:after="0" w:line="240" w:lineRule="auto"/>
              <w:ind w:firstLineChars="100" w:firstLine="22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Calibri" w:hAnsi="Times New Roman" w:cs="Times New Roman"/>
                <w:kern w:val="0"/>
                <w:sz w:val="22"/>
                <w:szCs w:val="22"/>
                <w14:ligatures w14:val="none"/>
              </w:rPr>
              <w:t>0</w:t>
            </w:r>
          </w:p>
        </w:tc>
        <w:tc>
          <w:tcPr>
            <w:tcW w:w="1560" w:type="dxa"/>
            <w:tcBorders>
              <w:top w:val="nil"/>
              <w:left w:val="nil"/>
              <w:bottom w:val="single" w:sz="8" w:space="0" w:color="auto"/>
              <w:right w:val="single" w:sz="8" w:space="0" w:color="auto"/>
            </w:tcBorders>
            <w:shd w:val="clear" w:color="auto" w:fill="auto"/>
            <w:noWrap/>
            <w:hideMark/>
          </w:tcPr>
          <w:p w14:paraId="2AD8BACB"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0</w:t>
            </w:r>
          </w:p>
        </w:tc>
        <w:tc>
          <w:tcPr>
            <w:tcW w:w="1420" w:type="dxa"/>
            <w:tcBorders>
              <w:top w:val="nil"/>
              <w:left w:val="nil"/>
              <w:bottom w:val="single" w:sz="8" w:space="0" w:color="auto"/>
              <w:right w:val="single" w:sz="8" w:space="0" w:color="auto"/>
            </w:tcBorders>
            <w:shd w:val="clear" w:color="auto" w:fill="auto"/>
            <w:noWrap/>
            <w:hideMark/>
          </w:tcPr>
          <w:p w14:paraId="5782B51E"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0</w:t>
            </w:r>
          </w:p>
        </w:tc>
        <w:tc>
          <w:tcPr>
            <w:tcW w:w="1420" w:type="dxa"/>
            <w:tcBorders>
              <w:top w:val="nil"/>
              <w:left w:val="nil"/>
              <w:bottom w:val="single" w:sz="8" w:space="0" w:color="auto"/>
              <w:right w:val="single" w:sz="8" w:space="0" w:color="auto"/>
            </w:tcBorders>
            <w:shd w:val="clear" w:color="auto" w:fill="auto"/>
            <w:noWrap/>
            <w:hideMark/>
          </w:tcPr>
          <w:p w14:paraId="4C6B22A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0</w:t>
            </w:r>
          </w:p>
        </w:tc>
      </w:tr>
      <w:tr w:rsidR="00AD62CD" w:rsidRPr="00AD62CD" w14:paraId="3376DEA1" w14:textId="77777777" w:rsidTr="003627DF">
        <w:trPr>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0FAA8443"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z toho:</w:t>
            </w:r>
          </w:p>
        </w:tc>
        <w:tc>
          <w:tcPr>
            <w:tcW w:w="1134" w:type="dxa"/>
            <w:tcBorders>
              <w:top w:val="nil"/>
              <w:left w:val="nil"/>
              <w:bottom w:val="single" w:sz="8" w:space="0" w:color="auto"/>
              <w:right w:val="single" w:sz="8" w:space="0" w:color="auto"/>
            </w:tcBorders>
            <w:shd w:val="clear" w:color="auto" w:fill="auto"/>
            <w:noWrap/>
            <w:hideMark/>
          </w:tcPr>
          <w:p w14:paraId="1BA0AC6C"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p>
        </w:tc>
        <w:tc>
          <w:tcPr>
            <w:tcW w:w="1560" w:type="dxa"/>
            <w:tcBorders>
              <w:top w:val="nil"/>
              <w:left w:val="nil"/>
              <w:bottom w:val="single" w:sz="8" w:space="0" w:color="auto"/>
              <w:right w:val="single" w:sz="8" w:space="0" w:color="auto"/>
            </w:tcBorders>
            <w:shd w:val="clear" w:color="auto" w:fill="auto"/>
            <w:noWrap/>
            <w:hideMark/>
          </w:tcPr>
          <w:p w14:paraId="7E0379E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p>
        </w:tc>
        <w:tc>
          <w:tcPr>
            <w:tcW w:w="1420" w:type="dxa"/>
            <w:tcBorders>
              <w:top w:val="nil"/>
              <w:left w:val="nil"/>
              <w:bottom w:val="single" w:sz="8" w:space="0" w:color="auto"/>
              <w:right w:val="single" w:sz="8" w:space="0" w:color="auto"/>
            </w:tcBorders>
            <w:shd w:val="clear" w:color="auto" w:fill="auto"/>
            <w:noWrap/>
            <w:hideMark/>
          </w:tcPr>
          <w:p w14:paraId="6668AED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p>
        </w:tc>
        <w:tc>
          <w:tcPr>
            <w:tcW w:w="1420" w:type="dxa"/>
            <w:tcBorders>
              <w:top w:val="nil"/>
              <w:left w:val="nil"/>
              <w:bottom w:val="single" w:sz="8" w:space="0" w:color="auto"/>
              <w:right w:val="single" w:sz="8" w:space="0" w:color="auto"/>
            </w:tcBorders>
            <w:shd w:val="clear" w:color="auto" w:fill="auto"/>
            <w:noWrap/>
            <w:hideMark/>
          </w:tcPr>
          <w:p w14:paraId="59086E2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p>
        </w:tc>
      </w:tr>
      <w:tr w:rsidR="00AD62CD" w:rsidRPr="00AD62CD" w14:paraId="00A4ED10" w14:textId="77777777" w:rsidTr="003627DF">
        <w:trPr>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7247A81E"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ŠR</w:t>
            </w:r>
          </w:p>
        </w:tc>
        <w:tc>
          <w:tcPr>
            <w:tcW w:w="1134" w:type="dxa"/>
            <w:tcBorders>
              <w:top w:val="nil"/>
              <w:left w:val="nil"/>
              <w:bottom w:val="single" w:sz="8" w:space="0" w:color="auto"/>
              <w:right w:val="single" w:sz="8" w:space="0" w:color="auto"/>
            </w:tcBorders>
            <w:shd w:val="clear" w:color="auto" w:fill="auto"/>
            <w:noWrap/>
            <w:hideMark/>
          </w:tcPr>
          <w:p w14:paraId="42097ABD" w14:textId="77777777" w:rsidR="00AD62CD" w:rsidRPr="00AD62CD" w:rsidRDefault="00AD62CD" w:rsidP="00AD62CD">
            <w:pPr>
              <w:spacing w:after="0" w:line="240" w:lineRule="auto"/>
              <w:ind w:firstLineChars="100" w:firstLine="220"/>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kern w:val="0"/>
                <w:sz w:val="22"/>
                <w:szCs w:val="22"/>
                <w14:ligatures w14:val="none"/>
              </w:rPr>
              <w:t>0</w:t>
            </w:r>
          </w:p>
        </w:tc>
        <w:tc>
          <w:tcPr>
            <w:tcW w:w="1560" w:type="dxa"/>
            <w:tcBorders>
              <w:top w:val="nil"/>
              <w:left w:val="nil"/>
              <w:bottom w:val="single" w:sz="8" w:space="0" w:color="auto"/>
              <w:right w:val="single" w:sz="8" w:space="0" w:color="auto"/>
            </w:tcBorders>
            <w:shd w:val="clear" w:color="auto" w:fill="auto"/>
            <w:noWrap/>
            <w:hideMark/>
          </w:tcPr>
          <w:p w14:paraId="00B6779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-599 828 809</w:t>
            </w:r>
          </w:p>
        </w:tc>
        <w:tc>
          <w:tcPr>
            <w:tcW w:w="1420" w:type="dxa"/>
            <w:tcBorders>
              <w:top w:val="nil"/>
              <w:left w:val="nil"/>
              <w:bottom w:val="single" w:sz="8" w:space="0" w:color="auto"/>
              <w:right w:val="single" w:sz="8" w:space="0" w:color="auto"/>
            </w:tcBorders>
            <w:shd w:val="clear" w:color="auto" w:fill="auto"/>
            <w:noWrap/>
            <w:hideMark/>
          </w:tcPr>
          <w:p w14:paraId="73175211"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-536 245 292</w:t>
            </w:r>
          </w:p>
        </w:tc>
        <w:tc>
          <w:tcPr>
            <w:tcW w:w="1420" w:type="dxa"/>
            <w:tcBorders>
              <w:top w:val="nil"/>
              <w:left w:val="nil"/>
              <w:bottom w:val="single" w:sz="8" w:space="0" w:color="auto"/>
              <w:right w:val="single" w:sz="8" w:space="0" w:color="auto"/>
            </w:tcBorders>
            <w:shd w:val="clear" w:color="auto" w:fill="auto"/>
            <w:noWrap/>
            <w:hideMark/>
          </w:tcPr>
          <w:p w14:paraId="60B4516F"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-561 560 343</w:t>
            </w:r>
          </w:p>
        </w:tc>
      </w:tr>
      <w:tr w:rsidR="00AD62CD" w:rsidRPr="00AD62CD" w14:paraId="4D04EFE6" w14:textId="77777777" w:rsidTr="003627DF">
        <w:trPr>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52273B34"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ostatných subjekty verejnej správy</w:t>
            </w:r>
          </w:p>
        </w:tc>
        <w:tc>
          <w:tcPr>
            <w:tcW w:w="1134" w:type="dxa"/>
            <w:tcBorders>
              <w:top w:val="nil"/>
              <w:left w:val="nil"/>
              <w:bottom w:val="single" w:sz="8" w:space="0" w:color="auto"/>
              <w:right w:val="single" w:sz="8" w:space="0" w:color="auto"/>
            </w:tcBorders>
            <w:shd w:val="clear" w:color="auto" w:fill="auto"/>
            <w:noWrap/>
            <w:hideMark/>
          </w:tcPr>
          <w:p w14:paraId="4617232A" w14:textId="77777777" w:rsidR="00AD62CD" w:rsidRPr="00AD62CD" w:rsidRDefault="00AD62CD" w:rsidP="00AD62CD">
            <w:pPr>
              <w:spacing w:after="0" w:line="240" w:lineRule="auto"/>
              <w:ind w:firstLineChars="100" w:firstLine="220"/>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kern w:val="0"/>
                <w:sz w:val="22"/>
                <w:szCs w:val="22"/>
                <w14:ligatures w14:val="none"/>
              </w:rPr>
              <w:t>0</w:t>
            </w:r>
          </w:p>
        </w:tc>
        <w:tc>
          <w:tcPr>
            <w:tcW w:w="1560" w:type="dxa"/>
            <w:tcBorders>
              <w:top w:val="nil"/>
              <w:left w:val="nil"/>
              <w:bottom w:val="single" w:sz="8" w:space="0" w:color="auto"/>
              <w:right w:val="single" w:sz="8" w:space="0" w:color="auto"/>
            </w:tcBorders>
            <w:shd w:val="clear" w:color="auto" w:fill="auto"/>
            <w:noWrap/>
            <w:hideMark/>
          </w:tcPr>
          <w:p w14:paraId="00ACEF6F"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-753 736 951</w:t>
            </w:r>
          </w:p>
        </w:tc>
        <w:tc>
          <w:tcPr>
            <w:tcW w:w="1420" w:type="dxa"/>
            <w:tcBorders>
              <w:top w:val="nil"/>
              <w:left w:val="nil"/>
              <w:bottom w:val="single" w:sz="8" w:space="0" w:color="auto"/>
              <w:right w:val="single" w:sz="8" w:space="0" w:color="auto"/>
            </w:tcBorders>
            <w:shd w:val="clear" w:color="auto" w:fill="auto"/>
            <w:noWrap/>
            <w:hideMark/>
          </w:tcPr>
          <w:p w14:paraId="056A1B64"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-524 603 094</w:t>
            </w:r>
          </w:p>
        </w:tc>
        <w:tc>
          <w:tcPr>
            <w:tcW w:w="1420" w:type="dxa"/>
            <w:tcBorders>
              <w:top w:val="nil"/>
              <w:left w:val="nil"/>
              <w:bottom w:val="single" w:sz="8" w:space="0" w:color="auto"/>
              <w:right w:val="single" w:sz="8" w:space="0" w:color="auto"/>
            </w:tcBorders>
            <w:shd w:val="clear" w:color="auto" w:fill="auto"/>
            <w:noWrap/>
            <w:hideMark/>
          </w:tcPr>
          <w:p w14:paraId="52A9894B"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-591 024 804</w:t>
            </w:r>
          </w:p>
        </w:tc>
      </w:tr>
      <w:tr w:rsidR="00AD62CD" w:rsidRPr="00AD62CD" w14:paraId="1BB4E1E9" w14:textId="77777777" w:rsidTr="003627DF">
        <w:trPr>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5174297D"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ďalších súčastí rozpočtu verejnej správy</w:t>
            </w:r>
          </w:p>
        </w:tc>
        <w:tc>
          <w:tcPr>
            <w:tcW w:w="1134" w:type="dxa"/>
            <w:tcBorders>
              <w:top w:val="nil"/>
              <w:left w:val="nil"/>
              <w:bottom w:val="single" w:sz="8" w:space="0" w:color="auto"/>
              <w:right w:val="single" w:sz="8" w:space="0" w:color="auto"/>
            </w:tcBorders>
            <w:shd w:val="clear" w:color="auto" w:fill="auto"/>
            <w:noWrap/>
            <w:hideMark/>
          </w:tcPr>
          <w:p w14:paraId="70687F91" w14:textId="77777777" w:rsidR="00AD62CD" w:rsidRPr="00AD62CD" w:rsidRDefault="00AD62CD" w:rsidP="00AD62CD">
            <w:pPr>
              <w:spacing w:after="0" w:line="240" w:lineRule="auto"/>
              <w:ind w:firstLineChars="100" w:firstLine="220"/>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kern w:val="0"/>
                <w:sz w:val="22"/>
                <w:szCs w:val="22"/>
                <w14:ligatures w14:val="none"/>
              </w:rPr>
              <w:t>0</w:t>
            </w:r>
          </w:p>
        </w:tc>
        <w:tc>
          <w:tcPr>
            <w:tcW w:w="1560" w:type="dxa"/>
            <w:tcBorders>
              <w:top w:val="nil"/>
              <w:left w:val="nil"/>
              <w:bottom w:val="single" w:sz="8" w:space="0" w:color="auto"/>
              <w:right w:val="single" w:sz="8" w:space="0" w:color="auto"/>
            </w:tcBorders>
            <w:shd w:val="clear" w:color="auto" w:fill="auto"/>
            <w:noWrap/>
            <w:hideMark/>
          </w:tcPr>
          <w:p w14:paraId="73F2D1BD"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-82 689 432</w:t>
            </w:r>
          </w:p>
        </w:tc>
        <w:tc>
          <w:tcPr>
            <w:tcW w:w="1420" w:type="dxa"/>
            <w:tcBorders>
              <w:top w:val="nil"/>
              <w:left w:val="nil"/>
              <w:bottom w:val="single" w:sz="8" w:space="0" w:color="auto"/>
              <w:right w:val="single" w:sz="8" w:space="0" w:color="auto"/>
            </w:tcBorders>
            <w:shd w:val="clear" w:color="auto" w:fill="auto"/>
            <w:noWrap/>
            <w:hideMark/>
          </w:tcPr>
          <w:p w14:paraId="4565277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118 653 485</w:t>
            </w:r>
          </w:p>
        </w:tc>
        <w:tc>
          <w:tcPr>
            <w:tcW w:w="1420" w:type="dxa"/>
            <w:tcBorders>
              <w:top w:val="nil"/>
              <w:left w:val="nil"/>
              <w:bottom w:val="single" w:sz="8" w:space="0" w:color="auto"/>
              <w:right w:val="single" w:sz="8" w:space="0" w:color="auto"/>
            </w:tcBorders>
            <w:shd w:val="clear" w:color="auto" w:fill="auto"/>
            <w:noWrap/>
            <w:hideMark/>
          </w:tcPr>
          <w:p w14:paraId="54A6BD31"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165 699 503</w:t>
            </w:r>
          </w:p>
        </w:tc>
      </w:tr>
    </w:tbl>
    <w:p w14:paraId="054B6AB6" w14:textId="77777777" w:rsidR="00AD62CD" w:rsidRPr="00AD62CD" w:rsidRDefault="00AD62CD" w:rsidP="00AD62CD">
      <w:pPr>
        <w:spacing w:after="200" w:line="276" w:lineRule="auto"/>
        <w:rPr>
          <w:rFonts w:ascii="Times New Roman" w:eastAsia="Calibri" w:hAnsi="Times New Roman" w:cs="Times New Roman"/>
          <w:b/>
          <w:bCs/>
          <w:kern w:val="0"/>
          <w:lang w:eastAsia="sk-SK"/>
          <w14:ligatures w14:val="none"/>
        </w:rPr>
      </w:pPr>
    </w:p>
    <w:p w14:paraId="39496B09" w14:textId="77777777" w:rsidR="00AD62CD" w:rsidRPr="00AD62CD" w:rsidRDefault="00AD62CD" w:rsidP="00AD62CD">
      <w:pPr>
        <w:spacing w:after="0" w:line="276" w:lineRule="auto"/>
        <w:jc w:val="both"/>
        <w:rPr>
          <w:rFonts w:ascii="Times New Roman" w:eastAsia="Times New Roman" w:hAnsi="Times New Roman" w:cs="Times New Roman"/>
          <w:b/>
          <w:bCs/>
          <w:kern w:val="0"/>
          <w:sz w:val="20"/>
          <w:szCs w:val="20"/>
          <w:lang w:eastAsia="sk-SK"/>
          <w14:ligatures w14:val="none"/>
        </w:rPr>
      </w:pPr>
    </w:p>
    <w:p w14:paraId="509C0479" w14:textId="77777777" w:rsidR="00AD62CD" w:rsidRPr="00AD62CD" w:rsidRDefault="00AD62CD" w:rsidP="00AD62CD">
      <w:pPr>
        <w:spacing w:after="200" w:line="276" w:lineRule="auto"/>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br w:type="page"/>
      </w:r>
    </w:p>
    <w:p w14:paraId="0C646562"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Analýza vplyvov na rozpočet verejnej správy,</w:t>
      </w:r>
    </w:p>
    <w:p w14:paraId="029228C3"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 xml:space="preserve">na zamestnanosť vo verejnej správe a financovanie návrhu </w:t>
      </w:r>
      <w:r w:rsidRPr="00AD62CD">
        <w:rPr>
          <w:rFonts w:ascii="Times New Roman" w:eastAsia="Times New Roman" w:hAnsi="Times New Roman" w:cs="Times New Roman"/>
          <w:b/>
          <w:bCs/>
          <w:kern w:val="0"/>
          <w:sz w:val="28"/>
          <w:szCs w:val="28"/>
          <w:lang w:eastAsia="sk-SK"/>
          <w14:ligatures w14:val="none"/>
        </w:rPr>
        <w:br/>
        <w:t>(Zákon o dani z príjmov)</w:t>
      </w:r>
    </w:p>
    <w:p w14:paraId="3C32713E"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p>
    <w:p w14:paraId="762F3E66"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 Zhrnutie vplyvov na rozpočet verejnej správy v návrhu</w:t>
      </w:r>
    </w:p>
    <w:p w14:paraId="0D79CEF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D62CD" w:rsidRPr="00AD62CD" w14:paraId="0FF500F9" w14:textId="77777777" w:rsidTr="00AD62CD">
        <w:trPr>
          <w:cantSplit/>
          <w:trHeight w:val="194"/>
          <w:jc w:val="center"/>
        </w:trPr>
        <w:tc>
          <w:tcPr>
            <w:tcW w:w="4498" w:type="dxa"/>
            <w:vMerge w:val="restart"/>
            <w:shd w:val="clear" w:color="auto" w:fill="BFBFBF"/>
            <w:vAlign w:val="center"/>
          </w:tcPr>
          <w:p w14:paraId="1505693E"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Vplyvy na rozpočet verejnej správy</w:t>
            </w:r>
          </w:p>
        </w:tc>
        <w:tc>
          <w:tcPr>
            <w:tcW w:w="5523" w:type="dxa"/>
            <w:gridSpan w:val="4"/>
            <w:shd w:val="clear" w:color="auto" w:fill="BFBFBF"/>
            <w:vAlign w:val="center"/>
          </w:tcPr>
          <w:p w14:paraId="0BA33A01"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 na rozpočet verejnej správy (v eurách)</w:t>
            </w:r>
          </w:p>
        </w:tc>
      </w:tr>
      <w:tr w:rsidR="00AD62CD" w:rsidRPr="00AD62CD" w14:paraId="29EB6BCD" w14:textId="77777777" w:rsidTr="00AD62CD">
        <w:trPr>
          <w:cantSplit/>
          <w:trHeight w:val="70"/>
          <w:jc w:val="center"/>
        </w:trPr>
        <w:tc>
          <w:tcPr>
            <w:tcW w:w="4498" w:type="dxa"/>
            <w:vMerge/>
            <w:vAlign w:val="center"/>
          </w:tcPr>
          <w:p w14:paraId="4533044F"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026" w:type="dxa"/>
            <w:tcBorders>
              <w:top w:val="nil"/>
              <w:left w:val="nil"/>
              <w:bottom w:val="single" w:sz="8" w:space="0" w:color="auto"/>
              <w:right w:val="single" w:sz="8" w:space="0" w:color="auto"/>
            </w:tcBorders>
            <w:shd w:val="clear" w:color="auto" w:fill="BFBFBF"/>
            <w:vAlign w:val="center"/>
          </w:tcPr>
          <w:p w14:paraId="513918D9"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559" w:type="dxa"/>
            <w:tcBorders>
              <w:top w:val="nil"/>
              <w:left w:val="nil"/>
              <w:bottom w:val="single" w:sz="8" w:space="0" w:color="auto"/>
              <w:right w:val="single" w:sz="8" w:space="0" w:color="auto"/>
            </w:tcBorders>
            <w:shd w:val="clear" w:color="auto" w:fill="BFBFBF"/>
            <w:vAlign w:val="center"/>
          </w:tcPr>
          <w:p w14:paraId="167B27FB"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417" w:type="dxa"/>
            <w:tcBorders>
              <w:top w:val="nil"/>
              <w:left w:val="nil"/>
              <w:bottom w:val="single" w:sz="8" w:space="0" w:color="auto"/>
              <w:right w:val="single" w:sz="8" w:space="0" w:color="auto"/>
            </w:tcBorders>
            <w:shd w:val="clear" w:color="auto" w:fill="BFBFBF"/>
            <w:vAlign w:val="center"/>
          </w:tcPr>
          <w:p w14:paraId="0DB99849"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521" w:type="dxa"/>
            <w:tcBorders>
              <w:top w:val="nil"/>
              <w:left w:val="nil"/>
              <w:bottom w:val="single" w:sz="8" w:space="0" w:color="auto"/>
              <w:right w:val="single" w:sz="8" w:space="0" w:color="auto"/>
            </w:tcBorders>
            <w:shd w:val="clear" w:color="auto" w:fill="BFBFBF"/>
            <w:vAlign w:val="center"/>
          </w:tcPr>
          <w:p w14:paraId="2413E2AA"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r>
      <w:tr w:rsidR="00AD62CD" w:rsidRPr="00AD62CD" w14:paraId="5F68087A"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47935B5C"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tcPr>
          <w:p w14:paraId="7B24A1A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single" w:sz="8" w:space="0" w:color="auto"/>
              <w:left w:val="nil"/>
              <w:bottom w:val="single" w:sz="8" w:space="0" w:color="auto"/>
              <w:right w:val="single" w:sz="8" w:space="0" w:color="auto"/>
            </w:tcBorders>
            <w:shd w:val="clear" w:color="auto" w:fill="C0C0C0"/>
            <w:vAlign w:val="center"/>
          </w:tcPr>
          <w:p w14:paraId="475962B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228 238 000</w:t>
            </w:r>
          </w:p>
        </w:tc>
        <w:tc>
          <w:tcPr>
            <w:tcW w:w="1417" w:type="dxa"/>
            <w:tcBorders>
              <w:top w:val="single" w:sz="8" w:space="0" w:color="auto"/>
              <w:left w:val="nil"/>
              <w:bottom w:val="single" w:sz="8" w:space="0" w:color="auto"/>
              <w:right w:val="single" w:sz="8" w:space="0" w:color="auto"/>
            </w:tcBorders>
            <w:shd w:val="clear" w:color="auto" w:fill="C0C0C0"/>
            <w:vAlign w:val="center"/>
          </w:tcPr>
          <w:p w14:paraId="4B2D26C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241 058 000</w:t>
            </w:r>
          </w:p>
        </w:tc>
        <w:tc>
          <w:tcPr>
            <w:tcW w:w="1521" w:type="dxa"/>
            <w:tcBorders>
              <w:top w:val="single" w:sz="8" w:space="0" w:color="auto"/>
              <w:left w:val="nil"/>
              <w:bottom w:val="single" w:sz="8" w:space="0" w:color="auto"/>
              <w:right w:val="single" w:sz="8" w:space="0" w:color="auto"/>
            </w:tcBorders>
            <w:shd w:val="clear" w:color="auto" w:fill="C0C0C0"/>
            <w:vAlign w:val="center"/>
          </w:tcPr>
          <w:p w14:paraId="1E3481E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253 330 000</w:t>
            </w:r>
          </w:p>
        </w:tc>
      </w:tr>
      <w:tr w:rsidR="00AD62CD" w:rsidRPr="00AD62CD" w14:paraId="7226D1F3"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51A2BCE"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14:paraId="480F3E8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559" w:type="dxa"/>
            <w:tcBorders>
              <w:top w:val="nil"/>
              <w:left w:val="nil"/>
              <w:bottom w:val="single" w:sz="8" w:space="0" w:color="auto"/>
              <w:right w:val="single" w:sz="8" w:space="0" w:color="auto"/>
            </w:tcBorders>
            <w:shd w:val="clear" w:color="auto" w:fill="auto"/>
            <w:noWrap/>
          </w:tcPr>
          <w:p w14:paraId="0BDD84FA"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417" w:type="dxa"/>
            <w:tcBorders>
              <w:top w:val="nil"/>
              <w:left w:val="nil"/>
              <w:bottom w:val="single" w:sz="8" w:space="0" w:color="auto"/>
              <w:right w:val="single" w:sz="8" w:space="0" w:color="auto"/>
            </w:tcBorders>
            <w:shd w:val="clear" w:color="auto" w:fill="auto"/>
            <w:noWrap/>
          </w:tcPr>
          <w:p w14:paraId="4C43217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521" w:type="dxa"/>
            <w:tcBorders>
              <w:top w:val="nil"/>
              <w:left w:val="nil"/>
              <w:bottom w:val="single" w:sz="8" w:space="0" w:color="auto"/>
              <w:right w:val="single" w:sz="8" w:space="0" w:color="auto"/>
            </w:tcBorders>
            <w:shd w:val="clear" w:color="auto" w:fill="auto"/>
            <w:noWrap/>
          </w:tcPr>
          <w:p w14:paraId="4666D5D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r>
      <w:tr w:rsidR="00AD62CD" w:rsidRPr="00AD62CD" w14:paraId="4EBC5478"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6515B9A"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single" w:sz="8" w:space="0" w:color="auto"/>
              <w:bottom w:val="single" w:sz="8" w:space="0" w:color="auto"/>
              <w:right w:val="single" w:sz="8" w:space="0" w:color="auto"/>
            </w:tcBorders>
            <w:shd w:val="clear" w:color="auto" w:fill="auto"/>
            <w:noWrap/>
          </w:tcPr>
          <w:p w14:paraId="0A33F46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06338B2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108 185 000</w:t>
            </w:r>
          </w:p>
        </w:tc>
        <w:tc>
          <w:tcPr>
            <w:tcW w:w="1417" w:type="dxa"/>
            <w:tcBorders>
              <w:top w:val="nil"/>
              <w:left w:val="nil"/>
              <w:bottom w:val="single" w:sz="8" w:space="0" w:color="auto"/>
              <w:right w:val="single" w:sz="8" w:space="0" w:color="auto"/>
            </w:tcBorders>
            <w:shd w:val="clear" w:color="auto" w:fill="auto"/>
            <w:noWrap/>
            <w:vAlign w:val="center"/>
          </w:tcPr>
          <w:p w14:paraId="026F17F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58 451 000</w:t>
            </w:r>
          </w:p>
        </w:tc>
        <w:tc>
          <w:tcPr>
            <w:tcW w:w="1521" w:type="dxa"/>
            <w:tcBorders>
              <w:top w:val="nil"/>
              <w:left w:val="nil"/>
              <w:bottom w:val="single" w:sz="8" w:space="0" w:color="auto"/>
              <w:right w:val="single" w:sz="8" w:space="0" w:color="auto"/>
            </w:tcBorders>
            <w:shd w:val="clear" w:color="auto" w:fill="auto"/>
            <w:noWrap/>
            <w:vAlign w:val="center"/>
          </w:tcPr>
          <w:p w14:paraId="7AF61CD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59 805 000</w:t>
            </w:r>
          </w:p>
        </w:tc>
      </w:tr>
      <w:tr w:rsidR="00AD62CD" w:rsidRPr="00AD62CD" w14:paraId="576C0FDE" w14:textId="77777777" w:rsidTr="003627DF">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A016892"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tcPr>
          <w:p w14:paraId="13156EE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384B45F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108 185 000</w:t>
            </w:r>
          </w:p>
        </w:tc>
        <w:tc>
          <w:tcPr>
            <w:tcW w:w="1417" w:type="dxa"/>
            <w:tcBorders>
              <w:top w:val="nil"/>
              <w:left w:val="nil"/>
              <w:bottom w:val="single" w:sz="8" w:space="0" w:color="auto"/>
              <w:right w:val="single" w:sz="8" w:space="0" w:color="auto"/>
            </w:tcBorders>
            <w:shd w:val="clear" w:color="auto" w:fill="auto"/>
            <w:noWrap/>
            <w:vAlign w:val="center"/>
          </w:tcPr>
          <w:p w14:paraId="3AC6FBBA"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58 451 000</w:t>
            </w:r>
          </w:p>
        </w:tc>
        <w:tc>
          <w:tcPr>
            <w:tcW w:w="1521" w:type="dxa"/>
            <w:tcBorders>
              <w:top w:val="nil"/>
              <w:left w:val="nil"/>
              <w:bottom w:val="single" w:sz="8" w:space="0" w:color="auto"/>
              <w:right w:val="single" w:sz="8" w:space="0" w:color="auto"/>
            </w:tcBorders>
            <w:shd w:val="clear" w:color="auto" w:fill="auto"/>
            <w:noWrap/>
            <w:vAlign w:val="center"/>
          </w:tcPr>
          <w:p w14:paraId="7EB3EBDA"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59 805 000</w:t>
            </w:r>
          </w:p>
        </w:tc>
      </w:tr>
      <w:tr w:rsidR="00AD62CD" w:rsidRPr="00AD62CD" w14:paraId="34022160"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7A99349"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lang w:eastAsia="sk-SK"/>
                <w14:ligatures w14:val="none"/>
              </w:rPr>
              <w:t xml:space="preserve">v tom: (111) daň z príjmov fyzických osôb </w:t>
            </w:r>
          </w:p>
        </w:tc>
        <w:tc>
          <w:tcPr>
            <w:tcW w:w="1026" w:type="dxa"/>
            <w:tcBorders>
              <w:top w:val="nil"/>
              <w:left w:val="nil"/>
              <w:bottom w:val="single" w:sz="8" w:space="0" w:color="auto"/>
              <w:right w:val="single" w:sz="8" w:space="0" w:color="auto"/>
            </w:tcBorders>
            <w:shd w:val="clear" w:color="auto" w:fill="auto"/>
            <w:noWrap/>
            <w:vAlign w:val="center"/>
          </w:tcPr>
          <w:p w14:paraId="6F8436FA"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3E3DFE65"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85 733 000</w:t>
            </w:r>
          </w:p>
        </w:tc>
        <w:tc>
          <w:tcPr>
            <w:tcW w:w="1417" w:type="dxa"/>
            <w:tcBorders>
              <w:top w:val="nil"/>
              <w:left w:val="nil"/>
              <w:bottom w:val="single" w:sz="8" w:space="0" w:color="auto"/>
              <w:right w:val="single" w:sz="8" w:space="0" w:color="auto"/>
            </w:tcBorders>
            <w:shd w:val="clear" w:color="auto" w:fill="auto"/>
            <w:noWrap/>
            <w:vAlign w:val="center"/>
          </w:tcPr>
          <w:p w14:paraId="6B553FFB"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36 601 000</w:t>
            </w:r>
          </w:p>
        </w:tc>
        <w:tc>
          <w:tcPr>
            <w:tcW w:w="1521" w:type="dxa"/>
            <w:tcBorders>
              <w:top w:val="nil"/>
              <w:left w:val="nil"/>
              <w:bottom w:val="single" w:sz="8" w:space="0" w:color="auto"/>
              <w:right w:val="single" w:sz="8" w:space="0" w:color="auto"/>
            </w:tcBorders>
            <w:shd w:val="clear" w:color="auto" w:fill="auto"/>
            <w:noWrap/>
            <w:vAlign w:val="center"/>
          </w:tcPr>
          <w:p w14:paraId="4084717A"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38 504 000</w:t>
            </w:r>
          </w:p>
        </w:tc>
      </w:tr>
      <w:tr w:rsidR="00AD62CD" w:rsidRPr="00AD62CD" w14:paraId="3F304F20"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0C7215D"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lang w:eastAsia="sk-SK"/>
                <w14:ligatures w14:val="none"/>
              </w:rPr>
              <w:t>v tom: (112) daň z príjmov právnických osôb</w:t>
            </w:r>
          </w:p>
        </w:tc>
        <w:tc>
          <w:tcPr>
            <w:tcW w:w="1026" w:type="dxa"/>
            <w:tcBorders>
              <w:top w:val="nil"/>
              <w:left w:val="nil"/>
              <w:bottom w:val="single" w:sz="8" w:space="0" w:color="auto"/>
              <w:right w:val="single" w:sz="8" w:space="0" w:color="auto"/>
            </w:tcBorders>
            <w:shd w:val="clear" w:color="auto" w:fill="auto"/>
            <w:noWrap/>
            <w:vAlign w:val="center"/>
          </w:tcPr>
          <w:p w14:paraId="0257BD30"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7B018A17"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22 452 000</w:t>
            </w:r>
          </w:p>
        </w:tc>
        <w:tc>
          <w:tcPr>
            <w:tcW w:w="1417" w:type="dxa"/>
            <w:tcBorders>
              <w:top w:val="nil"/>
              <w:left w:val="nil"/>
              <w:bottom w:val="single" w:sz="8" w:space="0" w:color="auto"/>
              <w:right w:val="single" w:sz="8" w:space="0" w:color="auto"/>
            </w:tcBorders>
            <w:shd w:val="clear" w:color="auto" w:fill="auto"/>
            <w:noWrap/>
            <w:vAlign w:val="center"/>
          </w:tcPr>
          <w:p w14:paraId="051B8248"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21 850 000</w:t>
            </w:r>
          </w:p>
        </w:tc>
        <w:tc>
          <w:tcPr>
            <w:tcW w:w="1521" w:type="dxa"/>
            <w:tcBorders>
              <w:top w:val="nil"/>
              <w:left w:val="nil"/>
              <w:bottom w:val="single" w:sz="8" w:space="0" w:color="auto"/>
              <w:right w:val="single" w:sz="8" w:space="0" w:color="auto"/>
            </w:tcBorders>
            <w:shd w:val="clear" w:color="auto" w:fill="auto"/>
            <w:noWrap/>
            <w:vAlign w:val="center"/>
          </w:tcPr>
          <w:p w14:paraId="0B61BA2F"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21 301 000</w:t>
            </w:r>
          </w:p>
        </w:tc>
      </w:tr>
      <w:tr w:rsidR="00AD62CD" w:rsidRPr="00AD62CD" w14:paraId="2BB43315"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B58655A" w14:textId="77777777" w:rsidR="00AD62CD" w:rsidRPr="00AD62CD" w:rsidRDefault="00AD62CD" w:rsidP="00AD62CD">
            <w:pPr>
              <w:spacing w:after="0" w:line="276" w:lineRule="auto"/>
              <w:ind w:firstLineChars="100" w:firstLine="221"/>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lang w:eastAsia="sk-SK"/>
                <w14:ligatures w14:val="none"/>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493508A8"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129A0281"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78 190 000</w:t>
            </w:r>
          </w:p>
        </w:tc>
        <w:tc>
          <w:tcPr>
            <w:tcW w:w="1417" w:type="dxa"/>
            <w:tcBorders>
              <w:top w:val="nil"/>
              <w:left w:val="nil"/>
              <w:bottom w:val="single" w:sz="8" w:space="0" w:color="auto"/>
              <w:right w:val="single" w:sz="8" w:space="0" w:color="auto"/>
            </w:tcBorders>
            <w:shd w:val="clear" w:color="auto" w:fill="auto"/>
            <w:noWrap/>
            <w:vAlign w:val="center"/>
          </w:tcPr>
          <w:p w14:paraId="395ED0CD"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118 932 000</w:t>
            </w:r>
          </w:p>
        </w:tc>
        <w:tc>
          <w:tcPr>
            <w:tcW w:w="1521" w:type="dxa"/>
            <w:tcBorders>
              <w:top w:val="nil"/>
              <w:left w:val="nil"/>
              <w:bottom w:val="single" w:sz="8" w:space="0" w:color="auto"/>
              <w:right w:val="single" w:sz="8" w:space="0" w:color="auto"/>
            </w:tcBorders>
            <w:shd w:val="clear" w:color="auto" w:fill="auto"/>
            <w:noWrap/>
            <w:vAlign w:val="center"/>
          </w:tcPr>
          <w:p w14:paraId="057D1C52"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126 043 000</w:t>
            </w:r>
          </w:p>
        </w:tc>
      </w:tr>
      <w:tr w:rsidR="00AD62CD" w:rsidRPr="00AD62CD" w14:paraId="6DE4A41E"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B18766F"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i/>
                <w:iCs/>
                <w:color w:val="000000"/>
                <w:kern w:val="0"/>
                <w:sz w:val="22"/>
                <w:szCs w:val="22"/>
                <w:lang w:eastAsia="sk-SK"/>
                <w14:ligatures w14:val="none"/>
              </w:rPr>
              <w:t>v tom: (111) daň z príjmov fyzických osôb</w:t>
            </w:r>
          </w:p>
        </w:tc>
        <w:tc>
          <w:tcPr>
            <w:tcW w:w="1026" w:type="dxa"/>
            <w:tcBorders>
              <w:top w:val="nil"/>
              <w:left w:val="nil"/>
              <w:bottom w:val="single" w:sz="8" w:space="0" w:color="auto"/>
              <w:right w:val="single" w:sz="8" w:space="0" w:color="auto"/>
            </w:tcBorders>
            <w:shd w:val="clear" w:color="auto" w:fill="auto"/>
            <w:noWrap/>
            <w:vAlign w:val="center"/>
          </w:tcPr>
          <w:p w14:paraId="348456F1"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5408347D"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78 190 000</w:t>
            </w:r>
          </w:p>
        </w:tc>
        <w:tc>
          <w:tcPr>
            <w:tcW w:w="1417" w:type="dxa"/>
            <w:tcBorders>
              <w:top w:val="nil"/>
              <w:left w:val="nil"/>
              <w:bottom w:val="single" w:sz="8" w:space="0" w:color="auto"/>
              <w:right w:val="single" w:sz="8" w:space="0" w:color="auto"/>
            </w:tcBorders>
            <w:shd w:val="clear" w:color="auto" w:fill="auto"/>
            <w:noWrap/>
            <w:vAlign w:val="center"/>
          </w:tcPr>
          <w:p w14:paraId="59D2908D"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118 932 000</w:t>
            </w:r>
          </w:p>
        </w:tc>
        <w:tc>
          <w:tcPr>
            <w:tcW w:w="1521" w:type="dxa"/>
            <w:tcBorders>
              <w:top w:val="nil"/>
              <w:left w:val="nil"/>
              <w:bottom w:val="single" w:sz="8" w:space="0" w:color="auto"/>
              <w:right w:val="single" w:sz="8" w:space="0" w:color="auto"/>
            </w:tcBorders>
            <w:shd w:val="clear" w:color="auto" w:fill="auto"/>
            <w:noWrap/>
            <w:vAlign w:val="center"/>
          </w:tcPr>
          <w:p w14:paraId="7E0055B3"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126 043 000</w:t>
            </w:r>
          </w:p>
        </w:tc>
      </w:tr>
      <w:tr w:rsidR="00AD62CD" w:rsidRPr="00AD62CD" w14:paraId="7A05C242"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77908E8"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lang w:eastAsia="sk-SK"/>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7957AFC7"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33FF5D1B"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b/>
                <w:bCs/>
                <w:kern w:val="0"/>
                <w:sz w:val="22"/>
                <w:szCs w:val="22"/>
                <w14:ligatures w14:val="none"/>
              </w:rPr>
              <w:t>41 863 000</w:t>
            </w:r>
          </w:p>
        </w:tc>
        <w:tc>
          <w:tcPr>
            <w:tcW w:w="1417" w:type="dxa"/>
            <w:tcBorders>
              <w:top w:val="nil"/>
              <w:left w:val="nil"/>
              <w:bottom w:val="single" w:sz="8" w:space="0" w:color="auto"/>
              <w:right w:val="single" w:sz="8" w:space="0" w:color="auto"/>
            </w:tcBorders>
            <w:shd w:val="clear" w:color="auto" w:fill="auto"/>
            <w:noWrap/>
            <w:vAlign w:val="center"/>
          </w:tcPr>
          <w:p w14:paraId="66A3995E"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b/>
                <w:bCs/>
                <w:kern w:val="0"/>
                <w:sz w:val="22"/>
                <w:szCs w:val="22"/>
                <w14:ligatures w14:val="none"/>
              </w:rPr>
              <w:t>63 675 000</w:t>
            </w:r>
          </w:p>
        </w:tc>
        <w:tc>
          <w:tcPr>
            <w:tcW w:w="1521" w:type="dxa"/>
            <w:tcBorders>
              <w:top w:val="nil"/>
              <w:left w:val="nil"/>
              <w:bottom w:val="single" w:sz="8" w:space="0" w:color="auto"/>
              <w:right w:val="single" w:sz="8" w:space="0" w:color="auto"/>
            </w:tcBorders>
            <w:shd w:val="clear" w:color="auto" w:fill="auto"/>
            <w:noWrap/>
            <w:vAlign w:val="center"/>
          </w:tcPr>
          <w:p w14:paraId="2D3F8CB5"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b/>
                <w:bCs/>
                <w:kern w:val="0"/>
                <w:sz w:val="22"/>
                <w:szCs w:val="22"/>
                <w14:ligatures w14:val="none"/>
              </w:rPr>
              <w:t>67 482 000</w:t>
            </w:r>
          </w:p>
        </w:tc>
      </w:tr>
      <w:tr w:rsidR="00AD62CD" w:rsidRPr="00AD62CD" w14:paraId="60FEBC3D"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9FA5B42"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i/>
                <w:iCs/>
                <w:color w:val="000000"/>
                <w:kern w:val="0"/>
                <w:sz w:val="22"/>
                <w:szCs w:val="22"/>
                <w:lang w:eastAsia="sk-SK"/>
                <w14:ligatures w14:val="none"/>
              </w:rPr>
              <w:t>v tom: (111) daň z príjmov fyzických osôb</w:t>
            </w:r>
          </w:p>
        </w:tc>
        <w:tc>
          <w:tcPr>
            <w:tcW w:w="1026" w:type="dxa"/>
            <w:tcBorders>
              <w:top w:val="nil"/>
              <w:left w:val="nil"/>
              <w:bottom w:val="single" w:sz="8" w:space="0" w:color="auto"/>
              <w:right w:val="single" w:sz="8" w:space="0" w:color="auto"/>
            </w:tcBorders>
            <w:shd w:val="clear" w:color="auto" w:fill="auto"/>
            <w:noWrap/>
            <w:vAlign w:val="center"/>
          </w:tcPr>
          <w:p w14:paraId="248BC16E"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20885342"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41 863 000</w:t>
            </w:r>
          </w:p>
        </w:tc>
        <w:tc>
          <w:tcPr>
            <w:tcW w:w="1417" w:type="dxa"/>
            <w:tcBorders>
              <w:top w:val="nil"/>
              <w:left w:val="nil"/>
              <w:bottom w:val="single" w:sz="8" w:space="0" w:color="auto"/>
              <w:right w:val="single" w:sz="8" w:space="0" w:color="auto"/>
            </w:tcBorders>
            <w:shd w:val="clear" w:color="auto" w:fill="auto"/>
            <w:noWrap/>
            <w:vAlign w:val="center"/>
          </w:tcPr>
          <w:p w14:paraId="28EECA98"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63 675 000</w:t>
            </w:r>
          </w:p>
        </w:tc>
        <w:tc>
          <w:tcPr>
            <w:tcW w:w="1521" w:type="dxa"/>
            <w:tcBorders>
              <w:top w:val="nil"/>
              <w:left w:val="nil"/>
              <w:bottom w:val="single" w:sz="8" w:space="0" w:color="auto"/>
              <w:right w:val="single" w:sz="8" w:space="0" w:color="auto"/>
            </w:tcBorders>
            <w:shd w:val="clear" w:color="auto" w:fill="auto"/>
            <w:noWrap/>
            <w:vAlign w:val="center"/>
          </w:tcPr>
          <w:p w14:paraId="6BDEE4DC"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67 482 000</w:t>
            </w:r>
          </w:p>
        </w:tc>
      </w:tr>
      <w:tr w:rsidR="00AD62CD" w:rsidRPr="00AD62CD" w14:paraId="1266199C"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78854CA"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3429A10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3C14372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E93CAC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6D7DDD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7E0E5364"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71F1385B"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Výdavky verejnej správy celkom</w:t>
            </w:r>
          </w:p>
        </w:tc>
        <w:tc>
          <w:tcPr>
            <w:tcW w:w="1026" w:type="dxa"/>
            <w:tcBorders>
              <w:top w:val="nil"/>
              <w:left w:val="nil"/>
              <w:bottom w:val="single" w:sz="8" w:space="0" w:color="auto"/>
              <w:right w:val="single" w:sz="8" w:space="0" w:color="auto"/>
            </w:tcBorders>
            <w:shd w:val="clear" w:color="auto" w:fill="C0C0C0"/>
            <w:noWrap/>
            <w:vAlign w:val="center"/>
          </w:tcPr>
          <w:p w14:paraId="4E0BEE3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712 800</w:t>
            </w:r>
          </w:p>
        </w:tc>
        <w:tc>
          <w:tcPr>
            <w:tcW w:w="1559" w:type="dxa"/>
            <w:tcBorders>
              <w:top w:val="nil"/>
              <w:left w:val="nil"/>
              <w:bottom w:val="single" w:sz="8" w:space="0" w:color="auto"/>
              <w:right w:val="single" w:sz="8" w:space="0" w:color="auto"/>
            </w:tcBorders>
            <w:shd w:val="clear" w:color="auto" w:fill="C0C0C0"/>
            <w:noWrap/>
            <w:vAlign w:val="center"/>
          </w:tcPr>
          <w:p w14:paraId="3ABEE19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930 600</w:t>
            </w:r>
          </w:p>
        </w:tc>
        <w:tc>
          <w:tcPr>
            <w:tcW w:w="1417" w:type="dxa"/>
            <w:tcBorders>
              <w:top w:val="nil"/>
              <w:left w:val="nil"/>
              <w:bottom w:val="single" w:sz="8" w:space="0" w:color="auto"/>
              <w:right w:val="single" w:sz="8" w:space="0" w:color="auto"/>
            </w:tcBorders>
            <w:shd w:val="clear" w:color="auto" w:fill="C0C0C0"/>
            <w:noWrap/>
          </w:tcPr>
          <w:p w14:paraId="47E1326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C0C0C0"/>
            <w:noWrap/>
          </w:tcPr>
          <w:p w14:paraId="2556628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22BEC3BF"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6A223AF" w14:textId="77777777" w:rsidR="00AD62CD" w:rsidRPr="00AD62CD" w:rsidRDefault="00AD62CD" w:rsidP="00AD62CD">
            <w:pPr>
              <w:spacing w:after="0" w:line="276"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v tom: kapitola MF SR/</w:t>
            </w:r>
          </w:p>
          <w:p w14:paraId="153FA9E6"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0EK 0D Informačné technológie financované zo ŠR – MF SR (org. MF SR - úrad, FR SR)</w:t>
            </w:r>
          </w:p>
        </w:tc>
        <w:tc>
          <w:tcPr>
            <w:tcW w:w="1026" w:type="dxa"/>
            <w:tcBorders>
              <w:top w:val="nil"/>
              <w:left w:val="nil"/>
              <w:bottom w:val="single" w:sz="8" w:space="0" w:color="auto"/>
              <w:right w:val="single" w:sz="8" w:space="0" w:color="auto"/>
            </w:tcBorders>
            <w:shd w:val="clear" w:color="auto" w:fill="auto"/>
            <w:noWrap/>
          </w:tcPr>
          <w:p w14:paraId="46658E4F"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tcPr>
          <w:p w14:paraId="4111378E"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417" w:type="dxa"/>
            <w:tcBorders>
              <w:top w:val="nil"/>
              <w:left w:val="nil"/>
              <w:bottom w:val="single" w:sz="8" w:space="0" w:color="auto"/>
              <w:right w:val="single" w:sz="8" w:space="0" w:color="auto"/>
            </w:tcBorders>
            <w:shd w:val="clear" w:color="auto" w:fill="auto"/>
            <w:noWrap/>
          </w:tcPr>
          <w:p w14:paraId="4C8D07AB"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521" w:type="dxa"/>
            <w:tcBorders>
              <w:top w:val="nil"/>
              <w:left w:val="nil"/>
              <w:bottom w:val="single" w:sz="8" w:space="0" w:color="auto"/>
              <w:right w:val="single" w:sz="8" w:space="0" w:color="auto"/>
            </w:tcBorders>
            <w:shd w:val="clear" w:color="auto" w:fill="auto"/>
            <w:noWrap/>
          </w:tcPr>
          <w:p w14:paraId="596C1717"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r>
      <w:tr w:rsidR="00AD62CD" w:rsidRPr="00AD62CD" w14:paraId="5B25F6FA"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B682991"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0EK0D0Q</w:t>
            </w:r>
          </w:p>
        </w:tc>
        <w:tc>
          <w:tcPr>
            <w:tcW w:w="1026" w:type="dxa"/>
            <w:tcBorders>
              <w:top w:val="nil"/>
              <w:left w:val="nil"/>
              <w:bottom w:val="single" w:sz="8" w:space="0" w:color="auto"/>
              <w:right w:val="single" w:sz="8" w:space="0" w:color="auto"/>
            </w:tcBorders>
            <w:shd w:val="clear" w:color="auto" w:fill="auto"/>
            <w:noWrap/>
          </w:tcPr>
          <w:p w14:paraId="360F557A"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129 800</w:t>
            </w:r>
          </w:p>
        </w:tc>
        <w:tc>
          <w:tcPr>
            <w:tcW w:w="1559" w:type="dxa"/>
            <w:tcBorders>
              <w:top w:val="nil"/>
              <w:left w:val="nil"/>
              <w:bottom w:val="single" w:sz="8" w:space="0" w:color="auto"/>
              <w:right w:val="single" w:sz="8" w:space="0" w:color="auto"/>
            </w:tcBorders>
            <w:shd w:val="clear" w:color="auto" w:fill="auto"/>
            <w:noWrap/>
          </w:tcPr>
          <w:p w14:paraId="054EECD6"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162 800</w:t>
            </w:r>
          </w:p>
        </w:tc>
        <w:tc>
          <w:tcPr>
            <w:tcW w:w="1417" w:type="dxa"/>
            <w:tcBorders>
              <w:top w:val="nil"/>
              <w:left w:val="nil"/>
              <w:bottom w:val="single" w:sz="8" w:space="0" w:color="auto"/>
              <w:right w:val="single" w:sz="8" w:space="0" w:color="auto"/>
            </w:tcBorders>
            <w:shd w:val="clear" w:color="auto" w:fill="auto"/>
            <w:noWrap/>
          </w:tcPr>
          <w:p w14:paraId="3FE0741B"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20D309A6"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143FF1D8"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A80AE35"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0EK0D14</w:t>
            </w:r>
          </w:p>
        </w:tc>
        <w:tc>
          <w:tcPr>
            <w:tcW w:w="1026" w:type="dxa"/>
            <w:tcBorders>
              <w:top w:val="nil"/>
              <w:left w:val="nil"/>
              <w:bottom w:val="single" w:sz="8" w:space="0" w:color="auto"/>
              <w:right w:val="single" w:sz="8" w:space="0" w:color="auto"/>
            </w:tcBorders>
            <w:shd w:val="clear" w:color="auto" w:fill="auto"/>
            <w:noWrap/>
          </w:tcPr>
          <w:p w14:paraId="15A81BD8"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385 000</w:t>
            </w:r>
          </w:p>
        </w:tc>
        <w:tc>
          <w:tcPr>
            <w:tcW w:w="1559" w:type="dxa"/>
            <w:tcBorders>
              <w:top w:val="nil"/>
              <w:left w:val="nil"/>
              <w:bottom w:val="single" w:sz="8" w:space="0" w:color="auto"/>
              <w:right w:val="single" w:sz="8" w:space="0" w:color="auto"/>
            </w:tcBorders>
            <w:shd w:val="clear" w:color="auto" w:fill="auto"/>
            <w:noWrap/>
          </w:tcPr>
          <w:p w14:paraId="6D40F938"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502 700</w:t>
            </w:r>
          </w:p>
        </w:tc>
        <w:tc>
          <w:tcPr>
            <w:tcW w:w="1417" w:type="dxa"/>
            <w:tcBorders>
              <w:top w:val="nil"/>
              <w:left w:val="nil"/>
              <w:bottom w:val="single" w:sz="8" w:space="0" w:color="auto"/>
              <w:right w:val="single" w:sz="8" w:space="0" w:color="auto"/>
            </w:tcBorders>
            <w:shd w:val="clear" w:color="auto" w:fill="auto"/>
            <w:noWrap/>
          </w:tcPr>
          <w:p w14:paraId="70A5CBAF"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2383D99C"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44F10F14"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42D9979"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0EK0D1L</w:t>
            </w:r>
          </w:p>
        </w:tc>
        <w:tc>
          <w:tcPr>
            <w:tcW w:w="1026" w:type="dxa"/>
            <w:tcBorders>
              <w:top w:val="nil"/>
              <w:left w:val="nil"/>
              <w:bottom w:val="single" w:sz="8" w:space="0" w:color="auto"/>
              <w:right w:val="single" w:sz="8" w:space="0" w:color="auto"/>
            </w:tcBorders>
            <w:shd w:val="clear" w:color="auto" w:fill="auto"/>
            <w:noWrap/>
          </w:tcPr>
          <w:p w14:paraId="1465A508"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127 600</w:t>
            </w:r>
          </w:p>
        </w:tc>
        <w:tc>
          <w:tcPr>
            <w:tcW w:w="1559" w:type="dxa"/>
            <w:tcBorders>
              <w:top w:val="nil"/>
              <w:left w:val="nil"/>
              <w:bottom w:val="single" w:sz="8" w:space="0" w:color="auto"/>
              <w:right w:val="single" w:sz="8" w:space="0" w:color="auto"/>
            </w:tcBorders>
            <w:shd w:val="clear" w:color="auto" w:fill="auto"/>
            <w:noWrap/>
          </w:tcPr>
          <w:p w14:paraId="1A78D0F1"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160 600</w:t>
            </w:r>
          </w:p>
        </w:tc>
        <w:tc>
          <w:tcPr>
            <w:tcW w:w="1417" w:type="dxa"/>
            <w:tcBorders>
              <w:top w:val="nil"/>
              <w:left w:val="nil"/>
              <w:bottom w:val="single" w:sz="8" w:space="0" w:color="auto"/>
              <w:right w:val="single" w:sz="8" w:space="0" w:color="auto"/>
            </w:tcBorders>
            <w:shd w:val="clear" w:color="auto" w:fill="auto"/>
            <w:noWrap/>
          </w:tcPr>
          <w:p w14:paraId="27F46766"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62F7038"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6BE0FEB7"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EDC39F8"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0EK0D19</w:t>
            </w:r>
          </w:p>
        </w:tc>
        <w:tc>
          <w:tcPr>
            <w:tcW w:w="1026" w:type="dxa"/>
            <w:tcBorders>
              <w:top w:val="nil"/>
              <w:left w:val="nil"/>
              <w:bottom w:val="single" w:sz="8" w:space="0" w:color="auto"/>
              <w:right w:val="single" w:sz="8" w:space="0" w:color="auto"/>
            </w:tcBorders>
            <w:shd w:val="clear" w:color="auto" w:fill="auto"/>
            <w:noWrap/>
          </w:tcPr>
          <w:p w14:paraId="11A8D8C8"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70 400</w:t>
            </w:r>
          </w:p>
        </w:tc>
        <w:tc>
          <w:tcPr>
            <w:tcW w:w="1559" w:type="dxa"/>
            <w:tcBorders>
              <w:top w:val="nil"/>
              <w:left w:val="nil"/>
              <w:bottom w:val="single" w:sz="8" w:space="0" w:color="auto"/>
              <w:right w:val="single" w:sz="8" w:space="0" w:color="auto"/>
            </w:tcBorders>
            <w:shd w:val="clear" w:color="auto" w:fill="auto"/>
            <w:noWrap/>
          </w:tcPr>
          <w:p w14:paraId="15912389"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104 500</w:t>
            </w:r>
          </w:p>
        </w:tc>
        <w:tc>
          <w:tcPr>
            <w:tcW w:w="1417" w:type="dxa"/>
            <w:tcBorders>
              <w:top w:val="nil"/>
              <w:left w:val="nil"/>
              <w:bottom w:val="single" w:sz="8" w:space="0" w:color="auto"/>
              <w:right w:val="single" w:sz="8" w:space="0" w:color="auto"/>
            </w:tcBorders>
            <w:shd w:val="clear" w:color="auto" w:fill="auto"/>
            <w:noWrap/>
          </w:tcPr>
          <w:p w14:paraId="7C0CFF0E"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19A1B672"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789D85A0"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198A160"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tcPr>
          <w:p w14:paraId="4773B31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c>
          <w:tcPr>
            <w:tcW w:w="1559" w:type="dxa"/>
            <w:tcBorders>
              <w:top w:val="nil"/>
              <w:left w:val="nil"/>
              <w:bottom w:val="single" w:sz="8" w:space="0" w:color="auto"/>
              <w:right w:val="single" w:sz="8" w:space="0" w:color="auto"/>
            </w:tcBorders>
            <w:shd w:val="clear" w:color="auto" w:fill="auto"/>
            <w:noWrap/>
          </w:tcPr>
          <w:p w14:paraId="3CAB7E8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c>
          <w:tcPr>
            <w:tcW w:w="1417" w:type="dxa"/>
            <w:tcBorders>
              <w:top w:val="nil"/>
              <w:left w:val="nil"/>
              <w:bottom w:val="single" w:sz="8" w:space="0" w:color="auto"/>
              <w:right w:val="single" w:sz="8" w:space="0" w:color="auto"/>
            </w:tcBorders>
            <w:shd w:val="clear" w:color="auto" w:fill="auto"/>
            <w:noWrap/>
          </w:tcPr>
          <w:p w14:paraId="1A22122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c>
          <w:tcPr>
            <w:tcW w:w="1521" w:type="dxa"/>
            <w:tcBorders>
              <w:top w:val="nil"/>
              <w:left w:val="nil"/>
              <w:bottom w:val="single" w:sz="8" w:space="0" w:color="auto"/>
              <w:right w:val="single" w:sz="8" w:space="0" w:color="auto"/>
            </w:tcBorders>
            <w:shd w:val="clear" w:color="auto" w:fill="auto"/>
            <w:noWrap/>
          </w:tcPr>
          <w:p w14:paraId="2820425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r>
      <w:tr w:rsidR="00AD62CD" w:rsidRPr="00AD62CD" w14:paraId="2DA64218"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E1C47A8"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vAlign w:val="center"/>
          </w:tcPr>
          <w:p w14:paraId="2DF5CDA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712 800</w:t>
            </w:r>
          </w:p>
        </w:tc>
        <w:tc>
          <w:tcPr>
            <w:tcW w:w="1559" w:type="dxa"/>
            <w:tcBorders>
              <w:top w:val="nil"/>
              <w:left w:val="nil"/>
              <w:bottom w:val="single" w:sz="8" w:space="0" w:color="auto"/>
              <w:right w:val="single" w:sz="8" w:space="0" w:color="auto"/>
            </w:tcBorders>
            <w:shd w:val="clear" w:color="auto" w:fill="auto"/>
            <w:noWrap/>
            <w:vAlign w:val="center"/>
          </w:tcPr>
          <w:p w14:paraId="49E030E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930 600</w:t>
            </w:r>
          </w:p>
        </w:tc>
        <w:tc>
          <w:tcPr>
            <w:tcW w:w="1417" w:type="dxa"/>
            <w:tcBorders>
              <w:top w:val="nil"/>
              <w:left w:val="nil"/>
              <w:bottom w:val="single" w:sz="8" w:space="0" w:color="auto"/>
              <w:right w:val="single" w:sz="8" w:space="0" w:color="auto"/>
            </w:tcBorders>
            <w:shd w:val="clear" w:color="auto" w:fill="auto"/>
            <w:noWrap/>
          </w:tcPr>
          <w:p w14:paraId="38C1CE1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E0C019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73FD6DD"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E4261C4"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Rozpočtové prostriedky</w:t>
            </w:r>
          </w:p>
        </w:tc>
        <w:tc>
          <w:tcPr>
            <w:tcW w:w="1026" w:type="dxa"/>
            <w:tcBorders>
              <w:top w:val="nil"/>
              <w:left w:val="nil"/>
              <w:bottom w:val="single" w:sz="8" w:space="0" w:color="auto"/>
              <w:right w:val="single" w:sz="8" w:space="0" w:color="auto"/>
            </w:tcBorders>
            <w:shd w:val="clear" w:color="auto" w:fill="auto"/>
            <w:noWrap/>
            <w:vAlign w:val="center"/>
          </w:tcPr>
          <w:p w14:paraId="33AD8E3F"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color w:val="000000"/>
                <w:kern w:val="0"/>
                <w:sz w:val="22"/>
                <w:szCs w:val="22"/>
                <w14:ligatures w14:val="none"/>
              </w:rPr>
              <w:t>712 800</w:t>
            </w:r>
          </w:p>
        </w:tc>
        <w:tc>
          <w:tcPr>
            <w:tcW w:w="1559" w:type="dxa"/>
            <w:tcBorders>
              <w:top w:val="nil"/>
              <w:left w:val="nil"/>
              <w:bottom w:val="single" w:sz="8" w:space="0" w:color="auto"/>
              <w:right w:val="single" w:sz="8" w:space="0" w:color="auto"/>
            </w:tcBorders>
            <w:shd w:val="clear" w:color="auto" w:fill="auto"/>
            <w:noWrap/>
            <w:vAlign w:val="center"/>
          </w:tcPr>
          <w:p w14:paraId="2436CBE6"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color w:val="000000"/>
                <w:kern w:val="0"/>
                <w:sz w:val="22"/>
                <w:szCs w:val="22"/>
                <w14:ligatures w14:val="none"/>
              </w:rPr>
              <w:t>930 600</w:t>
            </w:r>
          </w:p>
        </w:tc>
        <w:tc>
          <w:tcPr>
            <w:tcW w:w="1417" w:type="dxa"/>
            <w:tcBorders>
              <w:top w:val="nil"/>
              <w:left w:val="nil"/>
              <w:bottom w:val="single" w:sz="8" w:space="0" w:color="auto"/>
              <w:right w:val="single" w:sz="8" w:space="0" w:color="auto"/>
            </w:tcBorders>
            <w:shd w:val="clear" w:color="auto" w:fill="auto"/>
            <w:noWrap/>
          </w:tcPr>
          <w:p w14:paraId="6538F531"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523534F"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F267356"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722BBF7"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daňový bonus na hypotéky</w:t>
            </w:r>
          </w:p>
        </w:tc>
        <w:tc>
          <w:tcPr>
            <w:tcW w:w="1026" w:type="dxa"/>
            <w:tcBorders>
              <w:top w:val="nil"/>
              <w:left w:val="nil"/>
              <w:bottom w:val="single" w:sz="8" w:space="0" w:color="auto"/>
              <w:right w:val="single" w:sz="8" w:space="0" w:color="auto"/>
            </w:tcBorders>
            <w:shd w:val="clear" w:color="auto" w:fill="auto"/>
            <w:noWrap/>
          </w:tcPr>
          <w:p w14:paraId="0A91F137"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BDF6F79"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5C43A0A"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3F37D9B"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D63CCCC"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1235D6C"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 xml:space="preserve">    EÚ zdroje</w:t>
            </w:r>
          </w:p>
        </w:tc>
        <w:tc>
          <w:tcPr>
            <w:tcW w:w="1026" w:type="dxa"/>
            <w:tcBorders>
              <w:top w:val="nil"/>
              <w:left w:val="nil"/>
              <w:bottom w:val="single" w:sz="8" w:space="0" w:color="auto"/>
              <w:right w:val="single" w:sz="8" w:space="0" w:color="auto"/>
            </w:tcBorders>
            <w:shd w:val="clear" w:color="auto" w:fill="auto"/>
            <w:noWrap/>
          </w:tcPr>
          <w:p w14:paraId="64C3AE08"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1F852C8"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E8C8F61"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21657C71"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353F01D5"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8B48E79"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 xml:space="preserve">    spolufinancovanie</w:t>
            </w:r>
          </w:p>
        </w:tc>
        <w:tc>
          <w:tcPr>
            <w:tcW w:w="1026" w:type="dxa"/>
            <w:tcBorders>
              <w:top w:val="nil"/>
              <w:left w:val="nil"/>
              <w:bottom w:val="single" w:sz="8" w:space="0" w:color="auto"/>
              <w:right w:val="single" w:sz="8" w:space="0" w:color="auto"/>
            </w:tcBorders>
            <w:shd w:val="clear" w:color="auto" w:fill="auto"/>
            <w:noWrap/>
          </w:tcPr>
          <w:p w14:paraId="11CA5BB3"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B2CAE28"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1C21FCFD"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EF34230"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76CB513"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D360C6A"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2D8715A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325664A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37607BB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B75F60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55C83E1E"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06B72C5"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251EB36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25D4527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D6CDBA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4344F0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29CC20C8"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E03F3CA"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78AC85F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0D9D339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2D2263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310E27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A7D7018"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17126BAE"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Vplyv na počet zamestnancov </w:t>
            </w:r>
          </w:p>
        </w:tc>
        <w:tc>
          <w:tcPr>
            <w:tcW w:w="1026" w:type="dxa"/>
            <w:tcBorders>
              <w:top w:val="nil"/>
              <w:left w:val="nil"/>
              <w:bottom w:val="single" w:sz="8" w:space="0" w:color="auto"/>
              <w:right w:val="single" w:sz="8" w:space="0" w:color="auto"/>
            </w:tcBorders>
            <w:shd w:val="clear" w:color="auto" w:fill="BFBFBF"/>
            <w:noWrap/>
          </w:tcPr>
          <w:p w14:paraId="38B9AF9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4691918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59892DA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7EA852C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086E77BF"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94218AB"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57B92AB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5A7A89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3BFB45A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1AB01B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BA09124"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0F483D3"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0F71FA4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229BAB0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48FDADB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46FF4FA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662CDAC7"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9ECDE21"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3F127FD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3BF2B8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17F4C9E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24F1AAA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01A23AF1"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1D1E5C6"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4C68C2D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6A07406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333F16F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1660261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0F229A7"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47BBE952"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Vplyv na mzdové výdavky</w:t>
            </w:r>
          </w:p>
        </w:tc>
        <w:tc>
          <w:tcPr>
            <w:tcW w:w="1026" w:type="dxa"/>
            <w:tcBorders>
              <w:top w:val="nil"/>
              <w:left w:val="nil"/>
              <w:bottom w:val="single" w:sz="8" w:space="0" w:color="auto"/>
              <w:right w:val="single" w:sz="8" w:space="0" w:color="auto"/>
            </w:tcBorders>
            <w:shd w:val="clear" w:color="auto" w:fill="BFBFBF"/>
            <w:noWrap/>
          </w:tcPr>
          <w:p w14:paraId="0EF2CA5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1349C2A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0FBD3FF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6A4C6CA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1D3A9BE7"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534A85C"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402BB03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6713B27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79B2C84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AB9994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B97E53C"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C7BB599"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60F28FC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54821C4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1E84CED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7FF637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313FA236"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D420531"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08CDECD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5F03A4E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9D9557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11B03DC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A3E7FB8"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13EC90E"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10B41D5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68D5706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F45562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206643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E352F49"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5AB6A078"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Financovanie zabezpečené v rozpočte</w:t>
            </w:r>
          </w:p>
        </w:tc>
        <w:tc>
          <w:tcPr>
            <w:tcW w:w="1026" w:type="dxa"/>
            <w:tcBorders>
              <w:top w:val="nil"/>
              <w:left w:val="nil"/>
              <w:bottom w:val="single" w:sz="8" w:space="0" w:color="auto"/>
              <w:right w:val="single" w:sz="8" w:space="0" w:color="auto"/>
            </w:tcBorders>
            <w:shd w:val="clear" w:color="auto" w:fill="C0C0C0"/>
            <w:noWrap/>
            <w:vAlign w:val="center"/>
          </w:tcPr>
          <w:p w14:paraId="2B36F84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712 800</w:t>
            </w:r>
          </w:p>
        </w:tc>
        <w:tc>
          <w:tcPr>
            <w:tcW w:w="1559" w:type="dxa"/>
            <w:tcBorders>
              <w:top w:val="nil"/>
              <w:left w:val="nil"/>
              <w:bottom w:val="single" w:sz="8" w:space="0" w:color="auto"/>
              <w:right w:val="single" w:sz="8" w:space="0" w:color="auto"/>
            </w:tcBorders>
            <w:shd w:val="clear" w:color="auto" w:fill="C0C0C0"/>
            <w:noWrap/>
            <w:vAlign w:val="center"/>
          </w:tcPr>
          <w:p w14:paraId="76DFB01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930 600</w:t>
            </w:r>
          </w:p>
        </w:tc>
        <w:tc>
          <w:tcPr>
            <w:tcW w:w="1417" w:type="dxa"/>
            <w:tcBorders>
              <w:top w:val="nil"/>
              <w:left w:val="nil"/>
              <w:bottom w:val="single" w:sz="8" w:space="0" w:color="auto"/>
              <w:right w:val="single" w:sz="8" w:space="0" w:color="auto"/>
            </w:tcBorders>
            <w:shd w:val="clear" w:color="auto" w:fill="C0C0C0"/>
            <w:noWrap/>
          </w:tcPr>
          <w:p w14:paraId="7E72EBD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C0C0C0"/>
            <w:noWrap/>
          </w:tcPr>
          <w:p w14:paraId="19CFA68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6BD1F5AC"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6963E8F8"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Iné ako rozpočtové zdroje</w:t>
            </w:r>
          </w:p>
        </w:tc>
        <w:tc>
          <w:tcPr>
            <w:tcW w:w="1026" w:type="dxa"/>
            <w:tcBorders>
              <w:top w:val="nil"/>
              <w:left w:val="nil"/>
              <w:bottom w:val="single" w:sz="8" w:space="0" w:color="auto"/>
              <w:right w:val="single" w:sz="8" w:space="0" w:color="auto"/>
            </w:tcBorders>
            <w:shd w:val="clear" w:color="auto" w:fill="BFBFBF"/>
            <w:noWrap/>
          </w:tcPr>
          <w:p w14:paraId="38ED700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07F0632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2C18FDD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55CE710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35ED3207"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A6A6A6"/>
            <w:noWrap/>
            <w:vAlign w:val="center"/>
          </w:tcPr>
          <w:p w14:paraId="70CABE2B"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Rozpočtovo nekrytý vplyv / úspora</w:t>
            </w:r>
          </w:p>
        </w:tc>
        <w:tc>
          <w:tcPr>
            <w:tcW w:w="1026" w:type="dxa"/>
            <w:tcBorders>
              <w:top w:val="nil"/>
              <w:left w:val="nil"/>
              <w:bottom w:val="single" w:sz="8" w:space="0" w:color="auto"/>
              <w:right w:val="single" w:sz="8" w:space="0" w:color="auto"/>
            </w:tcBorders>
            <w:shd w:val="clear" w:color="auto" w:fill="A6A6A6"/>
            <w:noWrap/>
            <w:vAlign w:val="center"/>
          </w:tcPr>
          <w:p w14:paraId="2CEE6D0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6A6A6"/>
            <w:noWrap/>
            <w:vAlign w:val="center"/>
          </w:tcPr>
          <w:p w14:paraId="51D9BE0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-228 238 000</w:t>
            </w:r>
          </w:p>
        </w:tc>
        <w:tc>
          <w:tcPr>
            <w:tcW w:w="1417" w:type="dxa"/>
            <w:tcBorders>
              <w:top w:val="nil"/>
              <w:left w:val="nil"/>
              <w:bottom w:val="single" w:sz="8" w:space="0" w:color="auto"/>
              <w:right w:val="single" w:sz="8" w:space="0" w:color="auto"/>
            </w:tcBorders>
            <w:shd w:val="clear" w:color="auto" w:fill="A6A6A6"/>
            <w:noWrap/>
            <w:vAlign w:val="center"/>
          </w:tcPr>
          <w:p w14:paraId="295BB82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-241 058 000</w:t>
            </w:r>
          </w:p>
        </w:tc>
        <w:tc>
          <w:tcPr>
            <w:tcW w:w="1521" w:type="dxa"/>
            <w:tcBorders>
              <w:top w:val="nil"/>
              <w:left w:val="nil"/>
              <w:bottom w:val="single" w:sz="8" w:space="0" w:color="auto"/>
              <w:right w:val="single" w:sz="8" w:space="0" w:color="auto"/>
            </w:tcBorders>
            <w:shd w:val="clear" w:color="auto" w:fill="A6A6A6"/>
            <w:noWrap/>
            <w:vAlign w:val="center"/>
          </w:tcPr>
          <w:p w14:paraId="3EB4B76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-253 330 000</w:t>
            </w:r>
          </w:p>
        </w:tc>
      </w:tr>
    </w:tbl>
    <w:p w14:paraId="67A50C2F"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p>
    <w:p w14:paraId="41D15884"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2.1.1. Financovanie návrhu - Návrh na riešenie úbytku príjmov alebo zvýšených výdavkov podľa § 33 ods. 1 zákona č. 523/2004 Z. z. o rozpočtových pravidlách verejnej správy:</w:t>
      </w:r>
    </w:p>
    <w:p w14:paraId="173D99F2"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bCs/>
          <w:kern w:val="0"/>
          <w14:ligatures w14:val="none"/>
        </w:rPr>
        <w:t xml:space="preserve">Plnenie návrhu zákona je podmienené úpravami informačných systémov Finančného riaditeľstva Slovenskej republiky (ďalej len „FR SR“) v celkovej výške 1 643 400 eur (kapitálové výdavky, </w:t>
      </w:r>
      <w:r w:rsidRPr="00AD62CD">
        <w:rPr>
          <w:rFonts w:ascii="Times New Roman" w:eastAsia="Times New Roman" w:hAnsi="Times New Roman" w:cs="Times New Roman"/>
          <w:kern w:val="0"/>
          <w:lang w:eastAsia="sk-SK"/>
          <w14:ligatures w14:val="none"/>
        </w:rPr>
        <w:t>kategória 710</w:t>
      </w:r>
      <w:r w:rsidRPr="00AD62CD">
        <w:rPr>
          <w:rFonts w:ascii="Times New Roman" w:eastAsia="Calibri" w:hAnsi="Times New Roman" w:cs="Times New Roman"/>
          <w:bCs/>
          <w:kern w:val="0"/>
          <w14:ligatures w14:val="none"/>
        </w:rPr>
        <w:t>, podprogram 0EK0D – Informačné technológie financované zo štátneho rozpočtu – Ministerstvo financií Slovenskej republiky), a to:</w:t>
      </w:r>
    </w:p>
    <w:p w14:paraId="31479229"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p>
    <w:p w14:paraId="21BF000B"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Integrovaný systém Finančnej správy – správa daní (ISFS-SD)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385 000 eur (2025)</w:t>
      </w:r>
    </w:p>
    <w:p w14:paraId="377174F9"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502 700 eur (2026)</w:t>
      </w:r>
    </w:p>
    <w:p w14:paraId="16A1392B"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
          <w:bCs/>
          <w:i/>
          <w:iCs/>
          <w:kern w:val="0"/>
          <w14:ligatures w14:val="none"/>
        </w:rPr>
      </w:pP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b/>
          <w:bCs/>
          <w:kern w:val="0"/>
          <w14:ligatures w14:val="none"/>
        </w:rPr>
        <w:t>s</w:t>
      </w:r>
      <w:r w:rsidRPr="00AD62CD">
        <w:rPr>
          <w:rFonts w:ascii="Times New Roman" w:eastAsia="Calibri" w:hAnsi="Times New Roman" w:cs="Times New Roman"/>
          <w:b/>
          <w:bCs/>
          <w:i/>
          <w:iCs/>
          <w:kern w:val="0"/>
          <w14:ligatures w14:val="none"/>
        </w:rPr>
        <w:t>polu</w:t>
      </w:r>
      <w:r w:rsidRPr="00AD62CD">
        <w:rPr>
          <w:rFonts w:ascii="Times New Roman" w:eastAsia="Calibri" w:hAnsi="Times New Roman" w:cs="Times New Roman"/>
          <w:b/>
          <w:bCs/>
          <w:i/>
          <w:iCs/>
          <w:kern w:val="0"/>
          <w14:ligatures w14:val="none"/>
        </w:rPr>
        <w:tab/>
        <w:t>887 700 eur</w:t>
      </w:r>
    </w:p>
    <w:p w14:paraId="421AEFC0"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
          <w:bCs/>
          <w:i/>
          <w:iCs/>
          <w:kern w:val="0"/>
          <w14:ligatures w14:val="none"/>
        </w:rPr>
      </w:pPr>
    </w:p>
    <w:p w14:paraId="1E6C7D62"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DR SCAN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Times New Roman" w:hAnsi="Times New Roman" w:cs="Times New Roman"/>
          <w:kern w:val="0"/>
          <w:lang w:eastAsia="sk-SK"/>
          <w14:ligatures w14:val="none"/>
        </w:rPr>
        <w:t>127 600</w:t>
      </w:r>
      <w:r w:rsidRPr="00AD62CD">
        <w:rPr>
          <w:rFonts w:ascii="Times New Roman" w:eastAsia="Calibri" w:hAnsi="Times New Roman" w:cs="Times New Roman"/>
          <w:kern w:val="0"/>
          <w14:ligatures w14:val="none"/>
        </w:rPr>
        <w:t xml:space="preserve"> eur (2025)</w:t>
      </w:r>
    </w:p>
    <w:p w14:paraId="4312C9E8"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Times New Roman" w:hAnsi="Times New Roman" w:cs="Times New Roman"/>
          <w:kern w:val="0"/>
          <w:lang w:eastAsia="sk-SK"/>
          <w14:ligatures w14:val="none"/>
        </w:rPr>
        <w:t>160 600</w:t>
      </w:r>
      <w:r w:rsidRPr="00AD62CD">
        <w:rPr>
          <w:rFonts w:ascii="Times New Roman" w:eastAsia="Calibri" w:hAnsi="Times New Roman" w:cs="Times New Roman"/>
          <w:kern w:val="0"/>
          <w14:ligatures w14:val="none"/>
        </w:rPr>
        <w:t xml:space="preserve"> eur (2026)</w:t>
      </w:r>
    </w:p>
    <w:p w14:paraId="42D890B0"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
          <w:bCs/>
          <w:i/>
          <w:iCs/>
          <w:kern w:val="0"/>
          <w14:ligatures w14:val="none"/>
        </w:rPr>
      </w:pP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b/>
          <w:bCs/>
          <w:kern w:val="0"/>
          <w14:ligatures w14:val="none"/>
        </w:rPr>
        <w:t>s</w:t>
      </w:r>
      <w:r w:rsidRPr="00AD62CD">
        <w:rPr>
          <w:rFonts w:ascii="Times New Roman" w:eastAsia="Calibri" w:hAnsi="Times New Roman" w:cs="Times New Roman"/>
          <w:b/>
          <w:bCs/>
          <w:i/>
          <w:iCs/>
          <w:kern w:val="0"/>
          <w14:ligatures w14:val="none"/>
        </w:rPr>
        <w:t>polu</w:t>
      </w:r>
      <w:r w:rsidRPr="00AD62CD">
        <w:rPr>
          <w:rFonts w:ascii="Times New Roman" w:eastAsia="Calibri" w:hAnsi="Times New Roman" w:cs="Times New Roman"/>
          <w:b/>
          <w:bCs/>
          <w:i/>
          <w:iCs/>
          <w:kern w:val="0"/>
          <w14:ligatures w14:val="none"/>
        </w:rPr>
        <w:tab/>
        <w:t>288 200 eur</w:t>
      </w:r>
    </w:p>
    <w:p w14:paraId="09338DC0"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p>
    <w:p w14:paraId="19D1C21D"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DATA WAREHOUSE (DWH)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Times New Roman" w:hAnsi="Times New Roman" w:cs="Times New Roman"/>
          <w:kern w:val="0"/>
          <w:lang w:eastAsia="sk-SK"/>
          <w14:ligatures w14:val="none"/>
        </w:rPr>
        <w:t>70 400</w:t>
      </w:r>
      <w:r w:rsidRPr="00AD62CD">
        <w:rPr>
          <w:rFonts w:ascii="Times New Roman" w:eastAsia="Calibri" w:hAnsi="Times New Roman" w:cs="Times New Roman"/>
          <w:kern w:val="0"/>
          <w14:ligatures w14:val="none"/>
        </w:rPr>
        <w:t xml:space="preserve"> eur (2025)</w:t>
      </w:r>
    </w:p>
    <w:p w14:paraId="1F109154"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Times New Roman" w:hAnsi="Times New Roman" w:cs="Times New Roman"/>
          <w:kern w:val="0"/>
          <w:lang w:eastAsia="sk-SK"/>
          <w14:ligatures w14:val="none"/>
        </w:rPr>
        <w:t>104 500</w:t>
      </w:r>
      <w:r w:rsidRPr="00AD62CD">
        <w:rPr>
          <w:rFonts w:ascii="Times New Roman" w:eastAsia="Calibri" w:hAnsi="Times New Roman" w:cs="Times New Roman"/>
          <w:kern w:val="0"/>
          <w14:ligatures w14:val="none"/>
        </w:rPr>
        <w:t xml:space="preserve"> eur (2026)</w:t>
      </w:r>
    </w:p>
    <w:p w14:paraId="59A3FF3B"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
          <w:bCs/>
          <w:i/>
          <w:iCs/>
          <w:kern w:val="0"/>
          <w14:ligatures w14:val="none"/>
        </w:rPr>
      </w:pP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b/>
          <w:bCs/>
          <w:kern w:val="0"/>
          <w14:ligatures w14:val="none"/>
        </w:rPr>
        <w:t>s</w:t>
      </w:r>
      <w:r w:rsidRPr="00AD62CD">
        <w:rPr>
          <w:rFonts w:ascii="Times New Roman" w:eastAsia="Calibri" w:hAnsi="Times New Roman" w:cs="Times New Roman"/>
          <w:b/>
          <w:bCs/>
          <w:i/>
          <w:iCs/>
          <w:kern w:val="0"/>
          <w14:ligatures w14:val="none"/>
        </w:rPr>
        <w:t>polu</w:t>
      </w:r>
      <w:r w:rsidRPr="00AD62CD">
        <w:rPr>
          <w:rFonts w:ascii="Times New Roman" w:eastAsia="Calibri" w:hAnsi="Times New Roman" w:cs="Times New Roman"/>
          <w:b/>
          <w:bCs/>
          <w:i/>
          <w:iCs/>
          <w:kern w:val="0"/>
          <w14:ligatures w14:val="none"/>
        </w:rPr>
        <w:tab/>
        <w:t>174 900 eur</w:t>
      </w:r>
    </w:p>
    <w:p w14:paraId="038371B9"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p>
    <w:p w14:paraId="64AE8046"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Portál finančnej správy (PFS)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129 800 eur ( 2025)</w:t>
      </w:r>
    </w:p>
    <w:p w14:paraId="157BF4DE"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Times New Roman" w:hAnsi="Times New Roman" w:cs="Times New Roman"/>
          <w:kern w:val="0"/>
          <w:lang w:eastAsia="sk-SK"/>
          <w14:ligatures w14:val="none"/>
        </w:rPr>
        <w:t>162 800</w:t>
      </w:r>
      <w:r w:rsidRPr="00AD62CD">
        <w:rPr>
          <w:rFonts w:ascii="Times New Roman" w:eastAsia="Calibri" w:hAnsi="Times New Roman" w:cs="Times New Roman"/>
          <w:kern w:val="0"/>
          <w14:ligatures w14:val="none"/>
        </w:rPr>
        <w:t xml:space="preserve"> eur (2026)</w:t>
      </w:r>
    </w:p>
    <w:p w14:paraId="4F6DB0A7"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b/>
          <w:bCs/>
          <w:kern w:val="0"/>
          <w14:ligatures w14:val="none"/>
        </w:rPr>
        <w:t>s</w:t>
      </w:r>
      <w:r w:rsidRPr="00AD62CD">
        <w:rPr>
          <w:rFonts w:ascii="Times New Roman" w:eastAsia="Calibri" w:hAnsi="Times New Roman" w:cs="Times New Roman"/>
          <w:b/>
          <w:bCs/>
          <w:i/>
          <w:iCs/>
          <w:kern w:val="0"/>
          <w14:ligatures w14:val="none"/>
        </w:rPr>
        <w:t>polu</w:t>
      </w:r>
      <w:r w:rsidRPr="00AD62CD">
        <w:rPr>
          <w:rFonts w:ascii="Times New Roman" w:eastAsia="Calibri" w:hAnsi="Times New Roman" w:cs="Times New Roman"/>
          <w:b/>
          <w:bCs/>
          <w:i/>
          <w:iCs/>
          <w:kern w:val="0"/>
          <w14:ligatures w14:val="none"/>
        </w:rPr>
        <w:tab/>
        <w:t>292 600 eur</w:t>
      </w:r>
    </w:p>
    <w:p w14:paraId="3E1EE5DD"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4265180A"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3B581FC9"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3EC827EE"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1FB09AFF"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5536F1B1"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37E2F0F6"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1842E928"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59F76A90"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03BFF7A6"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768C4CE7"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7F6F438F"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6A7FB8B6"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40DE1062"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22275985"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5AA1F598"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12579D7E"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46419303"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5CB1A252"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 Popis a charakteristika návrhu</w:t>
      </w:r>
    </w:p>
    <w:p w14:paraId="25AD0187"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7920546F"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2.2.1. Popis návrhu:</w:t>
      </w:r>
    </w:p>
    <w:p w14:paraId="68540F99"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7BE7425C"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Akú problematiku návrh rieši? Kto bude návrh implementovať? Kde sa budú služby poskytovať?</w:t>
      </w:r>
    </w:p>
    <w:p w14:paraId="71E9C532"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1"/>
        <w:gridCol w:w="961"/>
        <w:gridCol w:w="1399"/>
        <w:gridCol w:w="1397"/>
        <w:gridCol w:w="1394"/>
      </w:tblGrid>
      <w:tr w:rsidR="00AD62CD" w:rsidRPr="00AD62CD" w14:paraId="32B881DB" w14:textId="77777777" w:rsidTr="00AD62CD">
        <w:trPr>
          <w:trHeight w:val="194"/>
          <w:jc w:val="center"/>
        </w:trPr>
        <w:tc>
          <w:tcPr>
            <w:tcW w:w="3911" w:type="dxa"/>
            <w:vMerge w:val="restart"/>
            <w:shd w:val="clear" w:color="auto" w:fill="BFBFBF"/>
            <w:vAlign w:val="center"/>
          </w:tcPr>
          <w:p w14:paraId="303F0015"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Vplyvy na rozpočet verejnej správy</w:t>
            </w:r>
          </w:p>
        </w:tc>
        <w:tc>
          <w:tcPr>
            <w:tcW w:w="5151" w:type="dxa"/>
            <w:gridSpan w:val="4"/>
            <w:shd w:val="clear" w:color="auto" w:fill="BFBFBF"/>
            <w:vAlign w:val="center"/>
          </w:tcPr>
          <w:p w14:paraId="7BF2F546"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Vplyv na rozpočet verejnej správy (v eurách)</w:t>
            </w:r>
          </w:p>
        </w:tc>
      </w:tr>
      <w:tr w:rsidR="00AD62CD" w:rsidRPr="00AD62CD" w14:paraId="2CC672ED" w14:textId="77777777" w:rsidTr="00AD62CD">
        <w:trPr>
          <w:trHeight w:val="70"/>
          <w:jc w:val="center"/>
        </w:trPr>
        <w:tc>
          <w:tcPr>
            <w:tcW w:w="3911" w:type="dxa"/>
            <w:vMerge/>
          </w:tcPr>
          <w:p w14:paraId="6B5A791C" w14:textId="77777777" w:rsidR="00AD62CD" w:rsidRPr="00AD62CD" w:rsidRDefault="00AD62CD" w:rsidP="00AD62CD">
            <w:pPr>
              <w:spacing w:after="200" w:line="276" w:lineRule="auto"/>
              <w:rPr>
                <w:rFonts w:ascii="Times New Roman" w:eastAsia="Calibri" w:hAnsi="Times New Roman" w:cs="Times New Roman"/>
                <w:kern w:val="0"/>
                <w:sz w:val="22"/>
                <w:szCs w:val="22"/>
                <w14:ligatures w14:val="none"/>
              </w:rPr>
            </w:pPr>
          </w:p>
        </w:tc>
        <w:tc>
          <w:tcPr>
            <w:tcW w:w="961" w:type="dxa"/>
            <w:tcBorders>
              <w:top w:val="nil"/>
              <w:left w:val="nil"/>
              <w:bottom w:val="single" w:sz="8" w:space="0" w:color="auto"/>
              <w:right w:val="single" w:sz="8" w:space="0" w:color="auto"/>
            </w:tcBorders>
            <w:shd w:val="clear" w:color="auto" w:fill="BFBFBF"/>
            <w:vAlign w:val="center"/>
          </w:tcPr>
          <w:p w14:paraId="08E51D1D"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399" w:type="dxa"/>
            <w:tcBorders>
              <w:top w:val="nil"/>
              <w:left w:val="nil"/>
              <w:bottom w:val="single" w:sz="8" w:space="0" w:color="auto"/>
              <w:right w:val="single" w:sz="8" w:space="0" w:color="auto"/>
            </w:tcBorders>
            <w:shd w:val="clear" w:color="auto" w:fill="BFBFBF"/>
            <w:vAlign w:val="center"/>
          </w:tcPr>
          <w:p w14:paraId="589A916A"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397" w:type="dxa"/>
            <w:tcBorders>
              <w:top w:val="nil"/>
              <w:left w:val="nil"/>
              <w:bottom w:val="single" w:sz="8" w:space="0" w:color="auto"/>
              <w:right w:val="single" w:sz="8" w:space="0" w:color="auto"/>
            </w:tcBorders>
            <w:shd w:val="clear" w:color="auto" w:fill="BFBFBF"/>
            <w:vAlign w:val="center"/>
          </w:tcPr>
          <w:p w14:paraId="3CC96BF8"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394" w:type="dxa"/>
            <w:tcBorders>
              <w:top w:val="nil"/>
              <w:left w:val="nil"/>
              <w:bottom w:val="single" w:sz="8" w:space="0" w:color="auto"/>
              <w:right w:val="single" w:sz="8" w:space="0" w:color="auto"/>
            </w:tcBorders>
            <w:shd w:val="clear" w:color="auto" w:fill="BFBFBF"/>
            <w:vAlign w:val="center"/>
          </w:tcPr>
          <w:p w14:paraId="163FE87B"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r>
      <w:tr w:rsidR="00AD62CD" w:rsidRPr="00AD62CD" w14:paraId="553D8852" w14:textId="77777777" w:rsidTr="003627DF">
        <w:trPr>
          <w:trHeight w:val="70"/>
          <w:jc w:val="center"/>
        </w:trPr>
        <w:tc>
          <w:tcPr>
            <w:tcW w:w="3911" w:type="dxa"/>
            <w:tcBorders>
              <w:top w:val="nil"/>
              <w:left w:val="single" w:sz="8" w:space="0" w:color="auto"/>
              <w:bottom w:val="single" w:sz="8" w:space="0" w:color="auto"/>
              <w:right w:val="single" w:sz="8" w:space="0" w:color="auto"/>
            </w:tcBorders>
            <w:shd w:val="clear" w:color="auto" w:fill="C0C0C0"/>
            <w:vAlign w:val="center"/>
          </w:tcPr>
          <w:p w14:paraId="5433C96F"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verejnej správy celkom</w:t>
            </w:r>
          </w:p>
        </w:tc>
        <w:tc>
          <w:tcPr>
            <w:tcW w:w="961" w:type="dxa"/>
            <w:tcBorders>
              <w:top w:val="single" w:sz="8" w:space="0" w:color="auto"/>
              <w:left w:val="single" w:sz="8" w:space="0" w:color="auto"/>
              <w:bottom w:val="single" w:sz="8" w:space="0" w:color="auto"/>
              <w:right w:val="single" w:sz="8" w:space="0" w:color="auto"/>
            </w:tcBorders>
            <w:shd w:val="clear" w:color="auto" w:fill="C0C0C0"/>
            <w:vAlign w:val="center"/>
          </w:tcPr>
          <w:p w14:paraId="61C39145" w14:textId="77777777" w:rsidR="00AD62CD" w:rsidRPr="00AD62CD" w:rsidRDefault="00AD62CD" w:rsidP="00AD62CD">
            <w:pPr>
              <w:spacing w:after="0" w:line="276" w:lineRule="auto"/>
              <w:jc w:val="center"/>
              <w:rPr>
                <w:rFonts w:ascii="Times New Roman" w:eastAsia="Calibri" w:hAnsi="Times New Roman" w:cs="Times New Roman"/>
                <w:b/>
                <w:bCs/>
                <w:kern w:val="0"/>
                <w:sz w:val="22"/>
                <w:szCs w:val="22"/>
                <w14:ligatures w14:val="none"/>
              </w:rPr>
            </w:pPr>
          </w:p>
        </w:tc>
        <w:tc>
          <w:tcPr>
            <w:tcW w:w="1399" w:type="dxa"/>
            <w:tcBorders>
              <w:top w:val="single" w:sz="8" w:space="0" w:color="auto"/>
              <w:left w:val="nil"/>
              <w:bottom w:val="single" w:sz="8" w:space="0" w:color="auto"/>
              <w:right w:val="single" w:sz="8" w:space="0" w:color="auto"/>
            </w:tcBorders>
            <w:shd w:val="clear" w:color="auto" w:fill="C0C0C0"/>
            <w:vAlign w:val="center"/>
          </w:tcPr>
          <w:p w14:paraId="26A8FE20"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kern w:val="0"/>
                <w:sz w:val="22"/>
                <w:szCs w:val="22"/>
                <w14:ligatures w14:val="none"/>
              </w:rPr>
              <w:t>228 238 000</w:t>
            </w:r>
          </w:p>
        </w:tc>
        <w:tc>
          <w:tcPr>
            <w:tcW w:w="1397" w:type="dxa"/>
            <w:tcBorders>
              <w:top w:val="single" w:sz="8" w:space="0" w:color="auto"/>
              <w:left w:val="nil"/>
              <w:bottom w:val="single" w:sz="8" w:space="0" w:color="auto"/>
              <w:right w:val="single" w:sz="8" w:space="0" w:color="auto"/>
            </w:tcBorders>
            <w:shd w:val="clear" w:color="auto" w:fill="C0C0C0"/>
            <w:vAlign w:val="center"/>
          </w:tcPr>
          <w:p w14:paraId="3C29E758"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kern w:val="0"/>
                <w:sz w:val="22"/>
                <w:szCs w:val="22"/>
                <w14:ligatures w14:val="none"/>
              </w:rPr>
              <w:t>241 058 000</w:t>
            </w:r>
          </w:p>
        </w:tc>
        <w:tc>
          <w:tcPr>
            <w:tcW w:w="1394" w:type="dxa"/>
            <w:tcBorders>
              <w:top w:val="single" w:sz="8" w:space="0" w:color="auto"/>
              <w:left w:val="nil"/>
              <w:bottom w:val="single" w:sz="8" w:space="0" w:color="auto"/>
              <w:right w:val="single" w:sz="8" w:space="0" w:color="auto"/>
            </w:tcBorders>
            <w:shd w:val="clear" w:color="auto" w:fill="C0C0C0"/>
            <w:vAlign w:val="center"/>
          </w:tcPr>
          <w:p w14:paraId="2E9CED04"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kern w:val="0"/>
                <w:sz w:val="22"/>
                <w:szCs w:val="22"/>
                <w14:ligatures w14:val="none"/>
              </w:rPr>
              <w:t>253 330 000</w:t>
            </w:r>
          </w:p>
        </w:tc>
      </w:tr>
      <w:tr w:rsidR="00AD62CD" w:rsidRPr="00AD62CD" w14:paraId="2FEFFFAB" w14:textId="77777777" w:rsidTr="003627DF">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34A391C6" w14:textId="77777777" w:rsidR="00AD62CD" w:rsidRPr="00AD62CD" w:rsidRDefault="00AD62CD" w:rsidP="00AD62CD">
            <w:pPr>
              <w:spacing w:after="0" w:line="276" w:lineRule="auto"/>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Zvýšenie progresivity DPFO - zavedenie tretej a štvrtej sadzby dane</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14:paraId="021C268F" w14:textId="77777777" w:rsidR="00AD62CD" w:rsidRPr="00AD62CD" w:rsidRDefault="00AD62CD" w:rsidP="00AD62CD">
            <w:pPr>
              <w:spacing w:after="0" w:line="276" w:lineRule="auto"/>
              <w:ind w:left="50"/>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w:t>
            </w:r>
          </w:p>
        </w:tc>
        <w:tc>
          <w:tcPr>
            <w:tcW w:w="1399" w:type="dxa"/>
            <w:tcBorders>
              <w:top w:val="single" w:sz="8" w:space="0" w:color="auto"/>
              <w:left w:val="nil"/>
              <w:bottom w:val="single" w:sz="8" w:space="0" w:color="auto"/>
              <w:right w:val="single" w:sz="8" w:space="0" w:color="auto"/>
            </w:tcBorders>
            <w:shd w:val="clear" w:color="auto" w:fill="auto"/>
            <w:vAlign w:val="center"/>
          </w:tcPr>
          <w:p w14:paraId="0CFFF652"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205 393 000</w:t>
            </w:r>
          </w:p>
        </w:tc>
        <w:tc>
          <w:tcPr>
            <w:tcW w:w="1397" w:type="dxa"/>
            <w:tcBorders>
              <w:top w:val="single" w:sz="8" w:space="0" w:color="auto"/>
              <w:left w:val="nil"/>
              <w:bottom w:val="single" w:sz="8" w:space="0" w:color="auto"/>
              <w:right w:val="single" w:sz="8" w:space="0" w:color="auto"/>
            </w:tcBorders>
            <w:shd w:val="clear" w:color="auto" w:fill="auto"/>
            <w:vAlign w:val="center"/>
          </w:tcPr>
          <w:p w14:paraId="52996E60"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218 778 000</w:t>
            </w:r>
          </w:p>
        </w:tc>
        <w:tc>
          <w:tcPr>
            <w:tcW w:w="1394" w:type="dxa"/>
            <w:tcBorders>
              <w:top w:val="single" w:sz="8" w:space="0" w:color="auto"/>
              <w:left w:val="nil"/>
              <w:bottom w:val="single" w:sz="8" w:space="0" w:color="auto"/>
              <w:right w:val="single" w:sz="8" w:space="0" w:color="auto"/>
            </w:tcBorders>
            <w:shd w:val="clear" w:color="auto" w:fill="auto"/>
            <w:vAlign w:val="center"/>
          </w:tcPr>
          <w:p w14:paraId="632C2763"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231 580 000</w:t>
            </w:r>
          </w:p>
        </w:tc>
      </w:tr>
      <w:tr w:rsidR="00AD62CD" w:rsidRPr="00AD62CD" w14:paraId="1CF0F23B" w14:textId="77777777" w:rsidTr="003627DF">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253022E2" w14:textId="77777777" w:rsidR="00AD62CD" w:rsidRPr="00AD62CD" w:rsidRDefault="00AD62CD" w:rsidP="00AD62CD">
            <w:pPr>
              <w:spacing w:after="0" w:line="276" w:lineRule="auto"/>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Zavedenie novej sadzby minimálnej dane z príjmov právnických osôb</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14:paraId="42B6F0D3"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w:t>
            </w:r>
          </w:p>
        </w:tc>
        <w:tc>
          <w:tcPr>
            <w:tcW w:w="1399" w:type="dxa"/>
            <w:tcBorders>
              <w:top w:val="single" w:sz="8" w:space="0" w:color="auto"/>
              <w:left w:val="nil"/>
              <w:bottom w:val="single" w:sz="8" w:space="0" w:color="auto"/>
              <w:right w:val="single" w:sz="8" w:space="0" w:color="auto"/>
            </w:tcBorders>
            <w:shd w:val="clear" w:color="auto" w:fill="auto"/>
            <w:vAlign w:val="center"/>
          </w:tcPr>
          <w:p w14:paraId="7F419562"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9 800 000</w:t>
            </w:r>
          </w:p>
        </w:tc>
        <w:tc>
          <w:tcPr>
            <w:tcW w:w="1397" w:type="dxa"/>
            <w:tcBorders>
              <w:top w:val="single" w:sz="8" w:space="0" w:color="auto"/>
              <w:left w:val="nil"/>
              <w:bottom w:val="single" w:sz="8" w:space="0" w:color="auto"/>
              <w:right w:val="single" w:sz="8" w:space="0" w:color="auto"/>
            </w:tcBorders>
            <w:shd w:val="clear" w:color="auto" w:fill="auto"/>
            <w:vAlign w:val="center"/>
          </w:tcPr>
          <w:p w14:paraId="120CBC6D"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8 200 000</w:t>
            </w:r>
          </w:p>
        </w:tc>
        <w:tc>
          <w:tcPr>
            <w:tcW w:w="1394" w:type="dxa"/>
            <w:tcBorders>
              <w:top w:val="single" w:sz="8" w:space="0" w:color="auto"/>
              <w:left w:val="nil"/>
              <w:bottom w:val="single" w:sz="8" w:space="0" w:color="auto"/>
              <w:right w:val="single" w:sz="8" w:space="0" w:color="auto"/>
            </w:tcBorders>
            <w:shd w:val="clear" w:color="auto" w:fill="auto"/>
            <w:vAlign w:val="center"/>
          </w:tcPr>
          <w:p w14:paraId="0DA563C3"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8 000 000</w:t>
            </w:r>
          </w:p>
        </w:tc>
      </w:tr>
      <w:tr w:rsidR="00AD62CD" w:rsidRPr="00AD62CD" w14:paraId="0A4169F9" w14:textId="77777777" w:rsidTr="003627DF">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6289725C" w14:textId="77777777" w:rsidR="00AD62CD" w:rsidRPr="00AD62CD" w:rsidRDefault="00AD62CD" w:rsidP="00AD62CD">
            <w:pPr>
              <w:spacing w:after="0" w:line="276" w:lineRule="auto"/>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Upravenie sadzby DPPO na hráčske účty na 53%</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14:paraId="4DF524B7"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w:t>
            </w:r>
          </w:p>
        </w:tc>
        <w:tc>
          <w:tcPr>
            <w:tcW w:w="1399" w:type="dxa"/>
            <w:tcBorders>
              <w:top w:val="single" w:sz="8" w:space="0" w:color="auto"/>
              <w:left w:val="nil"/>
              <w:bottom w:val="single" w:sz="8" w:space="0" w:color="auto"/>
              <w:right w:val="single" w:sz="8" w:space="0" w:color="auto"/>
            </w:tcBorders>
            <w:shd w:val="clear" w:color="auto" w:fill="auto"/>
            <w:vAlign w:val="center"/>
          </w:tcPr>
          <w:p w14:paraId="508E4C88"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12 652 000</w:t>
            </w:r>
          </w:p>
        </w:tc>
        <w:tc>
          <w:tcPr>
            <w:tcW w:w="1397" w:type="dxa"/>
            <w:tcBorders>
              <w:top w:val="single" w:sz="8" w:space="0" w:color="auto"/>
              <w:left w:val="nil"/>
              <w:bottom w:val="single" w:sz="8" w:space="0" w:color="auto"/>
              <w:right w:val="single" w:sz="8" w:space="0" w:color="auto"/>
            </w:tcBorders>
            <w:shd w:val="clear" w:color="auto" w:fill="auto"/>
            <w:vAlign w:val="center"/>
          </w:tcPr>
          <w:p w14:paraId="7E1AE541"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13 650 000</w:t>
            </w:r>
          </w:p>
        </w:tc>
        <w:tc>
          <w:tcPr>
            <w:tcW w:w="1394" w:type="dxa"/>
            <w:tcBorders>
              <w:top w:val="single" w:sz="8" w:space="0" w:color="auto"/>
              <w:left w:val="nil"/>
              <w:bottom w:val="single" w:sz="8" w:space="0" w:color="auto"/>
              <w:right w:val="single" w:sz="8" w:space="0" w:color="auto"/>
            </w:tcBorders>
            <w:shd w:val="clear" w:color="auto" w:fill="auto"/>
            <w:vAlign w:val="center"/>
          </w:tcPr>
          <w:p w14:paraId="68D9E55F"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14 601 000</w:t>
            </w:r>
          </w:p>
        </w:tc>
      </w:tr>
      <w:tr w:rsidR="00AD62CD" w:rsidRPr="00AD62CD" w14:paraId="1F60E765" w14:textId="77777777" w:rsidTr="003627DF">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0A8B1D9F" w14:textId="77777777" w:rsidR="00AD62CD" w:rsidRPr="00AD62CD" w:rsidRDefault="00AD62CD" w:rsidP="00AD62CD">
            <w:pPr>
              <w:spacing w:after="0" w:line="276" w:lineRule="auto"/>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Predĺženie odpočtu na investíciu do tzv. Priemyslu 4.0 do roku 2030</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14:paraId="15FC1E07"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w:t>
            </w:r>
          </w:p>
        </w:tc>
        <w:tc>
          <w:tcPr>
            <w:tcW w:w="1399" w:type="dxa"/>
            <w:tcBorders>
              <w:top w:val="single" w:sz="8" w:space="0" w:color="auto"/>
              <w:left w:val="nil"/>
              <w:bottom w:val="single" w:sz="8" w:space="0" w:color="auto"/>
              <w:right w:val="single" w:sz="8" w:space="0" w:color="auto"/>
            </w:tcBorders>
            <w:shd w:val="clear" w:color="auto" w:fill="auto"/>
            <w:vAlign w:val="center"/>
          </w:tcPr>
          <w:p w14:paraId="0418AE0A" w14:textId="77777777" w:rsidR="00AD62CD" w:rsidRPr="00AD62CD" w:rsidRDefault="00AD62CD" w:rsidP="00AD62CD">
            <w:pPr>
              <w:spacing w:after="0" w:line="276" w:lineRule="auto"/>
              <w:jc w:val="center"/>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397" w:type="dxa"/>
            <w:tcBorders>
              <w:top w:val="single" w:sz="8" w:space="0" w:color="auto"/>
              <w:left w:val="nil"/>
              <w:bottom w:val="single" w:sz="8" w:space="0" w:color="auto"/>
              <w:right w:val="single" w:sz="8" w:space="0" w:color="auto"/>
            </w:tcBorders>
            <w:shd w:val="clear" w:color="auto" w:fill="auto"/>
            <w:vAlign w:val="center"/>
          </w:tcPr>
          <w:p w14:paraId="41D971A7" w14:textId="77777777" w:rsidR="00AD62CD" w:rsidRPr="00AD62CD" w:rsidRDefault="00AD62CD" w:rsidP="00AD62CD">
            <w:pPr>
              <w:spacing w:after="0" w:line="276" w:lineRule="auto"/>
              <w:jc w:val="center"/>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394" w:type="dxa"/>
            <w:tcBorders>
              <w:top w:val="single" w:sz="8" w:space="0" w:color="auto"/>
              <w:left w:val="nil"/>
              <w:bottom w:val="single" w:sz="8" w:space="0" w:color="auto"/>
              <w:right w:val="single" w:sz="8" w:space="0" w:color="auto"/>
            </w:tcBorders>
            <w:shd w:val="clear" w:color="auto" w:fill="auto"/>
            <w:vAlign w:val="center"/>
          </w:tcPr>
          <w:p w14:paraId="4DE9DA1A"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-1 300 000</w:t>
            </w:r>
          </w:p>
        </w:tc>
      </w:tr>
      <w:tr w:rsidR="00AD62CD" w:rsidRPr="00AD62CD" w14:paraId="108FD424" w14:textId="77777777" w:rsidTr="003627DF">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6399E043" w14:textId="77777777" w:rsidR="00AD62CD" w:rsidRPr="00AD62CD" w:rsidRDefault="00AD62CD" w:rsidP="00AD62CD">
            <w:pPr>
              <w:spacing w:after="0" w:line="276" w:lineRule="auto"/>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Úpravy DzP spojené s obmedzením odpočtu DPH na autá</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14:paraId="213D4AA0"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w:t>
            </w:r>
          </w:p>
        </w:tc>
        <w:tc>
          <w:tcPr>
            <w:tcW w:w="1399" w:type="dxa"/>
            <w:tcBorders>
              <w:top w:val="single" w:sz="8" w:space="0" w:color="auto"/>
              <w:left w:val="nil"/>
              <w:bottom w:val="single" w:sz="8" w:space="0" w:color="auto"/>
              <w:right w:val="single" w:sz="8" w:space="0" w:color="auto"/>
            </w:tcBorders>
            <w:shd w:val="clear" w:color="auto" w:fill="auto"/>
            <w:vAlign w:val="center"/>
          </w:tcPr>
          <w:p w14:paraId="47649F43"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397" w:type="dxa"/>
            <w:tcBorders>
              <w:top w:val="single" w:sz="8" w:space="0" w:color="auto"/>
              <w:left w:val="nil"/>
              <w:bottom w:val="single" w:sz="8" w:space="0" w:color="auto"/>
              <w:right w:val="single" w:sz="8" w:space="0" w:color="auto"/>
            </w:tcBorders>
            <w:shd w:val="clear" w:color="auto" w:fill="auto"/>
            <w:vAlign w:val="center"/>
          </w:tcPr>
          <w:p w14:paraId="7A3E9D96"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394" w:type="dxa"/>
            <w:tcBorders>
              <w:top w:val="single" w:sz="8" w:space="0" w:color="auto"/>
              <w:left w:val="nil"/>
              <w:bottom w:val="single" w:sz="8" w:space="0" w:color="auto"/>
              <w:right w:val="single" w:sz="8" w:space="0" w:color="auto"/>
            </w:tcBorders>
            <w:shd w:val="clear" w:color="auto" w:fill="auto"/>
            <w:vAlign w:val="center"/>
          </w:tcPr>
          <w:p w14:paraId="4F3071F0"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6C80CA3" w14:textId="77777777" w:rsidTr="003627DF">
        <w:trPr>
          <w:trHeight w:val="125"/>
          <w:jc w:val="center"/>
        </w:trPr>
        <w:tc>
          <w:tcPr>
            <w:tcW w:w="3911" w:type="dxa"/>
            <w:tcBorders>
              <w:top w:val="single" w:sz="8" w:space="0" w:color="auto"/>
              <w:left w:val="single" w:sz="8" w:space="0" w:color="auto"/>
              <w:bottom w:val="single" w:sz="8" w:space="0" w:color="auto"/>
              <w:right w:val="single" w:sz="8" w:space="0" w:color="auto"/>
            </w:tcBorders>
            <w:shd w:val="clear" w:color="auto" w:fill="auto"/>
          </w:tcPr>
          <w:p w14:paraId="78CA1548" w14:textId="77777777" w:rsidR="00AD62CD" w:rsidRPr="00AD62CD" w:rsidRDefault="00AD62CD" w:rsidP="00AD62CD">
            <w:pPr>
              <w:spacing w:after="0" w:line="276" w:lineRule="auto"/>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Zvýšenie osobitnej sadzby DPFO pre vybraných ústavných činiteľov</w:t>
            </w: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14:paraId="7B9F71CD" w14:textId="77777777" w:rsidR="00AD62CD" w:rsidRPr="00AD62CD" w:rsidRDefault="00AD62CD" w:rsidP="00AD62CD">
            <w:pPr>
              <w:spacing w:after="0" w:line="276" w:lineRule="auto"/>
              <w:contextualSpacing/>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w:t>
            </w:r>
          </w:p>
        </w:tc>
        <w:tc>
          <w:tcPr>
            <w:tcW w:w="1399" w:type="dxa"/>
            <w:tcBorders>
              <w:top w:val="single" w:sz="8" w:space="0" w:color="auto"/>
              <w:left w:val="nil"/>
              <w:bottom w:val="single" w:sz="8" w:space="0" w:color="auto"/>
              <w:right w:val="single" w:sz="8" w:space="0" w:color="auto"/>
            </w:tcBorders>
            <w:shd w:val="clear" w:color="auto" w:fill="auto"/>
            <w:vAlign w:val="center"/>
          </w:tcPr>
          <w:p w14:paraId="2EDDAF0C"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393 000</w:t>
            </w:r>
          </w:p>
        </w:tc>
        <w:tc>
          <w:tcPr>
            <w:tcW w:w="1397" w:type="dxa"/>
            <w:tcBorders>
              <w:top w:val="single" w:sz="8" w:space="0" w:color="auto"/>
              <w:left w:val="nil"/>
              <w:bottom w:val="single" w:sz="8" w:space="0" w:color="auto"/>
              <w:right w:val="single" w:sz="8" w:space="0" w:color="auto"/>
            </w:tcBorders>
            <w:shd w:val="clear" w:color="auto" w:fill="auto"/>
            <w:vAlign w:val="center"/>
          </w:tcPr>
          <w:p w14:paraId="099136A8"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430 000</w:t>
            </w:r>
          </w:p>
        </w:tc>
        <w:tc>
          <w:tcPr>
            <w:tcW w:w="1394" w:type="dxa"/>
            <w:tcBorders>
              <w:top w:val="single" w:sz="8" w:space="0" w:color="auto"/>
              <w:left w:val="nil"/>
              <w:bottom w:val="single" w:sz="8" w:space="0" w:color="auto"/>
              <w:right w:val="single" w:sz="8" w:space="0" w:color="auto"/>
            </w:tcBorders>
            <w:shd w:val="clear" w:color="auto" w:fill="auto"/>
            <w:vAlign w:val="center"/>
          </w:tcPr>
          <w:p w14:paraId="22EA6F99" w14:textId="77777777" w:rsidR="00AD62CD" w:rsidRPr="00AD62CD" w:rsidRDefault="00AD62CD" w:rsidP="00AD62CD">
            <w:pPr>
              <w:spacing w:after="0" w:line="276" w:lineRule="auto"/>
              <w:jc w:val="center"/>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449 000</w:t>
            </w:r>
          </w:p>
        </w:tc>
      </w:tr>
    </w:tbl>
    <w:p w14:paraId="13998AB5"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046AEBCB"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S účinnosťou od 1. 1. 2026 sa znižuje hranica základu dane pre platenie druhej sadzby dane z príjmov fyzických osôb (25 %) zo 176,8-násobku sumy životného minima na 154,8-násobok a zavádzajú sa tretia sadzba 30 % od hranice základu dane vo výške 212,4-násobku sumy životného minima a štvrtá sadzba 35 % od hranice základu dane vo výške 264,0-násobku sumy životného minima. Zároveň sa upravujú parametre znižovania nezdaniteľnej časti základu dane na daňovníka a nezdaniteľnej časti základu dane na manželku (manžela) pri vyšších úrovniach základu dane, aby ostala zachovaná konzistentnosť daňového systému.</w:t>
      </w:r>
    </w:p>
    <w:p w14:paraId="14E47A67"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1C3888FA"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3FEBA434"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Zavedenie novej sadzby minimálnej dane z príjmov právnických osôb</w:t>
      </w:r>
    </w:p>
    <w:p w14:paraId="4E07405F" w14:textId="77777777" w:rsidR="00AD62CD" w:rsidRPr="00AD62CD" w:rsidRDefault="00AD62CD" w:rsidP="00AD62CD">
      <w:pPr>
        <w:spacing w:after="0" w:line="276"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lang w:eastAsia="sk-SK"/>
          <w14:ligatures w14:val="none"/>
        </w:rPr>
        <w:t xml:space="preserve">S účinnosťou od 1.1.2026 </w:t>
      </w:r>
      <w:r w:rsidRPr="00AD62CD">
        <w:rPr>
          <w:rFonts w:ascii="Times New Roman" w:eastAsia="Calibri" w:hAnsi="Times New Roman" w:cs="Times New Roman"/>
          <w:kern w:val="0"/>
          <w14:ligatures w14:val="none"/>
        </w:rPr>
        <w:t>sa zavádza nové pásmo minimálnej dane z príjmov právnických osôb, ktorú musí daňovník odviesť bez ohľadu na výšku daňového základu resp. daňovej straty. Výška minimálnej dane je v závislosti od výšky zdaniteľných príjmov určená podľa Tabuľky 1.</w:t>
      </w:r>
    </w:p>
    <w:p w14:paraId="073D626B" w14:textId="77777777" w:rsidR="00AD62CD" w:rsidRPr="00AD62CD" w:rsidRDefault="00AD62CD" w:rsidP="00AD62CD">
      <w:pPr>
        <w:spacing w:after="0" w:line="276" w:lineRule="auto"/>
        <w:jc w:val="both"/>
        <w:rPr>
          <w:rFonts w:ascii="Times New Roman" w:eastAsia="Calibri" w:hAnsi="Times New Roman" w:cs="Times New Roman"/>
          <w:kern w:val="0"/>
          <w14:ligatures w14:val="none"/>
        </w:rPr>
      </w:pPr>
    </w:p>
    <w:p w14:paraId="58F5578B" w14:textId="77777777" w:rsidR="00AD62CD" w:rsidRPr="00AD62CD" w:rsidRDefault="00AD62CD" w:rsidP="00AD62CD">
      <w:pPr>
        <w:spacing w:after="200" w:line="276" w:lineRule="auto"/>
        <w:rPr>
          <w:rFonts w:ascii="Times New Roman" w:eastAsia="Calibri" w:hAnsi="Times New Roman" w:cs="Times New Roman"/>
          <w:kern w:val="0"/>
          <w:sz w:val="22"/>
          <w:szCs w:val="22"/>
          <w14:ligatures w14:val="none"/>
        </w:rPr>
      </w:pPr>
      <w:r w:rsidRPr="00AD62CD">
        <w:rPr>
          <w:rFonts w:ascii="Times New Roman" w:eastAsia="Arial Narrow" w:hAnsi="Times New Roman" w:cs="Times New Roman"/>
          <w:b/>
          <w:bCs/>
          <w:kern w:val="0"/>
          <w:sz w:val="22"/>
          <w:szCs w:val="22"/>
          <w14:ligatures w14:val="none"/>
        </w:rPr>
        <w:t>Tabuľka: Minimálna daň pre firmy v závislosti od jej ročného obratu</w:t>
      </w:r>
    </w:p>
    <w:tbl>
      <w:tblPr>
        <w:tblStyle w:val="Mriekatabuky2"/>
        <w:tblW w:w="0" w:type="auto"/>
        <w:tblLayout w:type="fixed"/>
        <w:tblLook w:val="04A0" w:firstRow="1" w:lastRow="0" w:firstColumn="1" w:lastColumn="0" w:noHBand="0" w:noVBand="1"/>
      </w:tblPr>
      <w:tblGrid>
        <w:gridCol w:w="2400"/>
        <w:gridCol w:w="1980"/>
      </w:tblGrid>
      <w:tr w:rsidR="00AD62CD" w:rsidRPr="00AD62CD" w14:paraId="4A8D7695" w14:textId="77777777" w:rsidTr="00AD62CD">
        <w:trPr>
          <w:trHeight w:val="345"/>
        </w:trPr>
        <w:tc>
          <w:tcPr>
            <w:tcW w:w="2400"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572C63EF" w14:textId="77777777" w:rsidR="00AD62CD" w:rsidRPr="00AD62CD" w:rsidRDefault="00AD62CD" w:rsidP="00AD62CD">
            <w:pPr>
              <w:rPr>
                <w:rFonts w:ascii="Times New Roman" w:eastAsia="Calibri" w:hAnsi="Times New Roman" w:cs="Times New Roman"/>
              </w:rPr>
            </w:pPr>
            <w:r w:rsidRPr="00AD62CD">
              <w:rPr>
                <w:rFonts w:ascii="Times New Roman" w:eastAsia="Arial Narrow" w:hAnsi="Times New Roman" w:cs="Times New Roman"/>
                <w:b/>
                <w:bCs/>
                <w:sz w:val="20"/>
                <w:szCs w:val="20"/>
              </w:rPr>
              <w:t>Výška obratu</w:t>
            </w:r>
          </w:p>
        </w:tc>
        <w:tc>
          <w:tcPr>
            <w:tcW w:w="1980"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5D02AC00" w14:textId="77777777" w:rsidR="00AD62CD" w:rsidRPr="00AD62CD" w:rsidRDefault="00AD62CD" w:rsidP="00AD62CD">
            <w:pPr>
              <w:jc w:val="center"/>
              <w:rPr>
                <w:rFonts w:ascii="Times New Roman" w:eastAsia="Calibri" w:hAnsi="Times New Roman" w:cs="Times New Roman"/>
              </w:rPr>
            </w:pPr>
            <w:r w:rsidRPr="00AD62CD">
              <w:rPr>
                <w:rFonts w:ascii="Times New Roman" w:eastAsia="Arial Narrow" w:hAnsi="Times New Roman" w:cs="Times New Roman"/>
                <w:b/>
                <w:bCs/>
                <w:sz w:val="20"/>
                <w:szCs w:val="20"/>
              </w:rPr>
              <w:t>Minimálna daň (v eur)</w:t>
            </w:r>
          </w:p>
        </w:tc>
      </w:tr>
      <w:tr w:rsidR="00AD62CD" w:rsidRPr="00AD62CD" w14:paraId="2B79C969" w14:textId="77777777" w:rsidTr="003627DF">
        <w:trPr>
          <w:trHeight w:val="345"/>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B1243" w14:textId="77777777" w:rsidR="00AD62CD" w:rsidRPr="00AD62CD" w:rsidRDefault="00AD62CD" w:rsidP="00AD62CD">
            <w:pPr>
              <w:rPr>
                <w:rFonts w:ascii="Times New Roman" w:eastAsia="Calibri" w:hAnsi="Times New Roman" w:cs="Times New Roman"/>
              </w:rPr>
            </w:pPr>
            <w:r w:rsidRPr="00AD62CD">
              <w:rPr>
                <w:rFonts w:ascii="Times New Roman" w:eastAsia="Arial Narrow" w:hAnsi="Times New Roman" w:cs="Times New Roman"/>
                <w:sz w:val="20"/>
                <w:szCs w:val="20"/>
              </w:rPr>
              <w:t>Do 50 000 eur</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86FE7" w14:textId="77777777" w:rsidR="00AD62CD" w:rsidRPr="00AD62CD" w:rsidRDefault="00AD62CD" w:rsidP="00AD62CD">
            <w:pPr>
              <w:jc w:val="center"/>
              <w:rPr>
                <w:rFonts w:ascii="Times New Roman" w:eastAsia="Calibri" w:hAnsi="Times New Roman" w:cs="Times New Roman"/>
              </w:rPr>
            </w:pPr>
            <w:r w:rsidRPr="00AD62CD">
              <w:rPr>
                <w:rFonts w:ascii="Times New Roman" w:eastAsia="Arial Narrow" w:hAnsi="Times New Roman" w:cs="Times New Roman"/>
                <w:sz w:val="20"/>
                <w:szCs w:val="20"/>
              </w:rPr>
              <w:t>340</w:t>
            </w:r>
          </w:p>
        </w:tc>
      </w:tr>
      <w:tr w:rsidR="00AD62CD" w:rsidRPr="00AD62CD" w14:paraId="507E1DD0" w14:textId="77777777" w:rsidTr="003627DF">
        <w:trPr>
          <w:trHeight w:val="345"/>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308879" w14:textId="77777777" w:rsidR="00AD62CD" w:rsidRPr="00AD62CD" w:rsidRDefault="00AD62CD" w:rsidP="00AD62CD">
            <w:pPr>
              <w:rPr>
                <w:rFonts w:ascii="Times New Roman" w:eastAsia="Calibri" w:hAnsi="Times New Roman" w:cs="Times New Roman"/>
              </w:rPr>
            </w:pPr>
            <w:r w:rsidRPr="00AD62CD">
              <w:rPr>
                <w:rFonts w:ascii="Times New Roman" w:eastAsia="Arial Narrow" w:hAnsi="Times New Roman" w:cs="Times New Roman"/>
                <w:sz w:val="20"/>
                <w:szCs w:val="20"/>
              </w:rPr>
              <w:t xml:space="preserve">50 000 – 250 000 eur </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F0872A" w14:textId="77777777" w:rsidR="00AD62CD" w:rsidRPr="00AD62CD" w:rsidRDefault="00AD62CD" w:rsidP="00AD62CD">
            <w:pPr>
              <w:jc w:val="center"/>
              <w:rPr>
                <w:rFonts w:ascii="Times New Roman" w:eastAsia="Calibri" w:hAnsi="Times New Roman" w:cs="Times New Roman"/>
              </w:rPr>
            </w:pPr>
            <w:r w:rsidRPr="00AD62CD">
              <w:rPr>
                <w:rFonts w:ascii="Times New Roman" w:eastAsia="Arial Narrow" w:hAnsi="Times New Roman" w:cs="Times New Roman"/>
                <w:sz w:val="20"/>
                <w:szCs w:val="20"/>
              </w:rPr>
              <w:t>960</w:t>
            </w:r>
          </w:p>
        </w:tc>
      </w:tr>
      <w:tr w:rsidR="00AD62CD" w:rsidRPr="00AD62CD" w14:paraId="2A16429D" w14:textId="77777777" w:rsidTr="003627DF">
        <w:trPr>
          <w:trHeight w:val="345"/>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AA050" w14:textId="77777777" w:rsidR="00AD62CD" w:rsidRPr="00AD62CD" w:rsidRDefault="00AD62CD" w:rsidP="00AD62CD">
            <w:pPr>
              <w:rPr>
                <w:rFonts w:ascii="Times New Roman" w:eastAsia="Calibri" w:hAnsi="Times New Roman" w:cs="Times New Roman"/>
              </w:rPr>
            </w:pPr>
            <w:r w:rsidRPr="00AD62CD">
              <w:rPr>
                <w:rFonts w:ascii="Times New Roman" w:eastAsia="Arial Narrow" w:hAnsi="Times New Roman" w:cs="Times New Roman"/>
                <w:sz w:val="20"/>
                <w:szCs w:val="20"/>
              </w:rPr>
              <w:t>250 000 – 500 000 eur</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4D82E" w14:textId="77777777" w:rsidR="00AD62CD" w:rsidRPr="00AD62CD" w:rsidRDefault="00AD62CD" w:rsidP="00AD62CD">
            <w:pPr>
              <w:jc w:val="center"/>
              <w:rPr>
                <w:rFonts w:ascii="Times New Roman" w:eastAsia="Calibri" w:hAnsi="Times New Roman" w:cs="Times New Roman"/>
              </w:rPr>
            </w:pPr>
            <w:r w:rsidRPr="00AD62CD">
              <w:rPr>
                <w:rFonts w:ascii="Times New Roman" w:eastAsia="Arial Narrow" w:hAnsi="Times New Roman" w:cs="Times New Roman"/>
                <w:sz w:val="20"/>
                <w:szCs w:val="20"/>
              </w:rPr>
              <w:t>1 920</w:t>
            </w:r>
          </w:p>
        </w:tc>
      </w:tr>
      <w:tr w:rsidR="00AD62CD" w:rsidRPr="00AD62CD" w14:paraId="286FE500" w14:textId="77777777" w:rsidTr="003627DF">
        <w:trPr>
          <w:trHeight w:val="345"/>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065C13" w14:textId="77777777" w:rsidR="00AD62CD" w:rsidRPr="00AD62CD" w:rsidRDefault="00AD62CD" w:rsidP="00AD62CD">
            <w:pPr>
              <w:rPr>
                <w:rFonts w:ascii="Times New Roman" w:eastAsia="Calibri" w:hAnsi="Times New Roman" w:cs="Times New Roman"/>
              </w:rPr>
            </w:pPr>
            <w:r w:rsidRPr="00AD62CD">
              <w:rPr>
                <w:rFonts w:ascii="Times New Roman" w:eastAsia="Arial Narrow" w:hAnsi="Times New Roman" w:cs="Times New Roman"/>
                <w:sz w:val="20"/>
                <w:szCs w:val="20"/>
              </w:rPr>
              <w:t>500 000 – 5 000 000 eur</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712FB" w14:textId="77777777" w:rsidR="00AD62CD" w:rsidRPr="00AD62CD" w:rsidRDefault="00AD62CD" w:rsidP="00AD62CD">
            <w:pPr>
              <w:jc w:val="center"/>
              <w:rPr>
                <w:rFonts w:ascii="Times New Roman" w:eastAsia="Calibri" w:hAnsi="Times New Roman" w:cs="Times New Roman"/>
              </w:rPr>
            </w:pPr>
            <w:r w:rsidRPr="00AD62CD">
              <w:rPr>
                <w:rFonts w:ascii="Times New Roman" w:eastAsia="Arial Narrow" w:hAnsi="Times New Roman" w:cs="Times New Roman"/>
                <w:sz w:val="20"/>
                <w:szCs w:val="20"/>
              </w:rPr>
              <w:t>3 840</w:t>
            </w:r>
          </w:p>
        </w:tc>
      </w:tr>
      <w:tr w:rsidR="00AD62CD" w:rsidRPr="00AD62CD" w14:paraId="6F9EC4E1" w14:textId="77777777" w:rsidTr="003627DF">
        <w:trPr>
          <w:trHeight w:val="345"/>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B10538" w14:textId="77777777" w:rsidR="00AD62CD" w:rsidRPr="00AD62CD" w:rsidRDefault="00AD62CD" w:rsidP="00AD62CD">
            <w:pPr>
              <w:rPr>
                <w:rFonts w:ascii="Times New Roman" w:eastAsia="Arial Narrow" w:hAnsi="Times New Roman" w:cs="Times New Roman"/>
                <w:sz w:val="20"/>
                <w:szCs w:val="20"/>
              </w:rPr>
            </w:pPr>
            <w:r w:rsidRPr="00AD62CD">
              <w:rPr>
                <w:rFonts w:ascii="Times New Roman" w:eastAsia="Arial Narrow" w:hAnsi="Times New Roman" w:cs="Times New Roman"/>
                <w:sz w:val="20"/>
                <w:szCs w:val="20"/>
              </w:rPr>
              <w:t>Nad 5 000 000 eur</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22157B" w14:textId="77777777" w:rsidR="00AD62CD" w:rsidRPr="00AD62CD" w:rsidRDefault="00AD62CD" w:rsidP="00AD62CD">
            <w:pPr>
              <w:jc w:val="center"/>
              <w:rPr>
                <w:rFonts w:ascii="Times New Roman" w:eastAsia="Arial Narrow" w:hAnsi="Times New Roman" w:cs="Times New Roman"/>
                <w:sz w:val="20"/>
                <w:szCs w:val="20"/>
              </w:rPr>
            </w:pPr>
            <w:r w:rsidRPr="00AD62CD">
              <w:rPr>
                <w:rFonts w:ascii="Times New Roman" w:eastAsia="Arial Narrow" w:hAnsi="Times New Roman" w:cs="Times New Roman"/>
                <w:sz w:val="20"/>
                <w:szCs w:val="20"/>
              </w:rPr>
              <w:t>11 520</w:t>
            </w:r>
          </w:p>
        </w:tc>
      </w:tr>
    </w:tbl>
    <w:p w14:paraId="38F3EA98" w14:textId="77777777" w:rsidR="00AD62CD" w:rsidRPr="00AD62CD" w:rsidRDefault="00AD62CD" w:rsidP="00AD62CD">
      <w:pPr>
        <w:spacing w:after="0" w:line="276" w:lineRule="auto"/>
        <w:jc w:val="both"/>
        <w:rPr>
          <w:rFonts w:ascii="Times New Roman" w:eastAsia="Calibri" w:hAnsi="Times New Roman" w:cs="Times New Roman"/>
          <w:kern w:val="0"/>
          <w:highlight w:val="yellow"/>
          <w14:ligatures w14:val="none"/>
        </w:rPr>
      </w:pPr>
    </w:p>
    <w:p w14:paraId="007B90A1" w14:textId="77777777" w:rsidR="00AD62CD" w:rsidRPr="00AD62CD" w:rsidRDefault="00AD62CD" w:rsidP="00AD62CD">
      <w:pPr>
        <w:spacing w:after="0" w:line="276" w:lineRule="auto"/>
        <w:jc w:val="both"/>
        <w:rPr>
          <w:rFonts w:ascii="Times New Roman" w:eastAsia="Calibri" w:hAnsi="Times New Roman" w:cs="Times New Roman"/>
          <w:b/>
          <w:bCs/>
          <w:kern w:val="0"/>
          <w14:ligatures w14:val="none"/>
        </w:rPr>
      </w:pPr>
      <w:r w:rsidRPr="00AD62CD">
        <w:rPr>
          <w:rFonts w:ascii="Times New Roman" w:eastAsia="Calibri" w:hAnsi="Times New Roman" w:cs="Times New Roman"/>
          <w:b/>
          <w:bCs/>
          <w:kern w:val="0"/>
          <w14:ligatures w14:val="none"/>
        </w:rPr>
        <w:t>Zavedenie osobitného základu dane z poplatkov za hazard</w:t>
      </w:r>
    </w:p>
    <w:p w14:paraId="1F6827F0" w14:textId="77777777" w:rsidR="00AD62CD" w:rsidRPr="00AD62CD" w:rsidRDefault="00AD62CD" w:rsidP="00AD62CD">
      <w:pPr>
        <w:spacing w:after="0" w:line="276"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S účinnosťou od 1.1.2026 sa zavádza zdaňovanie poplatkov pri platbách prostredníctvom platobnej karty v prospech hráčskeho účtu. Sadzba dane je stanovená vo výške 54%.</w:t>
      </w:r>
    </w:p>
    <w:p w14:paraId="79D0E58C" w14:textId="77777777" w:rsidR="00AD62CD" w:rsidRPr="00AD62CD" w:rsidRDefault="00AD62CD" w:rsidP="00AD62CD">
      <w:pPr>
        <w:spacing w:after="0" w:line="276" w:lineRule="auto"/>
        <w:jc w:val="both"/>
        <w:rPr>
          <w:rFonts w:ascii="Times New Roman" w:eastAsia="Calibri" w:hAnsi="Times New Roman" w:cs="Times New Roman"/>
          <w:kern w:val="0"/>
          <w:highlight w:val="yellow"/>
          <w14:ligatures w14:val="none"/>
        </w:rPr>
      </w:pPr>
    </w:p>
    <w:p w14:paraId="5E031C83" w14:textId="77777777" w:rsidR="00AD62CD" w:rsidRPr="00AD62CD" w:rsidRDefault="00AD62CD" w:rsidP="00AD62CD">
      <w:pPr>
        <w:spacing w:after="0" w:line="276" w:lineRule="auto"/>
        <w:jc w:val="both"/>
        <w:rPr>
          <w:rFonts w:ascii="Times New Roman" w:eastAsia="Calibri" w:hAnsi="Times New Roman" w:cs="Times New Roman"/>
          <w:b/>
          <w:bCs/>
          <w:kern w:val="0"/>
          <w:sz w:val="20"/>
          <w:szCs w:val="22"/>
          <w14:ligatures w14:val="none"/>
        </w:rPr>
      </w:pPr>
      <w:r w:rsidRPr="00AD62CD">
        <w:rPr>
          <w:rFonts w:ascii="Times New Roman" w:eastAsia="Calibri" w:hAnsi="Times New Roman" w:cs="Times New Roman"/>
          <w:b/>
          <w:bCs/>
          <w:kern w:val="0"/>
          <w:sz w:val="22"/>
          <w:szCs w:val="22"/>
          <w14:ligatures w14:val="none"/>
        </w:rPr>
        <w:t>Predĺženie investičného obdobia na uplatnenie odpočtu výdavkov (nákladov) na investície do tzv. Priemyslu 4.0 do roku 2030</w:t>
      </w:r>
    </w:p>
    <w:p w14:paraId="3869BE5C" w14:textId="77777777" w:rsidR="00AD62CD" w:rsidRPr="00AD62CD" w:rsidRDefault="00AD62CD" w:rsidP="00AD62CD">
      <w:pPr>
        <w:spacing w:after="0" w:line="276"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lang w:eastAsia="sk-SK"/>
          <w14:ligatures w14:val="none"/>
        </w:rPr>
        <w:t xml:space="preserve">S účinnosťou od 1.1.2026 </w:t>
      </w:r>
      <w:r w:rsidRPr="00AD62CD">
        <w:rPr>
          <w:rFonts w:ascii="Times New Roman" w:eastAsia="Calibri" w:hAnsi="Times New Roman" w:cs="Times New Roman"/>
          <w:kern w:val="0"/>
          <w14:ligatures w14:val="none"/>
        </w:rPr>
        <w:t>sa predlžuje investičné obdobie, v ktorom možno realizovať investíciu do tzv. Priemyslu 4.0, ktorá zakladá nárok na uplatnenie superodpočtu na investície do roku 2030.</w:t>
      </w:r>
    </w:p>
    <w:p w14:paraId="4BB8910F" w14:textId="77777777" w:rsidR="00AD62CD" w:rsidRPr="00AD62CD" w:rsidRDefault="00AD62CD" w:rsidP="00AD62CD">
      <w:pPr>
        <w:spacing w:after="0" w:line="276" w:lineRule="auto"/>
        <w:jc w:val="both"/>
        <w:rPr>
          <w:rFonts w:ascii="Times New Roman" w:eastAsia="Calibri" w:hAnsi="Times New Roman" w:cs="Times New Roman"/>
          <w:kern w:val="0"/>
          <w14:ligatures w14:val="none"/>
        </w:rPr>
      </w:pPr>
    </w:p>
    <w:p w14:paraId="02A1CACA" w14:textId="77777777" w:rsidR="00AD62CD" w:rsidRPr="00AD62CD" w:rsidRDefault="00AD62CD" w:rsidP="00AD62CD">
      <w:pPr>
        <w:spacing w:after="0" w:line="276" w:lineRule="auto"/>
        <w:jc w:val="both"/>
        <w:rPr>
          <w:rFonts w:ascii="Times New Roman" w:eastAsia="Calibri" w:hAnsi="Times New Roman" w:cs="Times New Roman"/>
          <w:b/>
          <w:bCs/>
          <w:kern w:val="0"/>
          <w14:ligatures w14:val="none"/>
        </w:rPr>
      </w:pPr>
      <w:r w:rsidRPr="00AD62CD">
        <w:rPr>
          <w:rFonts w:ascii="Times New Roman" w:eastAsia="Calibri" w:hAnsi="Times New Roman" w:cs="Times New Roman"/>
          <w:b/>
          <w:bCs/>
          <w:kern w:val="0"/>
          <w:sz w:val="22"/>
          <w:szCs w:val="22"/>
          <w14:ligatures w14:val="none"/>
        </w:rPr>
        <w:t>Úpravy súvisiace s obmedzením odpočtu DPH na autá</w:t>
      </w:r>
    </w:p>
    <w:p w14:paraId="13ED4ECC" w14:textId="77777777" w:rsidR="00AD62CD" w:rsidRPr="00AD62CD" w:rsidRDefault="00AD62CD" w:rsidP="00AD62CD">
      <w:pPr>
        <w:spacing w:after="0" w:line="276"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V súvislosti s prijatím obmedzenia odpočtu DPH na firemné autá používaných aj na súkromné účely sa zavádzajú opatrenia v dani z príjmov. DPH, na ktorú platiteľ nemá nárok na odpočítanie, sa neuznáva ako daňový výdavok. Vplyv tohto opatrenia je súčasťou doložky o dani z pridanej hodnoty. </w:t>
      </w:r>
    </w:p>
    <w:p w14:paraId="11F4B06C" w14:textId="77777777" w:rsidR="00AD62CD" w:rsidRPr="00AD62CD" w:rsidRDefault="00AD62CD" w:rsidP="00AD62CD">
      <w:pPr>
        <w:spacing w:after="0" w:line="276" w:lineRule="auto"/>
        <w:jc w:val="both"/>
        <w:rPr>
          <w:rFonts w:ascii="Times New Roman" w:eastAsia="Calibri" w:hAnsi="Times New Roman" w:cs="Times New Roman"/>
          <w:kern w:val="0"/>
          <w14:ligatures w14:val="none"/>
        </w:rPr>
      </w:pPr>
    </w:p>
    <w:p w14:paraId="7320CE36" w14:textId="77777777" w:rsidR="00AD62CD" w:rsidRPr="00AD62CD" w:rsidRDefault="00AD62CD" w:rsidP="00AD62CD">
      <w:pPr>
        <w:spacing w:after="0" w:line="276" w:lineRule="auto"/>
        <w:jc w:val="both"/>
        <w:rPr>
          <w:rFonts w:ascii="Times New Roman" w:eastAsia="Calibri" w:hAnsi="Times New Roman" w:cs="Times New Roman"/>
          <w:b/>
          <w:bCs/>
          <w:kern w:val="0"/>
          <w14:ligatures w14:val="none"/>
        </w:rPr>
      </w:pPr>
      <w:r w:rsidRPr="00AD62CD">
        <w:rPr>
          <w:rFonts w:ascii="Times New Roman" w:eastAsia="Calibri" w:hAnsi="Times New Roman" w:cs="Times New Roman"/>
          <w:b/>
          <w:bCs/>
          <w:kern w:val="0"/>
          <w14:ligatures w14:val="none"/>
        </w:rPr>
        <w:t>Zvýšenie osobitnej sadzby DPFO pre vybraných ústavných činiteľov</w:t>
      </w:r>
    </w:p>
    <w:p w14:paraId="4C93E98C" w14:textId="77777777" w:rsidR="00AD62CD" w:rsidRPr="00AD62CD" w:rsidRDefault="00AD62CD" w:rsidP="00AD62CD">
      <w:pPr>
        <w:spacing w:after="0" w:line="240" w:lineRule="auto"/>
        <w:jc w:val="both"/>
        <w:rPr>
          <w:rFonts w:ascii="Times New Roman" w:eastAsia="Calibri" w:hAnsi="Times New Roman" w:cs="Times New Roman"/>
          <w:kern w:val="0"/>
          <w:highlight w:val="yellow"/>
          <w:lang w:eastAsia="sk-SK"/>
          <w14:ligatures w14:val="none"/>
        </w:rPr>
      </w:pPr>
      <w:r w:rsidRPr="00AD62CD">
        <w:rPr>
          <w:rFonts w:ascii="Times New Roman" w:eastAsia="Calibri" w:hAnsi="Times New Roman" w:cs="Times New Roman"/>
          <w:kern w:val="0"/>
          <w:lang w:eastAsia="sk-SK"/>
          <w14:ligatures w14:val="none"/>
        </w:rPr>
        <w:t>S účinnosťou od 1. 1. 2026 sa zvyšuje osobitná sadzba dane z príjmov pre vybraných ústavných činiteľov z 5 % na 10 %.</w:t>
      </w:r>
    </w:p>
    <w:p w14:paraId="61738A7B" w14:textId="77777777" w:rsidR="00AD62CD" w:rsidRPr="00AD62CD" w:rsidRDefault="00AD62CD" w:rsidP="00AD62CD">
      <w:pPr>
        <w:spacing w:after="0" w:line="240" w:lineRule="auto"/>
        <w:jc w:val="both"/>
        <w:rPr>
          <w:rFonts w:ascii="Times New Roman" w:eastAsia="Calibri" w:hAnsi="Times New Roman" w:cs="Times New Roman"/>
          <w:kern w:val="0"/>
          <w:highlight w:val="yellow"/>
          <w:lang w:eastAsia="sk-SK"/>
          <w14:ligatures w14:val="none"/>
        </w:rPr>
      </w:pPr>
    </w:p>
    <w:p w14:paraId="28947CBB" w14:textId="77777777" w:rsidR="00AD62CD" w:rsidRPr="00AD62CD" w:rsidRDefault="00AD62CD" w:rsidP="00AD62CD">
      <w:pPr>
        <w:spacing w:after="0" w:line="240" w:lineRule="auto"/>
        <w:jc w:val="both"/>
        <w:rPr>
          <w:rFonts w:ascii="Times New Roman" w:eastAsia="Calibri" w:hAnsi="Times New Roman" w:cs="Times New Roman"/>
          <w:kern w:val="0"/>
          <w:highlight w:val="yellow"/>
          <w:lang w:eastAsia="sk-SK"/>
          <w14:ligatures w14:val="none"/>
        </w:rPr>
      </w:pPr>
    </w:p>
    <w:p w14:paraId="6381E8EC"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2.2.2. Charakteristika návrhu:</w:t>
      </w:r>
    </w:p>
    <w:p w14:paraId="09D1A185"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4A2E217D"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kern w:val="0"/>
          <w:bdr w:val="single" w:sz="4" w:space="0" w:color="auto"/>
          <w:lang w:eastAsia="sk-SK"/>
          <w14:ligatures w14:val="none"/>
        </w:rPr>
        <w:t xml:space="preserve">     </w:t>
      </w:r>
      <w:r w:rsidRPr="00AD62CD">
        <w:rPr>
          <w:rFonts w:ascii="Times New Roman" w:eastAsia="Calibri" w:hAnsi="Times New Roman" w:cs="Times New Roman"/>
          <w:b/>
          <w:kern w:val="0"/>
          <w:lang w:eastAsia="sk-SK"/>
          <w14:ligatures w14:val="none"/>
        </w:rPr>
        <w:t xml:space="preserve">  </w:t>
      </w:r>
      <w:r w:rsidRPr="00AD62CD">
        <w:rPr>
          <w:rFonts w:ascii="Times New Roman" w:eastAsia="Calibri" w:hAnsi="Times New Roman" w:cs="Times New Roman"/>
          <w:kern w:val="0"/>
          <w:lang w:eastAsia="sk-SK"/>
          <w14:ligatures w14:val="none"/>
        </w:rPr>
        <w:t>zmena sadzby</w:t>
      </w:r>
    </w:p>
    <w:p w14:paraId="66C79EC3"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zmena v nároku</w:t>
      </w:r>
    </w:p>
    <w:p w14:paraId="13227D54"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nová služba alebo nariadenie (alebo ich zrušenie)</w:t>
      </w:r>
    </w:p>
    <w:p w14:paraId="2D2EB4DE"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x  </w:t>
      </w:r>
      <w:r w:rsidRPr="00AD62CD">
        <w:rPr>
          <w:rFonts w:ascii="Times New Roman" w:eastAsia="Calibri" w:hAnsi="Times New Roman" w:cs="Times New Roman"/>
          <w:kern w:val="0"/>
          <w:lang w:eastAsia="sk-SK"/>
          <w14:ligatures w14:val="none"/>
        </w:rPr>
        <w:t xml:space="preserve">  kombinovaný návrh</w:t>
      </w:r>
    </w:p>
    <w:p w14:paraId="73DD68B6"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iné </w:t>
      </w:r>
    </w:p>
    <w:p w14:paraId="1006F393"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75BAFFC7"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21F36A09"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2.2.3. Predpoklady vývoja objemu aktivít:</w:t>
      </w:r>
    </w:p>
    <w:p w14:paraId="12378EC0"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786C070E"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Jasne popíšte, v prípade potreby použite nižšie uvedenú tabuľku. Uveďte aj odhady základov daní a/alebo poplatkov, ak sa ich táto zmena týka.</w:t>
      </w:r>
    </w:p>
    <w:p w14:paraId="6357A3D6"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34353D68"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79819180"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2.2.4. Výpočty vplyvov na verejné financie</w:t>
      </w:r>
    </w:p>
    <w:p w14:paraId="7AB7C9B7"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77C2792C"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K novele zákona č. 595/2003 Z. z. o dani z príjmov</w:t>
      </w:r>
    </w:p>
    <w:p w14:paraId="7AAF8B63"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3B833F4A" w14:textId="77777777" w:rsidR="00AD62CD" w:rsidRPr="00AD62CD" w:rsidRDefault="00AD62CD" w:rsidP="00AD62CD">
      <w:pPr>
        <w:spacing w:after="0" w:line="240" w:lineRule="auto"/>
        <w:jc w:val="both"/>
        <w:rPr>
          <w:rFonts w:ascii="Times New Roman" w:eastAsia="Calibri" w:hAnsi="Times New Roman" w:cs="Times New Roman"/>
          <w:b/>
          <w:kern w:val="0"/>
          <w:highlight w:val="yellow"/>
          <w:lang w:eastAsia="sk-SK"/>
          <w14:ligatures w14:val="none"/>
        </w:rPr>
      </w:pPr>
      <w:r w:rsidRPr="00AD62CD">
        <w:rPr>
          <w:rFonts w:ascii="Times New Roman" w:eastAsia="Calibri" w:hAnsi="Times New Roman" w:cs="Times New Roman"/>
          <w:b/>
          <w:bCs/>
          <w:kern w:val="0"/>
          <w:lang w:eastAsia="sk-SK"/>
          <w14:ligatures w14:val="none"/>
        </w:rPr>
        <w:t>Zvýšenie progresivity DPFO - zavedenie tretej a štvrtej sadzby dane</w:t>
      </w:r>
    </w:p>
    <w:p w14:paraId="351FCA22"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Kvantifikácia je založená na mikrosimulácii vychádzajúcej z údajov z daňových priznaní k DPFO a hlásení o vyúčtovaní dane a o úhrne príjmov zo závislej činnosti za tok 2023. Použité boli makroekonomické predpoklady z prognózy MF SR z júna 2025. Zmeny v nastavení DPFO sa dotknú 357-tisíc daňovníkov, ktorým vzrastie daňová povinnosť v dôsledku zníženia nezdaniteľnej časti základu dane alebo uplatnenia vyšších sadzieb dane.</w:t>
      </w:r>
    </w:p>
    <w:p w14:paraId="1F9A426F" w14:textId="77777777" w:rsidR="00AD62CD" w:rsidRPr="00AD62CD" w:rsidRDefault="00AD62CD" w:rsidP="00AD62CD">
      <w:pPr>
        <w:spacing w:after="0" w:line="240" w:lineRule="auto"/>
        <w:jc w:val="both"/>
        <w:rPr>
          <w:rFonts w:ascii="Times New Roman" w:eastAsia="Calibri" w:hAnsi="Times New Roman" w:cs="Times New Roman"/>
          <w:b/>
          <w:bCs/>
          <w:kern w:val="0"/>
          <w:highlight w:val="yellow"/>
          <w:lang w:eastAsia="sk-SK"/>
          <w14:ligatures w14:val="none"/>
        </w:rPr>
      </w:pPr>
    </w:p>
    <w:p w14:paraId="7BF36C1F"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Zavedenie novej sadzby minimálnej dane z príjmov právnických osôb</w:t>
      </w:r>
    </w:p>
    <w:p w14:paraId="4487CC42"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Opatrenie zasiahne celkovo 1,4 tis. subjektov so zdaniteľnými príjmami nad 5 mil. eur a prinesie do štátneho rozpočtu približne 9,8 mil. eur v roku 2026. Výpočet bol zhotovený pomocou daňových priznaní z predošlých rokov.</w:t>
      </w:r>
    </w:p>
    <w:p w14:paraId="28B3E881"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18EB5F41" w14:textId="77777777" w:rsidR="00AD62CD" w:rsidRPr="00AD62CD" w:rsidRDefault="00AD62CD" w:rsidP="00AD62CD">
      <w:pPr>
        <w:spacing w:after="0" w:line="276" w:lineRule="auto"/>
        <w:jc w:val="both"/>
        <w:rPr>
          <w:rFonts w:ascii="Times New Roman" w:eastAsia="Calibri" w:hAnsi="Times New Roman" w:cs="Times New Roman"/>
          <w:b/>
          <w:bCs/>
          <w:kern w:val="0"/>
          <w14:ligatures w14:val="none"/>
        </w:rPr>
      </w:pPr>
      <w:r w:rsidRPr="00AD62CD">
        <w:rPr>
          <w:rFonts w:ascii="Times New Roman" w:eastAsia="Calibri" w:hAnsi="Times New Roman" w:cs="Times New Roman"/>
          <w:b/>
          <w:bCs/>
          <w:kern w:val="0"/>
          <w14:ligatures w14:val="none"/>
        </w:rPr>
        <w:t>Zavedenie osobitného základu dane z poplatkov za hazard</w:t>
      </w:r>
    </w:p>
    <w:p w14:paraId="18B1F18B" w14:textId="77777777" w:rsidR="00AD62CD" w:rsidRPr="00AD62CD" w:rsidRDefault="00AD62CD" w:rsidP="00AD62CD">
      <w:pPr>
        <w:spacing w:after="0" w:line="276" w:lineRule="auto"/>
        <w:jc w:val="both"/>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Kvantifikácia vychádza z údajov o výnose poplatkov za vklady na hráčske účty. Údaje boli poskytnuté zo strany Slovenskej bankovej asociácie. Na tieto poplatky sa následne aplikovala nová sadzba dane vo výške 54 %.</w:t>
      </w:r>
    </w:p>
    <w:p w14:paraId="7D8C2C6C" w14:textId="77777777" w:rsidR="00AD62CD" w:rsidRPr="00AD62CD" w:rsidRDefault="00AD62CD" w:rsidP="00AD62CD">
      <w:pPr>
        <w:spacing w:after="0" w:line="276" w:lineRule="auto"/>
        <w:jc w:val="both"/>
        <w:rPr>
          <w:rFonts w:ascii="Times New Roman" w:eastAsia="Calibri" w:hAnsi="Times New Roman" w:cs="Times New Roman"/>
          <w:b/>
          <w:bCs/>
          <w:kern w:val="0"/>
          <w:sz w:val="22"/>
          <w:szCs w:val="22"/>
          <w14:ligatures w14:val="none"/>
        </w:rPr>
      </w:pPr>
    </w:p>
    <w:p w14:paraId="05911DA7" w14:textId="77777777" w:rsidR="00AD62CD" w:rsidRPr="00AD62CD" w:rsidRDefault="00AD62CD" w:rsidP="00AD62CD">
      <w:pPr>
        <w:spacing w:after="0" w:line="276" w:lineRule="auto"/>
        <w:jc w:val="both"/>
        <w:rPr>
          <w:rFonts w:ascii="Times New Roman" w:eastAsia="Calibri" w:hAnsi="Times New Roman" w:cs="Times New Roman"/>
          <w:b/>
          <w:bCs/>
          <w:kern w:val="0"/>
          <w:sz w:val="20"/>
          <w:szCs w:val="22"/>
          <w14:ligatures w14:val="none"/>
        </w:rPr>
      </w:pPr>
      <w:r w:rsidRPr="00AD62CD">
        <w:rPr>
          <w:rFonts w:ascii="Times New Roman" w:eastAsia="Calibri" w:hAnsi="Times New Roman" w:cs="Times New Roman"/>
          <w:b/>
          <w:bCs/>
          <w:kern w:val="0"/>
          <w:sz w:val="22"/>
          <w:szCs w:val="22"/>
          <w14:ligatures w14:val="none"/>
        </w:rPr>
        <w:t>Predĺženie odpočtu na investíciu do tzv. Priemyslu 4.0 do roku 2030</w:t>
      </w:r>
    </w:p>
    <w:p w14:paraId="2B2B513B"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Predpokladáme, že podobne ako pri poslednej úprave v roku 2024 ostanú referenčným obdobím 2019-2022. Od roku 2028 by vplyv predĺženia posledného zdaňovacieho obdobia, v ktorom je možné realizovať investíciu do Priemyslu 4.0 do roku 2030, bol 1,3 a 3,8 mil. eur v rokoch 2028 a 2029 (vrátane predpokladu pokračujúcich investícií firiem, ktoré odpočet momentálne využívajú).</w:t>
      </w:r>
    </w:p>
    <w:p w14:paraId="37D81BCD"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78AF595E" w14:textId="77777777" w:rsidR="00AD62CD" w:rsidRPr="00AD62CD" w:rsidRDefault="00AD62CD" w:rsidP="00AD62CD">
      <w:pPr>
        <w:spacing w:after="0" w:line="276" w:lineRule="auto"/>
        <w:jc w:val="both"/>
        <w:rPr>
          <w:rFonts w:ascii="Times New Roman" w:eastAsia="Calibri" w:hAnsi="Times New Roman" w:cs="Times New Roman"/>
          <w:b/>
          <w:bCs/>
          <w:kern w:val="0"/>
          <w14:ligatures w14:val="none"/>
        </w:rPr>
      </w:pPr>
      <w:r w:rsidRPr="00AD62CD">
        <w:rPr>
          <w:rFonts w:ascii="Times New Roman" w:eastAsia="Calibri" w:hAnsi="Times New Roman" w:cs="Times New Roman"/>
          <w:b/>
          <w:bCs/>
          <w:kern w:val="0"/>
          <w14:ligatures w14:val="none"/>
        </w:rPr>
        <w:t>Zvýšenie osobitnej sadzby DPFO pre vybraných ústavných činiteľov</w:t>
      </w:r>
    </w:p>
    <w:p w14:paraId="7A045971" w14:textId="77777777" w:rsidR="00AD62CD" w:rsidRPr="00AD62CD" w:rsidRDefault="00AD62CD" w:rsidP="00AD62CD">
      <w:pPr>
        <w:spacing w:after="0" w:line="240" w:lineRule="auto"/>
        <w:jc w:val="both"/>
        <w:rPr>
          <w:rFonts w:ascii="Times New Roman" w:eastAsia="Calibri" w:hAnsi="Times New Roman" w:cs="Times New Roman"/>
          <w:kern w:val="0"/>
          <w:highlight w:val="yellow"/>
          <w:lang w:eastAsia="sk-SK"/>
          <w14:ligatures w14:val="none"/>
        </w:rPr>
      </w:pPr>
      <w:r w:rsidRPr="00AD62CD">
        <w:rPr>
          <w:rFonts w:ascii="Times New Roman" w:eastAsia="Calibri" w:hAnsi="Times New Roman" w:cs="Times New Roman"/>
          <w:kern w:val="0"/>
          <w:lang w:eastAsia="sk-SK"/>
          <w14:ligatures w14:val="none"/>
        </w:rPr>
        <w:t>Opatrenie sa týka 171 vybraných ústavných činiteľov, ktorými sú prezident SR, poslanci NR SR, členovia vlády SR a predseda a podpredsedovia NKÚ. V kvantifikácii boli použité makroekonomické predpoklady z prognózy MF SR z júna 2025.</w:t>
      </w:r>
    </w:p>
    <w:p w14:paraId="13E82C47"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4CF76CBE" w14:textId="77777777" w:rsidR="00AD62CD" w:rsidRPr="00AD62CD" w:rsidRDefault="00AD62CD" w:rsidP="00AD62CD">
      <w:pPr>
        <w:spacing w:after="0" w:line="240" w:lineRule="auto"/>
        <w:jc w:val="both"/>
        <w:rPr>
          <w:rFonts w:ascii="Times New Roman" w:eastAsia="Times New Roman" w:hAnsi="Times New Roman" w:cs="Times New Roman"/>
          <w:b/>
          <w:bCs/>
          <w:kern w:val="0"/>
          <w:lang w:eastAsia="sk-SK"/>
          <w14:ligatures w14:val="none"/>
        </w:rPr>
      </w:pPr>
    </w:p>
    <w:p w14:paraId="4B13A3C4"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Times New Roman" w:hAnsi="Times New Roman" w:cs="Times New Roman"/>
          <w:b/>
          <w:bCs/>
          <w:kern w:val="0"/>
          <w:lang w:eastAsia="sk-SK"/>
          <w14:ligatures w14:val="none"/>
        </w:rPr>
        <w:t>Negatívny vplyv na rozpočet:</w:t>
      </w:r>
    </w:p>
    <w:p w14:paraId="4B7E81E0"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4F4948E3"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MF SR požiadalo FR SR o kvantifikáciu dopadov na informačné systémy finančnej správy, ktoré vyplývajú z návrhu zákona. </w:t>
      </w:r>
    </w:p>
    <w:p w14:paraId="497E167D"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lang w:eastAsia="sk-SK"/>
          <w14:ligatures w14:val="none"/>
        </w:rPr>
      </w:pPr>
    </w:p>
    <w:p w14:paraId="05319414"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Negatívny vplyv na rozpočet verejnej správy súvisí s požiadavkami na nevyhnutné zmeny  systémov finančnej správy.</w:t>
      </w:r>
    </w:p>
    <w:p w14:paraId="5A0A6E7F" w14:textId="77777777" w:rsidR="00AD62CD" w:rsidRPr="00AD62CD" w:rsidRDefault="00AD62CD" w:rsidP="00AD62CD">
      <w:pPr>
        <w:spacing w:after="0" w:line="240" w:lineRule="auto"/>
        <w:ind w:left="67"/>
        <w:jc w:val="both"/>
        <w:rPr>
          <w:rFonts w:ascii="Times New Roman" w:eastAsia="Calibri" w:hAnsi="Times New Roman" w:cs="Times New Roman"/>
          <w:kern w:val="0"/>
          <w14:ligatures w14:val="none"/>
        </w:rPr>
      </w:pPr>
    </w:p>
    <w:p w14:paraId="5D3DF6EB"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Odhadovaný hrubý finančný dopad na systémy finančnej správy v nadväznosti na tieto zmeny je vo výške </w:t>
      </w:r>
      <w:r w:rsidRPr="00AD62CD">
        <w:rPr>
          <w:rFonts w:ascii="Times New Roman" w:eastAsia="Calibri" w:hAnsi="Times New Roman" w:cs="Times New Roman"/>
          <w:bCs/>
          <w:kern w:val="0"/>
          <w14:ligatures w14:val="none"/>
        </w:rPr>
        <w:t>1 643 400 eur s DPH</w:t>
      </w:r>
      <w:r w:rsidRPr="00AD62CD">
        <w:rPr>
          <w:rFonts w:ascii="Times New Roman" w:eastAsia="Calibri" w:hAnsi="Times New Roman" w:cs="Times New Roman"/>
          <w:kern w:val="0"/>
          <w14:ligatures w14:val="none"/>
        </w:rPr>
        <w:t>, z toho:</w:t>
      </w:r>
    </w:p>
    <w:p w14:paraId="2D368E15"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20F58702"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Integrovaný systém Finančnej správy – správa daní (ISFS-SD) </w:t>
      </w:r>
      <w:r w:rsidRPr="00AD62CD">
        <w:rPr>
          <w:rFonts w:ascii="Times New Roman" w:eastAsia="Calibri" w:hAnsi="Times New Roman" w:cs="Times New Roman"/>
          <w:kern w:val="0"/>
          <w14:ligatures w14:val="none"/>
        </w:rPr>
        <w:tab/>
        <w:t>887 700 eur</w:t>
      </w:r>
    </w:p>
    <w:p w14:paraId="0649273B"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DR SCAN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288 200 eur</w:t>
      </w:r>
    </w:p>
    <w:p w14:paraId="3F72AB32"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DATA WAREHOUSE (DWH)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174 900 eur</w:t>
      </w:r>
    </w:p>
    <w:p w14:paraId="2D1E6FD0"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Portál finančnej správy (PFS)</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292 600 eur</w:t>
      </w:r>
    </w:p>
    <w:p w14:paraId="03B43F74"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34F30428"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sectPr w:rsidR="00AD62CD" w:rsidRPr="00AD62CD" w:rsidSect="00AD62C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r w:rsidRPr="00AD62CD">
        <w:rPr>
          <w:rFonts w:ascii="Times New Roman" w:eastAsia="Calibri" w:hAnsi="Times New Roman" w:cs="Times New Roman"/>
          <w:kern w:val="0"/>
          <w14:ligatures w14:val="none"/>
        </w:rPr>
        <w:t>Odhad FR SR je urobený pri súčasnej miere poznania. Skutočnú prácnosť bude možné určiť až vo fáze realizácie príslušnej  požiadavky.</w:t>
      </w: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D62CD" w:rsidRPr="00AD62CD" w14:paraId="4C3A6884" w14:textId="77777777" w:rsidTr="00AD62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9F34327"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Príjmy štátneho rozpočtu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34641A17"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 xml:space="preserve">Vplyv na štátny rozpočet </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F49C5E9"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poznámka</w:t>
            </w:r>
          </w:p>
        </w:tc>
      </w:tr>
      <w:tr w:rsidR="00AD62CD" w:rsidRPr="00AD62CD" w14:paraId="29BFA713" w14:textId="77777777" w:rsidTr="00AD62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77C866F1" w14:textId="77777777" w:rsidR="00AD62CD" w:rsidRPr="00AD62CD" w:rsidRDefault="00AD62CD" w:rsidP="00AD62CD">
            <w:pPr>
              <w:spacing w:after="0" w:line="240" w:lineRule="auto"/>
              <w:rPr>
                <w:rFonts w:ascii="Times New Roman" w:eastAsia="Calibri" w:hAnsi="Times New Roman" w:cs="Times New Roman"/>
                <w:b/>
                <w:bCs/>
                <w:color w:val="FFFFFF"/>
                <w:kern w:val="0"/>
                <w:sz w:val="20"/>
                <w:szCs w:val="20"/>
                <w:lang w:eastAsia="sk-SK"/>
                <w14:ligatures w14:val="none"/>
              </w:rPr>
            </w:pPr>
          </w:p>
        </w:tc>
        <w:tc>
          <w:tcPr>
            <w:tcW w:w="1500" w:type="dxa"/>
            <w:tcBorders>
              <w:top w:val="nil"/>
              <w:left w:val="nil"/>
              <w:bottom w:val="single" w:sz="4" w:space="0" w:color="auto"/>
              <w:right w:val="single" w:sz="4" w:space="0" w:color="auto"/>
            </w:tcBorders>
            <w:shd w:val="clear" w:color="auto" w:fill="BFBFBF"/>
            <w:vAlign w:val="center"/>
          </w:tcPr>
          <w:p w14:paraId="5E222755"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2025</w:t>
            </w:r>
          </w:p>
        </w:tc>
        <w:tc>
          <w:tcPr>
            <w:tcW w:w="1500" w:type="dxa"/>
            <w:tcBorders>
              <w:top w:val="nil"/>
              <w:left w:val="nil"/>
              <w:bottom w:val="single" w:sz="4" w:space="0" w:color="auto"/>
              <w:right w:val="single" w:sz="4" w:space="0" w:color="auto"/>
            </w:tcBorders>
            <w:shd w:val="clear" w:color="auto" w:fill="BFBFBF"/>
            <w:vAlign w:val="center"/>
          </w:tcPr>
          <w:p w14:paraId="5F4BC46A"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2026</w:t>
            </w:r>
          </w:p>
        </w:tc>
        <w:tc>
          <w:tcPr>
            <w:tcW w:w="1500" w:type="dxa"/>
            <w:tcBorders>
              <w:top w:val="nil"/>
              <w:left w:val="nil"/>
              <w:bottom w:val="single" w:sz="4" w:space="0" w:color="auto"/>
              <w:right w:val="single" w:sz="4" w:space="0" w:color="auto"/>
            </w:tcBorders>
            <w:shd w:val="clear" w:color="auto" w:fill="BFBFBF"/>
            <w:vAlign w:val="center"/>
          </w:tcPr>
          <w:p w14:paraId="78BAFCDB"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2027</w:t>
            </w:r>
          </w:p>
        </w:tc>
        <w:tc>
          <w:tcPr>
            <w:tcW w:w="1500" w:type="dxa"/>
            <w:tcBorders>
              <w:top w:val="nil"/>
              <w:left w:val="nil"/>
              <w:bottom w:val="single" w:sz="4" w:space="0" w:color="auto"/>
              <w:right w:val="single" w:sz="4" w:space="0" w:color="auto"/>
            </w:tcBorders>
            <w:shd w:val="clear" w:color="auto" w:fill="BFBFBF"/>
            <w:vAlign w:val="center"/>
          </w:tcPr>
          <w:p w14:paraId="38836268"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23630B92" w14:textId="77777777" w:rsidR="00AD62CD" w:rsidRPr="00AD62CD" w:rsidRDefault="00AD62CD" w:rsidP="00AD62CD">
            <w:pPr>
              <w:spacing w:after="0" w:line="240" w:lineRule="auto"/>
              <w:rPr>
                <w:rFonts w:ascii="Times New Roman" w:eastAsia="Calibri" w:hAnsi="Times New Roman" w:cs="Times New Roman"/>
                <w:b/>
                <w:bCs/>
                <w:color w:val="FFFFFF"/>
                <w:kern w:val="0"/>
                <w:sz w:val="20"/>
                <w:szCs w:val="20"/>
                <w:lang w:eastAsia="sk-SK"/>
                <w14:ligatures w14:val="none"/>
              </w:rPr>
            </w:pPr>
          </w:p>
        </w:tc>
      </w:tr>
      <w:tr w:rsidR="00AD62CD" w:rsidRPr="00AD62CD" w14:paraId="5228502A"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38793EDF"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Daňové príjmy (100)</w:t>
            </w:r>
            <w:r w:rsidRPr="00AD62CD">
              <w:rPr>
                <w:rFonts w:ascii="Times New Roman" w:eastAsia="Calibri" w:hAnsi="Times New Roman" w:cs="Times New Roman"/>
                <w:b/>
                <w:bCs/>
                <w:color w:val="000000"/>
                <w:kern w:val="0"/>
                <w:sz w:val="20"/>
                <w:szCs w:val="20"/>
                <w:vertAlign w:val="superscript"/>
                <w14:ligatures w14:val="none"/>
              </w:rPr>
              <w:t>1</w:t>
            </w:r>
          </w:p>
        </w:tc>
        <w:tc>
          <w:tcPr>
            <w:tcW w:w="1500" w:type="dxa"/>
            <w:tcBorders>
              <w:top w:val="nil"/>
              <w:left w:val="nil"/>
              <w:bottom w:val="single" w:sz="8" w:space="0" w:color="auto"/>
              <w:right w:val="single" w:sz="8" w:space="0" w:color="auto"/>
            </w:tcBorders>
            <w:shd w:val="clear" w:color="auto" w:fill="auto"/>
            <w:vAlign w:val="center"/>
          </w:tcPr>
          <w:p w14:paraId="1E6DC8F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74C40219"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108 185 000</w:t>
            </w:r>
          </w:p>
        </w:tc>
        <w:tc>
          <w:tcPr>
            <w:tcW w:w="1500" w:type="dxa"/>
            <w:tcBorders>
              <w:top w:val="nil"/>
              <w:left w:val="nil"/>
              <w:bottom w:val="single" w:sz="8" w:space="0" w:color="auto"/>
              <w:right w:val="single" w:sz="8" w:space="0" w:color="auto"/>
            </w:tcBorders>
            <w:shd w:val="clear" w:color="auto" w:fill="auto"/>
            <w:vAlign w:val="center"/>
          </w:tcPr>
          <w:p w14:paraId="1E916CC6"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58 451 000</w:t>
            </w:r>
          </w:p>
        </w:tc>
        <w:tc>
          <w:tcPr>
            <w:tcW w:w="1500" w:type="dxa"/>
            <w:tcBorders>
              <w:top w:val="nil"/>
              <w:left w:val="nil"/>
              <w:bottom w:val="single" w:sz="8" w:space="0" w:color="auto"/>
              <w:right w:val="single" w:sz="8" w:space="0" w:color="auto"/>
            </w:tcBorders>
            <w:shd w:val="clear" w:color="auto" w:fill="auto"/>
            <w:vAlign w:val="center"/>
          </w:tcPr>
          <w:p w14:paraId="4C06ACCA"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59 805 000</w:t>
            </w:r>
          </w:p>
        </w:tc>
        <w:tc>
          <w:tcPr>
            <w:tcW w:w="3000" w:type="dxa"/>
            <w:tcBorders>
              <w:top w:val="nil"/>
              <w:left w:val="nil"/>
              <w:bottom w:val="single" w:sz="4" w:space="0" w:color="auto"/>
              <w:right w:val="single" w:sz="4" w:space="0" w:color="auto"/>
            </w:tcBorders>
            <w:noWrap/>
            <w:vAlign w:val="bottom"/>
          </w:tcPr>
          <w:p w14:paraId="371F9873"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w:t>
            </w:r>
          </w:p>
        </w:tc>
      </w:tr>
      <w:tr w:rsidR="00AD62CD" w:rsidRPr="00AD62CD" w14:paraId="22E81C20"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6F9833AC"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500" w:type="dxa"/>
            <w:tcBorders>
              <w:top w:val="nil"/>
              <w:left w:val="nil"/>
              <w:bottom w:val="single" w:sz="8" w:space="0" w:color="auto"/>
              <w:right w:val="single" w:sz="8" w:space="0" w:color="auto"/>
            </w:tcBorders>
            <w:shd w:val="clear" w:color="auto" w:fill="auto"/>
            <w:vAlign w:val="center"/>
          </w:tcPr>
          <w:p w14:paraId="3D03343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3EF6D6A8"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kern w:val="0"/>
                <w:sz w:val="20"/>
                <w:szCs w:val="20"/>
                <w14:ligatures w14:val="none"/>
              </w:rPr>
              <w:t>85 733 000</w:t>
            </w:r>
          </w:p>
        </w:tc>
        <w:tc>
          <w:tcPr>
            <w:tcW w:w="1500" w:type="dxa"/>
            <w:tcBorders>
              <w:top w:val="nil"/>
              <w:left w:val="nil"/>
              <w:bottom w:val="single" w:sz="8" w:space="0" w:color="auto"/>
              <w:right w:val="single" w:sz="8" w:space="0" w:color="auto"/>
            </w:tcBorders>
            <w:shd w:val="clear" w:color="auto" w:fill="auto"/>
            <w:vAlign w:val="center"/>
          </w:tcPr>
          <w:p w14:paraId="1E95B91C"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kern w:val="0"/>
                <w:sz w:val="20"/>
                <w:szCs w:val="20"/>
                <w14:ligatures w14:val="none"/>
              </w:rPr>
              <w:t>36 601 000</w:t>
            </w:r>
          </w:p>
        </w:tc>
        <w:tc>
          <w:tcPr>
            <w:tcW w:w="1500" w:type="dxa"/>
            <w:tcBorders>
              <w:top w:val="nil"/>
              <w:left w:val="nil"/>
              <w:bottom w:val="single" w:sz="8" w:space="0" w:color="auto"/>
              <w:right w:val="single" w:sz="8" w:space="0" w:color="auto"/>
            </w:tcBorders>
            <w:shd w:val="clear" w:color="auto" w:fill="auto"/>
            <w:vAlign w:val="center"/>
          </w:tcPr>
          <w:p w14:paraId="70EB24FC"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kern w:val="0"/>
                <w:sz w:val="20"/>
                <w:szCs w:val="20"/>
                <w14:ligatures w14:val="none"/>
              </w:rPr>
              <w:t>38 504 000</w:t>
            </w:r>
          </w:p>
        </w:tc>
        <w:tc>
          <w:tcPr>
            <w:tcW w:w="3000" w:type="dxa"/>
            <w:tcBorders>
              <w:top w:val="nil"/>
              <w:left w:val="nil"/>
              <w:bottom w:val="single" w:sz="4" w:space="0" w:color="auto"/>
              <w:right w:val="single" w:sz="4" w:space="0" w:color="auto"/>
            </w:tcBorders>
            <w:noWrap/>
            <w:vAlign w:val="bottom"/>
          </w:tcPr>
          <w:p w14:paraId="07F6D222"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p>
        </w:tc>
      </w:tr>
      <w:tr w:rsidR="00AD62CD" w:rsidRPr="00AD62CD" w14:paraId="54DB2156"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3D8BACD3"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i/>
                <w:iCs/>
                <w:color w:val="000000"/>
                <w:kern w:val="0"/>
                <w:sz w:val="20"/>
                <w:szCs w:val="20"/>
                <w:lang w:eastAsia="sk-SK"/>
                <w14:ligatures w14:val="none"/>
              </w:rPr>
              <w:t>v tom: (112) daň z príjmov právnických osôb</w:t>
            </w:r>
          </w:p>
        </w:tc>
        <w:tc>
          <w:tcPr>
            <w:tcW w:w="1500" w:type="dxa"/>
            <w:tcBorders>
              <w:top w:val="nil"/>
              <w:left w:val="nil"/>
              <w:bottom w:val="single" w:sz="8" w:space="0" w:color="auto"/>
              <w:right w:val="single" w:sz="8" w:space="0" w:color="auto"/>
            </w:tcBorders>
            <w:shd w:val="clear" w:color="auto" w:fill="auto"/>
            <w:vAlign w:val="center"/>
          </w:tcPr>
          <w:p w14:paraId="3271F32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588999C6"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kern w:val="0"/>
                <w:sz w:val="20"/>
                <w:szCs w:val="20"/>
                <w14:ligatures w14:val="none"/>
              </w:rPr>
              <w:t>22 452 000</w:t>
            </w:r>
          </w:p>
        </w:tc>
        <w:tc>
          <w:tcPr>
            <w:tcW w:w="1500" w:type="dxa"/>
            <w:tcBorders>
              <w:top w:val="nil"/>
              <w:left w:val="nil"/>
              <w:bottom w:val="single" w:sz="8" w:space="0" w:color="auto"/>
              <w:right w:val="single" w:sz="8" w:space="0" w:color="auto"/>
            </w:tcBorders>
            <w:shd w:val="clear" w:color="auto" w:fill="auto"/>
            <w:vAlign w:val="center"/>
          </w:tcPr>
          <w:p w14:paraId="31DD17C6"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kern w:val="0"/>
                <w:sz w:val="20"/>
                <w:szCs w:val="20"/>
                <w14:ligatures w14:val="none"/>
              </w:rPr>
              <w:t>21 850 000</w:t>
            </w:r>
          </w:p>
        </w:tc>
        <w:tc>
          <w:tcPr>
            <w:tcW w:w="1500" w:type="dxa"/>
            <w:tcBorders>
              <w:top w:val="nil"/>
              <w:left w:val="nil"/>
              <w:bottom w:val="single" w:sz="8" w:space="0" w:color="auto"/>
              <w:right w:val="single" w:sz="8" w:space="0" w:color="auto"/>
            </w:tcBorders>
            <w:shd w:val="clear" w:color="auto" w:fill="auto"/>
            <w:vAlign w:val="center"/>
          </w:tcPr>
          <w:p w14:paraId="09E5CE6A"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kern w:val="0"/>
                <w:sz w:val="20"/>
                <w:szCs w:val="20"/>
                <w14:ligatures w14:val="none"/>
              </w:rPr>
              <w:t>21 301 000</w:t>
            </w:r>
          </w:p>
        </w:tc>
        <w:tc>
          <w:tcPr>
            <w:tcW w:w="3000" w:type="dxa"/>
            <w:tcBorders>
              <w:top w:val="nil"/>
              <w:left w:val="nil"/>
              <w:bottom w:val="single" w:sz="4" w:space="0" w:color="auto"/>
              <w:right w:val="single" w:sz="4" w:space="0" w:color="auto"/>
            </w:tcBorders>
            <w:noWrap/>
            <w:vAlign w:val="bottom"/>
          </w:tcPr>
          <w:p w14:paraId="502C76EC"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p>
        </w:tc>
      </w:tr>
      <w:tr w:rsidR="00AD62CD" w:rsidRPr="00AD62CD" w14:paraId="55F00B21"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759AC5C4"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Nedaňové príjmy (200)</w:t>
            </w:r>
            <w:r w:rsidRPr="00AD62CD">
              <w:rPr>
                <w:rFonts w:ascii="Times New Roman" w:eastAsia="Calibri" w:hAnsi="Times New Roman" w:cs="Times New Roman"/>
                <w:b/>
                <w:bCs/>
                <w:color w:val="000000"/>
                <w:kern w:val="0"/>
                <w:sz w:val="20"/>
                <w:szCs w:val="20"/>
                <w:vertAlign w:val="superscript"/>
                <w14:ligatures w14:val="none"/>
              </w:rPr>
              <w:t>1</w:t>
            </w:r>
          </w:p>
        </w:tc>
        <w:tc>
          <w:tcPr>
            <w:tcW w:w="1500" w:type="dxa"/>
            <w:tcBorders>
              <w:top w:val="nil"/>
              <w:left w:val="nil"/>
              <w:bottom w:val="single" w:sz="8" w:space="0" w:color="auto"/>
              <w:right w:val="single" w:sz="8" w:space="0" w:color="auto"/>
            </w:tcBorders>
            <w:shd w:val="clear" w:color="auto" w:fill="auto"/>
            <w:vAlign w:val="center"/>
          </w:tcPr>
          <w:p w14:paraId="4DA1F52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auto" w:fill="auto"/>
            <w:vAlign w:val="center"/>
          </w:tcPr>
          <w:p w14:paraId="5945AF7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auto" w:fill="auto"/>
            <w:vAlign w:val="center"/>
          </w:tcPr>
          <w:p w14:paraId="6168E56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auto" w:fill="auto"/>
            <w:vAlign w:val="center"/>
          </w:tcPr>
          <w:p w14:paraId="1034BE3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3000" w:type="dxa"/>
            <w:tcBorders>
              <w:top w:val="nil"/>
              <w:left w:val="nil"/>
              <w:bottom w:val="single" w:sz="4" w:space="0" w:color="auto"/>
              <w:right w:val="single" w:sz="4" w:space="0" w:color="auto"/>
            </w:tcBorders>
            <w:noWrap/>
            <w:vAlign w:val="bottom"/>
          </w:tcPr>
          <w:p w14:paraId="52710C41"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w:t>
            </w:r>
          </w:p>
        </w:tc>
      </w:tr>
      <w:tr w:rsidR="00AD62CD" w:rsidRPr="00AD62CD" w14:paraId="72068D31"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74E7D1F1"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14:paraId="7C6E0C66"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24DE9D0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0B3A74F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5CA5679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3000" w:type="dxa"/>
            <w:tcBorders>
              <w:top w:val="nil"/>
              <w:left w:val="nil"/>
              <w:bottom w:val="single" w:sz="4" w:space="0" w:color="auto"/>
              <w:right w:val="single" w:sz="4" w:space="0" w:color="auto"/>
            </w:tcBorders>
            <w:noWrap/>
            <w:vAlign w:val="bottom"/>
          </w:tcPr>
          <w:p w14:paraId="5083F97A"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w:t>
            </w:r>
          </w:p>
        </w:tc>
      </w:tr>
      <w:tr w:rsidR="00AD62CD" w:rsidRPr="00AD62CD" w14:paraId="6FF11121"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006382C5"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14:paraId="049C7DB0"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028E6C4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2CDDCA5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53A8ECC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3000" w:type="dxa"/>
            <w:tcBorders>
              <w:top w:val="nil"/>
              <w:left w:val="nil"/>
              <w:bottom w:val="single" w:sz="4" w:space="0" w:color="auto"/>
              <w:right w:val="single" w:sz="4" w:space="0" w:color="auto"/>
            </w:tcBorders>
            <w:noWrap/>
            <w:vAlign w:val="bottom"/>
          </w:tcPr>
          <w:p w14:paraId="12916C36"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w:t>
            </w:r>
          </w:p>
        </w:tc>
      </w:tr>
      <w:tr w:rsidR="00AD62CD" w:rsidRPr="00AD62CD" w14:paraId="181AAE13" w14:textId="77777777" w:rsidTr="003627DF">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14:paraId="0E2B2410"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Dopad na príjmy štátneho rozpočtu celkom</w:t>
            </w:r>
          </w:p>
        </w:tc>
        <w:tc>
          <w:tcPr>
            <w:tcW w:w="1500" w:type="dxa"/>
            <w:tcBorders>
              <w:top w:val="nil"/>
              <w:left w:val="nil"/>
              <w:bottom w:val="single" w:sz="8" w:space="0" w:color="auto"/>
              <w:right w:val="single" w:sz="8" w:space="0" w:color="auto"/>
            </w:tcBorders>
            <w:shd w:val="clear" w:color="000000" w:fill="BFBFBF"/>
            <w:vAlign w:val="center"/>
          </w:tcPr>
          <w:p w14:paraId="28134411"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0</w:t>
            </w:r>
          </w:p>
        </w:tc>
        <w:tc>
          <w:tcPr>
            <w:tcW w:w="1500" w:type="dxa"/>
            <w:tcBorders>
              <w:top w:val="nil"/>
              <w:left w:val="nil"/>
              <w:bottom w:val="single" w:sz="8" w:space="0" w:color="auto"/>
              <w:right w:val="single" w:sz="8" w:space="0" w:color="auto"/>
            </w:tcBorders>
            <w:shd w:val="clear" w:color="000000" w:fill="BFBFBF"/>
            <w:vAlign w:val="center"/>
          </w:tcPr>
          <w:p w14:paraId="06271A3E"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kern w:val="0"/>
                <w:sz w:val="20"/>
                <w:szCs w:val="20"/>
                <w14:ligatures w14:val="none"/>
              </w:rPr>
              <w:t>108 185 000</w:t>
            </w:r>
          </w:p>
        </w:tc>
        <w:tc>
          <w:tcPr>
            <w:tcW w:w="1500" w:type="dxa"/>
            <w:tcBorders>
              <w:top w:val="nil"/>
              <w:left w:val="nil"/>
              <w:bottom w:val="single" w:sz="8" w:space="0" w:color="auto"/>
              <w:right w:val="single" w:sz="8" w:space="0" w:color="auto"/>
            </w:tcBorders>
            <w:shd w:val="clear" w:color="000000" w:fill="BFBFBF"/>
            <w:vAlign w:val="center"/>
          </w:tcPr>
          <w:p w14:paraId="25267CBD"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kern w:val="0"/>
                <w:sz w:val="20"/>
                <w:szCs w:val="20"/>
                <w14:ligatures w14:val="none"/>
              </w:rPr>
              <w:t>58 451 000</w:t>
            </w:r>
          </w:p>
        </w:tc>
        <w:tc>
          <w:tcPr>
            <w:tcW w:w="1500" w:type="dxa"/>
            <w:tcBorders>
              <w:top w:val="nil"/>
              <w:left w:val="nil"/>
              <w:bottom w:val="single" w:sz="8" w:space="0" w:color="auto"/>
              <w:right w:val="single" w:sz="8" w:space="0" w:color="auto"/>
            </w:tcBorders>
            <w:shd w:val="clear" w:color="000000" w:fill="BFBFBF"/>
            <w:vAlign w:val="center"/>
          </w:tcPr>
          <w:p w14:paraId="508C2BB0"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kern w:val="0"/>
                <w:sz w:val="20"/>
                <w:szCs w:val="20"/>
                <w14:ligatures w14:val="none"/>
              </w:rPr>
              <w:t>59 805 000</w:t>
            </w:r>
          </w:p>
        </w:tc>
        <w:tc>
          <w:tcPr>
            <w:tcW w:w="3000" w:type="dxa"/>
            <w:tcBorders>
              <w:top w:val="nil"/>
              <w:left w:val="nil"/>
              <w:bottom w:val="single" w:sz="4" w:space="0" w:color="auto"/>
              <w:right w:val="single" w:sz="4" w:space="0" w:color="auto"/>
            </w:tcBorders>
            <w:noWrap/>
            <w:vAlign w:val="bottom"/>
          </w:tcPr>
          <w:p w14:paraId="2C74CE4A"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w:t>
            </w:r>
          </w:p>
        </w:tc>
      </w:tr>
    </w:tbl>
    <w:p w14:paraId="5294C36D"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301A131A"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735B9280" w14:textId="77777777" w:rsidR="00AD62CD" w:rsidRPr="00AD62CD" w:rsidRDefault="00AD62CD" w:rsidP="00AD62CD">
      <w:pPr>
        <w:spacing w:after="200" w:line="276" w:lineRule="auto"/>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br w:type="page"/>
      </w:r>
    </w:p>
    <w:p w14:paraId="1B103256"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5767CE34"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tbl>
      <w:tblPr>
        <w:tblW w:w="10820" w:type="dxa"/>
        <w:tblCellMar>
          <w:left w:w="70" w:type="dxa"/>
          <w:right w:w="70" w:type="dxa"/>
        </w:tblCellMar>
        <w:tblLook w:val="04A0" w:firstRow="1" w:lastRow="0" w:firstColumn="1" w:lastColumn="0" w:noHBand="0" w:noVBand="1"/>
      </w:tblPr>
      <w:tblGrid>
        <w:gridCol w:w="3858"/>
        <w:gridCol w:w="1264"/>
        <w:gridCol w:w="1428"/>
        <w:gridCol w:w="1428"/>
        <w:gridCol w:w="1431"/>
        <w:gridCol w:w="1411"/>
      </w:tblGrid>
      <w:tr w:rsidR="00AD62CD" w:rsidRPr="00AD62CD" w14:paraId="16AA1B57" w14:textId="77777777" w:rsidTr="003627DF">
        <w:trPr>
          <w:trHeight w:val="243"/>
        </w:trPr>
        <w:tc>
          <w:tcPr>
            <w:tcW w:w="385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45E8D3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obcí (v eurách)</w:t>
            </w:r>
          </w:p>
        </w:tc>
        <w:tc>
          <w:tcPr>
            <w:tcW w:w="5551" w:type="dxa"/>
            <w:gridSpan w:val="4"/>
            <w:tcBorders>
              <w:top w:val="single" w:sz="8" w:space="0" w:color="auto"/>
              <w:left w:val="nil"/>
              <w:bottom w:val="single" w:sz="8" w:space="0" w:color="auto"/>
              <w:right w:val="single" w:sz="8" w:space="0" w:color="000000"/>
            </w:tcBorders>
            <w:shd w:val="clear" w:color="000000" w:fill="BFBFBF"/>
            <w:vAlign w:val="center"/>
            <w:hideMark/>
          </w:tcPr>
          <w:p w14:paraId="7A5D29A9"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obcí</w:t>
            </w:r>
          </w:p>
        </w:tc>
        <w:tc>
          <w:tcPr>
            <w:tcW w:w="1411"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631423B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74760320" w14:textId="77777777" w:rsidTr="003627DF">
        <w:trPr>
          <w:trHeight w:val="243"/>
        </w:trPr>
        <w:tc>
          <w:tcPr>
            <w:tcW w:w="3858" w:type="dxa"/>
            <w:vMerge/>
            <w:tcBorders>
              <w:top w:val="single" w:sz="8" w:space="0" w:color="auto"/>
              <w:left w:val="single" w:sz="8" w:space="0" w:color="auto"/>
              <w:bottom w:val="single" w:sz="8" w:space="0" w:color="000000"/>
              <w:right w:val="single" w:sz="8" w:space="0" w:color="auto"/>
            </w:tcBorders>
            <w:vAlign w:val="center"/>
            <w:hideMark/>
          </w:tcPr>
          <w:p w14:paraId="16E78A8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64" w:type="dxa"/>
            <w:tcBorders>
              <w:top w:val="nil"/>
              <w:left w:val="nil"/>
              <w:bottom w:val="single" w:sz="8" w:space="0" w:color="auto"/>
              <w:right w:val="single" w:sz="8" w:space="0" w:color="auto"/>
            </w:tcBorders>
            <w:shd w:val="clear" w:color="000000" w:fill="BFBFBF"/>
            <w:vAlign w:val="center"/>
            <w:hideMark/>
          </w:tcPr>
          <w:p w14:paraId="4BB9760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428" w:type="dxa"/>
            <w:tcBorders>
              <w:top w:val="nil"/>
              <w:left w:val="nil"/>
              <w:bottom w:val="single" w:sz="8" w:space="0" w:color="auto"/>
              <w:right w:val="single" w:sz="8" w:space="0" w:color="auto"/>
            </w:tcBorders>
            <w:shd w:val="clear" w:color="000000" w:fill="BFBFBF"/>
            <w:vAlign w:val="center"/>
            <w:hideMark/>
          </w:tcPr>
          <w:p w14:paraId="24F15AA9"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28" w:type="dxa"/>
            <w:tcBorders>
              <w:top w:val="nil"/>
              <w:left w:val="nil"/>
              <w:bottom w:val="single" w:sz="8" w:space="0" w:color="auto"/>
              <w:right w:val="single" w:sz="8" w:space="0" w:color="auto"/>
            </w:tcBorders>
            <w:shd w:val="clear" w:color="000000" w:fill="BFBFBF"/>
            <w:vAlign w:val="center"/>
            <w:hideMark/>
          </w:tcPr>
          <w:p w14:paraId="5A2FCBC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30" w:type="dxa"/>
            <w:tcBorders>
              <w:top w:val="nil"/>
              <w:left w:val="nil"/>
              <w:bottom w:val="single" w:sz="8" w:space="0" w:color="auto"/>
              <w:right w:val="single" w:sz="8" w:space="0" w:color="auto"/>
            </w:tcBorders>
            <w:shd w:val="clear" w:color="000000" w:fill="BFBFBF"/>
            <w:vAlign w:val="center"/>
            <w:hideMark/>
          </w:tcPr>
          <w:p w14:paraId="76A8741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411" w:type="dxa"/>
            <w:vMerge/>
            <w:tcBorders>
              <w:top w:val="single" w:sz="8" w:space="0" w:color="auto"/>
              <w:left w:val="single" w:sz="8" w:space="0" w:color="auto"/>
              <w:bottom w:val="single" w:sz="8" w:space="0" w:color="000000"/>
              <w:right w:val="single" w:sz="8" w:space="0" w:color="auto"/>
            </w:tcBorders>
            <w:vAlign w:val="center"/>
            <w:hideMark/>
          </w:tcPr>
          <w:p w14:paraId="377A9369"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r>
      <w:tr w:rsidR="00AD62CD" w:rsidRPr="00AD62CD" w14:paraId="3C55ED24" w14:textId="77777777" w:rsidTr="003627DF">
        <w:trPr>
          <w:trHeight w:val="287"/>
        </w:trPr>
        <w:tc>
          <w:tcPr>
            <w:tcW w:w="3858" w:type="dxa"/>
            <w:tcBorders>
              <w:top w:val="nil"/>
              <w:left w:val="single" w:sz="8" w:space="0" w:color="auto"/>
              <w:bottom w:val="single" w:sz="8" w:space="0" w:color="auto"/>
              <w:right w:val="single" w:sz="8" w:space="0" w:color="auto"/>
            </w:tcBorders>
            <w:shd w:val="clear" w:color="auto" w:fill="auto"/>
            <w:vAlign w:val="center"/>
            <w:hideMark/>
          </w:tcPr>
          <w:p w14:paraId="6E62D69D"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4" w:type="dxa"/>
            <w:tcBorders>
              <w:top w:val="nil"/>
              <w:left w:val="nil"/>
              <w:bottom w:val="single" w:sz="8" w:space="0" w:color="auto"/>
              <w:right w:val="single" w:sz="8" w:space="0" w:color="auto"/>
            </w:tcBorders>
            <w:shd w:val="clear" w:color="auto" w:fill="auto"/>
            <w:vAlign w:val="center"/>
            <w:hideMark/>
          </w:tcPr>
          <w:p w14:paraId="60D025C4"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8" w:type="dxa"/>
            <w:tcBorders>
              <w:top w:val="nil"/>
              <w:left w:val="nil"/>
              <w:bottom w:val="single" w:sz="8" w:space="0" w:color="auto"/>
              <w:right w:val="single" w:sz="8" w:space="0" w:color="auto"/>
            </w:tcBorders>
            <w:shd w:val="clear" w:color="auto" w:fill="auto"/>
            <w:vAlign w:val="center"/>
            <w:hideMark/>
          </w:tcPr>
          <w:p w14:paraId="2C45BD3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78 190 000</w:t>
            </w:r>
          </w:p>
        </w:tc>
        <w:tc>
          <w:tcPr>
            <w:tcW w:w="1428" w:type="dxa"/>
            <w:tcBorders>
              <w:top w:val="nil"/>
              <w:left w:val="nil"/>
              <w:bottom w:val="single" w:sz="8" w:space="0" w:color="auto"/>
              <w:right w:val="single" w:sz="8" w:space="0" w:color="auto"/>
            </w:tcBorders>
            <w:shd w:val="clear" w:color="auto" w:fill="auto"/>
            <w:vAlign w:val="center"/>
            <w:hideMark/>
          </w:tcPr>
          <w:p w14:paraId="0A791890"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118 932 000</w:t>
            </w:r>
          </w:p>
        </w:tc>
        <w:tc>
          <w:tcPr>
            <w:tcW w:w="1430" w:type="dxa"/>
            <w:tcBorders>
              <w:top w:val="nil"/>
              <w:left w:val="nil"/>
              <w:bottom w:val="single" w:sz="8" w:space="0" w:color="auto"/>
              <w:right w:val="single" w:sz="8" w:space="0" w:color="auto"/>
            </w:tcBorders>
            <w:shd w:val="clear" w:color="auto" w:fill="auto"/>
            <w:vAlign w:val="center"/>
            <w:hideMark/>
          </w:tcPr>
          <w:p w14:paraId="62B01285"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126 043 000</w:t>
            </w:r>
          </w:p>
        </w:tc>
        <w:tc>
          <w:tcPr>
            <w:tcW w:w="1411" w:type="dxa"/>
            <w:tcBorders>
              <w:top w:val="nil"/>
              <w:left w:val="nil"/>
              <w:bottom w:val="single" w:sz="8" w:space="0" w:color="auto"/>
              <w:right w:val="single" w:sz="8" w:space="0" w:color="auto"/>
            </w:tcBorders>
            <w:shd w:val="clear" w:color="auto" w:fill="auto"/>
            <w:noWrap/>
            <w:vAlign w:val="center"/>
            <w:hideMark/>
          </w:tcPr>
          <w:p w14:paraId="17C359B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1C1D92A" w14:textId="77777777" w:rsidTr="003627DF">
        <w:trPr>
          <w:trHeight w:val="243"/>
        </w:trPr>
        <w:tc>
          <w:tcPr>
            <w:tcW w:w="3858" w:type="dxa"/>
            <w:tcBorders>
              <w:top w:val="nil"/>
              <w:left w:val="single" w:sz="8" w:space="0" w:color="auto"/>
              <w:bottom w:val="single" w:sz="8" w:space="0" w:color="auto"/>
              <w:right w:val="single" w:sz="8" w:space="0" w:color="auto"/>
            </w:tcBorders>
            <w:shd w:val="clear" w:color="auto" w:fill="auto"/>
            <w:noWrap/>
            <w:vAlign w:val="center"/>
            <w:hideMark/>
          </w:tcPr>
          <w:p w14:paraId="47775D3D" w14:textId="77777777" w:rsidR="00AD62CD" w:rsidRPr="00AD62CD" w:rsidRDefault="00AD62CD" w:rsidP="00AD62CD">
            <w:pPr>
              <w:spacing w:after="0" w:line="240" w:lineRule="auto"/>
              <w:ind w:firstLineChars="100" w:firstLine="2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264" w:type="dxa"/>
            <w:tcBorders>
              <w:top w:val="nil"/>
              <w:left w:val="nil"/>
              <w:bottom w:val="single" w:sz="8" w:space="0" w:color="auto"/>
              <w:right w:val="single" w:sz="8" w:space="0" w:color="auto"/>
            </w:tcBorders>
            <w:shd w:val="clear" w:color="auto" w:fill="auto"/>
            <w:vAlign w:val="center"/>
            <w:hideMark/>
          </w:tcPr>
          <w:p w14:paraId="4940BADC"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8" w:type="dxa"/>
            <w:tcBorders>
              <w:top w:val="nil"/>
              <w:left w:val="nil"/>
              <w:bottom w:val="single" w:sz="8" w:space="0" w:color="auto"/>
              <w:right w:val="single" w:sz="8" w:space="0" w:color="auto"/>
            </w:tcBorders>
            <w:shd w:val="clear" w:color="auto" w:fill="auto"/>
            <w:vAlign w:val="center"/>
            <w:hideMark/>
          </w:tcPr>
          <w:p w14:paraId="534D719F"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kern w:val="0"/>
                <w:sz w:val="20"/>
                <w:szCs w:val="20"/>
                <w14:ligatures w14:val="none"/>
              </w:rPr>
              <w:t>78 190 000</w:t>
            </w:r>
          </w:p>
        </w:tc>
        <w:tc>
          <w:tcPr>
            <w:tcW w:w="1428" w:type="dxa"/>
            <w:tcBorders>
              <w:top w:val="nil"/>
              <w:left w:val="nil"/>
              <w:bottom w:val="single" w:sz="8" w:space="0" w:color="auto"/>
              <w:right w:val="single" w:sz="8" w:space="0" w:color="auto"/>
            </w:tcBorders>
            <w:shd w:val="clear" w:color="auto" w:fill="auto"/>
            <w:vAlign w:val="center"/>
            <w:hideMark/>
          </w:tcPr>
          <w:p w14:paraId="5D0CC996"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kern w:val="0"/>
                <w:sz w:val="20"/>
                <w:szCs w:val="20"/>
                <w14:ligatures w14:val="none"/>
              </w:rPr>
              <w:t>118 932 000</w:t>
            </w:r>
          </w:p>
        </w:tc>
        <w:tc>
          <w:tcPr>
            <w:tcW w:w="1430" w:type="dxa"/>
            <w:tcBorders>
              <w:top w:val="nil"/>
              <w:left w:val="nil"/>
              <w:bottom w:val="single" w:sz="8" w:space="0" w:color="auto"/>
              <w:right w:val="single" w:sz="8" w:space="0" w:color="auto"/>
            </w:tcBorders>
            <w:shd w:val="clear" w:color="auto" w:fill="auto"/>
            <w:vAlign w:val="center"/>
            <w:hideMark/>
          </w:tcPr>
          <w:p w14:paraId="4E9E5DC0"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kern w:val="0"/>
                <w:sz w:val="20"/>
                <w:szCs w:val="20"/>
                <w14:ligatures w14:val="none"/>
              </w:rPr>
              <w:t>126 043 000</w:t>
            </w:r>
          </w:p>
        </w:tc>
        <w:tc>
          <w:tcPr>
            <w:tcW w:w="1411" w:type="dxa"/>
            <w:tcBorders>
              <w:top w:val="nil"/>
              <w:left w:val="nil"/>
              <w:bottom w:val="single" w:sz="8" w:space="0" w:color="auto"/>
              <w:right w:val="single" w:sz="8" w:space="0" w:color="auto"/>
            </w:tcBorders>
            <w:shd w:val="clear" w:color="auto" w:fill="auto"/>
            <w:noWrap/>
            <w:vAlign w:val="center"/>
            <w:hideMark/>
          </w:tcPr>
          <w:p w14:paraId="2C7F7BE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7580DC1" w14:textId="77777777" w:rsidTr="003627DF">
        <w:trPr>
          <w:trHeight w:val="287"/>
        </w:trPr>
        <w:tc>
          <w:tcPr>
            <w:tcW w:w="3858" w:type="dxa"/>
            <w:tcBorders>
              <w:top w:val="nil"/>
              <w:left w:val="single" w:sz="8" w:space="0" w:color="auto"/>
              <w:bottom w:val="single" w:sz="8" w:space="0" w:color="auto"/>
              <w:right w:val="single" w:sz="8" w:space="0" w:color="auto"/>
            </w:tcBorders>
            <w:shd w:val="clear" w:color="auto" w:fill="auto"/>
            <w:vAlign w:val="center"/>
            <w:hideMark/>
          </w:tcPr>
          <w:p w14:paraId="74B4DE38"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4" w:type="dxa"/>
            <w:tcBorders>
              <w:top w:val="nil"/>
              <w:left w:val="nil"/>
              <w:bottom w:val="single" w:sz="8" w:space="0" w:color="auto"/>
              <w:right w:val="single" w:sz="8" w:space="0" w:color="auto"/>
            </w:tcBorders>
            <w:shd w:val="clear" w:color="auto" w:fill="auto"/>
            <w:vAlign w:val="center"/>
            <w:hideMark/>
          </w:tcPr>
          <w:p w14:paraId="59BE12D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8" w:type="dxa"/>
            <w:tcBorders>
              <w:top w:val="nil"/>
              <w:left w:val="nil"/>
              <w:bottom w:val="single" w:sz="8" w:space="0" w:color="auto"/>
              <w:right w:val="single" w:sz="8" w:space="0" w:color="auto"/>
            </w:tcBorders>
            <w:shd w:val="clear" w:color="auto" w:fill="auto"/>
            <w:vAlign w:val="center"/>
            <w:hideMark/>
          </w:tcPr>
          <w:p w14:paraId="6BE68053"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0</w:t>
            </w:r>
          </w:p>
        </w:tc>
        <w:tc>
          <w:tcPr>
            <w:tcW w:w="1428" w:type="dxa"/>
            <w:tcBorders>
              <w:top w:val="nil"/>
              <w:left w:val="nil"/>
              <w:bottom w:val="single" w:sz="8" w:space="0" w:color="auto"/>
              <w:right w:val="single" w:sz="8" w:space="0" w:color="auto"/>
            </w:tcBorders>
            <w:shd w:val="clear" w:color="auto" w:fill="auto"/>
            <w:vAlign w:val="center"/>
            <w:hideMark/>
          </w:tcPr>
          <w:p w14:paraId="04D5DA68"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0</w:t>
            </w:r>
          </w:p>
        </w:tc>
        <w:tc>
          <w:tcPr>
            <w:tcW w:w="1430" w:type="dxa"/>
            <w:tcBorders>
              <w:top w:val="nil"/>
              <w:left w:val="nil"/>
              <w:bottom w:val="single" w:sz="8" w:space="0" w:color="auto"/>
              <w:right w:val="single" w:sz="8" w:space="0" w:color="auto"/>
            </w:tcBorders>
            <w:shd w:val="clear" w:color="auto" w:fill="auto"/>
            <w:vAlign w:val="center"/>
            <w:hideMark/>
          </w:tcPr>
          <w:p w14:paraId="1B286AC6"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0</w:t>
            </w:r>
          </w:p>
        </w:tc>
        <w:tc>
          <w:tcPr>
            <w:tcW w:w="1411" w:type="dxa"/>
            <w:tcBorders>
              <w:top w:val="nil"/>
              <w:left w:val="nil"/>
              <w:bottom w:val="single" w:sz="8" w:space="0" w:color="auto"/>
              <w:right w:val="single" w:sz="8" w:space="0" w:color="auto"/>
            </w:tcBorders>
            <w:shd w:val="clear" w:color="auto" w:fill="auto"/>
            <w:noWrap/>
            <w:vAlign w:val="center"/>
            <w:hideMark/>
          </w:tcPr>
          <w:p w14:paraId="7895011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0258F3F" w14:textId="77777777" w:rsidTr="003627DF">
        <w:trPr>
          <w:trHeight w:val="476"/>
        </w:trPr>
        <w:tc>
          <w:tcPr>
            <w:tcW w:w="3858" w:type="dxa"/>
            <w:tcBorders>
              <w:top w:val="nil"/>
              <w:left w:val="single" w:sz="8" w:space="0" w:color="auto"/>
              <w:bottom w:val="single" w:sz="8" w:space="0" w:color="auto"/>
              <w:right w:val="single" w:sz="8" w:space="0" w:color="auto"/>
            </w:tcBorders>
            <w:shd w:val="clear" w:color="auto" w:fill="auto"/>
            <w:vAlign w:val="center"/>
            <w:hideMark/>
          </w:tcPr>
          <w:p w14:paraId="5814475B"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264" w:type="dxa"/>
            <w:tcBorders>
              <w:top w:val="nil"/>
              <w:left w:val="nil"/>
              <w:bottom w:val="single" w:sz="8" w:space="0" w:color="auto"/>
              <w:right w:val="single" w:sz="8" w:space="0" w:color="auto"/>
            </w:tcBorders>
            <w:shd w:val="clear" w:color="auto" w:fill="auto"/>
            <w:vAlign w:val="center"/>
            <w:hideMark/>
          </w:tcPr>
          <w:p w14:paraId="1D02484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428" w:type="dxa"/>
            <w:tcBorders>
              <w:top w:val="nil"/>
              <w:left w:val="nil"/>
              <w:bottom w:val="single" w:sz="8" w:space="0" w:color="auto"/>
              <w:right w:val="single" w:sz="8" w:space="0" w:color="auto"/>
            </w:tcBorders>
            <w:shd w:val="clear" w:color="auto" w:fill="auto"/>
            <w:vAlign w:val="center"/>
            <w:hideMark/>
          </w:tcPr>
          <w:p w14:paraId="7B9B7394"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428" w:type="dxa"/>
            <w:tcBorders>
              <w:top w:val="nil"/>
              <w:left w:val="nil"/>
              <w:bottom w:val="single" w:sz="8" w:space="0" w:color="auto"/>
              <w:right w:val="single" w:sz="8" w:space="0" w:color="auto"/>
            </w:tcBorders>
            <w:shd w:val="clear" w:color="auto" w:fill="auto"/>
            <w:vAlign w:val="center"/>
            <w:hideMark/>
          </w:tcPr>
          <w:p w14:paraId="15ADDFE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430" w:type="dxa"/>
            <w:tcBorders>
              <w:top w:val="nil"/>
              <w:left w:val="nil"/>
              <w:bottom w:val="single" w:sz="8" w:space="0" w:color="auto"/>
              <w:right w:val="single" w:sz="8" w:space="0" w:color="auto"/>
            </w:tcBorders>
            <w:shd w:val="clear" w:color="auto" w:fill="auto"/>
            <w:vAlign w:val="center"/>
            <w:hideMark/>
          </w:tcPr>
          <w:p w14:paraId="4A73E441"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411" w:type="dxa"/>
            <w:tcBorders>
              <w:top w:val="nil"/>
              <w:left w:val="nil"/>
              <w:bottom w:val="single" w:sz="8" w:space="0" w:color="auto"/>
              <w:right w:val="single" w:sz="8" w:space="0" w:color="auto"/>
            </w:tcBorders>
            <w:shd w:val="clear" w:color="auto" w:fill="auto"/>
            <w:noWrap/>
            <w:vAlign w:val="center"/>
            <w:hideMark/>
          </w:tcPr>
          <w:p w14:paraId="5B08800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F4CBDEE" w14:textId="77777777" w:rsidTr="003627DF">
        <w:trPr>
          <w:trHeight w:val="476"/>
        </w:trPr>
        <w:tc>
          <w:tcPr>
            <w:tcW w:w="3858" w:type="dxa"/>
            <w:tcBorders>
              <w:top w:val="nil"/>
              <w:left w:val="single" w:sz="8" w:space="0" w:color="auto"/>
              <w:bottom w:val="single" w:sz="8" w:space="0" w:color="auto"/>
              <w:right w:val="single" w:sz="8" w:space="0" w:color="auto"/>
            </w:tcBorders>
            <w:shd w:val="clear" w:color="auto" w:fill="auto"/>
            <w:vAlign w:val="center"/>
            <w:hideMark/>
          </w:tcPr>
          <w:p w14:paraId="6BF54EE2"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264" w:type="dxa"/>
            <w:tcBorders>
              <w:top w:val="nil"/>
              <w:left w:val="nil"/>
              <w:bottom w:val="single" w:sz="8" w:space="0" w:color="auto"/>
              <w:right w:val="single" w:sz="8" w:space="0" w:color="auto"/>
            </w:tcBorders>
            <w:shd w:val="clear" w:color="auto" w:fill="auto"/>
            <w:vAlign w:val="center"/>
            <w:hideMark/>
          </w:tcPr>
          <w:p w14:paraId="3CE01CA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428" w:type="dxa"/>
            <w:tcBorders>
              <w:top w:val="nil"/>
              <w:left w:val="nil"/>
              <w:bottom w:val="single" w:sz="8" w:space="0" w:color="auto"/>
              <w:right w:val="single" w:sz="8" w:space="0" w:color="auto"/>
            </w:tcBorders>
            <w:shd w:val="clear" w:color="auto" w:fill="auto"/>
            <w:vAlign w:val="center"/>
            <w:hideMark/>
          </w:tcPr>
          <w:p w14:paraId="7CB70EF2"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428" w:type="dxa"/>
            <w:tcBorders>
              <w:top w:val="nil"/>
              <w:left w:val="nil"/>
              <w:bottom w:val="single" w:sz="8" w:space="0" w:color="auto"/>
              <w:right w:val="single" w:sz="8" w:space="0" w:color="auto"/>
            </w:tcBorders>
            <w:shd w:val="clear" w:color="auto" w:fill="auto"/>
            <w:vAlign w:val="center"/>
            <w:hideMark/>
          </w:tcPr>
          <w:p w14:paraId="15C55E8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430" w:type="dxa"/>
            <w:tcBorders>
              <w:top w:val="nil"/>
              <w:left w:val="nil"/>
              <w:bottom w:val="single" w:sz="8" w:space="0" w:color="auto"/>
              <w:right w:val="single" w:sz="8" w:space="0" w:color="auto"/>
            </w:tcBorders>
            <w:shd w:val="clear" w:color="auto" w:fill="auto"/>
            <w:vAlign w:val="center"/>
            <w:hideMark/>
          </w:tcPr>
          <w:p w14:paraId="4FC89B17"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411" w:type="dxa"/>
            <w:tcBorders>
              <w:top w:val="nil"/>
              <w:left w:val="nil"/>
              <w:bottom w:val="single" w:sz="8" w:space="0" w:color="auto"/>
              <w:right w:val="single" w:sz="8" w:space="0" w:color="auto"/>
            </w:tcBorders>
            <w:shd w:val="clear" w:color="auto" w:fill="auto"/>
            <w:noWrap/>
            <w:vAlign w:val="center"/>
            <w:hideMark/>
          </w:tcPr>
          <w:p w14:paraId="5DF29BB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A1DAED2" w14:textId="77777777" w:rsidTr="003627DF">
        <w:trPr>
          <w:trHeight w:val="243"/>
        </w:trPr>
        <w:tc>
          <w:tcPr>
            <w:tcW w:w="3858" w:type="dxa"/>
            <w:tcBorders>
              <w:top w:val="nil"/>
              <w:left w:val="single" w:sz="8" w:space="0" w:color="auto"/>
              <w:bottom w:val="single" w:sz="8" w:space="0" w:color="auto"/>
              <w:right w:val="single" w:sz="8" w:space="0" w:color="auto"/>
            </w:tcBorders>
            <w:shd w:val="clear" w:color="000000" w:fill="BFBFBF"/>
            <w:vAlign w:val="center"/>
            <w:hideMark/>
          </w:tcPr>
          <w:p w14:paraId="7E1F365D"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Dopad na príjmy obcí</w:t>
            </w:r>
          </w:p>
        </w:tc>
        <w:tc>
          <w:tcPr>
            <w:tcW w:w="1264" w:type="dxa"/>
            <w:tcBorders>
              <w:top w:val="nil"/>
              <w:left w:val="nil"/>
              <w:bottom w:val="single" w:sz="8" w:space="0" w:color="auto"/>
              <w:right w:val="single" w:sz="8" w:space="0" w:color="auto"/>
            </w:tcBorders>
            <w:shd w:val="clear" w:color="000000" w:fill="BFBFBF"/>
            <w:vAlign w:val="center"/>
          </w:tcPr>
          <w:p w14:paraId="0E758500"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8" w:type="dxa"/>
            <w:tcBorders>
              <w:top w:val="nil"/>
              <w:left w:val="nil"/>
              <w:bottom w:val="single" w:sz="8" w:space="0" w:color="auto"/>
              <w:right w:val="single" w:sz="8" w:space="0" w:color="auto"/>
            </w:tcBorders>
            <w:shd w:val="clear" w:color="000000" w:fill="BFBFBF"/>
            <w:vAlign w:val="center"/>
          </w:tcPr>
          <w:p w14:paraId="4D7C042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78 190 000</w:t>
            </w:r>
          </w:p>
        </w:tc>
        <w:tc>
          <w:tcPr>
            <w:tcW w:w="1428" w:type="dxa"/>
            <w:tcBorders>
              <w:top w:val="nil"/>
              <w:left w:val="nil"/>
              <w:bottom w:val="single" w:sz="8" w:space="0" w:color="auto"/>
              <w:right w:val="single" w:sz="8" w:space="0" w:color="auto"/>
            </w:tcBorders>
            <w:shd w:val="clear" w:color="000000" w:fill="BFBFBF"/>
            <w:vAlign w:val="center"/>
            <w:hideMark/>
          </w:tcPr>
          <w:p w14:paraId="29B90E83"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118 932 000</w:t>
            </w:r>
          </w:p>
        </w:tc>
        <w:tc>
          <w:tcPr>
            <w:tcW w:w="1430" w:type="dxa"/>
            <w:tcBorders>
              <w:top w:val="nil"/>
              <w:left w:val="nil"/>
              <w:bottom w:val="single" w:sz="8" w:space="0" w:color="auto"/>
              <w:right w:val="single" w:sz="8" w:space="0" w:color="auto"/>
            </w:tcBorders>
            <w:shd w:val="clear" w:color="000000" w:fill="BFBFBF"/>
            <w:vAlign w:val="center"/>
            <w:hideMark/>
          </w:tcPr>
          <w:p w14:paraId="3B6E7B1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126 043 000</w:t>
            </w:r>
          </w:p>
        </w:tc>
        <w:tc>
          <w:tcPr>
            <w:tcW w:w="1411" w:type="dxa"/>
            <w:tcBorders>
              <w:top w:val="nil"/>
              <w:left w:val="nil"/>
              <w:bottom w:val="single" w:sz="8" w:space="0" w:color="auto"/>
              <w:right w:val="single" w:sz="8" w:space="0" w:color="auto"/>
            </w:tcBorders>
            <w:shd w:val="clear" w:color="000000" w:fill="BFBFBF"/>
            <w:noWrap/>
            <w:vAlign w:val="center"/>
            <w:hideMark/>
          </w:tcPr>
          <w:p w14:paraId="1875612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0FC8A654"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1FA1978B" w14:textId="77777777" w:rsidR="00AD62CD" w:rsidRPr="00AD62CD" w:rsidRDefault="00AD62CD" w:rsidP="00AD62CD">
      <w:pPr>
        <w:spacing w:after="200" w:line="276" w:lineRule="auto"/>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br w:type="page"/>
      </w:r>
    </w:p>
    <w:tbl>
      <w:tblPr>
        <w:tblW w:w="11933" w:type="dxa"/>
        <w:tblCellMar>
          <w:left w:w="70" w:type="dxa"/>
          <w:right w:w="70" w:type="dxa"/>
        </w:tblCellMar>
        <w:tblLook w:val="04A0" w:firstRow="1" w:lastRow="0" w:firstColumn="1" w:lastColumn="0" w:noHBand="0" w:noVBand="1"/>
      </w:tblPr>
      <w:tblGrid>
        <w:gridCol w:w="4255"/>
        <w:gridCol w:w="1394"/>
        <w:gridCol w:w="1575"/>
        <w:gridCol w:w="1575"/>
        <w:gridCol w:w="1577"/>
        <w:gridCol w:w="1557"/>
      </w:tblGrid>
      <w:tr w:rsidR="00AD62CD" w:rsidRPr="00AD62CD" w14:paraId="1E638ADA" w14:textId="77777777" w:rsidTr="003627DF">
        <w:trPr>
          <w:trHeight w:val="292"/>
        </w:trPr>
        <w:tc>
          <w:tcPr>
            <w:tcW w:w="425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53F7DB9"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vyšších územných celkov (v eurách)</w:t>
            </w:r>
          </w:p>
        </w:tc>
        <w:tc>
          <w:tcPr>
            <w:tcW w:w="6121" w:type="dxa"/>
            <w:gridSpan w:val="4"/>
            <w:tcBorders>
              <w:top w:val="single" w:sz="8" w:space="0" w:color="auto"/>
              <w:left w:val="nil"/>
              <w:bottom w:val="single" w:sz="8" w:space="0" w:color="auto"/>
              <w:right w:val="single" w:sz="8" w:space="0" w:color="000000"/>
            </w:tcBorders>
            <w:shd w:val="clear" w:color="000000" w:fill="BFBFBF"/>
            <w:vAlign w:val="center"/>
            <w:hideMark/>
          </w:tcPr>
          <w:p w14:paraId="3FC6EDF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vyšších územných celkov</w:t>
            </w:r>
          </w:p>
        </w:tc>
        <w:tc>
          <w:tcPr>
            <w:tcW w:w="1557"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4DA3C25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32A93487" w14:textId="77777777" w:rsidTr="003627DF">
        <w:trPr>
          <w:trHeight w:val="292"/>
        </w:trPr>
        <w:tc>
          <w:tcPr>
            <w:tcW w:w="4255" w:type="dxa"/>
            <w:vMerge/>
            <w:tcBorders>
              <w:top w:val="single" w:sz="8" w:space="0" w:color="auto"/>
              <w:left w:val="single" w:sz="8" w:space="0" w:color="auto"/>
              <w:bottom w:val="single" w:sz="8" w:space="0" w:color="000000"/>
              <w:right w:val="single" w:sz="8" w:space="0" w:color="auto"/>
            </w:tcBorders>
            <w:vAlign w:val="center"/>
            <w:hideMark/>
          </w:tcPr>
          <w:p w14:paraId="6BD2A1B6"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394" w:type="dxa"/>
            <w:tcBorders>
              <w:top w:val="nil"/>
              <w:left w:val="nil"/>
              <w:bottom w:val="single" w:sz="8" w:space="0" w:color="auto"/>
              <w:right w:val="single" w:sz="8" w:space="0" w:color="auto"/>
            </w:tcBorders>
            <w:shd w:val="clear" w:color="000000" w:fill="BFBFBF"/>
            <w:vAlign w:val="center"/>
            <w:hideMark/>
          </w:tcPr>
          <w:p w14:paraId="0A92BF2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575" w:type="dxa"/>
            <w:tcBorders>
              <w:top w:val="nil"/>
              <w:left w:val="nil"/>
              <w:bottom w:val="single" w:sz="8" w:space="0" w:color="auto"/>
              <w:right w:val="single" w:sz="8" w:space="0" w:color="auto"/>
            </w:tcBorders>
            <w:shd w:val="clear" w:color="000000" w:fill="BFBFBF"/>
            <w:vAlign w:val="center"/>
            <w:hideMark/>
          </w:tcPr>
          <w:p w14:paraId="3ABAF9C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575" w:type="dxa"/>
            <w:tcBorders>
              <w:top w:val="nil"/>
              <w:left w:val="nil"/>
              <w:bottom w:val="single" w:sz="8" w:space="0" w:color="auto"/>
              <w:right w:val="single" w:sz="8" w:space="0" w:color="auto"/>
            </w:tcBorders>
            <w:shd w:val="clear" w:color="000000" w:fill="BFBFBF"/>
            <w:vAlign w:val="center"/>
            <w:hideMark/>
          </w:tcPr>
          <w:p w14:paraId="320D284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575" w:type="dxa"/>
            <w:tcBorders>
              <w:top w:val="nil"/>
              <w:left w:val="nil"/>
              <w:bottom w:val="single" w:sz="8" w:space="0" w:color="auto"/>
              <w:right w:val="single" w:sz="8" w:space="0" w:color="auto"/>
            </w:tcBorders>
            <w:shd w:val="clear" w:color="000000" w:fill="BFBFBF"/>
            <w:vAlign w:val="center"/>
            <w:hideMark/>
          </w:tcPr>
          <w:p w14:paraId="3DCDFAB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2218F62F"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r>
      <w:tr w:rsidR="00AD62CD" w:rsidRPr="00AD62CD" w14:paraId="60B72F5D" w14:textId="77777777" w:rsidTr="003627DF">
        <w:trPr>
          <w:trHeight w:val="345"/>
        </w:trPr>
        <w:tc>
          <w:tcPr>
            <w:tcW w:w="4255" w:type="dxa"/>
            <w:tcBorders>
              <w:top w:val="nil"/>
              <w:left w:val="single" w:sz="8" w:space="0" w:color="auto"/>
              <w:bottom w:val="single" w:sz="8" w:space="0" w:color="auto"/>
              <w:right w:val="single" w:sz="8" w:space="0" w:color="auto"/>
            </w:tcBorders>
            <w:shd w:val="clear" w:color="auto" w:fill="auto"/>
            <w:vAlign w:val="center"/>
            <w:hideMark/>
          </w:tcPr>
          <w:p w14:paraId="2050F58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394" w:type="dxa"/>
            <w:tcBorders>
              <w:top w:val="nil"/>
              <w:left w:val="nil"/>
              <w:bottom w:val="single" w:sz="8" w:space="0" w:color="auto"/>
              <w:right w:val="single" w:sz="8" w:space="0" w:color="auto"/>
            </w:tcBorders>
            <w:shd w:val="clear" w:color="auto" w:fill="auto"/>
            <w:vAlign w:val="center"/>
            <w:hideMark/>
          </w:tcPr>
          <w:p w14:paraId="5CE76D97"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575" w:type="dxa"/>
            <w:tcBorders>
              <w:top w:val="nil"/>
              <w:left w:val="nil"/>
              <w:bottom w:val="single" w:sz="8" w:space="0" w:color="auto"/>
              <w:right w:val="single" w:sz="8" w:space="0" w:color="auto"/>
            </w:tcBorders>
            <w:shd w:val="clear" w:color="auto" w:fill="auto"/>
            <w:vAlign w:val="center"/>
            <w:hideMark/>
          </w:tcPr>
          <w:p w14:paraId="3564333E"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highlight w:val="yellow"/>
                <w:lang w:eastAsia="sk-SK"/>
                <w14:ligatures w14:val="none"/>
              </w:rPr>
            </w:pPr>
            <w:r w:rsidRPr="00AD62CD">
              <w:rPr>
                <w:rFonts w:ascii="Times New Roman" w:eastAsia="Calibri" w:hAnsi="Times New Roman" w:cs="Times New Roman"/>
                <w:b/>
                <w:bCs/>
                <w:kern w:val="0"/>
                <w:sz w:val="20"/>
                <w:szCs w:val="20"/>
                <w14:ligatures w14:val="none"/>
              </w:rPr>
              <w:t>41 863 000</w:t>
            </w:r>
          </w:p>
        </w:tc>
        <w:tc>
          <w:tcPr>
            <w:tcW w:w="1575" w:type="dxa"/>
            <w:tcBorders>
              <w:top w:val="nil"/>
              <w:left w:val="nil"/>
              <w:bottom w:val="single" w:sz="8" w:space="0" w:color="auto"/>
              <w:right w:val="single" w:sz="8" w:space="0" w:color="auto"/>
            </w:tcBorders>
            <w:shd w:val="clear" w:color="auto" w:fill="auto"/>
            <w:vAlign w:val="center"/>
            <w:hideMark/>
          </w:tcPr>
          <w:p w14:paraId="600E8EE3"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highlight w:val="yellow"/>
                <w:lang w:eastAsia="sk-SK"/>
                <w14:ligatures w14:val="none"/>
              </w:rPr>
            </w:pPr>
            <w:r w:rsidRPr="00AD62CD">
              <w:rPr>
                <w:rFonts w:ascii="Times New Roman" w:eastAsia="Calibri" w:hAnsi="Times New Roman" w:cs="Times New Roman"/>
                <w:b/>
                <w:bCs/>
                <w:kern w:val="0"/>
                <w:sz w:val="20"/>
                <w:szCs w:val="20"/>
                <w14:ligatures w14:val="none"/>
              </w:rPr>
              <w:t>63 675 000</w:t>
            </w:r>
          </w:p>
        </w:tc>
        <w:tc>
          <w:tcPr>
            <w:tcW w:w="1575" w:type="dxa"/>
            <w:tcBorders>
              <w:top w:val="nil"/>
              <w:left w:val="nil"/>
              <w:bottom w:val="single" w:sz="8" w:space="0" w:color="auto"/>
              <w:right w:val="single" w:sz="8" w:space="0" w:color="auto"/>
            </w:tcBorders>
            <w:shd w:val="clear" w:color="auto" w:fill="auto"/>
            <w:vAlign w:val="center"/>
            <w:hideMark/>
          </w:tcPr>
          <w:p w14:paraId="298C919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highlight w:val="yellow"/>
                <w:lang w:eastAsia="sk-SK"/>
                <w14:ligatures w14:val="none"/>
              </w:rPr>
            </w:pPr>
            <w:r w:rsidRPr="00AD62CD">
              <w:rPr>
                <w:rFonts w:ascii="Times New Roman" w:eastAsia="Calibri" w:hAnsi="Times New Roman" w:cs="Times New Roman"/>
                <w:b/>
                <w:bCs/>
                <w:kern w:val="0"/>
                <w:sz w:val="20"/>
                <w:szCs w:val="20"/>
                <w14:ligatures w14:val="none"/>
              </w:rPr>
              <w:t>67 482 000</w:t>
            </w:r>
          </w:p>
        </w:tc>
        <w:tc>
          <w:tcPr>
            <w:tcW w:w="1557" w:type="dxa"/>
            <w:tcBorders>
              <w:top w:val="nil"/>
              <w:left w:val="nil"/>
              <w:bottom w:val="single" w:sz="8" w:space="0" w:color="auto"/>
              <w:right w:val="single" w:sz="8" w:space="0" w:color="auto"/>
            </w:tcBorders>
            <w:shd w:val="clear" w:color="auto" w:fill="auto"/>
            <w:noWrap/>
            <w:vAlign w:val="center"/>
            <w:hideMark/>
          </w:tcPr>
          <w:p w14:paraId="10BA937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6926B63" w14:textId="77777777" w:rsidTr="003627DF">
        <w:trPr>
          <w:trHeight w:val="292"/>
        </w:trPr>
        <w:tc>
          <w:tcPr>
            <w:tcW w:w="4255" w:type="dxa"/>
            <w:tcBorders>
              <w:top w:val="nil"/>
              <w:left w:val="single" w:sz="8" w:space="0" w:color="auto"/>
              <w:bottom w:val="single" w:sz="8" w:space="0" w:color="auto"/>
              <w:right w:val="single" w:sz="8" w:space="0" w:color="auto"/>
            </w:tcBorders>
            <w:shd w:val="clear" w:color="auto" w:fill="auto"/>
            <w:noWrap/>
            <w:vAlign w:val="center"/>
            <w:hideMark/>
          </w:tcPr>
          <w:p w14:paraId="6EA0F067" w14:textId="77777777" w:rsidR="00AD62CD" w:rsidRPr="00AD62CD" w:rsidRDefault="00AD62CD" w:rsidP="00AD62CD">
            <w:pPr>
              <w:spacing w:after="0" w:line="240" w:lineRule="auto"/>
              <w:ind w:firstLineChars="100" w:firstLine="2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394" w:type="dxa"/>
            <w:tcBorders>
              <w:top w:val="nil"/>
              <w:left w:val="nil"/>
              <w:bottom w:val="single" w:sz="8" w:space="0" w:color="auto"/>
              <w:right w:val="single" w:sz="8" w:space="0" w:color="auto"/>
            </w:tcBorders>
            <w:shd w:val="clear" w:color="auto" w:fill="auto"/>
            <w:vAlign w:val="center"/>
            <w:hideMark/>
          </w:tcPr>
          <w:p w14:paraId="2F3395A8"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575" w:type="dxa"/>
            <w:tcBorders>
              <w:top w:val="nil"/>
              <w:left w:val="nil"/>
              <w:bottom w:val="single" w:sz="8" w:space="0" w:color="auto"/>
              <w:right w:val="single" w:sz="8" w:space="0" w:color="auto"/>
            </w:tcBorders>
            <w:shd w:val="clear" w:color="auto" w:fill="auto"/>
            <w:vAlign w:val="center"/>
            <w:hideMark/>
          </w:tcPr>
          <w:p w14:paraId="690119C8"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highlight w:val="yellow"/>
                <w:lang w:eastAsia="sk-SK"/>
                <w14:ligatures w14:val="none"/>
              </w:rPr>
            </w:pPr>
            <w:r w:rsidRPr="00AD62CD">
              <w:rPr>
                <w:rFonts w:ascii="Times New Roman" w:eastAsia="Calibri" w:hAnsi="Times New Roman" w:cs="Times New Roman"/>
                <w:kern w:val="0"/>
                <w:sz w:val="20"/>
                <w:szCs w:val="20"/>
                <w14:ligatures w14:val="none"/>
              </w:rPr>
              <w:t>41 863 000</w:t>
            </w:r>
          </w:p>
        </w:tc>
        <w:tc>
          <w:tcPr>
            <w:tcW w:w="1575" w:type="dxa"/>
            <w:tcBorders>
              <w:top w:val="nil"/>
              <w:left w:val="nil"/>
              <w:bottom w:val="single" w:sz="8" w:space="0" w:color="auto"/>
              <w:right w:val="single" w:sz="8" w:space="0" w:color="auto"/>
            </w:tcBorders>
            <w:shd w:val="clear" w:color="auto" w:fill="auto"/>
            <w:vAlign w:val="center"/>
            <w:hideMark/>
          </w:tcPr>
          <w:p w14:paraId="6A46FFFF"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highlight w:val="yellow"/>
                <w:lang w:eastAsia="sk-SK"/>
                <w14:ligatures w14:val="none"/>
              </w:rPr>
            </w:pPr>
            <w:r w:rsidRPr="00AD62CD">
              <w:rPr>
                <w:rFonts w:ascii="Times New Roman" w:eastAsia="Calibri" w:hAnsi="Times New Roman" w:cs="Times New Roman"/>
                <w:kern w:val="0"/>
                <w:sz w:val="20"/>
                <w:szCs w:val="20"/>
                <w14:ligatures w14:val="none"/>
              </w:rPr>
              <w:t>63 675 000</w:t>
            </w:r>
          </w:p>
        </w:tc>
        <w:tc>
          <w:tcPr>
            <w:tcW w:w="1575" w:type="dxa"/>
            <w:tcBorders>
              <w:top w:val="nil"/>
              <w:left w:val="nil"/>
              <w:bottom w:val="single" w:sz="8" w:space="0" w:color="auto"/>
              <w:right w:val="single" w:sz="8" w:space="0" w:color="auto"/>
            </w:tcBorders>
            <w:shd w:val="clear" w:color="auto" w:fill="auto"/>
            <w:vAlign w:val="center"/>
            <w:hideMark/>
          </w:tcPr>
          <w:p w14:paraId="40D7BA85"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highlight w:val="yellow"/>
                <w:lang w:eastAsia="sk-SK"/>
                <w14:ligatures w14:val="none"/>
              </w:rPr>
            </w:pPr>
            <w:r w:rsidRPr="00AD62CD">
              <w:rPr>
                <w:rFonts w:ascii="Times New Roman" w:eastAsia="Calibri" w:hAnsi="Times New Roman" w:cs="Times New Roman"/>
                <w:kern w:val="0"/>
                <w:sz w:val="20"/>
                <w:szCs w:val="20"/>
                <w14:ligatures w14:val="none"/>
              </w:rPr>
              <w:t>67 482 000</w:t>
            </w:r>
          </w:p>
        </w:tc>
        <w:tc>
          <w:tcPr>
            <w:tcW w:w="1557" w:type="dxa"/>
            <w:tcBorders>
              <w:top w:val="nil"/>
              <w:left w:val="nil"/>
              <w:bottom w:val="single" w:sz="8" w:space="0" w:color="auto"/>
              <w:right w:val="single" w:sz="8" w:space="0" w:color="auto"/>
            </w:tcBorders>
            <w:shd w:val="clear" w:color="auto" w:fill="auto"/>
            <w:noWrap/>
            <w:vAlign w:val="center"/>
            <w:hideMark/>
          </w:tcPr>
          <w:p w14:paraId="2F1B54D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715534F" w14:textId="77777777" w:rsidTr="003627DF">
        <w:trPr>
          <w:trHeight w:val="345"/>
        </w:trPr>
        <w:tc>
          <w:tcPr>
            <w:tcW w:w="4255" w:type="dxa"/>
            <w:tcBorders>
              <w:top w:val="nil"/>
              <w:left w:val="single" w:sz="8" w:space="0" w:color="auto"/>
              <w:bottom w:val="single" w:sz="8" w:space="0" w:color="auto"/>
              <w:right w:val="single" w:sz="8" w:space="0" w:color="auto"/>
            </w:tcBorders>
            <w:shd w:val="clear" w:color="auto" w:fill="auto"/>
            <w:vAlign w:val="center"/>
            <w:hideMark/>
          </w:tcPr>
          <w:p w14:paraId="7A2E800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394" w:type="dxa"/>
            <w:tcBorders>
              <w:top w:val="nil"/>
              <w:left w:val="nil"/>
              <w:bottom w:val="single" w:sz="8" w:space="0" w:color="auto"/>
              <w:right w:val="single" w:sz="8" w:space="0" w:color="auto"/>
            </w:tcBorders>
            <w:shd w:val="clear" w:color="auto" w:fill="auto"/>
            <w:vAlign w:val="center"/>
            <w:hideMark/>
          </w:tcPr>
          <w:p w14:paraId="64F2FFFC"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575" w:type="dxa"/>
            <w:tcBorders>
              <w:top w:val="nil"/>
              <w:left w:val="nil"/>
              <w:bottom w:val="single" w:sz="8" w:space="0" w:color="auto"/>
              <w:right w:val="single" w:sz="8" w:space="0" w:color="auto"/>
            </w:tcBorders>
            <w:shd w:val="clear" w:color="auto" w:fill="auto"/>
            <w:vAlign w:val="center"/>
            <w:hideMark/>
          </w:tcPr>
          <w:p w14:paraId="5953463B"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0</w:t>
            </w:r>
          </w:p>
        </w:tc>
        <w:tc>
          <w:tcPr>
            <w:tcW w:w="1575" w:type="dxa"/>
            <w:tcBorders>
              <w:top w:val="nil"/>
              <w:left w:val="nil"/>
              <w:bottom w:val="single" w:sz="8" w:space="0" w:color="auto"/>
              <w:right w:val="single" w:sz="8" w:space="0" w:color="auto"/>
            </w:tcBorders>
            <w:shd w:val="clear" w:color="auto" w:fill="auto"/>
            <w:vAlign w:val="center"/>
            <w:hideMark/>
          </w:tcPr>
          <w:p w14:paraId="6ABA1D8C"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0</w:t>
            </w:r>
          </w:p>
        </w:tc>
        <w:tc>
          <w:tcPr>
            <w:tcW w:w="1575" w:type="dxa"/>
            <w:tcBorders>
              <w:top w:val="nil"/>
              <w:left w:val="nil"/>
              <w:bottom w:val="single" w:sz="8" w:space="0" w:color="auto"/>
              <w:right w:val="single" w:sz="8" w:space="0" w:color="auto"/>
            </w:tcBorders>
            <w:shd w:val="clear" w:color="auto" w:fill="auto"/>
            <w:vAlign w:val="center"/>
            <w:hideMark/>
          </w:tcPr>
          <w:p w14:paraId="010C7515"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0</w:t>
            </w:r>
          </w:p>
        </w:tc>
        <w:tc>
          <w:tcPr>
            <w:tcW w:w="1557" w:type="dxa"/>
            <w:tcBorders>
              <w:top w:val="nil"/>
              <w:left w:val="nil"/>
              <w:bottom w:val="single" w:sz="8" w:space="0" w:color="auto"/>
              <w:right w:val="single" w:sz="8" w:space="0" w:color="auto"/>
            </w:tcBorders>
            <w:shd w:val="clear" w:color="auto" w:fill="auto"/>
            <w:noWrap/>
            <w:vAlign w:val="center"/>
            <w:hideMark/>
          </w:tcPr>
          <w:p w14:paraId="55F4455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4036909" w14:textId="77777777" w:rsidTr="003627DF">
        <w:trPr>
          <w:trHeight w:val="571"/>
        </w:trPr>
        <w:tc>
          <w:tcPr>
            <w:tcW w:w="4255" w:type="dxa"/>
            <w:tcBorders>
              <w:top w:val="nil"/>
              <w:left w:val="single" w:sz="8" w:space="0" w:color="auto"/>
              <w:bottom w:val="single" w:sz="8" w:space="0" w:color="auto"/>
              <w:right w:val="single" w:sz="8" w:space="0" w:color="auto"/>
            </w:tcBorders>
            <w:shd w:val="clear" w:color="auto" w:fill="auto"/>
            <w:vAlign w:val="center"/>
            <w:hideMark/>
          </w:tcPr>
          <w:p w14:paraId="2829B2D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394" w:type="dxa"/>
            <w:tcBorders>
              <w:top w:val="nil"/>
              <w:left w:val="nil"/>
              <w:bottom w:val="single" w:sz="8" w:space="0" w:color="auto"/>
              <w:right w:val="single" w:sz="8" w:space="0" w:color="auto"/>
            </w:tcBorders>
            <w:shd w:val="clear" w:color="auto" w:fill="auto"/>
            <w:vAlign w:val="center"/>
            <w:hideMark/>
          </w:tcPr>
          <w:p w14:paraId="62BE1A2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c>
          <w:tcPr>
            <w:tcW w:w="1575" w:type="dxa"/>
            <w:tcBorders>
              <w:top w:val="nil"/>
              <w:left w:val="nil"/>
              <w:bottom w:val="single" w:sz="8" w:space="0" w:color="auto"/>
              <w:right w:val="single" w:sz="8" w:space="0" w:color="auto"/>
            </w:tcBorders>
            <w:shd w:val="clear" w:color="auto" w:fill="auto"/>
            <w:vAlign w:val="center"/>
            <w:hideMark/>
          </w:tcPr>
          <w:p w14:paraId="31FEFBC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575" w:type="dxa"/>
            <w:tcBorders>
              <w:top w:val="nil"/>
              <w:left w:val="nil"/>
              <w:bottom w:val="single" w:sz="8" w:space="0" w:color="auto"/>
              <w:right w:val="single" w:sz="8" w:space="0" w:color="auto"/>
            </w:tcBorders>
            <w:shd w:val="clear" w:color="auto" w:fill="auto"/>
            <w:vAlign w:val="center"/>
            <w:hideMark/>
          </w:tcPr>
          <w:p w14:paraId="1E0EBDF1"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575" w:type="dxa"/>
            <w:tcBorders>
              <w:top w:val="nil"/>
              <w:left w:val="nil"/>
              <w:bottom w:val="single" w:sz="8" w:space="0" w:color="auto"/>
              <w:right w:val="single" w:sz="8" w:space="0" w:color="auto"/>
            </w:tcBorders>
            <w:shd w:val="clear" w:color="auto" w:fill="auto"/>
            <w:vAlign w:val="center"/>
            <w:hideMark/>
          </w:tcPr>
          <w:p w14:paraId="3699918E"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557" w:type="dxa"/>
            <w:tcBorders>
              <w:top w:val="nil"/>
              <w:left w:val="nil"/>
              <w:bottom w:val="single" w:sz="8" w:space="0" w:color="auto"/>
              <w:right w:val="single" w:sz="8" w:space="0" w:color="auto"/>
            </w:tcBorders>
            <w:shd w:val="clear" w:color="auto" w:fill="auto"/>
            <w:noWrap/>
            <w:vAlign w:val="center"/>
            <w:hideMark/>
          </w:tcPr>
          <w:p w14:paraId="3C71C79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5ADEEE7" w14:textId="77777777" w:rsidTr="003627DF">
        <w:trPr>
          <w:trHeight w:val="571"/>
        </w:trPr>
        <w:tc>
          <w:tcPr>
            <w:tcW w:w="4255" w:type="dxa"/>
            <w:tcBorders>
              <w:top w:val="nil"/>
              <w:left w:val="single" w:sz="8" w:space="0" w:color="auto"/>
              <w:bottom w:val="single" w:sz="8" w:space="0" w:color="auto"/>
              <w:right w:val="single" w:sz="8" w:space="0" w:color="auto"/>
            </w:tcBorders>
            <w:shd w:val="clear" w:color="auto" w:fill="auto"/>
            <w:vAlign w:val="center"/>
            <w:hideMark/>
          </w:tcPr>
          <w:p w14:paraId="41E17568"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394" w:type="dxa"/>
            <w:tcBorders>
              <w:top w:val="nil"/>
              <w:left w:val="nil"/>
              <w:bottom w:val="single" w:sz="8" w:space="0" w:color="auto"/>
              <w:right w:val="single" w:sz="8" w:space="0" w:color="auto"/>
            </w:tcBorders>
            <w:shd w:val="clear" w:color="auto" w:fill="auto"/>
            <w:vAlign w:val="center"/>
            <w:hideMark/>
          </w:tcPr>
          <w:p w14:paraId="0161E96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c>
          <w:tcPr>
            <w:tcW w:w="1575" w:type="dxa"/>
            <w:tcBorders>
              <w:top w:val="nil"/>
              <w:left w:val="nil"/>
              <w:bottom w:val="single" w:sz="8" w:space="0" w:color="auto"/>
              <w:right w:val="single" w:sz="8" w:space="0" w:color="auto"/>
            </w:tcBorders>
            <w:shd w:val="clear" w:color="auto" w:fill="auto"/>
            <w:vAlign w:val="center"/>
            <w:hideMark/>
          </w:tcPr>
          <w:p w14:paraId="2444E1D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575" w:type="dxa"/>
            <w:tcBorders>
              <w:top w:val="nil"/>
              <w:left w:val="nil"/>
              <w:bottom w:val="single" w:sz="8" w:space="0" w:color="auto"/>
              <w:right w:val="single" w:sz="8" w:space="0" w:color="auto"/>
            </w:tcBorders>
            <w:shd w:val="clear" w:color="auto" w:fill="auto"/>
            <w:vAlign w:val="center"/>
            <w:hideMark/>
          </w:tcPr>
          <w:p w14:paraId="01992737"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575" w:type="dxa"/>
            <w:tcBorders>
              <w:top w:val="nil"/>
              <w:left w:val="nil"/>
              <w:bottom w:val="single" w:sz="8" w:space="0" w:color="auto"/>
              <w:right w:val="single" w:sz="8" w:space="0" w:color="auto"/>
            </w:tcBorders>
            <w:shd w:val="clear" w:color="auto" w:fill="auto"/>
            <w:vAlign w:val="center"/>
            <w:hideMark/>
          </w:tcPr>
          <w:p w14:paraId="6B821EB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557" w:type="dxa"/>
            <w:tcBorders>
              <w:top w:val="nil"/>
              <w:left w:val="nil"/>
              <w:bottom w:val="single" w:sz="8" w:space="0" w:color="auto"/>
              <w:right w:val="single" w:sz="8" w:space="0" w:color="auto"/>
            </w:tcBorders>
            <w:shd w:val="clear" w:color="auto" w:fill="auto"/>
            <w:noWrap/>
            <w:vAlign w:val="center"/>
            <w:hideMark/>
          </w:tcPr>
          <w:p w14:paraId="79E2323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66980E2" w14:textId="77777777" w:rsidTr="003627DF">
        <w:trPr>
          <w:trHeight w:val="292"/>
        </w:trPr>
        <w:tc>
          <w:tcPr>
            <w:tcW w:w="4255" w:type="dxa"/>
            <w:tcBorders>
              <w:top w:val="nil"/>
              <w:left w:val="single" w:sz="8" w:space="0" w:color="auto"/>
              <w:bottom w:val="single" w:sz="8" w:space="0" w:color="auto"/>
              <w:right w:val="single" w:sz="8" w:space="0" w:color="auto"/>
            </w:tcBorders>
            <w:shd w:val="clear" w:color="000000" w:fill="BFBFBF"/>
            <w:vAlign w:val="center"/>
            <w:hideMark/>
          </w:tcPr>
          <w:p w14:paraId="2CB2FC4B"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Dopad na príjmy vyšších územných celkov</w:t>
            </w:r>
          </w:p>
        </w:tc>
        <w:tc>
          <w:tcPr>
            <w:tcW w:w="1394" w:type="dxa"/>
            <w:tcBorders>
              <w:top w:val="nil"/>
              <w:left w:val="nil"/>
              <w:bottom w:val="single" w:sz="8" w:space="0" w:color="auto"/>
              <w:right w:val="single" w:sz="8" w:space="0" w:color="auto"/>
            </w:tcBorders>
            <w:shd w:val="clear" w:color="000000" w:fill="BFBFBF"/>
            <w:vAlign w:val="center"/>
            <w:hideMark/>
          </w:tcPr>
          <w:p w14:paraId="6985A42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xml:space="preserve">                  0     </w:t>
            </w:r>
          </w:p>
        </w:tc>
        <w:tc>
          <w:tcPr>
            <w:tcW w:w="1575" w:type="dxa"/>
            <w:tcBorders>
              <w:top w:val="nil"/>
              <w:left w:val="nil"/>
              <w:bottom w:val="single" w:sz="8" w:space="0" w:color="auto"/>
              <w:right w:val="single" w:sz="8" w:space="0" w:color="auto"/>
            </w:tcBorders>
            <w:shd w:val="clear" w:color="000000" w:fill="BFBFBF"/>
            <w:vAlign w:val="center"/>
            <w:hideMark/>
          </w:tcPr>
          <w:p w14:paraId="46F692D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41 863 000</w:t>
            </w:r>
          </w:p>
        </w:tc>
        <w:tc>
          <w:tcPr>
            <w:tcW w:w="1575" w:type="dxa"/>
            <w:tcBorders>
              <w:top w:val="nil"/>
              <w:left w:val="nil"/>
              <w:bottom w:val="single" w:sz="8" w:space="0" w:color="auto"/>
              <w:right w:val="single" w:sz="8" w:space="0" w:color="auto"/>
            </w:tcBorders>
            <w:shd w:val="clear" w:color="000000" w:fill="BFBFBF"/>
            <w:vAlign w:val="center"/>
            <w:hideMark/>
          </w:tcPr>
          <w:p w14:paraId="7C6CA19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63 675 000</w:t>
            </w:r>
          </w:p>
        </w:tc>
        <w:tc>
          <w:tcPr>
            <w:tcW w:w="1575" w:type="dxa"/>
            <w:tcBorders>
              <w:top w:val="nil"/>
              <w:left w:val="nil"/>
              <w:bottom w:val="single" w:sz="8" w:space="0" w:color="auto"/>
              <w:right w:val="single" w:sz="8" w:space="0" w:color="auto"/>
            </w:tcBorders>
            <w:shd w:val="clear" w:color="000000" w:fill="BFBFBF"/>
            <w:vAlign w:val="center"/>
            <w:hideMark/>
          </w:tcPr>
          <w:p w14:paraId="6E80FDDE"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0"/>
                <w:szCs w:val="20"/>
                <w14:ligatures w14:val="none"/>
              </w:rPr>
              <w:t>67 482 000</w:t>
            </w:r>
          </w:p>
        </w:tc>
        <w:tc>
          <w:tcPr>
            <w:tcW w:w="1557" w:type="dxa"/>
            <w:tcBorders>
              <w:top w:val="nil"/>
              <w:left w:val="nil"/>
              <w:bottom w:val="single" w:sz="8" w:space="0" w:color="auto"/>
              <w:right w:val="single" w:sz="8" w:space="0" w:color="auto"/>
            </w:tcBorders>
            <w:shd w:val="clear" w:color="000000" w:fill="BFBFBF"/>
            <w:noWrap/>
            <w:vAlign w:val="center"/>
            <w:hideMark/>
          </w:tcPr>
          <w:p w14:paraId="659814F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68820B35"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5FF4D76E" w14:textId="77777777" w:rsidR="00AD62CD" w:rsidRPr="00AD62CD" w:rsidRDefault="00AD62CD" w:rsidP="00AD62CD">
      <w:pPr>
        <w:spacing w:after="200" w:line="276" w:lineRule="auto"/>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br w:type="page"/>
      </w:r>
    </w:p>
    <w:p w14:paraId="4EF9755F"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p>
    <w:p w14:paraId="53189241"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p>
    <w:p w14:paraId="70AFB229"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468ECF94"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1F52B3FA"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42CF32A5"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21D6BFF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poznámka</w:t>
            </w:r>
          </w:p>
        </w:tc>
      </w:tr>
      <w:tr w:rsidR="00AD62CD" w:rsidRPr="00AD62CD" w14:paraId="65340EEA"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FBE35BB"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6F204662"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2025</w:t>
            </w:r>
          </w:p>
        </w:tc>
        <w:tc>
          <w:tcPr>
            <w:tcW w:w="1650" w:type="dxa"/>
            <w:tcBorders>
              <w:top w:val="nil"/>
              <w:left w:val="nil"/>
              <w:bottom w:val="single" w:sz="4" w:space="0" w:color="auto"/>
              <w:right w:val="single" w:sz="4" w:space="0" w:color="auto"/>
            </w:tcBorders>
            <w:shd w:val="clear" w:color="auto" w:fill="BFBFBF"/>
          </w:tcPr>
          <w:p w14:paraId="44391CC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2026</w:t>
            </w:r>
          </w:p>
        </w:tc>
        <w:tc>
          <w:tcPr>
            <w:tcW w:w="1540" w:type="dxa"/>
            <w:tcBorders>
              <w:top w:val="nil"/>
              <w:left w:val="nil"/>
              <w:bottom w:val="single" w:sz="4" w:space="0" w:color="auto"/>
              <w:right w:val="single" w:sz="4" w:space="0" w:color="auto"/>
            </w:tcBorders>
            <w:shd w:val="clear" w:color="auto" w:fill="BFBFBF"/>
          </w:tcPr>
          <w:p w14:paraId="5E10FB6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2027</w:t>
            </w:r>
          </w:p>
        </w:tc>
        <w:tc>
          <w:tcPr>
            <w:tcW w:w="1540" w:type="dxa"/>
            <w:tcBorders>
              <w:top w:val="nil"/>
              <w:left w:val="nil"/>
              <w:bottom w:val="single" w:sz="4" w:space="0" w:color="auto"/>
              <w:right w:val="single" w:sz="4" w:space="0" w:color="auto"/>
            </w:tcBorders>
            <w:shd w:val="clear" w:color="auto" w:fill="BFBFBF"/>
          </w:tcPr>
          <w:p w14:paraId="4C891F0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4377C7AD"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6AB342E4" w14:textId="77777777" w:rsidTr="003627DF">
        <w:trPr>
          <w:trHeight w:val="255"/>
        </w:trPr>
        <w:tc>
          <w:tcPr>
            <w:tcW w:w="7070" w:type="dxa"/>
            <w:tcBorders>
              <w:top w:val="nil"/>
              <w:left w:val="single" w:sz="4" w:space="0" w:color="auto"/>
              <w:bottom w:val="single" w:sz="4" w:space="0" w:color="auto"/>
              <w:right w:val="single" w:sz="4" w:space="0" w:color="auto"/>
            </w:tcBorders>
          </w:tcPr>
          <w:p w14:paraId="192D0366"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vAlign w:val="center"/>
          </w:tcPr>
          <w:p w14:paraId="6EE8121B"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580B7C89"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4BB56ECF"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0A68C947"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70FE669B"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p>
        </w:tc>
      </w:tr>
      <w:tr w:rsidR="00AD62CD" w:rsidRPr="00AD62CD" w14:paraId="16BC6671" w14:textId="77777777" w:rsidTr="003627DF">
        <w:trPr>
          <w:trHeight w:val="255"/>
        </w:trPr>
        <w:tc>
          <w:tcPr>
            <w:tcW w:w="7070" w:type="dxa"/>
            <w:tcBorders>
              <w:top w:val="nil"/>
              <w:left w:val="single" w:sz="4" w:space="0" w:color="auto"/>
              <w:bottom w:val="single" w:sz="4" w:space="0" w:color="auto"/>
              <w:right w:val="single" w:sz="4" w:space="0" w:color="auto"/>
            </w:tcBorders>
          </w:tcPr>
          <w:p w14:paraId="7A1A04F5"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533D2CE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6CF17F1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07A5DDB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0137843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49D8A19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7FB2A0FC" w14:textId="77777777" w:rsidTr="003627DF">
        <w:trPr>
          <w:trHeight w:val="255"/>
        </w:trPr>
        <w:tc>
          <w:tcPr>
            <w:tcW w:w="7070" w:type="dxa"/>
            <w:tcBorders>
              <w:top w:val="nil"/>
              <w:left w:val="single" w:sz="4" w:space="0" w:color="auto"/>
              <w:bottom w:val="single" w:sz="4" w:space="0" w:color="auto"/>
              <w:right w:val="single" w:sz="4" w:space="0" w:color="auto"/>
            </w:tcBorders>
          </w:tcPr>
          <w:p w14:paraId="54B2C5A8"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6955983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13BE770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0CE97F6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74C9FBF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03D4399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428B5003" w14:textId="77777777" w:rsidTr="003627DF">
        <w:trPr>
          <w:trHeight w:val="255"/>
        </w:trPr>
        <w:tc>
          <w:tcPr>
            <w:tcW w:w="7070" w:type="dxa"/>
            <w:tcBorders>
              <w:top w:val="nil"/>
              <w:left w:val="single" w:sz="4" w:space="0" w:color="auto"/>
              <w:bottom w:val="single" w:sz="4" w:space="0" w:color="auto"/>
              <w:right w:val="single" w:sz="4" w:space="0" w:color="auto"/>
            </w:tcBorders>
          </w:tcPr>
          <w:p w14:paraId="02D6CDCD"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Tovary a služby (630)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05A1D47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2C60AC6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13C2CDB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335ABC1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3AED741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0C4C8833" w14:textId="77777777" w:rsidTr="003627DF">
        <w:trPr>
          <w:trHeight w:val="255"/>
        </w:trPr>
        <w:tc>
          <w:tcPr>
            <w:tcW w:w="7070" w:type="dxa"/>
            <w:tcBorders>
              <w:top w:val="nil"/>
              <w:left w:val="single" w:sz="4" w:space="0" w:color="auto"/>
              <w:bottom w:val="single" w:sz="4" w:space="0" w:color="auto"/>
              <w:right w:val="single" w:sz="4" w:space="0" w:color="auto"/>
            </w:tcBorders>
          </w:tcPr>
          <w:p w14:paraId="75896757"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Bežné transfery (640)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334E762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6417B89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7D12684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4638492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785C699C"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40681C2C"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6F11D02F"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Splácanie úrokov a ostatné platby súvisiace s </w:t>
            </w:r>
            <w:r w:rsidRPr="00AD62CD">
              <w:rPr>
                <w:rFonts w:ascii="Calibri" w:eastAsia="Calibri" w:hAnsi="Calibri" w:cs="Times New Roman"/>
                <w:kern w:val="0"/>
                <w:sz w:val="22"/>
                <w:szCs w:val="22"/>
                <w14:ligatures w14:val="none"/>
              </w:rPr>
              <w:t xml:space="preserve"> </w:t>
            </w:r>
            <w:r w:rsidRPr="00AD62CD">
              <w:rPr>
                <w:rFonts w:ascii="Times New Roman" w:eastAsia="Times New Roman" w:hAnsi="Times New Roman" w:cs="Times New Roman"/>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196C9C1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76AD633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74C32F2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7EF5022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186045F2"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61DAE4AD" w14:textId="77777777" w:rsidTr="003627DF">
        <w:trPr>
          <w:trHeight w:val="255"/>
        </w:trPr>
        <w:tc>
          <w:tcPr>
            <w:tcW w:w="7070" w:type="dxa"/>
            <w:tcBorders>
              <w:top w:val="nil"/>
              <w:left w:val="single" w:sz="4" w:space="0" w:color="auto"/>
              <w:bottom w:val="single" w:sz="4" w:space="0" w:color="auto"/>
              <w:right w:val="single" w:sz="4" w:space="0" w:color="auto"/>
            </w:tcBorders>
          </w:tcPr>
          <w:p w14:paraId="750D93DB"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vAlign w:val="center"/>
          </w:tcPr>
          <w:p w14:paraId="24EE2A87"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712 800</w:t>
            </w:r>
          </w:p>
        </w:tc>
        <w:tc>
          <w:tcPr>
            <w:tcW w:w="1650" w:type="dxa"/>
            <w:tcBorders>
              <w:top w:val="nil"/>
              <w:left w:val="nil"/>
              <w:bottom w:val="single" w:sz="4" w:space="0" w:color="auto"/>
              <w:right w:val="single" w:sz="4" w:space="0" w:color="auto"/>
            </w:tcBorders>
            <w:vAlign w:val="center"/>
          </w:tcPr>
          <w:p w14:paraId="5FE23B28"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930 600</w:t>
            </w:r>
          </w:p>
        </w:tc>
        <w:tc>
          <w:tcPr>
            <w:tcW w:w="1540" w:type="dxa"/>
            <w:tcBorders>
              <w:top w:val="nil"/>
              <w:left w:val="nil"/>
              <w:bottom w:val="single" w:sz="4" w:space="0" w:color="auto"/>
              <w:right w:val="single" w:sz="4" w:space="0" w:color="auto"/>
            </w:tcBorders>
            <w:vAlign w:val="center"/>
          </w:tcPr>
          <w:p w14:paraId="05045DA1"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138892C7"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797392FD"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p>
        </w:tc>
      </w:tr>
      <w:tr w:rsidR="00AD62CD" w:rsidRPr="00AD62CD" w14:paraId="3A32C0C8" w14:textId="77777777" w:rsidTr="003627DF">
        <w:trPr>
          <w:trHeight w:val="255"/>
        </w:trPr>
        <w:tc>
          <w:tcPr>
            <w:tcW w:w="7070" w:type="dxa"/>
            <w:tcBorders>
              <w:top w:val="nil"/>
              <w:left w:val="single" w:sz="4" w:space="0" w:color="auto"/>
              <w:bottom w:val="single" w:sz="4" w:space="0" w:color="auto"/>
              <w:right w:val="single" w:sz="4" w:space="0" w:color="auto"/>
            </w:tcBorders>
          </w:tcPr>
          <w:p w14:paraId="2583A8ED"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Obstarávanie kapitálových aktív (710)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46F44B0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712 800</w:t>
            </w:r>
          </w:p>
        </w:tc>
        <w:tc>
          <w:tcPr>
            <w:tcW w:w="1650" w:type="dxa"/>
            <w:tcBorders>
              <w:top w:val="nil"/>
              <w:left w:val="nil"/>
              <w:bottom w:val="single" w:sz="4" w:space="0" w:color="auto"/>
              <w:right w:val="single" w:sz="4" w:space="0" w:color="auto"/>
            </w:tcBorders>
            <w:vAlign w:val="center"/>
          </w:tcPr>
          <w:p w14:paraId="24EF884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930 600</w:t>
            </w:r>
          </w:p>
        </w:tc>
        <w:tc>
          <w:tcPr>
            <w:tcW w:w="1540" w:type="dxa"/>
            <w:tcBorders>
              <w:top w:val="nil"/>
              <w:left w:val="nil"/>
              <w:bottom w:val="single" w:sz="4" w:space="0" w:color="auto"/>
              <w:right w:val="single" w:sz="4" w:space="0" w:color="auto"/>
            </w:tcBorders>
            <w:vAlign w:val="center"/>
          </w:tcPr>
          <w:p w14:paraId="144C479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4D62407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4D51122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041A6B0E" w14:textId="77777777" w:rsidTr="003627DF">
        <w:trPr>
          <w:trHeight w:val="255"/>
        </w:trPr>
        <w:tc>
          <w:tcPr>
            <w:tcW w:w="7070" w:type="dxa"/>
            <w:tcBorders>
              <w:top w:val="nil"/>
              <w:left w:val="single" w:sz="4" w:space="0" w:color="auto"/>
              <w:bottom w:val="single" w:sz="4" w:space="0" w:color="auto"/>
              <w:right w:val="single" w:sz="4" w:space="0" w:color="auto"/>
            </w:tcBorders>
          </w:tcPr>
          <w:p w14:paraId="481A853C"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14:ligatures w14:val="none"/>
              </w:rPr>
              <w:t>v tom: Rekonštrukcia a modernizácia (718)</w:t>
            </w:r>
          </w:p>
        </w:tc>
        <w:tc>
          <w:tcPr>
            <w:tcW w:w="1430" w:type="dxa"/>
            <w:tcBorders>
              <w:top w:val="nil"/>
              <w:left w:val="nil"/>
              <w:bottom w:val="single" w:sz="4" w:space="0" w:color="auto"/>
              <w:right w:val="single" w:sz="4" w:space="0" w:color="auto"/>
            </w:tcBorders>
            <w:vAlign w:val="center"/>
          </w:tcPr>
          <w:p w14:paraId="3C761AB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712 800</w:t>
            </w:r>
          </w:p>
        </w:tc>
        <w:tc>
          <w:tcPr>
            <w:tcW w:w="1650" w:type="dxa"/>
            <w:tcBorders>
              <w:top w:val="nil"/>
              <w:left w:val="nil"/>
              <w:bottom w:val="single" w:sz="4" w:space="0" w:color="auto"/>
              <w:right w:val="single" w:sz="4" w:space="0" w:color="auto"/>
            </w:tcBorders>
            <w:vAlign w:val="center"/>
          </w:tcPr>
          <w:p w14:paraId="19EB1EF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930 600</w:t>
            </w:r>
          </w:p>
        </w:tc>
        <w:tc>
          <w:tcPr>
            <w:tcW w:w="1540" w:type="dxa"/>
            <w:tcBorders>
              <w:top w:val="nil"/>
              <w:left w:val="nil"/>
              <w:bottom w:val="single" w:sz="4" w:space="0" w:color="auto"/>
              <w:right w:val="single" w:sz="4" w:space="0" w:color="auto"/>
            </w:tcBorders>
            <w:vAlign w:val="center"/>
          </w:tcPr>
          <w:p w14:paraId="6C0EDC3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1122191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64289649"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77C64059" w14:textId="77777777" w:rsidTr="003627DF">
        <w:trPr>
          <w:trHeight w:val="255"/>
        </w:trPr>
        <w:tc>
          <w:tcPr>
            <w:tcW w:w="7070" w:type="dxa"/>
            <w:tcBorders>
              <w:top w:val="nil"/>
              <w:left w:val="single" w:sz="4" w:space="0" w:color="auto"/>
              <w:bottom w:val="single" w:sz="4" w:space="0" w:color="auto"/>
              <w:right w:val="single" w:sz="4" w:space="0" w:color="auto"/>
            </w:tcBorders>
          </w:tcPr>
          <w:p w14:paraId="0489A738"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Kapitálové transfery (720)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2FE0CC7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5E11934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634BE9A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724F83DB"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6F8260B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41C342F" w14:textId="77777777" w:rsidTr="003627DF">
        <w:trPr>
          <w:trHeight w:val="255"/>
        </w:trPr>
        <w:tc>
          <w:tcPr>
            <w:tcW w:w="7070" w:type="dxa"/>
            <w:tcBorders>
              <w:top w:val="nil"/>
              <w:left w:val="single" w:sz="4" w:space="0" w:color="auto"/>
              <w:bottom w:val="single" w:sz="4" w:space="0" w:color="auto"/>
              <w:right w:val="single" w:sz="4" w:space="0" w:color="auto"/>
            </w:tcBorders>
          </w:tcPr>
          <w:p w14:paraId="0B9F82C2"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14:paraId="0167F9AA"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50" w:type="dxa"/>
            <w:tcBorders>
              <w:top w:val="nil"/>
              <w:left w:val="nil"/>
              <w:bottom w:val="single" w:sz="4" w:space="0" w:color="auto"/>
              <w:right w:val="single" w:sz="4" w:space="0" w:color="auto"/>
            </w:tcBorders>
            <w:shd w:val="clear" w:color="auto" w:fill="auto"/>
            <w:vAlign w:val="center"/>
          </w:tcPr>
          <w:p w14:paraId="0CE1902E"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540" w:type="dxa"/>
            <w:tcBorders>
              <w:top w:val="nil"/>
              <w:left w:val="nil"/>
              <w:bottom w:val="single" w:sz="4" w:space="0" w:color="auto"/>
              <w:right w:val="single" w:sz="4" w:space="0" w:color="auto"/>
            </w:tcBorders>
            <w:shd w:val="clear" w:color="auto" w:fill="auto"/>
            <w:vAlign w:val="center"/>
          </w:tcPr>
          <w:p w14:paraId="4464E8A3"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shd w:val="clear" w:color="auto" w:fill="auto"/>
            <w:vAlign w:val="center"/>
          </w:tcPr>
          <w:p w14:paraId="6E3D95D5"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4BAA0204"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145C2E7D"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590ADC05"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vAlign w:val="center"/>
          </w:tcPr>
          <w:p w14:paraId="10A789B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712 800</w:t>
            </w:r>
          </w:p>
        </w:tc>
        <w:tc>
          <w:tcPr>
            <w:tcW w:w="1650" w:type="dxa"/>
            <w:tcBorders>
              <w:top w:val="single" w:sz="4" w:space="0" w:color="auto"/>
              <w:left w:val="nil"/>
              <w:bottom w:val="single" w:sz="4" w:space="0" w:color="auto"/>
              <w:right w:val="single" w:sz="4" w:space="0" w:color="auto"/>
            </w:tcBorders>
            <w:shd w:val="clear" w:color="auto" w:fill="BFBFBF"/>
            <w:vAlign w:val="center"/>
          </w:tcPr>
          <w:p w14:paraId="065A88B9"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930 600</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5A3BDBE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single" w:sz="4" w:space="0" w:color="auto"/>
              <w:left w:val="nil"/>
              <w:bottom w:val="single" w:sz="4" w:space="0" w:color="auto"/>
              <w:right w:val="single" w:sz="4" w:space="0" w:color="auto"/>
            </w:tcBorders>
            <w:shd w:val="clear" w:color="auto" w:fill="BFBFBF"/>
            <w:vAlign w:val="center"/>
          </w:tcPr>
          <w:p w14:paraId="456F02D5"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4ECC72C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bl>
    <w:p w14:paraId="2F701DFE"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2 –  výdavky rozpísať až do položiek platnej ekonomickej klasifikácie</w:t>
      </w:r>
    </w:p>
    <w:p w14:paraId="7B3B7608"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Cs w:val="20"/>
          <w:lang w:eastAsia="sk-SK"/>
          <w14:ligatures w14:val="none"/>
        </w:rPr>
      </w:pPr>
    </w:p>
    <w:p w14:paraId="332C0C2A"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Cs w:val="20"/>
          <w:lang w:eastAsia="sk-SK"/>
          <w14:ligatures w14:val="none"/>
        </w:rPr>
        <w:t xml:space="preserve">  Poznámka:</w:t>
      </w:r>
    </w:p>
    <w:p w14:paraId="3BDB7974"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Cs w:val="20"/>
          <w:lang w:eastAsia="sk-SK"/>
          <w14:ligatures w14:val="none"/>
        </w:rPr>
        <w:t xml:space="preserve">  Ak sa vplyv týka viacerých subjektov verejnej správy, vypĺňa sa samostatná tabuľka za každý subjekt.</w:t>
      </w:r>
    </w:p>
    <w:p w14:paraId="6DCF3AF1"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sectPr w:rsidR="00AD62CD" w:rsidRPr="00AD62CD" w:rsidSect="0099636A">
          <w:pgSz w:w="16838" w:h="11906" w:orient="landscape"/>
          <w:pgMar w:top="1417" w:right="1417" w:bottom="1417" w:left="1276" w:header="708" w:footer="708" w:gutter="0"/>
          <w:cols w:space="708"/>
          <w:docGrid w:linePitch="360"/>
        </w:sectPr>
      </w:pPr>
    </w:p>
    <w:p w14:paraId="42152DA8"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Analýza vplyvov na rozpočet verejnej správy,</w:t>
      </w:r>
    </w:p>
    <w:p w14:paraId="4185547B"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 xml:space="preserve">na zamestnanosť vo verejnej správe a financovanie návrhu </w:t>
      </w:r>
      <w:r w:rsidRPr="00AD62CD">
        <w:rPr>
          <w:rFonts w:ascii="Times New Roman" w:eastAsia="Times New Roman" w:hAnsi="Times New Roman" w:cs="Times New Roman"/>
          <w:b/>
          <w:bCs/>
          <w:kern w:val="0"/>
          <w:sz w:val="28"/>
          <w:szCs w:val="28"/>
          <w:lang w:eastAsia="sk-SK"/>
          <w14:ligatures w14:val="none"/>
        </w:rPr>
        <w:br/>
        <w:t>(Zákon o dani z poistenia)</w:t>
      </w:r>
    </w:p>
    <w:p w14:paraId="3306D358"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p>
    <w:p w14:paraId="27E69696"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 Zhrnutie vplyvov na rozpočet verejnej správy v návrhu</w:t>
      </w:r>
    </w:p>
    <w:p w14:paraId="542BB42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D62CD" w:rsidRPr="00AD62CD" w14:paraId="5E477D8B" w14:textId="77777777" w:rsidTr="00AD62CD">
        <w:trPr>
          <w:cantSplit/>
          <w:trHeight w:val="194"/>
          <w:jc w:val="center"/>
        </w:trPr>
        <w:tc>
          <w:tcPr>
            <w:tcW w:w="4498" w:type="dxa"/>
            <w:vMerge w:val="restart"/>
            <w:shd w:val="clear" w:color="auto" w:fill="BFBFBF"/>
            <w:vAlign w:val="center"/>
          </w:tcPr>
          <w:p w14:paraId="2BAA6CAC"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Vplyvy na rozpočet verejnej správy</w:t>
            </w:r>
          </w:p>
        </w:tc>
        <w:tc>
          <w:tcPr>
            <w:tcW w:w="5523" w:type="dxa"/>
            <w:gridSpan w:val="4"/>
            <w:shd w:val="clear" w:color="auto" w:fill="BFBFBF"/>
            <w:vAlign w:val="center"/>
          </w:tcPr>
          <w:p w14:paraId="4417C0AD"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 na rozpočet verejnej správy (v eurách)</w:t>
            </w:r>
          </w:p>
        </w:tc>
      </w:tr>
      <w:tr w:rsidR="00AD62CD" w:rsidRPr="00AD62CD" w14:paraId="1316ECCC" w14:textId="77777777" w:rsidTr="00AD62CD">
        <w:trPr>
          <w:cantSplit/>
          <w:trHeight w:val="70"/>
          <w:jc w:val="center"/>
        </w:trPr>
        <w:tc>
          <w:tcPr>
            <w:tcW w:w="4498" w:type="dxa"/>
            <w:vMerge/>
            <w:vAlign w:val="center"/>
          </w:tcPr>
          <w:p w14:paraId="77A82F6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026" w:type="dxa"/>
            <w:tcBorders>
              <w:top w:val="nil"/>
              <w:left w:val="nil"/>
              <w:bottom w:val="single" w:sz="8" w:space="0" w:color="auto"/>
              <w:right w:val="single" w:sz="8" w:space="0" w:color="auto"/>
            </w:tcBorders>
            <w:shd w:val="clear" w:color="auto" w:fill="BFBFBF"/>
            <w:vAlign w:val="center"/>
          </w:tcPr>
          <w:p w14:paraId="0A2EC667"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559" w:type="dxa"/>
            <w:tcBorders>
              <w:top w:val="nil"/>
              <w:left w:val="nil"/>
              <w:bottom w:val="single" w:sz="8" w:space="0" w:color="auto"/>
              <w:right w:val="single" w:sz="8" w:space="0" w:color="auto"/>
            </w:tcBorders>
            <w:shd w:val="clear" w:color="auto" w:fill="BFBFBF"/>
            <w:vAlign w:val="center"/>
          </w:tcPr>
          <w:p w14:paraId="3F7E2460"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417" w:type="dxa"/>
            <w:tcBorders>
              <w:top w:val="nil"/>
              <w:left w:val="nil"/>
              <w:bottom w:val="single" w:sz="8" w:space="0" w:color="auto"/>
              <w:right w:val="single" w:sz="8" w:space="0" w:color="auto"/>
            </w:tcBorders>
            <w:shd w:val="clear" w:color="auto" w:fill="BFBFBF"/>
            <w:vAlign w:val="center"/>
          </w:tcPr>
          <w:p w14:paraId="6546513D"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521" w:type="dxa"/>
            <w:tcBorders>
              <w:top w:val="nil"/>
              <w:left w:val="nil"/>
              <w:bottom w:val="single" w:sz="8" w:space="0" w:color="auto"/>
              <w:right w:val="single" w:sz="8" w:space="0" w:color="auto"/>
            </w:tcBorders>
            <w:shd w:val="clear" w:color="auto" w:fill="BFBFBF"/>
            <w:vAlign w:val="center"/>
          </w:tcPr>
          <w:p w14:paraId="55A76D3F"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r>
      <w:tr w:rsidR="00AD62CD" w:rsidRPr="00AD62CD" w14:paraId="5D1FD881"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7186F89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tcPr>
          <w:p w14:paraId="61FBB8A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single" w:sz="8" w:space="0" w:color="auto"/>
              <w:left w:val="nil"/>
              <w:bottom w:val="single" w:sz="8" w:space="0" w:color="auto"/>
              <w:right w:val="single" w:sz="8" w:space="0" w:color="auto"/>
            </w:tcBorders>
            <w:shd w:val="clear" w:color="auto" w:fill="C0C0C0"/>
            <w:vAlign w:val="center"/>
          </w:tcPr>
          <w:p w14:paraId="10E8E6E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27 130 000</w:t>
            </w:r>
          </w:p>
        </w:tc>
        <w:tc>
          <w:tcPr>
            <w:tcW w:w="1417" w:type="dxa"/>
            <w:tcBorders>
              <w:top w:val="single" w:sz="8" w:space="0" w:color="auto"/>
              <w:left w:val="nil"/>
              <w:bottom w:val="single" w:sz="8" w:space="0" w:color="auto"/>
              <w:right w:val="single" w:sz="8" w:space="0" w:color="auto"/>
            </w:tcBorders>
            <w:shd w:val="clear" w:color="auto" w:fill="C0C0C0"/>
            <w:vAlign w:val="center"/>
          </w:tcPr>
          <w:p w14:paraId="51EF9AF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32 288 000</w:t>
            </w:r>
          </w:p>
        </w:tc>
        <w:tc>
          <w:tcPr>
            <w:tcW w:w="1521" w:type="dxa"/>
            <w:tcBorders>
              <w:top w:val="single" w:sz="8" w:space="0" w:color="auto"/>
              <w:left w:val="nil"/>
              <w:bottom w:val="single" w:sz="8" w:space="0" w:color="auto"/>
              <w:right w:val="single" w:sz="8" w:space="0" w:color="auto"/>
            </w:tcBorders>
            <w:shd w:val="clear" w:color="auto" w:fill="C0C0C0"/>
            <w:vAlign w:val="center"/>
          </w:tcPr>
          <w:p w14:paraId="7017D3A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33 658 000</w:t>
            </w:r>
          </w:p>
        </w:tc>
      </w:tr>
      <w:tr w:rsidR="00AD62CD" w:rsidRPr="00AD62CD" w14:paraId="1B2A4AE9"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9C1AC19"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14:paraId="05F40FC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559" w:type="dxa"/>
            <w:tcBorders>
              <w:top w:val="nil"/>
              <w:left w:val="nil"/>
              <w:bottom w:val="single" w:sz="8" w:space="0" w:color="auto"/>
              <w:right w:val="single" w:sz="8" w:space="0" w:color="auto"/>
            </w:tcBorders>
            <w:shd w:val="clear" w:color="auto" w:fill="auto"/>
            <w:noWrap/>
          </w:tcPr>
          <w:p w14:paraId="7F0D1C54"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417" w:type="dxa"/>
            <w:tcBorders>
              <w:top w:val="nil"/>
              <w:left w:val="nil"/>
              <w:bottom w:val="single" w:sz="8" w:space="0" w:color="auto"/>
              <w:right w:val="single" w:sz="8" w:space="0" w:color="auto"/>
            </w:tcBorders>
            <w:shd w:val="clear" w:color="auto" w:fill="auto"/>
            <w:noWrap/>
          </w:tcPr>
          <w:p w14:paraId="3504ABB7"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521" w:type="dxa"/>
            <w:tcBorders>
              <w:top w:val="nil"/>
              <w:left w:val="nil"/>
              <w:bottom w:val="single" w:sz="8" w:space="0" w:color="auto"/>
              <w:right w:val="single" w:sz="8" w:space="0" w:color="auto"/>
            </w:tcBorders>
            <w:shd w:val="clear" w:color="auto" w:fill="auto"/>
            <w:noWrap/>
          </w:tcPr>
          <w:p w14:paraId="0F3C663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r>
      <w:tr w:rsidR="00AD62CD" w:rsidRPr="00AD62CD" w14:paraId="0CE4E637"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0889AF2"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single" w:sz="8" w:space="0" w:color="auto"/>
              <w:bottom w:val="single" w:sz="8" w:space="0" w:color="auto"/>
              <w:right w:val="single" w:sz="8" w:space="0" w:color="auto"/>
            </w:tcBorders>
            <w:shd w:val="clear" w:color="auto" w:fill="auto"/>
            <w:noWrap/>
          </w:tcPr>
          <w:p w14:paraId="53AD08A2"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30311D13"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27 130 000</w:t>
            </w:r>
          </w:p>
        </w:tc>
        <w:tc>
          <w:tcPr>
            <w:tcW w:w="1417" w:type="dxa"/>
            <w:tcBorders>
              <w:top w:val="nil"/>
              <w:left w:val="nil"/>
              <w:bottom w:val="single" w:sz="8" w:space="0" w:color="auto"/>
              <w:right w:val="single" w:sz="8" w:space="0" w:color="auto"/>
            </w:tcBorders>
            <w:shd w:val="clear" w:color="auto" w:fill="auto"/>
            <w:noWrap/>
            <w:vAlign w:val="center"/>
          </w:tcPr>
          <w:p w14:paraId="67351CCB"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32 288 000</w:t>
            </w:r>
          </w:p>
        </w:tc>
        <w:tc>
          <w:tcPr>
            <w:tcW w:w="1521" w:type="dxa"/>
            <w:tcBorders>
              <w:top w:val="nil"/>
              <w:left w:val="nil"/>
              <w:bottom w:val="single" w:sz="8" w:space="0" w:color="auto"/>
              <w:right w:val="single" w:sz="8" w:space="0" w:color="auto"/>
            </w:tcBorders>
            <w:shd w:val="clear" w:color="auto" w:fill="auto"/>
            <w:noWrap/>
            <w:vAlign w:val="center"/>
          </w:tcPr>
          <w:p w14:paraId="7B9E8F1B"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33 658 000</w:t>
            </w:r>
          </w:p>
        </w:tc>
      </w:tr>
      <w:tr w:rsidR="00AD62CD" w:rsidRPr="00AD62CD" w14:paraId="3A1CEC6A" w14:textId="77777777" w:rsidTr="003627DF">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4607292"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4318136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0DADDB8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color w:val="000000"/>
                <w:kern w:val="0"/>
                <w:sz w:val="22"/>
                <w:szCs w:val="22"/>
                <w14:ligatures w14:val="none"/>
              </w:rPr>
              <w:t>27 130 000</w:t>
            </w:r>
          </w:p>
        </w:tc>
        <w:tc>
          <w:tcPr>
            <w:tcW w:w="1417" w:type="dxa"/>
            <w:tcBorders>
              <w:top w:val="nil"/>
              <w:left w:val="nil"/>
              <w:bottom w:val="single" w:sz="8" w:space="0" w:color="auto"/>
              <w:right w:val="single" w:sz="8" w:space="0" w:color="auto"/>
            </w:tcBorders>
            <w:shd w:val="clear" w:color="auto" w:fill="auto"/>
            <w:noWrap/>
            <w:vAlign w:val="center"/>
          </w:tcPr>
          <w:p w14:paraId="61CC3E02"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color w:val="000000"/>
                <w:kern w:val="0"/>
                <w:sz w:val="22"/>
                <w:szCs w:val="22"/>
                <w14:ligatures w14:val="none"/>
              </w:rPr>
              <w:t>32 288 000</w:t>
            </w:r>
          </w:p>
        </w:tc>
        <w:tc>
          <w:tcPr>
            <w:tcW w:w="1521" w:type="dxa"/>
            <w:tcBorders>
              <w:top w:val="nil"/>
              <w:left w:val="nil"/>
              <w:bottom w:val="single" w:sz="8" w:space="0" w:color="auto"/>
              <w:right w:val="single" w:sz="8" w:space="0" w:color="auto"/>
            </w:tcBorders>
            <w:shd w:val="clear" w:color="auto" w:fill="auto"/>
            <w:noWrap/>
            <w:vAlign w:val="center"/>
          </w:tcPr>
          <w:p w14:paraId="7373BCBF"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color w:val="000000"/>
                <w:kern w:val="0"/>
                <w:sz w:val="22"/>
                <w:szCs w:val="22"/>
                <w14:ligatures w14:val="none"/>
              </w:rPr>
              <w:t>33 658 000</w:t>
            </w:r>
          </w:p>
        </w:tc>
      </w:tr>
      <w:tr w:rsidR="00AD62CD" w:rsidRPr="00AD62CD" w14:paraId="2AA57DF0"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2A67042"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kern w:val="0"/>
                <w:sz w:val="22"/>
                <w:szCs w:val="22"/>
                <w14:ligatures w14:val="none"/>
              </w:rPr>
              <w:t>v tom: (139004) daň z poistenia</w:t>
            </w:r>
          </w:p>
        </w:tc>
        <w:tc>
          <w:tcPr>
            <w:tcW w:w="1026" w:type="dxa"/>
            <w:tcBorders>
              <w:top w:val="nil"/>
              <w:left w:val="nil"/>
              <w:bottom w:val="single" w:sz="8" w:space="0" w:color="auto"/>
              <w:right w:val="single" w:sz="8" w:space="0" w:color="auto"/>
            </w:tcBorders>
            <w:shd w:val="clear" w:color="auto" w:fill="auto"/>
            <w:noWrap/>
            <w:vAlign w:val="center"/>
          </w:tcPr>
          <w:p w14:paraId="462D4DF9"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color w:val="000000"/>
                <w:kern w:val="0"/>
                <w:sz w:val="22"/>
                <w:szCs w:val="22"/>
                <w14:ligatures w14:val="none"/>
              </w:rPr>
              <w:t> </w:t>
            </w:r>
          </w:p>
        </w:tc>
        <w:tc>
          <w:tcPr>
            <w:tcW w:w="1559" w:type="dxa"/>
            <w:tcBorders>
              <w:top w:val="nil"/>
              <w:left w:val="nil"/>
              <w:bottom w:val="single" w:sz="8" w:space="0" w:color="auto"/>
              <w:right w:val="single" w:sz="8" w:space="0" w:color="auto"/>
            </w:tcBorders>
            <w:shd w:val="clear" w:color="auto" w:fill="auto"/>
            <w:noWrap/>
            <w:vAlign w:val="center"/>
          </w:tcPr>
          <w:p w14:paraId="53151390"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i/>
                <w:iCs/>
                <w:color w:val="000000"/>
                <w:kern w:val="0"/>
                <w:sz w:val="22"/>
                <w:szCs w:val="22"/>
                <w14:ligatures w14:val="none"/>
              </w:rPr>
              <w:t>27 130 000</w:t>
            </w:r>
          </w:p>
        </w:tc>
        <w:tc>
          <w:tcPr>
            <w:tcW w:w="1417" w:type="dxa"/>
            <w:tcBorders>
              <w:top w:val="nil"/>
              <w:left w:val="nil"/>
              <w:bottom w:val="single" w:sz="8" w:space="0" w:color="auto"/>
              <w:right w:val="single" w:sz="8" w:space="0" w:color="auto"/>
            </w:tcBorders>
            <w:shd w:val="clear" w:color="auto" w:fill="auto"/>
            <w:noWrap/>
            <w:vAlign w:val="center"/>
          </w:tcPr>
          <w:p w14:paraId="6A9C5E71"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i/>
                <w:iCs/>
                <w:color w:val="000000"/>
                <w:kern w:val="0"/>
                <w:sz w:val="22"/>
                <w:szCs w:val="22"/>
                <w14:ligatures w14:val="none"/>
              </w:rPr>
              <w:t>32 288 000</w:t>
            </w:r>
          </w:p>
        </w:tc>
        <w:tc>
          <w:tcPr>
            <w:tcW w:w="1521" w:type="dxa"/>
            <w:tcBorders>
              <w:top w:val="nil"/>
              <w:left w:val="nil"/>
              <w:bottom w:val="single" w:sz="8" w:space="0" w:color="auto"/>
              <w:right w:val="single" w:sz="8" w:space="0" w:color="auto"/>
            </w:tcBorders>
            <w:shd w:val="clear" w:color="auto" w:fill="auto"/>
            <w:noWrap/>
            <w:vAlign w:val="center"/>
          </w:tcPr>
          <w:p w14:paraId="0BDFFACF"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i/>
                <w:iCs/>
                <w:color w:val="000000"/>
                <w:kern w:val="0"/>
                <w:sz w:val="22"/>
                <w:szCs w:val="22"/>
                <w14:ligatures w14:val="none"/>
              </w:rPr>
              <w:t>33 658 000</w:t>
            </w:r>
          </w:p>
        </w:tc>
      </w:tr>
      <w:tr w:rsidR="00AD62CD" w:rsidRPr="00AD62CD" w14:paraId="02C388E3"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9DD3682"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EÚ zdroje</w:t>
            </w:r>
          </w:p>
        </w:tc>
        <w:tc>
          <w:tcPr>
            <w:tcW w:w="1026" w:type="dxa"/>
            <w:tcBorders>
              <w:top w:val="nil"/>
              <w:left w:val="nil"/>
              <w:bottom w:val="single" w:sz="8" w:space="0" w:color="auto"/>
              <w:right w:val="single" w:sz="8" w:space="0" w:color="auto"/>
            </w:tcBorders>
            <w:shd w:val="clear" w:color="auto" w:fill="auto"/>
            <w:noWrap/>
          </w:tcPr>
          <w:p w14:paraId="2680D64C"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37A9D682"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09971C36"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521F513"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2EDC8B85"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2671BAC"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689D5998"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7831154"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7A3CC00B"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7A06202"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DC9390D"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DE127E9"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21C4F122"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B6376E0"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1D43AD4"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5E1AD7B"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59C8BEB3"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B9E7ABE"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49D7AEC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257F2E2"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330DC0F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1B076C2"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37555938"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0548CB26"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Výdavky verejnej správy celkom</w:t>
            </w:r>
          </w:p>
        </w:tc>
        <w:tc>
          <w:tcPr>
            <w:tcW w:w="1026" w:type="dxa"/>
            <w:tcBorders>
              <w:top w:val="nil"/>
              <w:left w:val="nil"/>
              <w:bottom w:val="single" w:sz="8" w:space="0" w:color="auto"/>
              <w:right w:val="single" w:sz="8" w:space="0" w:color="auto"/>
            </w:tcBorders>
            <w:shd w:val="clear" w:color="auto" w:fill="C0C0C0"/>
            <w:noWrap/>
          </w:tcPr>
          <w:p w14:paraId="54A6166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187 330</w:t>
            </w:r>
          </w:p>
        </w:tc>
        <w:tc>
          <w:tcPr>
            <w:tcW w:w="1559" w:type="dxa"/>
            <w:tcBorders>
              <w:top w:val="nil"/>
              <w:left w:val="nil"/>
              <w:bottom w:val="single" w:sz="8" w:space="0" w:color="auto"/>
              <w:right w:val="single" w:sz="8" w:space="0" w:color="auto"/>
            </w:tcBorders>
            <w:shd w:val="clear" w:color="auto" w:fill="C0C0C0"/>
            <w:noWrap/>
            <w:vAlign w:val="center"/>
          </w:tcPr>
          <w:p w14:paraId="02B6E7C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918 000</w:t>
            </w:r>
          </w:p>
        </w:tc>
        <w:tc>
          <w:tcPr>
            <w:tcW w:w="1417" w:type="dxa"/>
            <w:tcBorders>
              <w:top w:val="nil"/>
              <w:left w:val="nil"/>
              <w:bottom w:val="single" w:sz="8" w:space="0" w:color="auto"/>
              <w:right w:val="single" w:sz="8" w:space="0" w:color="auto"/>
            </w:tcBorders>
            <w:shd w:val="clear" w:color="auto" w:fill="C0C0C0"/>
            <w:noWrap/>
            <w:vAlign w:val="center"/>
          </w:tcPr>
          <w:p w14:paraId="3DE5ABA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1 095 000</w:t>
            </w:r>
          </w:p>
        </w:tc>
        <w:tc>
          <w:tcPr>
            <w:tcW w:w="1521" w:type="dxa"/>
            <w:tcBorders>
              <w:top w:val="nil"/>
              <w:left w:val="nil"/>
              <w:bottom w:val="single" w:sz="8" w:space="0" w:color="auto"/>
              <w:right w:val="single" w:sz="8" w:space="0" w:color="auto"/>
            </w:tcBorders>
            <w:shd w:val="clear" w:color="auto" w:fill="C0C0C0"/>
            <w:noWrap/>
            <w:vAlign w:val="center"/>
          </w:tcPr>
          <w:p w14:paraId="2EF63B8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1 143 000</w:t>
            </w:r>
          </w:p>
        </w:tc>
      </w:tr>
      <w:tr w:rsidR="00AD62CD" w:rsidRPr="00AD62CD" w14:paraId="74884FC0"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04C8A44" w14:textId="77777777" w:rsidR="00AD62CD" w:rsidRPr="00AD62CD" w:rsidRDefault="00AD62CD" w:rsidP="00AD62CD">
            <w:pPr>
              <w:spacing w:after="0" w:line="276"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v tom: kapitola MF SR/</w:t>
            </w:r>
          </w:p>
          <w:p w14:paraId="73613322"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0EK 0D Informačné technológie financované zo ŠR – MF SR (org. MF SR - úrad, FR SR)</w:t>
            </w:r>
          </w:p>
        </w:tc>
        <w:tc>
          <w:tcPr>
            <w:tcW w:w="1026" w:type="dxa"/>
            <w:tcBorders>
              <w:top w:val="nil"/>
              <w:left w:val="nil"/>
              <w:bottom w:val="single" w:sz="8" w:space="0" w:color="auto"/>
              <w:right w:val="single" w:sz="8" w:space="0" w:color="auto"/>
            </w:tcBorders>
            <w:shd w:val="clear" w:color="auto" w:fill="auto"/>
            <w:noWrap/>
          </w:tcPr>
          <w:p w14:paraId="72F396C9"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tcPr>
          <w:p w14:paraId="05EC8B8B"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417" w:type="dxa"/>
            <w:tcBorders>
              <w:top w:val="nil"/>
              <w:left w:val="nil"/>
              <w:bottom w:val="single" w:sz="8" w:space="0" w:color="auto"/>
              <w:right w:val="single" w:sz="8" w:space="0" w:color="auto"/>
            </w:tcBorders>
            <w:shd w:val="clear" w:color="auto" w:fill="auto"/>
            <w:noWrap/>
          </w:tcPr>
          <w:p w14:paraId="5EB203F9"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521" w:type="dxa"/>
            <w:tcBorders>
              <w:top w:val="nil"/>
              <w:left w:val="nil"/>
              <w:bottom w:val="single" w:sz="8" w:space="0" w:color="auto"/>
              <w:right w:val="single" w:sz="8" w:space="0" w:color="auto"/>
            </w:tcBorders>
            <w:shd w:val="clear" w:color="auto" w:fill="auto"/>
            <w:noWrap/>
          </w:tcPr>
          <w:p w14:paraId="6E4F554D"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r>
      <w:tr w:rsidR="00AD62CD" w:rsidRPr="00AD62CD" w14:paraId="45F77162"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C685E6E"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0EK0D0Q</w:t>
            </w:r>
          </w:p>
        </w:tc>
        <w:tc>
          <w:tcPr>
            <w:tcW w:w="1026" w:type="dxa"/>
            <w:tcBorders>
              <w:top w:val="nil"/>
              <w:left w:val="nil"/>
              <w:bottom w:val="single" w:sz="8" w:space="0" w:color="auto"/>
              <w:right w:val="single" w:sz="8" w:space="0" w:color="auto"/>
            </w:tcBorders>
            <w:shd w:val="clear" w:color="auto" w:fill="auto"/>
            <w:noWrap/>
          </w:tcPr>
          <w:p w14:paraId="3AFB682B"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33 000</w:t>
            </w:r>
          </w:p>
        </w:tc>
        <w:tc>
          <w:tcPr>
            <w:tcW w:w="1559" w:type="dxa"/>
            <w:tcBorders>
              <w:top w:val="nil"/>
              <w:left w:val="nil"/>
              <w:bottom w:val="single" w:sz="8" w:space="0" w:color="auto"/>
              <w:right w:val="single" w:sz="8" w:space="0" w:color="auto"/>
            </w:tcBorders>
            <w:shd w:val="clear" w:color="auto" w:fill="auto"/>
            <w:noWrap/>
          </w:tcPr>
          <w:p w14:paraId="59D81B07"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291BA7A"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BABB97B"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0F046518"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0C5A44D"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0EK0D14</w:t>
            </w:r>
          </w:p>
        </w:tc>
        <w:tc>
          <w:tcPr>
            <w:tcW w:w="1026" w:type="dxa"/>
            <w:tcBorders>
              <w:top w:val="nil"/>
              <w:left w:val="nil"/>
              <w:bottom w:val="single" w:sz="8" w:space="0" w:color="auto"/>
              <w:right w:val="single" w:sz="8" w:space="0" w:color="auto"/>
            </w:tcBorders>
            <w:shd w:val="clear" w:color="auto" w:fill="auto"/>
            <w:noWrap/>
          </w:tcPr>
          <w:p w14:paraId="793D06CB"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118 800</w:t>
            </w:r>
          </w:p>
        </w:tc>
        <w:tc>
          <w:tcPr>
            <w:tcW w:w="1559" w:type="dxa"/>
            <w:tcBorders>
              <w:top w:val="nil"/>
              <w:left w:val="nil"/>
              <w:bottom w:val="single" w:sz="8" w:space="0" w:color="auto"/>
              <w:right w:val="single" w:sz="8" w:space="0" w:color="auto"/>
            </w:tcBorders>
            <w:shd w:val="clear" w:color="auto" w:fill="auto"/>
            <w:noWrap/>
          </w:tcPr>
          <w:p w14:paraId="353A9E5F"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4DA6979"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A0CFAF4"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1A36B3FA"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6A70643"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0EK0D1L</w:t>
            </w:r>
          </w:p>
        </w:tc>
        <w:tc>
          <w:tcPr>
            <w:tcW w:w="1026" w:type="dxa"/>
            <w:tcBorders>
              <w:top w:val="nil"/>
              <w:left w:val="nil"/>
              <w:bottom w:val="single" w:sz="8" w:space="0" w:color="auto"/>
              <w:right w:val="single" w:sz="8" w:space="0" w:color="auto"/>
            </w:tcBorders>
            <w:shd w:val="clear" w:color="auto" w:fill="auto"/>
            <w:noWrap/>
          </w:tcPr>
          <w:p w14:paraId="40A80930"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330</w:t>
            </w:r>
          </w:p>
        </w:tc>
        <w:tc>
          <w:tcPr>
            <w:tcW w:w="1559" w:type="dxa"/>
            <w:tcBorders>
              <w:top w:val="nil"/>
              <w:left w:val="nil"/>
              <w:bottom w:val="single" w:sz="8" w:space="0" w:color="auto"/>
              <w:right w:val="single" w:sz="8" w:space="0" w:color="auto"/>
            </w:tcBorders>
            <w:shd w:val="clear" w:color="auto" w:fill="auto"/>
            <w:noWrap/>
          </w:tcPr>
          <w:p w14:paraId="09754FE8"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7487261C"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FCDEE2A"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6EBF5DC3"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FA334E5"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0EK0D19</w:t>
            </w:r>
          </w:p>
        </w:tc>
        <w:tc>
          <w:tcPr>
            <w:tcW w:w="1026" w:type="dxa"/>
            <w:tcBorders>
              <w:top w:val="nil"/>
              <w:left w:val="nil"/>
              <w:bottom w:val="single" w:sz="8" w:space="0" w:color="auto"/>
              <w:right w:val="single" w:sz="8" w:space="0" w:color="auto"/>
            </w:tcBorders>
            <w:shd w:val="clear" w:color="auto" w:fill="auto"/>
            <w:noWrap/>
          </w:tcPr>
          <w:p w14:paraId="7330FC12"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35 200</w:t>
            </w:r>
          </w:p>
        </w:tc>
        <w:tc>
          <w:tcPr>
            <w:tcW w:w="1559" w:type="dxa"/>
            <w:tcBorders>
              <w:top w:val="nil"/>
              <w:left w:val="nil"/>
              <w:bottom w:val="single" w:sz="8" w:space="0" w:color="auto"/>
              <w:right w:val="single" w:sz="8" w:space="0" w:color="auto"/>
            </w:tcBorders>
            <w:shd w:val="clear" w:color="auto" w:fill="auto"/>
            <w:noWrap/>
          </w:tcPr>
          <w:p w14:paraId="3943384C"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2D39BE4"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B106353"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7B6C16A2"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E7CF05C"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tcPr>
          <w:p w14:paraId="5A1DD04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c>
          <w:tcPr>
            <w:tcW w:w="1559" w:type="dxa"/>
            <w:tcBorders>
              <w:top w:val="nil"/>
              <w:left w:val="nil"/>
              <w:bottom w:val="single" w:sz="8" w:space="0" w:color="auto"/>
              <w:right w:val="single" w:sz="8" w:space="0" w:color="auto"/>
            </w:tcBorders>
            <w:shd w:val="clear" w:color="auto" w:fill="auto"/>
            <w:noWrap/>
          </w:tcPr>
          <w:p w14:paraId="44CB882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c>
          <w:tcPr>
            <w:tcW w:w="1417" w:type="dxa"/>
            <w:tcBorders>
              <w:top w:val="nil"/>
              <w:left w:val="nil"/>
              <w:bottom w:val="single" w:sz="8" w:space="0" w:color="auto"/>
              <w:right w:val="single" w:sz="8" w:space="0" w:color="auto"/>
            </w:tcBorders>
            <w:shd w:val="clear" w:color="auto" w:fill="auto"/>
            <w:noWrap/>
          </w:tcPr>
          <w:p w14:paraId="4F3457D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c>
          <w:tcPr>
            <w:tcW w:w="1521" w:type="dxa"/>
            <w:tcBorders>
              <w:top w:val="nil"/>
              <w:left w:val="nil"/>
              <w:bottom w:val="single" w:sz="8" w:space="0" w:color="auto"/>
              <w:right w:val="single" w:sz="8" w:space="0" w:color="auto"/>
            </w:tcBorders>
            <w:shd w:val="clear" w:color="auto" w:fill="auto"/>
            <w:noWrap/>
          </w:tcPr>
          <w:p w14:paraId="261B2BC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r>
      <w:tr w:rsidR="00AD62CD" w:rsidRPr="00AD62CD" w14:paraId="67B7A103"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CAD49C5"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1EF413C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187 330</w:t>
            </w:r>
          </w:p>
        </w:tc>
        <w:tc>
          <w:tcPr>
            <w:tcW w:w="1559" w:type="dxa"/>
            <w:tcBorders>
              <w:top w:val="nil"/>
              <w:left w:val="nil"/>
              <w:bottom w:val="single" w:sz="8" w:space="0" w:color="auto"/>
              <w:right w:val="single" w:sz="8" w:space="0" w:color="auto"/>
            </w:tcBorders>
            <w:shd w:val="clear" w:color="auto" w:fill="auto"/>
            <w:noWrap/>
            <w:vAlign w:val="center"/>
          </w:tcPr>
          <w:p w14:paraId="14A6E9C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152 000</w:t>
            </w:r>
          </w:p>
        </w:tc>
        <w:tc>
          <w:tcPr>
            <w:tcW w:w="1417" w:type="dxa"/>
            <w:tcBorders>
              <w:top w:val="nil"/>
              <w:left w:val="nil"/>
              <w:bottom w:val="single" w:sz="8" w:space="0" w:color="auto"/>
              <w:right w:val="single" w:sz="8" w:space="0" w:color="auto"/>
            </w:tcBorders>
            <w:shd w:val="clear" w:color="auto" w:fill="auto"/>
            <w:noWrap/>
            <w:vAlign w:val="center"/>
          </w:tcPr>
          <w:p w14:paraId="6263F54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204 000</w:t>
            </w:r>
          </w:p>
        </w:tc>
        <w:tc>
          <w:tcPr>
            <w:tcW w:w="1521" w:type="dxa"/>
            <w:tcBorders>
              <w:top w:val="nil"/>
              <w:left w:val="nil"/>
              <w:bottom w:val="single" w:sz="8" w:space="0" w:color="auto"/>
              <w:right w:val="single" w:sz="8" w:space="0" w:color="auto"/>
            </w:tcBorders>
            <w:shd w:val="clear" w:color="auto" w:fill="auto"/>
            <w:noWrap/>
            <w:vAlign w:val="center"/>
          </w:tcPr>
          <w:p w14:paraId="2FC65BA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213 000</w:t>
            </w:r>
          </w:p>
        </w:tc>
      </w:tr>
      <w:tr w:rsidR="00AD62CD" w:rsidRPr="00AD62CD" w14:paraId="70DA39D9"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AA8CD87"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Rozpočtové prostriedky</w:t>
            </w:r>
          </w:p>
        </w:tc>
        <w:tc>
          <w:tcPr>
            <w:tcW w:w="1026" w:type="dxa"/>
            <w:tcBorders>
              <w:top w:val="nil"/>
              <w:left w:val="nil"/>
              <w:bottom w:val="single" w:sz="8" w:space="0" w:color="auto"/>
              <w:right w:val="single" w:sz="8" w:space="0" w:color="auto"/>
            </w:tcBorders>
            <w:shd w:val="clear" w:color="auto" w:fill="auto"/>
            <w:noWrap/>
          </w:tcPr>
          <w:p w14:paraId="08E17AEE"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187 330</w:t>
            </w:r>
          </w:p>
        </w:tc>
        <w:tc>
          <w:tcPr>
            <w:tcW w:w="1559" w:type="dxa"/>
            <w:tcBorders>
              <w:top w:val="nil"/>
              <w:left w:val="nil"/>
              <w:bottom w:val="single" w:sz="8" w:space="0" w:color="auto"/>
              <w:right w:val="single" w:sz="8" w:space="0" w:color="auto"/>
            </w:tcBorders>
            <w:shd w:val="clear" w:color="auto" w:fill="auto"/>
            <w:noWrap/>
            <w:vAlign w:val="center"/>
          </w:tcPr>
          <w:p w14:paraId="4D35A97E"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152 000</w:t>
            </w:r>
          </w:p>
        </w:tc>
        <w:tc>
          <w:tcPr>
            <w:tcW w:w="1417" w:type="dxa"/>
            <w:tcBorders>
              <w:top w:val="nil"/>
              <w:left w:val="nil"/>
              <w:bottom w:val="single" w:sz="8" w:space="0" w:color="auto"/>
              <w:right w:val="single" w:sz="8" w:space="0" w:color="auto"/>
            </w:tcBorders>
            <w:shd w:val="clear" w:color="auto" w:fill="auto"/>
            <w:noWrap/>
            <w:vAlign w:val="center"/>
          </w:tcPr>
          <w:p w14:paraId="1EB426FC"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204 000</w:t>
            </w:r>
          </w:p>
        </w:tc>
        <w:tc>
          <w:tcPr>
            <w:tcW w:w="1521" w:type="dxa"/>
            <w:tcBorders>
              <w:top w:val="nil"/>
              <w:left w:val="nil"/>
              <w:bottom w:val="single" w:sz="8" w:space="0" w:color="auto"/>
              <w:right w:val="single" w:sz="8" w:space="0" w:color="auto"/>
            </w:tcBorders>
            <w:shd w:val="clear" w:color="auto" w:fill="auto"/>
            <w:noWrap/>
            <w:vAlign w:val="center"/>
          </w:tcPr>
          <w:p w14:paraId="00484DB8"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213 000</w:t>
            </w:r>
          </w:p>
        </w:tc>
      </w:tr>
      <w:tr w:rsidR="00AD62CD" w:rsidRPr="00AD62CD" w14:paraId="1A1A244A"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EEA27E6"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7809AAB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25E67084"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304 000</w:t>
            </w:r>
          </w:p>
        </w:tc>
        <w:tc>
          <w:tcPr>
            <w:tcW w:w="1417" w:type="dxa"/>
            <w:tcBorders>
              <w:top w:val="nil"/>
              <w:left w:val="nil"/>
              <w:bottom w:val="single" w:sz="8" w:space="0" w:color="auto"/>
              <w:right w:val="single" w:sz="8" w:space="0" w:color="auto"/>
            </w:tcBorders>
            <w:shd w:val="clear" w:color="auto" w:fill="auto"/>
            <w:noWrap/>
            <w:vAlign w:val="center"/>
          </w:tcPr>
          <w:p w14:paraId="1477498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355 000</w:t>
            </w:r>
          </w:p>
        </w:tc>
        <w:tc>
          <w:tcPr>
            <w:tcW w:w="1521" w:type="dxa"/>
            <w:tcBorders>
              <w:top w:val="nil"/>
              <w:left w:val="nil"/>
              <w:bottom w:val="single" w:sz="8" w:space="0" w:color="auto"/>
              <w:right w:val="single" w:sz="8" w:space="0" w:color="auto"/>
            </w:tcBorders>
            <w:shd w:val="clear" w:color="auto" w:fill="auto"/>
            <w:noWrap/>
            <w:vAlign w:val="center"/>
          </w:tcPr>
          <w:p w14:paraId="3F4D78A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371 000</w:t>
            </w:r>
          </w:p>
        </w:tc>
      </w:tr>
      <w:tr w:rsidR="00AD62CD" w:rsidRPr="00AD62CD" w14:paraId="0A0D0F9D"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7EEF642"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256A37D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76ED024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72 000</w:t>
            </w:r>
          </w:p>
        </w:tc>
        <w:tc>
          <w:tcPr>
            <w:tcW w:w="1417" w:type="dxa"/>
            <w:tcBorders>
              <w:top w:val="nil"/>
              <w:left w:val="nil"/>
              <w:bottom w:val="single" w:sz="8" w:space="0" w:color="auto"/>
              <w:right w:val="single" w:sz="8" w:space="0" w:color="auto"/>
            </w:tcBorders>
            <w:shd w:val="clear" w:color="auto" w:fill="auto"/>
            <w:noWrap/>
            <w:vAlign w:val="center"/>
          </w:tcPr>
          <w:p w14:paraId="7D7E43F2"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83 000</w:t>
            </w:r>
          </w:p>
        </w:tc>
        <w:tc>
          <w:tcPr>
            <w:tcW w:w="1521" w:type="dxa"/>
            <w:tcBorders>
              <w:top w:val="nil"/>
              <w:left w:val="nil"/>
              <w:bottom w:val="single" w:sz="8" w:space="0" w:color="auto"/>
              <w:right w:val="single" w:sz="8" w:space="0" w:color="auto"/>
            </w:tcBorders>
            <w:shd w:val="clear" w:color="auto" w:fill="auto"/>
            <w:noWrap/>
            <w:vAlign w:val="center"/>
          </w:tcPr>
          <w:p w14:paraId="7001A46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87 000</w:t>
            </w:r>
          </w:p>
        </w:tc>
      </w:tr>
      <w:tr w:rsidR="00AD62CD" w:rsidRPr="00AD62CD" w14:paraId="0502EE65"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21CA7D1"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105ED61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2148100B"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390 000</w:t>
            </w:r>
          </w:p>
        </w:tc>
        <w:tc>
          <w:tcPr>
            <w:tcW w:w="1417" w:type="dxa"/>
            <w:tcBorders>
              <w:top w:val="nil"/>
              <w:left w:val="nil"/>
              <w:bottom w:val="single" w:sz="8" w:space="0" w:color="auto"/>
              <w:right w:val="single" w:sz="8" w:space="0" w:color="auto"/>
            </w:tcBorders>
            <w:shd w:val="clear" w:color="auto" w:fill="auto"/>
            <w:noWrap/>
            <w:vAlign w:val="center"/>
          </w:tcPr>
          <w:p w14:paraId="649C27BF"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453 000</w:t>
            </w:r>
          </w:p>
        </w:tc>
        <w:tc>
          <w:tcPr>
            <w:tcW w:w="1521" w:type="dxa"/>
            <w:tcBorders>
              <w:top w:val="nil"/>
              <w:left w:val="nil"/>
              <w:bottom w:val="single" w:sz="8" w:space="0" w:color="auto"/>
              <w:right w:val="single" w:sz="8" w:space="0" w:color="auto"/>
            </w:tcBorders>
            <w:shd w:val="clear" w:color="auto" w:fill="auto"/>
            <w:noWrap/>
            <w:vAlign w:val="center"/>
          </w:tcPr>
          <w:p w14:paraId="55ADBB9A"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472 000</w:t>
            </w:r>
          </w:p>
        </w:tc>
      </w:tr>
      <w:tr w:rsidR="00AD62CD" w:rsidRPr="00AD62CD" w14:paraId="58F74C2C"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5C805E4C"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Vplyv na počet zamestnancov </w:t>
            </w:r>
          </w:p>
        </w:tc>
        <w:tc>
          <w:tcPr>
            <w:tcW w:w="1026" w:type="dxa"/>
            <w:tcBorders>
              <w:top w:val="nil"/>
              <w:left w:val="nil"/>
              <w:bottom w:val="single" w:sz="8" w:space="0" w:color="auto"/>
              <w:right w:val="single" w:sz="8" w:space="0" w:color="auto"/>
            </w:tcBorders>
            <w:shd w:val="clear" w:color="auto" w:fill="BFBFBF"/>
            <w:noWrap/>
          </w:tcPr>
          <w:p w14:paraId="43AE7FF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1871332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49C5218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2AA3621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2E8A1F3D"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2320DD3"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7549295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2C32E8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4DD58C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1AA45CD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DF331A5"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3DD220F"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5570441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EF0C10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052A1CD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BA1EC4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06C4C853"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5C46175"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59DB892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5629EAE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126315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13F5C4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60DC23FB"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645BD2B"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7C76EA1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900766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1CA869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19AF5F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4506988"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785D4732"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Vplyv na mzdové výdavky</w:t>
            </w:r>
          </w:p>
        </w:tc>
        <w:tc>
          <w:tcPr>
            <w:tcW w:w="1026" w:type="dxa"/>
            <w:tcBorders>
              <w:top w:val="nil"/>
              <w:left w:val="nil"/>
              <w:bottom w:val="single" w:sz="8" w:space="0" w:color="auto"/>
              <w:right w:val="single" w:sz="8" w:space="0" w:color="auto"/>
            </w:tcBorders>
            <w:shd w:val="clear" w:color="auto" w:fill="BFBFBF"/>
            <w:noWrap/>
          </w:tcPr>
          <w:p w14:paraId="2D81426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52DD18F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0714D59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4552CB5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11C7802E"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BED4977"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092849E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69A6E2B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4254D6E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4BC64EB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675381F5"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D8D1E2F"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19CBB0C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364911D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C3D44C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4583AB6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32CB0B6A"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9AD714B"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5DE0033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5E74A6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451F8A2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603972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23F4B203"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2819D3A"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31798AF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ED612B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15987AD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15ACDF0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3DF96127"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7D5DE5D8"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Financovanie zabezpečené v rozpočte</w:t>
            </w:r>
          </w:p>
        </w:tc>
        <w:tc>
          <w:tcPr>
            <w:tcW w:w="1026" w:type="dxa"/>
            <w:tcBorders>
              <w:top w:val="nil"/>
              <w:left w:val="nil"/>
              <w:bottom w:val="single" w:sz="8" w:space="0" w:color="auto"/>
              <w:right w:val="single" w:sz="8" w:space="0" w:color="auto"/>
            </w:tcBorders>
            <w:shd w:val="clear" w:color="auto" w:fill="C0C0C0"/>
            <w:noWrap/>
            <w:vAlign w:val="center"/>
          </w:tcPr>
          <w:p w14:paraId="1647779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187 330</w:t>
            </w:r>
          </w:p>
        </w:tc>
        <w:tc>
          <w:tcPr>
            <w:tcW w:w="1559" w:type="dxa"/>
            <w:tcBorders>
              <w:top w:val="nil"/>
              <w:left w:val="nil"/>
              <w:bottom w:val="single" w:sz="8" w:space="0" w:color="auto"/>
              <w:right w:val="single" w:sz="8" w:space="0" w:color="auto"/>
            </w:tcBorders>
            <w:shd w:val="clear" w:color="auto" w:fill="C0C0C0"/>
            <w:noWrap/>
            <w:vAlign w:val="center"/>
          </w:tcPr>
          <w:p w14:paraId="4EC4D4D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152 000</w:t>
            </w:r>
          </w:p>
        </w:tc>
        <w:tc>
          <w:tcPr>
            <w:tcW w:w="1417" w:type="dxa"/>
            <w:tcBorders>
              <w:top w:val="nil"/>
              <w:left w:val="nil"/>
              <w:bottom w:val="single" w:sz="8" w:space="0" w:color="auto"/>
              <w:right w:val="single" w:sz="8" w:space="0" w:color="auto"/>
            </w:tcBorders>
            <w:shd w:val="clear" w:color="auto" w:fill="C0C0C0"/>
            <w:noWrap/>
            <w:vAlign w:val="center"/>
          </w:tcPr>
          <w:p w14:paraId="70254FC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204 000</w:t>
            </w:r>
          </w:p>
        </w:tc>
        <w:tc>
          <w:tcPr>
            <w:tcW w:w="1521" w:type="dxa"/>
            <w:tcBorders>
              <w:top w:val="nil"/>
              <w:left w:val="nil"/>
              <w:bottom w:val="single" w:sz="8" w:space="0" w:color="auto"/>
              <w:right w:val="single" w:sz="8" w:space="0" w:color="auto"/>
            </w:tcBorders>
            <w:shd w:val="clear" w:color="auto" w:fill="C0C0C0"/>
            <w:noWrap/>
            <w:vAlign w:val="center"/>
          </w:tcPr>
          <w:p w14:paraId="6271ACA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213 000</w:t>
            </w:r>
          </w:p>
        </w:tc>
      </w:tr>
      <w:tr w:rsidR="00AD62CD" w:rsidRPr="00AD62CD" w14:paraId="4AEA1A63"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2310F0E2"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Iné ako rozpočtové zdroje</w:t>
            </w:r>
          </w:p>
        </w:tc>
        <w:tc>
          <w:tcPr>
            <w:tcW w:w="1026" w:type="dxa"/>
            <w:tcBorders>
              <w:top w:val="nil"/>
              <w:left w:val="nil"/>
              <w:bottom w:val="single" w:sz="8" w:space="0" w:color="auto"/>
              <w:right w:val="single" w:sz="8" w:space="0" w:color="auto"/>
            </w:tcBorders>
            <w:shd w:val="clear" w:color="auto" w:fill="BFBFBF"/>
            <w:noWrap/>
          </w:tcPr>
          <w:p w14:paraId="5BF5CE2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7FF306B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29554BB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484645A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1BD15980"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A6A6A6"/>
            <w:noWrap/>
            <w:vAlign w:val="center"/>
          </w:tcPr>
          <w:p w14:paraId="12032D32"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Rozpočtovo nekrytý vplyv / úspora</w:t>
            </w:r>
          </w:p>
        </w:tc>
        <w:tc>
          <w:tcPr>
            <w:tcW w:w="1026" w:type="dxa"/>
            <w:tcBorders>
              <w:top w:val="nil"/>
              <w:left w:val="nil"/>
              <w:bottom w:val="single" w:sz="8" w:space="0" w:color="auto"/>
              <w:right w:val="single" w:sz="8" w:space="0" w:color="auto"/>
            </w:tcBorders>
            <w:shd w:val="clear" w:color="auto" w:fill="A6A6A6"/>
            <w:noWrap/>
            <w:vAlign w:val="center"/>
          </w:tcPr>
          <w:p w14:paraId="1EE999D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6A6A6"/>
            <w:noWrap/>
            <w:vAlign w:val="center"/>
          </w:tcPr>
          <w:p w14:paraId="02C00D0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-26 364 000</w:t>
            </w:r>
          </w:p>
        </w:tc>
        <w:tc>
          <w:tcPr>
            <w:tcW w:w="1417" w:type="dxa"/>
            <w:tcBorders>
              <w:top w:val="nil"/>
              <w:left w:val="nil"/>
              <w:bottom w:val="single" w:sz="8" w:space="0" w:color="auto"/>
              <w:right w:val="single" w:sz="8" w:space="0" w:color="auto"/>
            </w:tcBorders>
            <w:shd w:val="clear" w:color="auto" w:fill="A6A6A6"/>
            <w:noWrap/>
            <w:vAlign w:val="center"/>
          </w:tcPr>
          <w:p w14:paraId="1CBF737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-31 397 000</w:t>
            </w:r>
          </w:p>
        </w:tc>
        <w:tc>
          <w:tcPr>
            <w:tcW w:w="1521" w:type="dxa"/>
            <w:tcBorders>
              <w:top w:val="nil"/>
              <w:left w:val="nil"/>
              <w:bottom w:val="single" w:sz="8" w:space="0" w:color="auto"/>
              <w:right w:val="single" w:sz="8" w:space="0" w:color="auto"/>
            </w:tcBorders>
            <w:shd w:val="clear" w:color="auto" w:fill="A6A6A6"/>
            <w:noWrap/>
            <w:vAlign w:val="center"/>
          </w:tcPr>
          <w:p w14:paraId="77BCA9F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-32 728 000</w:t>
            </w:r>
          </w:p>
        </w:tc>
      </w:tr>
    </w:tbl>
    <w:p w14:paraId="49634536"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p>
    <w:p w14:paraId="00630DED"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2.1.1. Financovanie návrhu - Návrh na riešenie úbytku príjmov alebo zvýšených výdavkov podľa § 33 ods. 1 zákona č. 523/2004 Z. z. o rozpočtových pravidlách verejnej správy:</w:t>
      </w:r>
    </w:p>
    <w:p w14:paraId="7319E063"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bCs/>
          <w:kern w:val="0"/>
          <w14:ligatures w14:val="none"/>
        </w:rPr>
        <w:t xml:space="preserve">Plnenie návrhu zákona je podmienené úpravami informačných systémov Finančného riaditeľstva Slovenskej republiky (ďalej len „FR SR“) v celkovej výške 187 330 eur (kapitálové výdavky, </w:t>
      </w:r>
      <w:r w:rsidRPr="00AD62CD">
        <w:rPr>
          <w:rFonts w:ascii="Times New Roman" w:eastAsia="Times New Roman" w:hAnsi="Times New Roman" w:cs="Times New Roman"/>
          <w:kern w:val="0"/>
          <w:lang w:eastAsia="sk-SK"/>
          <w14:ligatures w14:val="none"/>
        </w:rPr>
        <w:t>kategória 710</w:t>
      </w:r>
      <w:r w:rsidRPr="00AD62CD">
        <w:rPr>
          <w:rFonts w:ascii="Times New Roman" w:eastAsia="Calibri" w:hAnsi="Times New Roman" w:cs="Times New Roman"/>
          <w:bCs/>
          <w:kern w:val="0"/>
          <w14:ligatures w14:val="none"/>
        </w:rPr>
        <w:t>, podprogram 0EK0D – Informačné technológie financované zo štátneho rozpočtu – Ministerstvo financií Slovenskej republiky), a to:</w:t>
      </w:r>
    </w:p>
    <w:p w14:paraId="42C22503"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p>
    <w:p w14:paraId="2D12AD4C"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Integrovaný systém Finančnej správy – správa daní (ISFS-SD)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118 800 eur (2025)</w:t>
      </w:r>
    </w:p>
    <w:p w14:paraId="408F01D8"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DR SCAN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Times New Roman" w:hAnsi="Times New Roman" w:cs="Times New Roman"/>
          <w:kern w:val="0"/>
          <w:lang w:eastAsia="sk-SK"/>
          <w14:ligatures w14:val="none"/>
        </w:rPr>
        <w:t>330</w:t>
      </w:r>
      <w:r w:rsidRPr="00AD62CD">
        <w:rPr>
          <w:rFonts w:ascii="Times New Roman" w:eastAsia="Calibri" w:hAnsi="Times New Roman" w:cs="Times New Roman"/>
          <w:kern w:val="0"/>
          <w14:ligatures w14:val="none"/>
        </w:rPr>
        <w:t xml:space="preserve"> eur ( 2025) </w:t>
      </w:r>
    </w:p>
    <w:p w14:paraId="49468F03"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DATA WAREHOUSE (DWH)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35 200 eur (2025)</w:t>
      </w:r>
    </w:p>
    <w:p w14:paraId="32E9543C"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Portál finančnej správy (PFS) </w:t>
      </w:r>
      <w:r w:rsidRPr="00AD62CD">
        <w:rPr>
          <w:rFonts w:ascii="Times New Roman" w:eastAsia="Calibri" w:hAnsi="Times New Roman" w:cs="Times New Roman"/>
          <w:kern w:val="0"/>
          <w14:ligatures w14:val="none"/>
        </w:rPr>
        <w:tab/>
        <w:t xml:space="preserve">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33 000 eur (2025)</w:t>
      </w:r>
    </w:p>
    <w:p w14:paraId="3C515C16"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p>
    <w:p w14:paraId="18468D1D"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 Popis a charakteristika návrhu</w:t>
      </w:r>
    </w:p>
    <w:p w14:paraId="65A05232"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527E3F00" w14:textId="77777777" w:rsidR="00AD62CD" w:rsidRPr="00AD62CD" w:rsidRDefault="00AD62CD" w:rsidP="00AD62CD">
      <w:pPr>
        <w:spacing w:after="0" w:line="240" w:lineRule="auto"/>
        <w:jc w:val="both"/>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2.2.1. Popis návrhu:</w:t>
      </w:r>
    </w:p>
    <w:p w14:paraId="5043BFFC" w14:textId="77777777" w:rsidR="00AD62CD" w:rsidRPr="00AD62CD" w:rsidRDefault="00AD62CD" w:rsidP="00AD62CD">
      <w:pPr>
        <w:spacing w:after="0" w:line="240" w:lineRule="auto"/>
        <w:jc w:val="both"/>
        <w:rPr>
          <w:rFonts w:ascii="Times New Roman" w:eastAsia="Times New Roman" w:hAnsi="Times New Roman" w:cs="Times New Roman"/>
          <w:b/>
          <w:bCs/>
          <w:kern w:val="0"/>
          <w:lang w:eastAsia="sk-SK"/>
          <w14:ligatures w14:val="none"/>
        </w:rPr>
      </w:pPr>
    </w:p>
    <w:p w14:paraId="52291058" w14:textId="77777777" w:rsidR="00AD62CD" w:rsidRPr="00AD62CD" w:rsidRDefault="00AD62CD" w:rsidP="00AD62CD">
      <w:pPr>
        <w:spacing w:after="0" w:line="240" w:lineRule="auto"/>
        <w:jc w:val="both"/>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Zvýšenie sadzby dane z poistenia z 8 % na 10 %</w:t>
      </w:r>
    </w:p>
    <w:p w14:paraId="0C64EC18" w14:textId="77777777" w:rsidR="00AD62CD" w:rsidRPr="00AD62CD" w:rsidRDefault="00AD62CD" w:rsidP="00AD62CD">
      <w:pPr>
        <w:spacing w:after="0" w:line="240" w:lineRule="auto"/>
        <w:ind w:firstLine="708"/>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Akú problematiku návrh rieši? Kto bude návrh implementovať? Kde sa budú služby poskytovať?</w:t>
      </w:r>
    </w:p>
    <w:p w14:paraId="16C20C52"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2D5F50B9"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S účinnosťou od 1.1.2026 sa zvyšuje sadzba dane z poistenia z 8 % na 10 % z prijatého poistného. Zvýšenie sadzby sa vzťahuje na všetky neživotné poistenia uvedené v prílohe č. 1 k zákonu č. 213/2018 Z. z. o dani z poistenia okrem poistenia zodpovednosti za škodu spôsobenú prevádzkou motorového vozidla (desiaty bod písm. a) v prílohe č. 1.), kde sa sadzba dane z poistenia nemení.</w:t>
      </w:r>
    </w:p>
    <w:p w14:paraId="3CA8A61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2CF9AFBB"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2.2.2. Charakteristika návrhu:</w:t>
      </w:r>
    </w:p>
    <w:p w14:paraId="01D762D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3EF6A32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kern w:val="0"/>
          <w:bdr w:val="single" w:sz="4" w:space="0" w:color="auto"/>
          <w:lang w:eastAsia="sk-SK"/>
          <w14:ligatures w14:val="none"/>
        </w:rPr>
        <w:t xml:space="preserve">  x  </w:t>
      </w:r>
      <w:r w:rsidRPr="00AD62CD">
        <w:rPr>
          <w:rFonts w:ascii="Times New Roman" w:eastAsia="Times New Roman" w:hAnsi="Times New Roman" w:cs="Times New Roman"/>
          <w:b/>
          <w:kern w:val="0"/>
          <w:lang w:eastAsia="sk-SK"/>
          <w14:ligatures w14:val="none"/>
        </w:rPr>
        <w:t xml:space="preserve">  </w:t>
      </w:r>
      <w:r w:rsidRPr="00AD62CD">
        <w:rPr>
          <w:rFonts w:ascii="Times New Roman" w:eastAsia="Times New Roman" w:hAnsi="Times New Roman" w:cs="Times New Roman"/>
          <w:kern w:val="0"/>
          <w:lang w:eastAsia="sk-SK"/>
          <w14:ligatures w14:val="none"/>
        </w:rPr>
        <w:t>zmena sadzby</w:t>
      </w:r>
    </w:p>
    <w:p w14:paraId="16DDBDA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zmena v nároku</w:t>
      </w:r>
    </w:p>
    <w:p w14:paraId="53C0854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nová služba alebo nariadenie (alebo ich zrušenie)</w:t>
      </w:r>
    </w:p>
    <w:p w14:paraId="1BC5F30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kombinovaný návrh</w:t>
      </w:r>
    </w:p>
    <w:p w14:paraId="1409EFA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iné </w:t>
      </w:r>
    </w:p>
    <w:p w14:paraId="5C3C6AE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14DF1750"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4D8E0C49"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bCs/>
          <w:kern w:val="0"/>
          <w:lang w:eastAsia="sk-SK"/>
          <w14:ligatures w14:val="none"/>
        </w:rPr>
        <w:t>2.2.3. Predpoklady vývoja objemu aktivít:</w:t>
      </w:r>
    </w:p>
    <w:p w14:paraId="5D7A3D83"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3596A122" w14:textId="77777777" w:rsidR="00AD62CD" w:rsidRPr="00AD62CD" w:rsidRDefault="00AD62CD" w:rsidP="00AD62CD">
      <w:pPr>
        <w:spacing w:after="0" w:line="240" w:lineRule="auto"/>
        <w:ind w:firstLine="708"/>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Jasne popíšte, v prípade potreby použite nižšie uvedenú tabuľku. Uveďte aj odhady základov daní a/alebo poplatkov, ak sa ich táto zmena týka.</w:t>
      </w:r>
    </w:p>
    <w:p w14:paraId="6EB0675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Tabuľka č. 2 </w:t>
      </w:r>
    </w:p>
    <w:p w14:paraId="0078AA0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302098E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6D96AA23"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2.2.4. Výpočty vplyvov na verejné financie</w:t>
      </w:r>
    </w:p>
    <w:p w14:paraId="4809EC59"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3FBCFCA8"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Times New Roman" w:hAnsi="Times New Roman" w:cs="Times New Roman"/>
          <w:kern w:val="0"/>
          <w:lang w:eastAsia="sk-SK"/>
          <w14:ligatures w14:val="none"/>
        </w:rPr>
        <w:t xml:space="preserve">Pri výpočte vplyvu sa vychádzalo z prognózy výnosu dane z poistenia schválenej Výborom pre daňové prognózy v júni 2025. Pre rok 2026 je vplyv mierne nižší z dôvodu </w:t>
      </w:r>
      <w:r w:rsidRPr="00AD62CD">
        <w:rPr>
          <w:rFonts w:ascii="Times New Roman" w:eastAsia="Calibri" w:hAnsi="Times New Roman" w:cs="Times New Roman"/>
          <w:kern w:val="0"/>
          <w14:ligatures w14:val="none"/>
        </w:rPr>
        <w:t>povinnosti oznámiť výšku poistného najneskôr 10 týždňov pred uplynutím poistného obdobia (§ 800 zákona 40/1964 Zb. Občiansky zákonník).</w:t>
      </w:r>
    </w:p>
    <w:p w14:paraId="50358934"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30DD775E"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r w:rsidRPr="00AD62CD">
        <w:rPr>
          <w:rFonts w:ascii="Times New Roman" w:eastAsia="Calibri" w:hAnsi="Times New Roman" w:cs="Times New Roman"/>
          <w:kern w:val="0"/>
          <w14:ligatures w14:val="none"/>
        </w:rPr>
        <w:t>Zvýšenie sadzby dane z poistenia bude mať vplyv aj na výdavky verejnej správy na poistenie. Tie budú podľa odhadu vyššie o približne 1 mil. eur v každom roku. Vyššie výdavky zahŕňajú aj vyššie výdavky na povinné zmluvné poistenie zodpovednosti za škodu spôsobenú prevádzkou motorového vozidla, z ktorého odvod sa rovnako zvyšuje z 8 % na 10 % (zákon č. 39/2015 Z. z. o poisťovníctve).</w:t>
      </w:r>
    </w:p>
    <w:p w14:paraId="3B392512"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lang w:eastAsia="sk-SK"/>
          <w14:ligatures w14:val="none"/>
        </w:rPr>
      </w:pPr>
    </w:p>
    <w:p w14:paraId="1A4FE7CD"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Times New Roman" w:hAnsi="Times New Roman" w:cs="Times New Roman"/>
          <w:b/>
          <w:bCs/>
          <w:kern w:val="0"/>
          <w:lang w:eastAsia="sk-SK"/>
          <w14:ligatures w14:val="none"/>
        </w:rPr>
        <w:t>Negatívny vplyv na rozpočet:</w:t>
      </w:r>
    </w:p>
    <w:p w14:paraId="067C6929"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6DDAFA85"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MF SR požiadalo FR SR o kvantifikáciu dopadov na informačné systémy finančnej správy, ktoré vyplývajú z návrhu zákona. </w:t>
      </w:r>
    </w:p>
    <w:p w14:paraId="04C9BC1A"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lang w:eastAsia="sk-SK"/>
          <w14:ligatures w14:val="none"/>
        </w:rPr>
      </w:pPr>
    </w:p>
    <w:p w14:paraId="4A41E79E"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Negatívny vplyv na rozpočet verejnej správy súvisí s požiadavkami na nevyhnutné zmeny  systémov finančnej správy.</w:t>
      </w:r>
    </w:p>
    <w:p w14:paraId="5D5F7EC0" w14:textId="77777777" w:rsidR="00AD62CD" w:rsidRPr="00AD62CD" w:rsidRDefault="00AD62CD" w:rsidP="00AD62CD">
      <w:pPr>
        <w:spacing w:after="0" w:line="240" w:lineRule="auto"/>
        <w:ind w:left="67"/>
        <w:jc w:val="both"/>
        <w:rPr>
          <w:rFonts w:ascii="Times New Roman" w:eastAsia="Calibri" w:hAnsi="Times New Roman" w:cs="Times New Roman"/>
          <w:kern w:val="0"/>
          <w14:ligatures w14:val="none"/>
        </w:rPr>
      </w:pPr>
    </w:p>
    <w:p w14:paraId="338E6A3C"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Odhadovaný hrubý finančný dopad na systémy finančnej správy v nadväznosti na tieto zmeny je vo výške </w:t>
      </w:r>
      <w:r w:rsidRPr="00AD62CD">
        <w:rPr>
          <w:rFonts w:ascii="Times New Roman" w:eastAsia="Calibri" w:hAnsi="Times New Roman" w:cs="Times New Roman"/>
          <w:bCs/>
          <w:kern w:val="0"/>
          <w14:ligatures w14:val="none"/>
        </w:rPr>
        <w:t>187 330 eur s DPH</w:t>
      </w:r>
      <w:r w:rsidRPr="00AD62CD">
        <w:rPr>
          <w:rFonts w:ascii="Times New Roman" w:eastAsia="Calibri" w:hAnsi="Times New Roman" w:cs="Times New Roman"/>
          <w:kern w:val="0"/>
          <w14:ligatures w14:val="none"/>
        </w:rPr>
        <w:t>, z toho:</w:t>
      </w:r>
    </w:p>
    <w:p w14:paraId="798E5B82"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655970A7"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Integrovaný systém Finančnej správy – správa daní (ISFS-SD) </w:t>
      </w:r>
      <w:r w:rsidRPr="00AD62CD">
        <w:rPr>
          <w:rFonts w:ascii="Times New Roman" w:eastAsia="Calibri" w:hAnsi="Times New Roman" w:cs="Times New Roman"/>
          <w:kern w:val="0"/>
          <w14:ligatures w14:val="none"/>
        </w:rPr>
        <w:tab/>
        <w:t>118 800 eur</w:t>
      </w:r>
    </w:p>
    <w:p w14:paraId="33439C32"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DR SCAN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330 eur</w:t>
      </w:r>
    </w:p>
    <w:p w14:paraId="43CC08B9"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DATA WAREHOUSE (DWH)</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35 200 eur</w:t>
      </w:r>
    </w:p>
    <w:p w14:paraId="057783E4"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Portál finančnej správy (PFS)</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33 000 eur</w:t>
      </w:r>
    </w:p>
    <w:p w14:paraId="550B7DC5"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34E4D465"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Odhad FR SR je urobený pri súčasnej miere poznania. Skutočnú prácnosť bude možné určiť až vo fáze realizácie príslušnej  požiadavky.</w:t>
      </w:r>
    </w:p>
    <w:p w14:paraId="49B4FAC3"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3F04DD09"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38A08613"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01445EA6"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sectPr w:rsidR="00AD62CD" w:rsidRPr="00AD62CD" w:rsidSect="0099636A">
          <w:pgSz w:w="11906" w:h="16838"/>
          <w:pgMar w:top="1417" w:right="1417" w:bottom="1276" w:left="1417" w:header="708" w:footer="708" w:gutter="0"/>
          <w:cols w:space="708"/>
          <w:docGrid w:linePitch="360"/>
        </w:sectPr>
      </w:pPr>
    </w:p>
    <w:p w14:paraId="36EFAE51" w14:textId="77777777" w:rsidR="00AD62CD" w:rsidRPr="00AD62CD" w:rsidRDefault="00AD62CD" w:rsidP="00AD62CD">
      <w:pPr>
        <w:tabs>
          <w:tab w:val="num" w:pos="1080"/>
        </w:tabs>
        <w:spacing w:after="0" w:line="240" w:lineRule="auto"/>
        <w:jc w:val="center"/>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D62CD" w:rsidRPr="00AD62CD" w14:paraId="3CBF04CB" w14:textId="77777777" w:rsidTr="00AD62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3FF331E"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1058D51A"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 xml:space="preserve">Vplyv na štátny rozpočet </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AF3F9B2"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poznámka</w:t>
            </w:r>
          </w:p>
        </w:tc>
      </w:tr>
      <w:tr w:rsidR="00AD62CD" w:rsidRPr="00AD62CD" w14:paraId="0A4F6075" w14:textId="77777777" w:rsidTr="00AD62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0727C581"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2"/>
                <w:szCs w:val="22"/>
                <w:lang w:eastAsia="sk-SK"/>
                <w14:ligatures w14:val="none"/>
              </w:rPr>
            </w:pPr>
          </w:p>
        </w:tc>
        <w:tc>
          <w:tcPr>
            <w:tcW w:w="1500" w:type="dxa"/>
            <w:tcBorders>
              <w:top w:val="nil"/>
              <w:left w:val="nil"/>
              <w:bottom w:val="single" w:sz="4" w:space="0" w:color="auto"/>
              <w:right w:val="single" w:sz="4" w:space="0" w:color="auto"/>
            </w:tcBorders>
            <w:shd w:val="clear" w:color="auto" w:fill="BFBFBF"/>
          </w:tcPr>
          <w:p w14:paraId="1BD08C9B"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2025</w:t>
            </w:r>
          </w:p>
        </w:tc>
        <w:tc>
          <w:tcPr>
            <w:tcW w:w="1500" w:type="dxa"/>
            <w:tcBorders>
              <w:top w:val="nil"/>
              <w:left w:val="nil"/>
              <w:bottom w:val="single" w:sz="4" w:space="0" w:color="auto"/>
              <w:right w:val="single" w:sz="4" w:space="0" w:color="auto"/>
            </w:tcBorders>
            <w:shd w:val="clear" w:color="auto" w:fill="BFBFBF"/>
          </w:tcPr>
          <w:p w14:paraId="2AAEC644"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2026</w:t>
            </w:r>
          </w:p>
        </w:tc>
        <w:tc>
          <w:tcPr>
            <w:tcW w:w="1500" w:type="dxa"/>
            <w:tcBorders>
              <w:top w:val="nil"/>
              <w:left w:val="nil"/>
              <w:bottom w:val="single" w:sz="4" w:space="0" w:color="auto"/>
              <w:right w:val="single" w:sz="4" w:space="0" w:color="auto"/>
            </w:tcBorders>
            <w:shd w:val="clear" w:color="auto" w:fill="BFBFBF"/>
          </w:tcPr>
          <w:p w14:paraId="0DF8DBC6"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2027</w:t>
            </w:r>
          </w:p>
        </w:tc>
        <w:tc>
          <w:tcPr>
            <w:tcW w:w="1500" w:type="dxa"/>
            <w:tcBorders>
              <w:top w:val="nil"/>
              <w:left w:val="nil"/>
              <w:bottom w:val="single" w:sz="4" w:space="0" w:color="auto"/>
              <w:right w:val="single" w:sz="4" w:space="0" w:color="auto"/>
            </w:tcBorders>
            <w:shd w:val="clear" w:color="auto" w:fill="BFBFBF"/>
          </w:tcPr>
          <w:p w14:paraId="1F13EFD5"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5AE47AFF"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2"/>
                <w:szCs w:val="22"/>
                <w:lang w:eastAsia="sk-SK"/>
                <w14:ligatures w14:val="none"/>
              </w:rPr>
            </w:pPr>
          </w:p>
        </w:tc>
      </w:tr>
      <w:tr w:rsidR="00AD62CD" w:rsidRPr="00AD62CD" w14:paraId="0E2FAAA5" w14:textId="77777777" w:rsidTr="003627DF">
        <w:trPr>
          <w:trHeight w:val="255"/>
        </w:trPr>
        <w:tc>
          <w:tcPr>
            <w:tcW w:w="4950" w:type="dxa"/>
            <w:tcBorders>
              <w:top w:val="nil"/>
              <w:left w:val="single" w:sz="4" w:space="0" w:color="auto"/>
              <w:bottom w:val="single" w:sz="4" w:space="0" w:color="auto"/>
              <w:right w:val="single" w:sz="4" w:space="0" w:color="auto"/>
            </w:tcBorders>
          </w:tcPr>
          <w:p w14:paraId="2234177C" w14:textId="77777777" w:rsidR="00AD62CD" w:rsidRPr="00AD62CD" w:rsidRDefault="00AD62CD" w:rsidP="00AD62CD">
            <w:pPr>
              <w:spacing w:after="0" w:line="240" w:lineRule="auto"/>
              <w:rPr>
                <w:rFonts w:ascii="Times New Roman" w:eastAsia="Times New Roman" w:hAnsi="Times New Roman" w:cs="Times New Roman"/>
                <w:b/>
                <w:bCs/>
                <w:kern w:val="0"/>
                <w:sz w:val="22"/>
                <w:szCs w:val="22"/>
                <w:vertAlign w:val="superscript"/>
                <w:lang w:eastAsia="sk-SK"/>
                <w14:ligatures w14:val="none"/>
              </w:rPr>
            </w:pPr>
            <w:r w:rsidRPr="00AD62CD">
              <w:rPr>
                <w:rFonts w:ascii="Times New Roman" w:eastAsia="Times New Roman" w:hAnsi="Times New Roman" w:cs="Times New Roman"/>
                <w:b/>
                <w:bCs/>
                <w:kern w:val="0"/>
                <w:sz w:val="22"/>
                <w:szCs w:val="22"/>
                <w:lang w:eastAsia="sk-SK"/>
                <w14:ligatures w14:val="none"/>
              </w:rPr>
              <w:t>Daňové príjmy (100)</w:t>
            </w:r>
            <w:r w:rsidRPr="00AD62CD">
              <w:rPr>
                <w:rFonts w:ascii="Times New Roman" w:eastAsia="Times New Roman" w:hAnsi="Times New Roman" w:cs="Times New Roman"/>
                <w:b/>
                <w:bCs/>
                <w:kern w:val="0"/>
                <w:sz w:val="22"/>
                <w:szCs w:val="22"/>
                <w:vertAlign w:val="superscript"/>
                <w:lang w:eastAsia="sk-SK"/>
                <w14:ligatures w14:val="none"/>
              </w:rPr>
              <w:t>1</w:t>
            </w:r>
          </w:p>
        </w:tc>
        <w:tc>
          <w:tcPr>
            <w:tcW w:w="1500" w:type="dxa"/>
            <w:tcBorders>
              <w:top w:val="nil"/>
              <w:left w:val="nil"/>
              <w:bottom w:val="single" w:sz="4" w:space="0" w:color="auto"/>
              <w:right w:val="single" w:sz="4" w:space="0" w:color="auto"/>
            </w:tcBorders>
          </w:tcPr>
          <w:p w14:paraId="4375C59D"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0</w:t>
            </w:r>
          </w:p>
        </w:tc>
        <w:tc>
          <w:tcPr>
            <w:tcW w:w="1500" w:type="dxa"/>
            <w:tcBorders>
              <w:top w:val="nil"/>
              <w:left w:val="nil"/>
              <w:bottom w:val="single" w:sz="4" w:space="0" w:color="auto"/>
              <w:right w:val="single" w:sz="4" w:space="0" w:color="auto"/>
            </w:tcBorders>
          </w:tcPr>
          <w:p w14:paraId="182B0283"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27 130 000</w:t>
            </w:r>
          </w:p>
        </w:tc>
        <w:tc>
          <w:tcPr>
            <w:tcW w:w="1500" w:type="dxa"/>
            <w:tcBorders>
              <w:top w:val="nil"/>
              <w:left w:val="nil"/>
              <w:bottom w:val="single" w:sz="4" w:space="0" w:color="auto"/>
              <w:right w:val="single" w:sz="4" w:space="0" w:color="auto"/>
            </w:tcBorders>
          </w:tcPr>
          <w:p w14:paraId="450C1356"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32 288 000</w:t>
            </w:r>
          </w:p>
        </w:tc>
        <w:tc>
          <w:tcPr>
            <w:tcW w:w="1500" w:type="dxa"/>
            <w:tcBorders>
              <w:top w:val="nil"/>
              <w:left w:val="nil"/>
              <w:bottom w:val="single" w:sz="4" w:space="0" w:color="auto"/>
              <w:right w:val="single" w:sz="4" w:space="0" w:color="auto"/>
            </w:tcBorders>
          </w:tcPr>
          <w:p w14:paraId="7B4EA979"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33 658 000</w:t>
            </w:r>
          </w:p>
        </w:tc>
        <w:tc>
          <w:tcPr>
            <w:tcW w:w="3000" w:type="dxa"/>
            <w:tcBorders>
              <w:top w:val="nil"/>
              <w:left w:val="nil"/>
              <w:bottom w:val="single" w:sz="4" w:space="0" w:color="auto"/>
              <w:right w:val="single" w:sz="4" w:space="0" w:color="auto"/>
            </w:tcBorders>
            <w:noWrap/>
            <w:vAlign w:val="bottom"/>
          </w:tcPr>
          <w:p w14:paraId="13C881FE" w14:textId="77777777" w:rsidR="00AD62CD" w:rsidRPr="00AD62CD" w:rsidRDefault="00AD62CD" w:rsidP="00AD62CD">
            <w:pPr>
              <w:spacing w:after="0" w:line="240" w:lineRule="auto"/>
              <w:rPr>
                <w:rFonts w:ascii="Times New Roman" w:eastAsia="Times New Roman" w:hAnsi="Times New Roman" w:cs="Times New Roman"/>
                <w:kern w:val="0"/>
                <w:sz w:val="22"/>
                <w:szCs w:val="22"/>
                <w:lang w:eastAsia="sk-SK"/>
                <w14:ligatures w14:val="none"/>
              </w:rPr>
            </w:pPr>
            <w:r w:rsidRPr="00AD62CD">
              <w:rPr>
                <w:rFonts w:ascii="Times New Roman" w:eastAsia="Times New Roman" w:hAnsi="Times New Roman" w:cs="Times New Roman"/>
                <w:kern w:val="0"/>
                <w:sz w:val="22"/>
                <w:szCs w:val="22"/>
                <w:lang w:eastAsia="sk-SK"/>
                <w14:ligatures w14:val="none"/>
              </w:rPr>
              <w:t> </w:t>
            </w:r>
          </w:p>
        </w:tc>
      </w:tr>
      <w:tr w:rsidR="00AD62CD" w:rsidRPr="00AD62CD" w14:paraId="0A88C702" w14:textId="77777777" w:rsidTr="003627DF">
        <w:trPr>
          <w:trHeight w:val="255"/>
        </w:trPr>
        <w:tc>
          <w:tcPr>
            <w:tcW w:w="4950" w:type="dxa"/>
            <w:tcBorders>
              <w:top w:val="nil"/>
              <w:left w:val="single" w:sz="4" w:space="0" w:color="auto"/>
              <w:bottom w:val="single" w:sz="4" w:space="0" w:color="auto"/>
              <w:right w:val="single" w:sz="4" w:space="0" w:color="auto"/>
            </w:tcBorders>
          </w:tcPr>
          <w:p w14:paraId="55B2265A" w14:textId="77777777" w:rsidR="00AD62CD" w:rsidRPr="00AD62CD" w:rsidRDefault="00AD62CD" w:rsidP="00AD62CD">
            <w:pPr>
              <w:spacing w:after="0" w:line="240" w:lineRule="auto"/>
              <w:rPr>
                <w:rFonts w:ascii="Times New Roman" w:eastAsia="Times New Roman" w:hAnsi="Times New Roman" w:cs="Times New Roman"/>
                <w:b/>
                <w:bCs/>
                <w:kern w:val="0"/>
                <w:sz w:val="22"/>
                <w:szCs w:val="22"/>
                <w:lang w:eastAsia="sk-SK"/>
                <w14:ligatures w14:val="none"/>
              </w:rPr>
            </w:pPr>
            <w:r w:rsidRPr="00AD62CD">
              <w:rPr>
                <w:rFonts w:ascii="Times New Roman" w:eastAsia="Calibri" w:hAnsi="Times New Roman" w:cs="Times New Roman"/>
                <w:i/>
                <w:iCs/>
                <w:kern w:val="0"/>
                <w:sz w:val="22"/>
                <w:szCs w:val="22"/>
                <w14:ligatures w14:val="none"/>
              </w:rPr>
              <w:t xml:space="preserve">v tom: </w:t>
            </w:r>
            <w:r w:rsidRPr="00AD62CD">
              <w:rPr>
                <w:rFonts w:ascii="Times New Roman" w:eastAsia="Times New Roman" w:hAnsi="Times New Roman" w:cs="Times New Roman"/>
                <w:bCs/>
                <w:i/>
                <w:iCs/>
                <w:kern w:val="0"/>
                <w:sz w:val="22"/>
                <w:szCs w:val="22"/>
                <w:lang w:eastAsia="sk-SK"/>
                <w14:ligatures w14:val="none"/>
              </w:rPr>
              <w:t>(139004) daň z poistenia</w:t>
            </w:r>
          </w:p>
        </w:tc>
        <w:tc>
          <w:tcPr>
            <w:tcW w:w="1500" w:type="dxa"/>
            <w:tcBorders>
              <w:top w:val="nil"/>
              <w:left w:val="nil"/>
              <w:bottom w:val="single" w:sz="4" w:space="0" w:color="auto"/>
              <w:right w:val="single" w:sz="4" w:space="0" w:color="auto"/>
            </w:tcBorders>
          </w:tcPr>
          <w:p w14:paraId="2E761D31" w14:textId="77777777" w:rsidR="00AD62CD" w:rsidRPr="00AD62CD" w:rsidRDefault="00AD62CD" w:rsidP="00AD62CD">
            <w:pPr>
              <w:spacing w:after="0" w:line="240" w:lineRule="auto"/>
              <w:jc w:val="center"/>
              <w:rPr>
                <w:rFonts w:ascii="Times New Roman" w:eastAsia="Times New Roman" w:hAnsi="Times New Roman" w:cs="Times New Roman"/>
                <w:kern w:val="0"/>
                <w:sz w:val="22"/>
                <w:szCs w:val="22"/>
                <w:lang w:eastAsia="sk-SK"/>
                <w14:ligatures w14:val="none"/>
              </w:rPr>
            </w:pPr>
            <w:r w:rsidRPr="00AD62CD">
              <w:rPr>
                <w:rFonts w:ascii="Times New Roman" w:eastAsia="Times New Roman" w:hAnsi="Times New Roman" w:cs="Times New Roman"/>
                <w:kern w:val="0"/>
                <w:sz w:val="22"/>
                <w:szCs w:val="22"/>
                <w:lang w:eastAsia="sk-SK"/>
                <w14:ligatures w14:val="none"/>
              </w:rPr>
              <w:t>0</w:t>
            </w:r>
          </w:p>
        </w:tc>
        <w:tc>
          <w:tcPr>
            <w:tcW w:w="1500" w:type="dxa"/>
            <w:tcBorders>
              <w:top w:val="nil"/>
              <w:left w:val="nil"/>
              <w:bottom w:val="single" w:sz="4" w:space="0" w:color="auto"/>
              <w:right w:val="single" w:sz="4" w:space="0" w:color="auto"/>
            </w:tcBorders>
          </w:tcPr>
          <w:p w14:paraId="044ABA1F" w14:textId="77777777" w:rsidR="00AD62CD" w:rsidRPr="00AD62CD" w:rsidRDefault="00AD62CD" w:rsidP="00AD62CD">
            <w:pPr>
              <w:spacing w:after="0" w:line="240" w:lineRule="auto"/>
              <w:jc w:val="center"/>
              <w:rPr>
                <w:rFonts w:ascii="Times New Roman" w:eastAsia="Times New Roman" w:hAnsi="Times New Roman" w:cs="Times New Roman"/>
                <w:kern w:val="0"/>
                <w:sz w:val="22"/>
                <w:szCs w:val="22"/>
                <w:lang w:eastAsia="sk-SK"/>
                <w14:ligatures w14:val="none"/>
              </w:rPr>
            </w:pPr>
            <w:r w:rsidRPr="00AD62CD">
              <w:rPr>
                <w:rFonts w:ascii="Times New Roman" w:eastAsia="Times New Roman" w:hAnsi="Times New Roman" w:cs="Times New Roman"/>
                <w:kern w:val="0"/>
                <w:sz w:val="22"/>
                <w:szCs w:val="22"/>
                <w:lang w:eastAsia="sk-SK"/>
                <w14:ligatures w14:val="none"/>
              </w:rPr>
              <w:t>27 130 000</w:t>
            </w:r>
          </w:p>
        </w:tc>
        <w:tc>
          <w:tcPr>
            <w:tcW w:w="1500" w:type="dxa"/>
            <w:tcBorders>
              <w:top w:val="nil"/>
              <w:left w:val="nil"/>
              <w:bottom w:val="single" w:sz="4" w:space="0" w:color="auto"/>
              <w:right w:val="single" w:sz="4" w:space="0" w:color="auto"/>
            </w:tcBorders>
          </w:tcPr>
          <w:p w14:paraId="41D2D828" w14:textId="77777777" w:rsidR="00AD62CD" w:rsidRPr="00AD62CD" w:rsidRDefault="00AD62CD" w:rsidP="00AD62CD">
            <w:pPr>
              <w:spacing w:after="0" w:line="240" w:lineRule="auto"/>
              <w:jc w:val="center"/>
              <w:rPr>
                <w:rFonts w:ascii="Times New Roman" w:eastAsia="Times New Roman" w:hAnsi="Times New Roman" w:cs="Times New Roman"/>
                <w:kern w:val="0"/>
                <w:sz w:val="22"/>
                <w:szCs w:val="22"/>
                <w:lang w:eastAsia="sk-SK"/>
                <w14:ligatures w14:val="none"/>
              </w:rPr>
            </w:pPr>
            <w:r w:rsidRPr="00AD62CD">
              <w:rPr>
                <w:rFonts w:ascii="Times New Roman" w:eastAsia="Times New Roman" w:hAnsi="Times New Roman" w:cs="Times New Roman"/>
                <w:kern w:val="0"/>
                <w:sz w:val="22"/>
                <w:szCs w:val="22"/>
                <w:lang w:eastAsia="sk-SK"/>
                <w14:ligatures w14:val="none"/>
              </w:rPr>
              <w:t>32 288 000</w:t>
            </w:r>
          </w:p>
        </w:tc>
        <w:tc>
          <w:tcPr>
            <w:tcW w:w="1500" w:type="dxa"/>
            <w:tcBorders>
              <w:top w:val="nil"/>
              <w:left w:val="nil"/>
              <w:bottom w:val="single" w:sz="4" w:space="0" w:color="auto"/>
              <w:right w:val="single" w:sz="4" w:space="0" w:color="auto"/>
            </w:tcBorders>
          </w:tcPr>
          <w:p w14:paraId="50BB4667" w14:textId="77777777" w:rsidR="00AD62CD" w:rsidRPr="00AD62CD" w:rsidRDefault="00AD62CD" w:rsidP="00AD62CD">
            <w:pPr>
              <w:spacing w:after="0" w:line="240" w:lineRule="auto"/>
              <w:jc w:val="center"/>
              <w:rPr>
                <w:rFonts w:ascii="Times New Roman" w:eastAsia="Times New Roman" w:hAnsi="Times New Roman" w:cs="Times New Roman"/>
                <w:kern w:val="0"/>
                <w:sz w:val="22"/>
                <w:szCs w:val="22"/>
                <w:lang w:eastAsia="sk-SK"/>
                <w14:ligatures w14:val="none"/>
              </w:rPr>
            </w:pPr>
            <w:r w:rsidRPr="00AD62CD">
              <w:rPr>
                <w:rFonts w:ascii="Times New Roman" w:eastAsia="Times New Roman" w:hAnsi="Times New Roman" w:cs="Times New Roman"/>
                <w:kern w:val="0"/>
                <w:sz w:val="22"/>
                <w:szCs w:val="22"/>
                <w:lang w:eastAsia="sk-SK"/>
                <w14:ligatures w14:val="none"/>
              </w:rPr>
              <w:t>33 658 000</w:t>
            </w:r>
          </w:p>
        </w:tc>
        <w:tc>
          <w:tcPr>
            <w:tcW w:w="3000" w:type="dxa"/>
            <w:tcBorders>
              <w:top w:val="nil"/>
              <w:left w:val="nil"/>
              <w:bottom w:val="single" w:sz="4" w:space="0" w:color="auto"/>
              <w:right w:val="single" w:sz="4" w:space="0" w:color="auto"/>
            </w:tcBorders>
            <w:noWrap/>
            <w:vAlign w:val="bottom"/>
          </w:tcPr>
          <w:p w14:paraId="3B88CF62" w14:textId="77777777" w:rsidR="00AD62CD" w:rsidRPr="00AD62CD" w:rsidRDefault="00AD62CD" w:rsidP="00AD62CD">
            <w:pPr>
              <w:spacing w:after="0" w:line="240" w:lineRule="auto"/>
              <w:rPr>
                <w:rFonts w:ascii="Times New Roman" w:eastAsia="Times New Roman" w:hAnsi="Times New Roman" w:cs="Times New Roman"/>
                <w:kern w:val="0"/>
                <w:sz w:val="22"/>
                <w:szCs w:val="22"/>
                <w:lang w:eastAsia="sk-SK"/>
                <w14:ligatures w14:val="none"/>
              </w:rPr>
            </w:pPr>
          </w:p>
        </w:tc>
      </w:tr>
      <w:tr w:rsidR="00AD62CD" w:rsidRPr="00AD62CD" w14:paraId="1270BFD6" w14:textId="77777777" w:rsidTr="003627DF">
        <w:trPr>
          <w:trHeight w:val="255"/>
        </w:trPr>
        <w:tc>
          <w:tcPr>
            <w:tcW w:w="4950" w:type="dxa"/>
            <w:tcBorders>
              <w:top w:val="nil"/>
              <w:left w:val="single" w:sz="4" w:space="0" w:color="auto"/>
              <w:bottom w:val="single" w:sz="4" w:space="0" w:color="auto"/>
              <w:right w:val="single" w:sz="4" w:space="0" w:color="auto"/>
            </w:tcBorders>
          </w:tcPr>
          <w:p w14:paraId="3C475A7D" w14:textId="77777777" w:rsidR="00AD62CD" w:rsidRPr="00AD62CD" w:rsidRDefault="00AD62CD" w:rsidP="00AD62CD">
            <w:pPr>
              <w:spacing w:after="0" w:line="240" w:lineRule="auto"/>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Nedaňové príjmy (200)</w:t>
            </w:r>
            <w:r w:rsidRPr="00AD62CD">
              <w:rPr>
                <w:rFonts w:ascii="Times New Roman" w:eastAsia="Times New Roman" w:hAnsi="Times New Roman" w:cs="Times New Roman"/>
                <w:b/>
                <w:bCs/>
                <w:kern w:val="0"/>
                <w:sz w:val="22"/>
                <w:szCs w:val="22"/>
                <w:vertAlign w:val="superscript"/>
                <w:lang w:eastAsia="sk-SK"/>
                <w14:ligatures w14:val="none"/>
              </w:rPr>
              <w:t>1</w:t>
            </w:r>
          </w:p>
        </w:tc>
        <w:tc>
          <w:tcPr>
            <w:tcW w:w="1500" w:type="dxa"/>
            <w:tcBorders>
              <w:top w:val="nil"/>
              <w:left w:val="nil"/>
              <w:bottom w:val="single" w:sz="4" w:space="0" w:color="auto"/>
              <w:right w:val="single" w:sz="4" w:space="0" w:color="auto"/>
            </w:tcBorders>
          </w:tcPr>
          <w:p w14:paraId="1867412F"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1500" w:type="dxa"/>
            <w:tcBorders>
              <w:top w:val="nil"/>
              <w:left w:val="nil"/>
              <w:bottom w:val="single" w:sz="4" w:space="0" w:color="auto"/>
              <w:right w:val="single" w:sz="4" w:space="0" w:color="auto"/>
            </w:tcBorders>
          </w:tcPr>
          <w:p w14:paraId="4C3C5E66"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1500" w:type="dxa"/>
            <w:tcBorders>
              <w:top w:val="nil"/>
              <w:left w:val="nil"/>
              <w:bottom w:val="single" w:sz="4" w:space="0" w:color="auto"/>
              <w:right w:val="single" w:sz="4" w:space="0" w:color="auto"/>
            </w:tcBorders>
          </w:tcPr>
          <w:p w14:paraId="42FE3CFB"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1500" w:type="dxa"/>
            <w:tcBorders>
              <w:top w:val="nil"/>
              <w:left w:val="nil"/>
              <w:bottom w:val="single" w:sz="4" w:space="0" w:color="auto"/>
              <w:right w:val="single" w:sz="4" w:space="0" w:color="auto"/>
            </w:tcBorders>
          </w:tcPr>
          <w:p w14:paraId="2E763F6D"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3000" w:type="dxa"/>
            <w:tcBorders>
              <w:top w:val="nil"/>
              <w:left w:val="nil"/>
              <w:bottom w:val="single" w:sz="4" w:space="0" w:color="auto"/>
              <w:right w:val="single" w:sz="4" w:space="0" w:color="auto"/>
            </w:tcBorders>
            <w:noWrap/>
            <w:vAlign w:val="bottom"/>
          </w:tcPr>
          <w:p w14:paraId="096C1510" w14:textId="77777777" w:rsidR="00AD62CD" w:rsidRPr="00AD62CD" w:rsidRDefault="00AD62CD" w:rsidP="00AD62CD">
            <w:pPr>
              <w:spacing w:after="0" w:line="240" w:lineRule="auto"/>
              <w:rPr>
                <w:rFonts w:ascii="Times New Roman" w:eastAsia="Times New Roman" w:hAnsi="Times New Roman" w:cs="Times New Roman"/>
                <w:kern w:val="0"/>
                <w:sz w:val="22"/>
                <w:szCs w:val="22"/>
                <w:lang w:eastAsia="sk-SK"/>
                <w14:ligatures w14:val="none"/>
              </w:rPr>
            </w:pPr>
            <w:r w:rsidRPr="00AD62CD">
              <w:rPr>
                <w:rFonts w:ascii="Times New Roman" w:eastAsia="Times New Roman" w:hAnsi="Times New Roman" w:cs="Times New Roman"/>
                <w:kern w:val="0"/>
                <w:sz w:val="22"/>
                <w:szCs w:val="22"/>
                <w:lang w:eastAsia="sk-SK"/>
                <w14:ligatures w14:val="none"/>
              </w:rPr>
              <w:t> </w:t>
            </w:r>
          </w:p>
        </w:tc>
      </w:tr>
      <w:tr w:rsidR="00AD62CD" w:rsidRPr="00AD62CD" w14:paraId="68B2CA00" w14:textId="77777777" w:rsidTr="003627DF">
        <w:trPr>
          <w:trHeight w:val="255"/>
        </w:trPr>
        <w:tc>
          <w:tcPr>
            <w:tcW w:w="4950" w:type="dxa"/>
            <w:tcBorders>
              <w:top w:val="nil"/>
              <w:left w:val="single" w:sz="4" w:space="0" w:color="auto"/>
              <w:bottom w:val="single" w:sz="4" w:space="0" w:color="auto"/>
              <w:right w:val="single" w:sz="4" w:space="0" w:color="auto"/>
            </w:tcBorders>
          </w:tcPr>
          <w:p w14:paraId="0A7C30FD" w14:textId="77777777" w:rsidR="00AD62CD" w:rsidRPr="00AD62CD" w:rsidRDefault="00AD62CD" w:rsidP="00AD62CD">
            <w:pPr>
              <w:spacing w:after="0" w:line="240" w:lineRule="auto"/>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 xml:space="preserve">290 Iné nedaňové príjmy </w:t>
            </w:r>
          </w:p>
          <w:p w14:paraId="59700EE2" w14:textId="77777777" w:rsidR="00AD62CD" w:rsidRPr="00AD62CD" w:rsidRDefault="00AD62CD" w:rsidP="00AD62CD">
            <w:pPr>
              <w:spacing w:after="0" w:line="240" w:lineRule="auto"/>
              <w:rPr>
                <w:rFonts w:ascii="Times New Roman" w:eastAsia="Times New Roman" w:hAnsi="Times New Roman" w:cs="Times New Roman"/>
                <w:bCs/>
                <w:kern w:val="0"/>
                <w:sz w:val="22"/>
                <w:szCs w:val="22"/>
                <w:lang w:eastAsia="sk-SK"/>
                <w14:ligatures w14:val="none"/>
              </w:rPr>
            </w:pPr>
            <w:r w:rsidRPr="00AD62CD">
              <w:rPr>
                <w:rFonts w:ascii="Times New Roman" w:eastAsia="Times New Roman" w:hAnsi="Times New Roman" w:cs="Times New Roman"/>
                <w:bCs/>
                <w:kern w:val="0"/>
                <w:sz w:val="22"/>
                <w:szCs w:val="22"/>
                <w:lang w:eastAsia="sk-SK"/>
                <w14:ligatures w14:val="none"/>
              </w:rPr>
              <w:t>- odvody z hazardných hier</w:t>
            </w:r>
            <w:r w:rsidRPr="00AD62CD">
              <w:rPr>
                <w:rFonts w:ascii="Times New Roman" w:eastAsia="Times New Roman" w:hAnsi="Times New Roman" w:cs="Times New Roman"/>
                <w:bCs/>
                <w:kern w:val="0"/>
                <w:sz w:val="22"/>
                <w:szCs w:val="22"/>
                <w:lang w:eastAsia="sk-SK"/>
                <w14:ligatures w14:val="none"/>
              </w:rPr>
              <w:tab/>
            </w:r>
          </w:p>
        </w:tc>
        <w:tc>
          <w:tcPr>
            <w:tcW w:w="1500" w:type="dxa"/>
            <w:tcBorders>
              <w:top w:val="nil"/>
              <w:left w:val="nil"/>
              <w:bottom w:val="single" w:sz="4" w:space="0" w:color="auto"/>
              <w:right w:val="single" w:sz="4" w:space="0" w:color="auto"/>
            </w:tcBorders>
          </w:tcPr>
          <w:p w14:paraId="3AF7DE0D"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1500" w:type="dxa"/>
            <w:tcBorders>
              <w:top w:val="nil"/>
              <w:left w:val="nil"/>
              <w:bottom w:val="single" w:sz="4" w:space="0" w:color="auto"/>
              <w:right w:val="single" w:sz="4" w:space="0" w:color="auto"/>
            </w:tcBorders>
          </w:tcPr>
          <w:p w14:paraId="520E6C6B"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1500" w:type="dxa"/>
            <w:tcBorders>
              <w:top w:val="nil"/>
              <w:left w:val="nil"/>
              <w:bottom w:val="single" w:sz="4" w:space="0" w:color="auto"/>
              <w:right w:val="single" w:sz="4" w:space="0" w:color="auto"/>
            </w:tcBorders>
          </w:tcPr>
          <w:p w14:paraId="0E621A98"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1500" w:type="dxa"/>
            <w:tcBorders>
              <w:top w:val="nil"/>
              <w:left w:val="nil"/>
              <w:bottom w:val="single" w:sz="4" w:space="0" w:color="auto"/>
              <w:right w:val="single" w:sz="4" w:space="0" w:color="auto"/>
            </w:tcBorders>
          </w:tcPr>
          <w:p w14:paraId="64A2E4E6"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3000" w:type="dxa"/>
            <w:tcBorders>
              <w:top w:val="nil"/>
              <w:left w:val="nil"/>
              <w:bottom w:val="single" w:sz="4" w:space="0" w:color="auto"/>
              <w:right w:val="single" w:sz="4" w:space="0" w:color="auto"/>
            </w:tcBorders>
            <w:noWrap/>
            <w:vAlign w:val="bottom"/>
          </w:tcPr>
          <w:p w14:paraId="583447C9" w14:textId="77777777" w:rsidR="00AD62CD" w:rsidRPr="00AD62CD" w:rsidRDefault="00AD62CD" w:rsidP="00AD62CD">
            <w:pPr>
              <w:spacing w:after="0" w:line="240" w:lineRule="auto"/>
              <w:rPr>
                <w:rFonts w:ascii="Times New Roman" w:eastAsia="Times New Roman" w:hAnsi="Times New Roman" w:cs="Times New Roman"/>
                <w:kern w:val="0"/>
                <w:sz w:val="22"/>
                <w:szCs w:val="22"/>
                <w:lang w:eastAsia="sk-SK"/>
                <w14:ligatures w14:val="none"/>
              </w:rPr>
            </w:pPr>
          </w:p>
        </w:tc>
      </w:tr>
      <w:tr w:rsidR="00AD62CD" w:rsidRPr="00AD62CD" w14:paraId="50108626" w14:textId="77777777" w:rsidTr="003627DF">
        <w:trPr>
          <w:trHeight w:val="255"/>
        </w:trPr>
        <w:tc>
          <w:tcPr>
            <w:tcW w:w="4950" w:type="dxa"/>
            <w:tcBorders>
              <w:top w:val="nil"/>
              <w:left w:val="single" w:sz="4" w:space="0" w:color="auto"/>
              <w:bottom w:val="single" w:sz="4" w:space="0" w:color="auto"/>
              <w:right w:val="single" w:sz="4" w:space="0" w:color="auto"/>
            </w:tcBorders>
          </w:tcPr>
          <w:p w14:paraId="2DFC55FE" w14:textId="77777777" w:rsidR="00AD62CD" w:rsidRPr="00AD62CD" w:rsidRDefault="00AD62CD" w:rsidP="00AD62CD">
            <w:pPr>
              <w:spacing w:after="0" w:line="240" w:lineRule="auto"/>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Granty a transfery (300)</w:t>
            </w:r>
            <w:r w:rsidRPr="00AD62CD">
              <w:rPr>
                <w:rFonts w:ascii="Times New Roman" w:eastAsia="Times New Roman" w:hAnsi="Times New Roman" w:cs="Times New Roman"/>
                <w:b/>
                <w:bCs/>
                <w:kern w:val="0"/>
                <w:sz w:val="22"/>
                <w:szCs w:val="22"/>
                <w:vertAlign w:val="superscript"/>
                <w:lang w:eastAsia="sk-SK"/>
                <w14:ligatures w14:val="none"/>
              </w:rPr>
              <w:t>1</w:t>
            </w:r>
          </w:p>
        </w:tc>
        <w:tc>
          <w:tcPr>
            <w:tcW w:w="1500" w:type="dxa"/>
            <w:tcBorders>
              <w:top w:val="nil"/>
              <w:left w:val="nil"/>
              <w:bottom w:val="single" w:sz="4" w:space="0" w:color="auto"/>
              <w:right w:val="single" w:sz="4" w:space="0" w:color="auto"/>
            </w:tcBorders>
          </w:tcPr>
          <w:p w14:paraId="447BABA5"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1500" w:type="dxa"/>
            <w:tcBorders>
              <w:top w:val="nil"/>
              <w:left w:val="nil"/>
              <w:bottom w:val="single" w:sz="4" w:space="0" w:color="auto"/>
              <w:right w:val="single" w:sz="4" w:space="0" w:color="auto"/>
            </w:tcBorders>
          </w:tcPr>
          <w:p w14:paraId="57749F86"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1500" w:type="dxa"/>
            <w:tcBorders>
              <w:top w:val="nil"/>
              <w:left w:val="nil"/>
              <w:bottom w:val="single" w:sz="4" w:space="0" w:color="auto"/>
              <w:right w:val="single" w:sz="4" w:space="0" w:color="auto"/>
            </w:tcBorders>
          </w:tcPr>
          <w:p w14:paraId="3018B591"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1500" w:type="dxa"/>
            <w:tcBorders>
              <w:top w:val="nil"/>
              <w:left w:val="nil"/>
              <w:bottom w:val="single" w:sz="4" w:space="0" w:color="auto"/>
              <w:right w:val="single" w:sz="4" w:space="0" w:color="auto"/>
            </w:tcBorders>
          </w:tcPr>
          <w:p w14:paraId="3EFA4601"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3000" w:type="dxa"/>
            <w:tcBorders>
              <w:top w:val="nil"/>
              <w:left w:val="nil"/>
              <w:bottom w:val="single" w:sz="4" w:space="0" w:color="auto"/>
              <w:right w:val="single" w:sz="4" w:space="0" w:color="auto"/>
            </w:tcBorders>
            <w:noWrap/>
            <w:vAlign w:val="bottom"/>
          </w:tcPr>
          <w:p w14:paraId="225C7566" w14:textId="77777777" w:rsidR="00AD62CD" w:rsidRPr="00AD62CD" w:rsidRDefault="00AD62CD" w:rsidP="00AD62CD">
            <w:pPr>
              <w:spacing w:after="0" w:line="240" w:lineRule="auto"/>
              <w:rPr>
                <w:rFonts w:ascii="Times New Roman" w:eastAsia="Times New Roman" w:hAnsi="Times New Roman" w:cs="Times New Roman"/>
                <w:kern w:val="0"/>
                <w:sz w:val="22"/>
                <w:szCs w:val="22"/>
                <w:lang w:eastAsia="sk-SK"/>
                <w14:ligatures w14:val="none"/>
              </w:rPr>
            </w:pPr>
            <w:r w:rsidRPr="00AD62CD">
              <w:rPr>
                <w:rFonts w:ascii="Times New Roman" w:eastAsia="Times New Roman" w:hAnsi="Times New Roman" w:cs="Times New Roman"/>
                <w:kern w:val="0"/>
                <w:sz w:val="22"/>
                <w:szCs w:val="22"/>
                <w:lang w:eastAsia="sk-SK"/>
                <w14:ligatures w14:val="none"/>
              </w:rPr>
              <w:t> </w:t>
            </w:r>
          </w:p>
        </w:tc>
      </w:tr>
      <w:tr w:rsidR="00AD62CD" w:rsidRPr="00AD62CD" w14:paraId="46121FB8" w14:textId="77777777" w:rsidTr="003627DF">
        <w:trPr>
          <w:trHeight w:val="255"/>
        </w:trPr>
        <w:tc>
          <w:tcPr>
            <w:tcW w:w="4950" w:type="dxa"/>
            <w:tcBorders>
              <w:top w:val="nil"/>
              <w:left w:val="single" w:sz="4" w:space="0" w:color="auto"/>
              <w:bottom w:val="single" w:sz="4" w:space="0" w:color="auto"/>
              <w:right w:val="single" w:sz="4" w:space="0" w:color="auto"/>
            </w:tcBorders>
          </w:tcPr>
          <w:p w14:paraId="24F72D35" w14:textId="77777777" w:rsidR="00AD62CD" w:rsidRPr="00AD62CD" w:rsidRDefault="00AD62CD" w:rsidP="00AD62CD">
            <w:pPr>
              <w:spacing w:after="0" w:line="240" w:lineRule="auto"/>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398E1615"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1AF1F694"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4F8D422A"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79301A26"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 </w:t>
            </w:r>
          </w:p>
        </w:tc>
        <w:tc>
          <w:tcPr>
            <w:tcW w:w="3000" w:type="dxa"/>
            <w:tcBorders>
              <w:top w:val="nil"/>
              <w:left w:val="nil"/>
              <w:bottom w:val="single" w:sz="4" w:space="0" w:color="auto"/>
              <w:right w:val="single" w:sz="4" w:space="0" w:color="auto"/>
            </w:tcBorders>
            <w:noWrap/>
            <w:vAlign w:val="bottom"/>
          </w:tcPr>
          <w:p w14:paraId="45681C4A" w14:textId="77777777" w:rsidR="00AD62CD" w:rsidRPr="00AD62CD" w:rsidRDefault="00AD62CD" w:rsidP="00AD62CD">
            <w:pPr>
              <w:spacing w:after="0" w:line="240" w:lineRule="auto"/>
              <w:rPr>
                <w:rFonts w:ascii="Times New Roman" w:eastAsia="Times New Roman" w:hAnsi="Times New Roman" w:cs="Times New Roman"/>
                <w:kern w:val="0"/>
                <w:sz w:val="22"/>
                <w:szCs w:val="22"/>
                <w:lang w:eastAsia="sk-SK"/>
                <w14:ligatures w14:val="none"/>
              </w:rPr>
            </w:pPr>
            <w:r w:rsidRPr="00AD62CD">
              <w:rPr>
                <w:rFonts w:ascii="Times New Roman" w:eastAsia="Times New Roman" w:hAnsi="Times New Roman" w:cs="Times New Roman"/>
                <w:kern w:val="0"/>
                <w:sz w:val="22"/>
                <w:szCs w:val="22"/>
                <w:lang w:eastAsia="sk-SK"/>
                <w14:ligatures w14:val="none"/>
              </w:rPr>
              <w:t> </w:t>
            </w:r>
          </w:p>
        </w:tc>
      </w:tr>
      <w:tr w:rsidR="00AD62CD" w:rsidRPr="00AD62CD" w14:paraId="6842643F" w14:textId="77777777" w:rsidTr="003627DF">
        <w:trPr>
          <w:trHeight w:val="255"/>
        </w:trPr>
        <w:tc>
          <w:tcPr>
            <w:tcW w:w="4950" w:type="dxa"/>
            <w:tcBorders>
              <w:top w:val="nil"/>
              <w:left w:val="single" w:sz="4" w:space="0" w:color="auto"/>
              <w:bottom w:val="single" w:sz="4" w:space="0" w:color="auto"/>
              <w:right w:val="single" w:sz="4" w:space="0" w:color="auto"/>
            </w:tcBorders>
          </w:tcPr>
          <w:p w14:paraId="4057B1B5" w14:textId="77777777" w:rsidR="00AD62CD" w:rsidRPr="00AD62CD" w:rsidRDefault="00AD62CD" w:rsidP="00AD62CD">
            <w:pPr>
              <w:spacing w:after="0" w:line="240" w:lineRule="auto"/>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7F493AC0"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375FDB53"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736DD77D"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57F0DC88"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 </w:t>
            </w:r>
          </w:p>
        </w:tc>
        <w:tc>
          <w:tcPr>
            <w:tcW w:w="3000" w:type="dxa"/>
            <w:tcBorders>
              <w:top w:val="nil"/>
              <w:left w:val="nil"/>
              <w:bottom w:val="single" w:sz="4" w:space="0" w:color="auto"/>
              <w:right w:val="single" w:sz="4" w:space="0" w:color="auto"/>
            </w:tcBorders>
            <w:noWrap/>
            <w:vAlign w:val="bottom"/>
          </w:tcPr>
          <w:p w14:paraId="4E492CA4" w14:textId="77777777" w:rsidR="00AD62CD" w:rsidRPr="00AD62CD" w:rsidRDefault="00AD62CD" w:rsidP="00AD62CD">
            <w:pPr>
              <w:spacing w:after="0" w:line="240" w:lineRule="auto"/>
              <w:rPr>
                <w:rFonts w:ascii="Times New Roman" w:eastAsia="Times New Roman" w:hAnsi="Times New Roman" w:cs="Times New Roman"/>
                <w:kern w:val="0"/>
                <w:sz w:val="22"/>
                <w:szCs w:val="22"/>
                <w:lang w:eastAsia="sk-SK"/>
                <w14:ligatures w14:val="none"/>
              </w:rPr>
            </w:pPr>
            <w:r w:rsidRPr="00AD62CD">
              <w:rPr>
                <w:rFonts w:ascii="Times New Roman" w:eastAsia="Times New Roman" w:hAnsi="Times New Roman" w:cs="Times New Roman"/>
                <w:kern w:val="0"/>
                <w:sz w:val="22"/>
                <w:szCs w:val="22"/>
                <w:lang w:eastAsia="sk-SK"/>
                <w14:ligatures w14:val="none"/>
              </w:rPr>
              <w:t> </w:t>
            </w:r>
          </w:p>
        </w:tc>
      </w:tr>
      <w:tr w:rsidR="00AD62CD" w:rsidRPr="00AD62CD" w14:paraId="03313C7E" w14:textId="77777777" w:rsidTr="00AD62CD">
        <w:trPr>
          <w:trHeight w:val="255"/>
        </w:trPr>
        <w:tc>
          <w:tcPr>
            <w:tcW w:w="4950" w:type="dxa"/>
            <w:tcBorders>
              <w:top w:val="nil"/>
              <w:left w:val="single" w:sz="4" w:space="0" w:color="auto"/>
              <w:bottom w:val="single" w:sz="4" w:space="0" w:color="auto"/>
              <w:right w:val="single" w:sz="4" w:space="0" w:color="auto"/>
            </w:tcBorders>
            <w:shd w:val="clear" w:color="auto" w:fill="BFBFBF"/>
          </w:tcPr>
          <w:p w14:paraId="560CA877" w14:textId="77777777" w:rsidR="00AD62CD" w:rsidRPr="00AD62CD" w:rsidRDefault="00AD62CD" w:rsidP="00AD62CD">
            <w:pPr>
              <w:spacing w:after="0" w:line="240" w:lineRule="auto"/>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Vplyv na príjmy verejnej správy celkom</w:t>
            </w:r>
          </w:p>
        </w:tc>
        <w:tc>
          <w:tcPr>
            <w:tcW w:w="1500" w:type="dxa"/>
            <w:tcBorders>
              <w:top w:val="nil"/>
              <w:left w:val="nil"/>
              <w:bottom w:val="single" w:sz="4" w:space="0" w:color="auto"/>
              <w:right w:val="single" w:sz="4" w:space="0" w:color="auto"/>
            </w:tcBorders>
            <w:shd w:val="clear" w:color="auto" w:fill="BFBFBF"/>
          </w:tcPr>
          <w:p w14:paraId="3EA7C66E"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0</w:t>
            </w:r>
          </w:p>
        </w:tc>
        <w:tc>
          <w:tcPr>
            <w:tcW w:w="1500" w:type="dxa"/>
            <w:tcBorders>
              <w:top w:val="nil"/>
              <w:left w:val="nil"/>
              <w:bottom w:val="single" w:sz="4" w:space="0" w:color="auto"/>
              <w:right w:val="single" w:sz="4" w:space="0" w:color="auto"/>
            </w:tcBorders>
            <w:shd w:val="clear" w:color="auto" w:fill="BFBFBF"/>
          </w:tcPr>
          <w:p w14:paraId="457444B3"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27 130 000</w:t>
            </w:r>
          </w:p>
        </w:tc>
        <w:tc>
          <w:tcPr>
            <w:tcW w:w="1500" w:type="dxa"/>
            <w:tcBorders>
              <w:top w:val="nil"/>
              <w:left w:val="nil"/>
              <w:bottom w:val="single" w:sz="4" w:space="0" w:color="auto"/>
              <w:right w:val="single" w:sz="4" w:space="0" w:color="auto"/>
            </w:tcBorders>
            <w:shd w:val="clear" w:color="auto" w:fill="BFBFBF"/>
          </w:tcPr>
          <w:p w14:paraId="187C5F98"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32 288 000</w:t>
            </w:r>
          </w:p>
        </w:tc>
        <w:tc>
          <w:tcPr>
            <w:tcW w:w="1500" w:type="dxa"/>
            <w:tcBorders>
              <w:top w:val="nil"/>
              <w:left w:val="nil"/>
              <w:bottom w:val="single" w:sz="4" w:space="0" w:color="auto"/>
              <w:right w:val="single" w:sz="4" w:space="0" w:color="auto"/>
            </w:tcBorders>
            <w:shd w:val="clear" w:color="auto" w:fill="BFBFBF"/>
          </w:tcPr>
          <w:p w14:paraId="766C1884"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33 658 000</w:t>
            </w:r>
          </w:p>
        </w:tc>
        <w:tc>
          <w:tcPr>
            <w:tcW w:w="3000" w:type="dxa"/>
            <w:tcBorders>
              <w:top w:val="nil"/>
              <w:left w:val="nil"/>
              <w:bottom w:val="single" w:sz="4" w:space="0" w:color="auto"/>
              <w:right w:val="single" w:sz="4" w:space="0" w:color="auto"/>
            </w:tcBorders>
            <w:shd w:val="clear" w:color="auto" w:fill="BFBFBF"/>
            <w:noWrap/>
            <w:vAlign w:val="bottom"/>
          </w:tcPr>
          <w:p w14:paraId="2BF5790A" w14:textId="77777777" w:rsidR="00AD62CD" w:rsidRPr="00AD62CD" w:rsidRDefault="00AD62CD" w:rsidP="00AD62CD">
            <w:pPr>
              <w:spacing w:after="0" w:line="240" w:lineRule="auto"/>
              <w:rPr>
                <w:rFonts w:ascii="Times New Roman" w:eastAsia="Times New Roman" w:hAnsi="Times New Roman" w:cs="Times New Roman"/>
                <w:kern w:val="0"/>
                <w:sz w:val="22"/>
                <w:szCs w:val="22"/>
                <w:lang w:eastAsia="sk-SK"/>
                <w14:ligatures w14:val="none"/>
              </w:rPr>
            </w:pPr>
            <w:r w:rsidRPr="00AD62CD">
              <w:rPr>
                <w:rFonts w:ascii="Times New Roman" w:eastAsia="Times New Roman" w:hAnsi="Times New Roman" w:cs="Times New Roman"/>
                <w:kern w:val="0"/>
                <w:sz w:val="22"/>
                <w:szCs w:val="22"/>
                <w:lang w:eastAsia="sk-SK"/>
                <w14:ligatures w14:val="none"/>
              </w:rPr>
              <w:t> </w:t>
            </w:r>
          </w:p>
        </w:tc>
      </w:tr>
    </w:tbl>
    <w:p w14:paraId="12EA68AC"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1 –  príjmy rozpísať až do položiek platnej ekonomickej klasifikácie</w:t>
      </w:r>
    </w:p>
    <w:p w14:paraId="45BE391F"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Cs w:val="20"/>
          <w:lang w:eastAsia="sk-SK"/>
          <w14:ligatures w14:val="none"/>
        </w:rPr>
      </w:pPr>
    </w:p>
    <w:p w14:paraId="2DA2324E"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
          <w:bCs/>
          <w:kern w:val="0"/>
          <w:szCs w:val="20"/>
          <w:lang w:eastAsia="sk-SK"/>
          <w14:ligatures w14:val="none"/>
        </w:rPr>
      </w:pPr>
      <w:r w:rsidRPr="00AD62CD">
        <w:rPr>
          <w:rFonts w:ascii="Times New Roman" w:eastAsia="Times New Roman" w:hAnsi="Times New Roman" w:cs="Times New Roman"/>
          <w:b/>
          <w:bCs/>
          <w:kern w:val="0"/>
          <w:szCs w:val="20"/>
          <w:lang w:eastAsia="sk-SK"/>
          <w14:ligatures w14:val="none"/>
        </w:rPr>
        <w:t>Poznámka:</w:t>
      </w:r>
    </w:p>
    <w:p w14:paraId="42709E39"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Cs w:val="20"/>
          <w:lang w:eastAsia="sk-SK"/>
          <w14:ligatures w14:val="none"/>
        </w:rPr>
      </w:pPr>
      <w:r w:rsidRPr="00AD62CD">
        <w:rPr>
          <w:rFonts w:ascii="Times New Roman" w:eastAsia="Times New Roman" w:hAnsi="Times New Roman" w:cs="Times New Roman"/>
          <w:bCs/>
          <w:kern w:val="0"/>
          <w:szCs w:val="20"/>
          <w:lang w:eastAsia="sk-SK"/>
          <w14:ligatures w14:val="none"/>
        </w:rPr>
        <w:t>Ak sa vplyv týka viacerých subjektov verejnej správy, vypĺňa sa samostatná tabuľka za každý subjekt.</w:t>
      </w:r>
    </w:p>
    <w:p w14:paraId="7572B9E9" w14:textId="77777777" w:rsidR="00AD62CD" w:rsidRPr="00AD62CD" w:rsidRDefault="00AD62CD" w:rsidP="00AD62CD">
      <w:pPr>
        <w:spacing w:after="200" w:line="276" w:lineRule="auto"/>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br w:type="page"/>
      </w:r>
    </w:p>
    <w:p w14:paraId="4D530B3E"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p>
    <w:p w14:paraId="05E31D13"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775ACD7F"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74DF035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2A8F3B1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3DA437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poznámka</w:t>
            </w:r>
          </w:p>
        </w:tc>
      </w:tr>
      <w:tr w:rsidR="00AD62CD" w:rsidRPr="00AD62CD" w14:paraId="16135838"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18A73D9"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678B4FA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2025</w:t>
            </w:r>
          </w:p>
        </w:tc>
        <w:tc>
          <w:tcPr>
            <w:tcW w:w="1650" w:type="dxa"/>
            <w:tcBorders>
              <w:top w:val="nil"/>
              <w:left w:val="nil"/>
              <w:bottom w:val="single" w:sz="4" w:space="0" w:color="auto"/>
              <w:right w:val="single" w:sz="4" w:space="0" w:color="auto"/>
            </w:tcBorders>
            <w:shd w:val="clear" w:color="auto" w:fill="BFBFBF"/>
          </w:tcPr>
          <w:p w14:paraId="667AC0CE"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2026</w:t>
            </w:r>
          </w:p>
        </w:tc>
        <w:tc>
          <w:tcPr>
            <w:tcW w:w="1540" w:type="dxa"/>
            <w:tcBorders>
              <w:top w:val="nil"/>
              <w:left w:val="nil"/>
              <w:bottom w:val="single" w:sz="4" w:space="0" w:color="auto"/>
              <w:right w:val="single" w:sz="4" w:space="0" w:color="auto"/>
            </w:tcBorders>
            <w:shd w:val="clear" w:color="auto" w:fill="BFBFBF"/>
          </w:tcPr>
          <w:p w14:paraId="0E439F9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2027</w:t>
            </w:r>
          </w:p>
        </w:tc>
        <w:tc>
          <w:tcPr>
            <w:tcW w:w="1540" w:type="dxa"/>
            <w:tcBorders>
              <w:top w:val="nil"/>
              <w:left w:val="nil"/>
              <w:bottom w:val="single" w:sz="4" w:space="0" w:color="auto"/>
              <w:right w:val="single" w:sz="4" w:space="0" w:color="auto"/>
            </w:tcBorders>
            <w:shd w:val="clear" w:color="auto" w:fill="BFBFBF"/>
          </w:tcPr>
          <w:p w14:paraId="534D336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53B9B2F6"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134E4A5A" w14:textId="77777777" w:rsidTr="003627DF">
        <w:trPr>
          <w:trHeight w:val="255"/>
        </w:trPr>
        <w:tc>
          <w:tcPr>
            <w:tcW w:w="7070" w:type="dxa"/>
            <w:tcBorders>
              <w:top w:val="nil"/>
              <w:left w:val="single" w:sz="4" w:space="0" w:color="auto"/>
              <w:bottom w:val="single" w:sz="4" w:space="0" w:color="auto"/>
              <w:right w:val="single" w:sz="4" w:space="0" w:color="auto"/>
            </w:tcBorders>
          </w:tcPr>
          <w:p w14:paraId="7F2C0F71"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tcPr>
          <w:p w14:paraId="58595D9B"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7768F16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918 000</w:t>
            </w:r>
          </w:p>
        </w:tc>
        <w:tc>
          <w:tcPr>
            <w:tcW w:w="1540" w:type="dxa"/>
            <w:tcBorders>
              <w:top w:val="nil"/>
              <w:left w:val="nil"/>
              <w:bottom w:val="single" w:sz="4" w:space="0" w:color="auto"/>
              <w:right w:val="single" w:sz="4" w:space="0" w:color="auto"/>
            </w:tcBorders>
          </w:tcPr>
          <w:p w14:paraId="1000E99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1 095 000</w:t>
            </w:r>
          </w:p>
        </w:tc>
        <w:tc>
          <w:tcPr>
            <w:tcW w:w="1540" w:type="dxa"/>
            <w:tcBorders>
              <w:top w:val="nil"/>
              <w:left w:val="nil"/>
              <w:bottom w:val="single" w:sz="4" w:space="0" w:color="auto"/>
              <w:right w:val="single" w:sz="4" w:space="0" w:color="auto"/>
            </w:tcBorders>
          </w:tcPr>
          <w:p w14:paraId="0E0CEC31"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1 143 000</w:t>
            </w:r>
          </w:p>
        </w:tc>
        <w:tc>
          <w:tcPr>
            <w:tcW w:w="1649" w:type="dxa"/>
            <w:tcBorders>
              <w:top w:val="nil"/>
              <w:left w:val="nil"/>
              <w:bottom w:val="single" w:sz="4" w:space="0" w:color="auto"/>
              <w:right w:val="single" w:sz="4" w:space="0" w:color="auto"/>
            </w:tcBorders>
            <w:noWrap/>
            <w:vAlign w:val="bottom"/>
          </w:tcPr>
          <w:p w14:paraId="20CDD417"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p>
        </w:tc>
      </w:tr>
      <w:tr w:rsidR="00AD62CD" w:rsidRPr="00AD62CD" w14:paraId="56557F81" w14:textId="77777777" w:rsidTr="003627DF">
        <w:trPr>
          <w:trHeight w:val="255"/>
        </w:trPr>
        <w:tc>
          <w:tcPr>
            <w:tcW w:w="7070" w:type="dxa"/>
            <w:tcBorders>
              <w:top w:val="nil"/>
              <w:left w:val="single" w:sz="4" w:space="0" w:color="auto"/>
              <w:bottom w:val="single" w:sz="4" w:space="0" w:color="auto"/>
              <w:right w:val="single" w:sz="4" w:space="0" w:color="auto"/>
            </w:tcBorders>
          </w:tcPr>
          <w:p w14:paraId="3D8729EC"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05602AA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55516CC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2FC646B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6494889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3148F115"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0FB5DF8E" w14:textId="77777777" w:rsidTr="003627DF">
        <w:trPr>
          <w:trHeight w:val="255"/>
        </w:trPr>
        <w:tc>
          <w:tcPr>
            <w:tcW w:w="7070" w:type="dxa"/>
            <w:tcBorders>
              <w:top w:val="nil"/>
              <w:left w:val="single" w:sz="4" w:space="0" w:color="auto"/>
              <w:bottom w:val="single" w:sz="4" w:space="0" w:color="auto"/>
              <w:right w:val="single" w:sz="4" w:space="0" w:color="auto"/>
            </w:tcBorders>
          </w:tcPr>
          <w:p w14:paraId="29095FA4"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67A6E00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07EC86D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17FEB9D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222BE94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09A1653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3BEBCCB" w14:textId="77777777" w:rsidTr="003627DF">
        <w:trPr>
          <w:trHeight w:val="255"/>
        </w:trPr>
        <w:tc>
          <w:tcPr>
            <w:tcW w:w="7070" w:type="dxa"/>
            <w:tcBorders>
              <w:top w:val="nil"/>
              <w:left w:val="single" w:sz="4" w:space="0" w:color="auto"/>
              <w:bottom w:val="single" w:sz="4" w:space="0" w:color="auto"/>
              <w:right w:val="single" w:sz="4" w:space="0" w:color="auto"/>
            </w:tcBorders>
          </w:tcPr>
          <w:p w14:paraId="4F4E10DE"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Tovary a služby (630)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00E9FD0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2B9CA9F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918 000</w:t>
            </w:r>
          </w:p>
        </w:tc>
        <w:tc>
          <w:tcPr>
            <w:tcW w:w="1540" w:type="dxa"/>
            <w:tcBorders>
              <w:top w:val="nil"/>
              <w:left w:val="nil"/>
              <w:bottom w:val="single" w:sz="4" w:space="0" w:color="auto"/>
              <w:right w:val="single" w:sz="4" w:space="0" w:color="auto"/>
            </w:tcBorders>
          </w:tcPr>
          <w:p w14:paraId="343254C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1 095 000</w:t>
            </w:r>
          </w:p>
        </w:tc>
        <w:tc>
          <w:tcPr>
            <w:tcW w:w="1540" w:type="dxa"/>
            <w:tcBorders>
              <w:top w:val="nil"/>
              <w:left w:val="nil"/>
              <w:bottom w:val="single" w:sz="4" w:space="0" w:color="auto"/>
              <w:right w:val="single" w:sz="4" w:space="0" w:color="auto"/>
            </w:tcBorders>
          </w:tcPr>
          <w:p w14:paraId="09EC5EE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1 143 000</w:t>
            </w:r>
          </w:p>
        </w:tc>
        <w:tc>
          <w:tcPr>
            <w:tcW w:w="1649" w:type="dxa"/>
            <w:tcBorders>
              <w:top w:val="nil"/>
              <w:left w:val="nil"/>
              <w:bottom w:val="single" w:sz="4" w:space="0" w:color="auto"/>
              <w:right w:val="single" w:sz="4" w:space="0" w:color="auto"/>
            </w:tcBorders>
            <w:noWrap/>
            <w:vAlign w:val="bottom"/>
          </w:tcPr>
          <w:p w14:paraId="4C00BF7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60956C18" w14:textId="77777777" w:rsidTr="003627DF">
        <w:trPr>
          <w:trHeight w:val="255"/>
        </w:trPr>
        <w:tc>
          <w:tcPr>
            <w:tcW w:w="7070" w:type="dxa"/>
            <w:tcBorders>
              <w:top w:val="nil"/>
              <w:left w:val="single" w:sz="4" w:space="0" w:color="auto"/>
              <w:bottom w:val="single" w:sz="4" w:space="0" w:color="auto"/>
              <w:right w:val="single" w:sz="4" w:space="0" w:color="auto"/>
            </w:tcBorders>
          </w:tcPr>
          <w:p w14:paraId="575D9781"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634003 výdavky na poistenie</w:t>
            </w:r>
          </w:p>
        </w:tc>
        <w:tc>
          <w:tcPr>
            <w:tcW w:w="1430" w:type="dxa"/>
            <w:tcBorders>
              <w:top w:val="nil"/>
              <w:left w:val="nil"/>
              <w:bottom w:val="single" w:sz="4" w:space="0" w:color="auto"/>
              <w:right w:val="single" w:sz="4" w:space="0" w:color="auto"/>
            </w:tcBorders>
          </w:tcPr>
          <w:p w14:paraId="3C8A0EF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176C470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918 000</w:t>
            </w:r>
          </w:p>
        </w:tc>
        <w:tc>
          <w:tcPr>
            <w:tcW w:w="1540" w:type="dxa"/>
            <w:tcBorders>
              <w:top w:val="nil"/>
              <w:left w:val="nil"/>
              <w:bottom w:val="single" w:sz="4" w:space="0" w:color="auto"/>
              <w:right w:val="single" w:sz="4" w:space="0" w:color="auto"/>
            </w:tcBorders>
          </w:tcPr>
          <w:p w14:paraId="2FED038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1 095 000</w:t>
            </w:r>
          </w:p>
        </w:tc>
        <w:tc>
          <w:tcPr>
            <w:tcW w:w="1540" w:type="dxa"/>
            <w:tcBorders>
              <w:top w:val="nil"/>
              <w:left w:val="nil"/>
              <w:bottom w:val="single" w:sz="4" w:space="0" w:color="auto"/>
              <w:right w:val="single" w:sz="4" w:space="0" w:color="auto"/>
            </w:tcBorders>
          </w:tcPr>
          <w:p w14:paraId="32ADFA5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1 143 000</w:t>
            </w:r>
          </w:p>
        </w:tc>
        <w:tc>
          <w:tcPr>
            <w:tcW w:w="1649" w:type="dxa"/>
            <w:tcBorders>
              <w:top w:val="nil"/>
              <w:left w:val="nil"/>
              <w:bottom w:val="single" w:sz="4" w:space="0" w:color="auto"/>
              <w:right w:val="single" w:sz="4" w:space="0" w:color="auto"/>
            </w:tcBorders>
            <w:noWrap/>
            <w:vAlign w:val="bottom"/>
          </w:tcPr>
          <w:p w14:paraId="57688A7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435A73C9" w14:textId="77777777" w:rsidTr="003627DF">
        <w:trPr>
          <w:trHeight w:val="255"/>
        </w:trPr>
        <w:tc>
          <w:tcPr>
            <w:tcW w:w="7070" w:type="dxa"/>
            <w:tcBorders>
              <w:top w:val="nil"/>
              <w:left w:val="single" w:sz="4" w:space="0" w:color="auto"/>
              <w:bottom w:val="single" w:sz="4" w:space="0" w:color="auto"/>
              <w:right w:val="single" w:sz="4" w:space="0" w:color="auto"/>
            </w:tcBorders>
          </w:tcPr>
          <w:p w14:paraId="5F60C5A2"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Bežné transfery (640)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1E8ACDC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4E05947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471DDAD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5F61781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39491293"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19AF21A2"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0018AC75"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Splácanie úrokov a ostatné platby súvisiace s </w:t>
            </w:r>
            <w:r w:rsidRPr="00AD62CD">
              <w:rPr>
                <w:rFonts w:ascii="Calibri" w:eastAsia="Calibri" w:hAnsi="Calibri" w:cs="Times New Roman"/>
                <w:kern w:val="0"/>
                <w:sz w:val="22"/>
                <w:szCs w:val="22"/>
                <w14:ligatures w14:val="none"/>
              </w:rPr>
              <w:t xml:space="preserve"> </w:t>
            </w:r>
            <w:r w:rsidRPr="00AD62CD">
              <w:rPr>
                <w:rFonts w:ascii="Times New Roman" w:eastAsia="Times New Roman" w:hAnsi="Times New Roman" w:cs="Times New Roman"/>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4D9CAE1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0ECF7AE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48ABC40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008BB93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0B4CBB03"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03922C52" w14:textId="77777777" w:rsidTr="003627DF">
        <w:trPr>
          <w:trHeight w:val="255"/>
        </w:trPr>
        <w:tc>
          <w:tcPr>
            <w:tcW w:w="7070" w:type="dxa"/>
            <w:tcBorders>
              <w:top w:val="nil"/>
              <w:left w:val="single" w:sz="4" w:space="0" w:color="auto"/>
              <w:bottom w:val="single" w:sz="4" w:space="0" w:color="auto"/>
              <w:right w:val="single" w:sz="4" w:space="0" w:color="auto"/>
            </w:tcBorders>
          </w:tcPr>
          <w:p w14:paraId="6EAA0406"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vAlign w:val="center"/>
          </w:tcPr>
          <w:p w14:paraId="0B695D45"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187 330</w:t>
            </w:r>
          </w:p>
        </w:tc>
        <w:tc>
          <w:tcPr>
            <w:tcW w:w="1650" w:type="dxa"/>
            <w:tcBorders>
              <w:top w:val="nil"/>
              <w:left w:val="nil"/>
              <w:bottom w:val="single" w:sz="4" w:space="0" w:color="auto"/>
              <w:right w:val="single" w:sz="4" w:space="0" w:color="auto"/>
            </w:tcBorders>
            <w:vAlign w:val="center"/>
          </w:tcPr>
          <w:p w14:paraId="642BDE5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01FD3A8D"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6ABBD44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42CB1284"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p>
        </w:tc>
      </w:tr>
      <w:tr w:rsidR="00AD62CD" w:rsidRPr="00AD62CD" w14:paraId="36620464" w14:textId="77777777" w:rsidTr="003627DF">
        <w:trPr>
          <w:trHeight w:val="255"/>
        </w:trPr>
        <w:tc>
          <w:tcPr>
            <w:tcW w:w="7070" w:type="dxa"/>
            <w:tcBorders>
              <w:top w:val="nil"/>
              <w:left w:val="single" w:sz="4" w:space="0" w:color="auto"/>
              <w:bottom w:val="single" w:sz="4" w:space="0" w:color="auto"/>
              <w:right w:val="single" w:sz="4" w:space="0" w:color="auto"/>
            </w:tcBorders>
          </w:tcPr>
          <w:p w14:paraId="19BAFB84"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Obstarávanie kapitálových aktív (710)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354FB37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187 330</w:t>
            </w:r>
          </w:p>
        </w:tc>
        <w:tc>
          <w:tcPr>
            <w:tcW w:w="1650" w:type="dxa"/>
            <w:tcBorders>
              <w:top w:val="nil"/>
              <w:left w:val="nil"/>
              <w:bottom w:val="single" w:sz="4" w:space="0" w:color="auto"/>
              <w:right w:val="single" w:sz="4" w:space="0" w:color="auto"/>
            </w:tcBorders>
            <w:vAlign w:val="center"/>
          </w:tcPr>
          <w:p w14:paraId="4DA5DFF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6F8EA00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4D9D684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2AB6803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4853535" w14:textId="77777777" w:rsidTr="003627DF">
        <w:trPr>
          <w:trHeight w:val="255"/>
        </w:trPr>
        <w:tc>
          <w:tcPr>
            <w:tcW w:w="7070" w:type="dxa"/>
            <w:tcBorders>
              <w:top w:val="nil"/>
              <w:left w:val="single" w:sz="4" w:space="0" w:color="auto"/>
              <w:bottom w:val="single" w:sz="4" w:space="0" w:color="auto"/>
              <w:right w:val="single" w:sz="4" w:space="0" w:color="auto"/>
            </w:tcBorders>
          </w:tcPr>
          <w:p w14:paraId="694F4991"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14:ligatures w14:val="none"/>
              </w:rPr>
              <w:t>v tom: Rekonštrukcia a modernizácia (718)</w:t>
            </w:r>
          </w:p>
        </w:tc>
        <w:tc>
          <w:tcPr>
            <w:tcW w:w="1430" w:type="dxa"/>
            <w:tcBorders>
              <w:top w:val="nil"/>
              <w:left w:val="nil"/>
              <w:bottom w:val="single" w:sz="4" w:space="0" w:color="auto"/>
              <w:right w:val="single" w:sz="4" w:space="0" w:color="auto"/>
            </w:tcBorders>
            <w:vAlign w:val="center"/>
          </w:tcPr>
          <w:p w14:paraId="21C6265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187 330</w:t>
            </w:r>
          </w:p>
        </w:tc>
        <w:tc>
          <w:tcPr>
            <w:tcW w:w="1650" w:type="dxa"/>
            <w:tcBorders>
              <w:top w:val="nil"/>
              <w:left w:val="nil"/>
              <w:bottom w:val="single" w:sz="4" w:space="0" w:color="auto"/>
              <w:right w:val="single" w:sz="4" w:space="0" w:color="auto"/>
            </w:tcBorders>
            <w:vAlign w:val="center"/>
          </w:tcPr>
          <w:p w14:paraId="49B9388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61B9C4D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2EC06DD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27431B90"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13060AA6" w14:textId="77777777" w:rsidTr="003627DF">
        <w:trPr>
          <w:trHeight w:val="255"/>
        </w:trPr>
        <w:tc>
          <w:tcPr>
            <w:tcW w:w="7070" w:type="dxa"/>
            <w:tcBorders>
              <w:top w:val="nil"/>
              <w:left w:val="single" w:sz="4" w:space="0" w:color="auto"/>
              <w:bottom w:val="single" w:sz="4" w:space="0" w:color="auto"/>
              <w:right w:val="single" w:sz="4" w:space="0" w:color="auto"/>
            </w:tcBorders>
          </w:tcPr>
          <w:p w14:paraId="1557208D"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Kapitálové transfery (720)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4A88831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7219AFD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5E7CBF6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72C88219"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1134008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6A435B9" w14:textId="77777777" w:rsidTr="003627DF">
        <w:trPr>
          <w:trHeight w:val="255"/>
        </w:trPr>
        <w:tc>
          <w:tcPr>
            <w:tcW w:w="7070" w:type="dxa"/>
            <w:tcBorders>
              <w:top w:val="nil"/>
              <w:left w:val="single" w:sz="4" w:space="0" w:color="auto"/>
              <w:bottom w:val="single" w:sz="4" w:space="0" w:color="auto"/>
              <w:right w:val="single" w:sz="4" w:space="0" w:color="auto"/>
            </w:tcBorders>
          </w:tcPr>
          <w:p w14:paraId="69D34B95"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14:paraId="6A0785B1"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50" w:type="dxa"/>
            <w:tcBorders>
              <w:top w:val="nil"/>
              <w:left w:val="nil"/>
              <w:bottom w:val="single" w:sz="4" w:space="0" w:color="auto"/>
              <w:right w:val="single" w:sz="4" w:space="0" w:color="auto"/>
            </w:tcBorders>
            <w:shd w:val="clear" w:color="auto" w:fill="auto"/>
            <w:vAlign w:val="center"/>
          </w:tcPr>
          <w:p w14:paraId="3DA0CD17"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shd w:val="clear" w:color="auto" w:fill="auto"/>
            <w:vAlign w:val="center"/>
          </w:tcPr>
          <w:p w14:paraId="5CE8B383"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shd w:val="clear" w:color="auto" w:fill="auto"/>
            <w:vAlign w:val="center"/>
          </w:tcPr>
          <w:p w14:paraId="663B7F5B"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1391ACF0"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28E643A2"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74ADDF6F"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vAlign w:val="center"/>
          </w:tcPr>
          <w:p w14:paraId="4D618E6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187 330</w:t>
            </w:r>
          </w:p>
        </w:tc>
        <w:tc>
          <w:tcPr>
            <w:tcW w:w="1650" w:type="dxa"/>
            <w:tcBorders>
              <w:top w:val="single" w:sz="4" w:space="0" w:color="auto"/>
              <w:left w:val="nil"/>
              <w:bottom w:val="single" w:sz="4" w:space="0" w:color="auto"/>
              <w:right w:val="single" w:sz="4" w:space="0" w:color="auto"/>
            </w:tcBorders>
            <w:shd w:val="clear" w:color="auto" w:fill="BFBFBF"/>
          </w:tcPr>
          <w:p w14:paraId="329FC5D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918 000</w:t>
            </w:r>
          </w:p>
        </w:tc>
        <w:tc>
          <w:tcPr>
            <w:tcW w:w="1540" w:type="dxa"/>
            <w:tcBorders>
              <w:top w:val="single" w:sz="4" w:space="0" w:color="auto"/>
              <w:left w:val="nil"/>
              <w:bottom w:val="single" w:sz="4" w:space="0" w:color="auto"/>
              <w:right w:val="single" w:sz="4" w:space="0" w:color="auto"/>
            </w:tcBorders>
            <w:shd w:val="clear" w:color="auto" w:fill="BFBFBF"/>
          </w:tcPr>
          <w:p w14:paraId="36751E66"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1 095 000</w:t>
            </w:r>
          </w:p>
        </w:tc>
        <w:tc>
          <w:tcPr>
            <w:tcW w:w="1540" w:type="dxa"/>
            <w:tcBorders>
              <w:top w:val="single" w:sz="4" w:space="0" w:color="auto"/>
              <w:left w:val="nil"/>
              <w:bottom w:val="single" w:sz="4" w:space="0" w:color="auto"/>
              <w:right w:val="single" w:sz="4" w:space="0" w:color="auto"/>
            </w:tcBorders>
            <w:shd w:val="clear" w:color="auto" w:fill="BFBFBF"/>
          </w:tcPr>
          <w:p w14:paraId="461BF45D"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sz w:val="20"/>
                <w:lang w:eastAsia="sk-SK"/>
                <w14:ligatures w14:val="none"/>
              </w:rPr>
              <w:t>1 143 000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397A6E4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bl>
    <w:p w14:paraId="24BD7884"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2 –  výdavky rozpísať až do položiek platnej ekonomickej klasifikácie</w:t>
      </w:r>
    </w:p>
    <w:p w14:paraId="13C5318E"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Cs w:val="20"/>
          <w:lang w:eastAsia="sk-SK"/>
          <w14:ligatures w14:val="none"/>
        </w:rPr>
      </w:pPr>
    </w:p>
    <w:p w14:paraId="0F0AC0A6"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Cs w:val="20"/>
          <w:lang w:eastAsia="sk-SK"/>
          <w14:ligatures w14:val="none"/>
        </w:rPr>
        <w:t xml:space="preserve">  Poznámka:</w:t>
      </w:r>
    </w:p>
    <w:p w14:paraId="2A8D4C4A"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Cs w:val="20"/>
          <w:lang w:eastAsia="sk-SK"/>
          <w14:ligatures w14:val="none"/>
        </w:rPr>
        <w:t xml:space="preserve">  Ak sa vplyv týka viacerých subjektov verejnej správy, vypĺňa sa samostatná tabuľka za každý subjekt.</w:t>
      </w:r>
    </w:p>
    <w:p w14:paraId="09B47E44" w14:textId="77777777" w:rsidR="00AD62CD" w:rsidRPr="00AD62CD" w:rsidRDefault="00AD62CD" w:rsidP="00AD62CD">
      <w:pPr>
        <w:spacing w:after="200" w:line="276" w:lineRule="auto"/>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br w:type="page"/>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7DB74283"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6C5C9FD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386CCA3B"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štátny rozpočet</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0970C1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poznámka</w:t>
            </w:r>
          </w:p>
        </w:tc>
      </w:tr>
      <w:tr w:rsidR="00AD62CD" w:rsidRPr="00AD62CD" w14:paraId="5ED7E121"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A7FA754"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0E43389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2025</w:t>
            </w:r>
          </w:p>
        </w:tc>
        <w:tc>
          <w:tcPr>
            <w:tcW w:w="1650" w:type="dxa"/>
            <w:tcBorders>
              <w:top w:val="nil"/>
              <w:left w:val="nil"/>
              <w:bottom w:val="single" w:sz="4" w:space="0" w:color="auto"/>
              <w:right w:val="single" w:sz="4" w:space="0" w:color="auto"/>
            </w:tcBorders>
            <w:shd w:val="clear" w:color="auto" w:fill="BFBFBF"/>
          </w:tcPr>
          <w:p w14:paraId="43DE515E"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2026</w:t>
            </w:r>
          </w:p>
        </w:tc>
        <w:tc>
          <w:tcPr>
            <w:tcW w:w="1540" w:type="dxa"/>
            <w:tcBorders>
              <w:top w:val="nil"/>
              <w:left w:val="nil"/>
              <w:bottom w:val="single" w:sz="4" w:space="0" w:color="auto"/>
              <w:right w:val="single" w:sz="4" w:space="0" w:color="auto"/>
            </w:tcBorders>
            <w:shd w:val="clear" w:color="auto" w:fill="BFBFBF"/>
          </w:tcPr>
          <w:p w14:paraId="42E4678D"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2027</w:t>
            </w:r>
          </w:p>
        </w:tc>
        <w:tc>
          <w:tcPr>
            <w:tcW w:w="1540" w:type="dxa"/>
            <w:tcBorders>
              <w:top w:val="nil"/>
              <w:left w:val="nil"/>
              <w:bottom w:val="single" w:sz="4" w:space="0" w:color="auto"/>
              <w:right w:val="single" w:sz="4" w:space="0" w:color="auto"/>
            </w:tcBorders>
            <w:shd w:val="clear" w:color="auto" w:fill="BFBFBF"/>
          </w:tcPr>
          <w:p w14:paraId="4F657559"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0253AB1B"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0BB3D7C1" w14:textId="77777777" w:rsidTr="003627DF">
        <w:trPr>
          <w:trHeight w:val="255"/>
        </w:trPr>
        <w:tc>
          <w:tcPr>
            <w:tcW w:w="7070" w:type="dxa"/>
            <w:tcBorders>
              <w:top w:val="nil"/>
              <w:left w:val="single" w:sz="4" w:space="0" w:color="auto"/>
              <w:bottom w:val="single" w:sz="4" w:space="0" w:color="auto"/>
              <w:right w:val="single" w:sz="4" w:space="0" w:color="auto"/>
            </w:tcBorders>
          </w:tcPr>
          <w:p w14:paraId="1AE4A348"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tcPr>
          <w:p w14:paraId="5058C80A"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78FEFB0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152 000</w:t>
            </w:r>
          </w:p>
        </w:tc>
        <w:tc>
          <w:tcPr>
            <w:tcW w:w="1540" w:type="dxa"/>
            <w:tcBorders>
              <w:top w:val="nil"/>
              <w:left w:val="nil"/>
              <w:bottom w:val="single" w:sz="4" w:space="0" w:color="auto"/>
              <w:right w:val="single" w:sz="4" w:space="0" w:color="auto"/>
            </w:tcBorders>
          </w:tcPr>
          <w:p w14:paraId="68F11BC0"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204 000</w:t>
            </w:r>
          </w:p>
        </w:tc>
        <w:tc>
          <w:tcPr>
            <w:tcW w:w="1540" w:type="dxa"/>
            <w:tcBorders>
              <w:top w:val="nil"/>
              <w:left w:val="nil"/>
              <w:bottom w:val="single" w:sz="4" w:space="0" w:color="auto"/>
              <w:right w:val="single" w:sz="4" w:space="0" w:color="auto"/>
            </w:tcBorders>
          </w:tcPr>
          <w:p w14:paraId="04C27749"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213 000</w:t>
            </w:r>
          </w:p>
        </w:tc>
        <w:tc>
          <w:tcPr>
            <w:tcW w:w="1649" w:type="dxa"/>
            <w:tcBorders>
              <w:top w:val="nil"/>
              <w:left w:val="nil"/>
              <w:bottom w:val="single" w:sz="4" w:space="0" w:color="auto"/>
              <w:right w:val="single" w:sz="4" w:space="0" w:color="auto"/>
            </w:tcBorders>
            <w:noWrap/>
            <w:vAlign w:val="bottom"/>
          </w:tcPr>
          <w:p w14:paraId="3366D98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030DA38F" w14:textId="77777777" w:rsidTr="003627DF">
        <w:trPr>
          <w:trHeight w:val="255"/>
        </w:trPr>
        <w:tc>
          <w:tcPr>
            <w:tcW w:w="7070" w:type="dxa"/>
            <w:tcBorders>
              <w:top w:val="nil"/>
              <w:left w:val="single" w:sz="4" w:space="0" w:color="auto"/>
              <w:bottom w:val="single" w:sz="4" w:space="0" w:color="auto"/>
              <w:right w:val="single" w:sz="4" w:space="0" w:color="auto"/>
            </w:tcBorders>
          </w:tcPr>
          <w:p w14:paraId="0D68B413"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04D0EFC8"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5E8B8BF1"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A8496E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B9E33E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3F38D9F0"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8A7F0CD" w14:textId="77777777" w:rsidTr="003627DF">
        <w:trPr>
          <w:trHeight w:val="255"/>
        </w:trPr>
        <w:tc>
          <w:tcPr>
            <w:tcW w:w="7070" w:type="dxa"/>
            <w:tcBorders>
              <w:top w:val="nil"/>
              <w:left w:val="single" w:sz="4" w:space="0" w:color="auto"/>
              <w:bottom w:val="single" w:sz="4" w:space="0" w:color="auto"/>
              <w:right w:val="single" w:sz="4" w:space="0" w:color="auto"/>
            </w:tcBorders>
          </w:tcPr>
          <w:p w14:paraId="3D48507C"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tcPr>
          <w:p w14:paraId="1A446CFC"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E15B20C"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15C608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FF02A02"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7B885814"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185E9E80" w14:textId="77777777" w:rsidTr="003627DF">
        <w:trPr>
          <w:trHeight w:val="255"/>
        </w:trPr>
        <w:tc>
          <w:tcPr>
            <w:tcW w:w="7070" w:type="dxa"/>
            <w:tcBorders>
              <w:top w:val="nil"/>
              <w:left w:val="single" w:sz="4" w:space="0" w:color="auto"/>
              <w:bottom w:val="single" w:sz="4" w:space="0" w:color="auto"/>
              <w:right w:val="single" w:sz="4" w:space="0" w:color="auto"/>
            </w:tcBorders>
          </w:tcPr>
          <w:p w14:paraId="1DCDB3EE"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Tovary a služby (630)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777C619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79B7C2A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152 000</w:t>
            </w:r>
          </w:p>
        </w:tc>
        <w:tc>
          <w:tcPr>
            <w:tcW w:w="1540" w:type="dxa"/>
            <w:tcBorders>
              <w:top w:val="nil"/>
              <w:left w:val="nil"/>
              <w:bottom w:val="single" w:sz="4" w:space="0" w:color="auto"/>
              <w:right w:val="single" w:sz="4" w:space="0" w:color="auto"/>
            </w:tcBorders>
          </w:tcPr>
          <w:p w14:paraId="19B4604F"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204 000</w:t>
            </w:r>
          </w:p>
        </w:tc>
        <w:tc>
          <w:tcPr>
            <w:tcW w:w="1540" w:type="dxa"/>
            <w:tcBorders>
              <w:top w:val="nil"/>
              <w:left w:val="nil"/>
              <w:bottom w:val="single" w:sz="4" w:space="0" w:color="auto"/>
              <w:right w:val="single" w:sz="4" w:space="0" w:color="auto"/>
            </w:tcBorders>
          </w:tcPr>
          <w:p w14:paraId="37DF7B1C"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213 000</w:t>
            </w:r>
          </w:p>
        </w:tc>
        <w:tc>
          <w:tcPr>
            <w:tcW w:w="1649" w:type="dxa"/>
            <w:tcBorders>
              <w:top w:val="nil"/>
              <w:left w:val="nil"/>
              <w:bottom w:val="single" w:sz="4" w:space="0" w:color="auto"/>
              <w:right w:val="single" w:sz="4" w:space="0" w:color="auto"/>
            </w:tcBorders>
            <w:noWrap/>
            <w:vAlign w:val="bottom"/>
          </w:tcPr>
          <w:p w14:paraId="1382B4C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63A0F6E" w14:textId="77777777" w:rsidTr="003627DF">
        <w:trPr>
          <w:trHeight w:val="255"/>
        </w:trPr>
        <w:tc>
          <w:tcPr>
            <w:tcW w:w="7070" w:type="dxa"/>
            <w:tcBorders>
              <w:top w:val="nil"/>
              <w:left w:val="single" w:sz="4" w:space="0" w:color="auto"/>
              <w:bottom w:val="single" w:sz="4" w:space="0" w:color="auto"/>
              <w:right w:val="single" w:sz="4" w:space="0" w:color="auto"/>
            </w:tcBorders>
          </w:tcPr>
          <w:p w14:paraId="00F3444F" w14:textId="77777777" w:rsidR="00AD62CD" w:rsidRPr="00AD62CD" w:rsidRDefault="00AD62CD" w:rsidP="00AD62CD">
            <w:pPr>
              <w:spacing w:after="0" w:line="240" w:lineRule="auto"/>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634003 výdavky na poistenie</w:t>
            </w:r>
          </w:p>
        </w:tc>
        <w:tc>
          <w:tcPr>
            <w:tcW w:w="1430" w:type="dxa"/>
            <w:tcBorders>
              <w:top w:val="nil"/>
              <w:left w:val="nil"/>
              <w:bottom w:val="single" w:sz="4" w:space="0" w:color="auto"/>
              <w:right w:val="single" w:sz="4" w:space="0" w:color="auto"/>
            </w:tcBorders>
          </w:tcPr>
          <w:p w14:paraId="0F9039D5" w14:textId="77777777" w:rsidR="00AD62CD" w:rsidRPr="00AD62CD" w:rsidRDefault="00AD62CD" w:rsidP="00AD62CD">
            <w:pPr>
              <w:spacing w:after="0" w:line="240" w:lineRule="auto"/>
              <w:jc w:val="center"/>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2B075D86" w14:textId="77777777" w:rsidR="00AD62CD" w:rsidRPr="00AD62CD" w:rsidRDefault="00AD62CD" w:rsidP="00AD62CD">
            <w:pPr>
              <w:spacing w:after="0" w:line="240" w:lineRule="auto"/>
              <w:jc w:val="center"/>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152 000</w:t>
            </w:r>
          </w:p>
        </w:tc>
        <w:tc>
          <w:tcPr>
            <w:tcW w:w="1540" w:type="dxa"/>
            <w:tcBorders>
              <w:top w:val="nil"/>
              <w:left w:val="nil"/>
              <w:bottom w:val="single" w:sz="4" w:space="0" w:color="auto"/>
              <w:right w:val="single" w:sz="4" w:space="0" w:color="auto"/>
            </w:tcBorders>
          </w:tcPr>
          <w:p w14:paraId="549BA50C" w14:textId="77777777" w:rsidR="00AD62CD" w:rsidRPr="00AD62CD" w:rsidRDefault="00AD62CD" w:rsidP="00AD62CD">
            <w:pPr>
              <w:spacing w:after="0" w:line="240" w:lineRule="auto"/>
              <w:jc w:val="center"/>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204 000</w:t>
            </w:r>
          </w:p>
        </w:tc>
        <w:tc>
          <w:tcPr>
            <w:tcW w:w="1540" w:type="dxa"/>
            <w:tcBorders>
              <w:top w:val="nil"/>
              <w:left w:val="nil"/>
              <w:bottom w:val="single" w:sz="4" w:space="0" w:color="auto"/>
              <w:right w:val="single" w:sz="4" w:space="0" w:color="auto"/>
            </w:tcBorders>
          </w:tcPr>
          <w:p w14:paraId="7217AADD" w14:textId="77777777" w:rsidR="00AD62CD" w:rsidRPr="00AD62CD" w:rsidRDefault="00AD62CD" w:rsidP="00AD62CD">
            <w:pPr>
              <w:spacing w:after="0" w:line="240" w:lineRule="auto"/>
              <w:jc w:val="center"/>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213 000</w:t>
            </w:r>
          </w:p>
        </w:tc>
        <w:tc>
          <w:tcPr>
            <w:tcW w:w="1649" w:type="dxa"/>
            <w:tcBorders>
              <w:top w:val="nil"/>
              <w:left w:val="nil"/>
              <w:bottom w:val="single" w:sz="4" w:space="0" w:color="auto"/>
              <w:right w:val="single" w:sz="4" w:space="0" w:color="auto"/>
            </w:tcBorders>
            <w:noWrap/>
            <w:vAlign w:val="bottom"/>
          </w:tcPr>
          <w:p w14:paraId="1102DF38" w14:textId="77777777" w:rsidR="00AD62CD" w:rsidRPr="00AD62CD" w:rsidRDefault="00AD62CD" w:rsidP="00AD62CD">
            <w:pPr>
              <w:spacing w:after="0" w:line="240" w:lineRule="auto"/>
              <w:rPr>
                <w:rFonts w:ascii="Times New Roman" w:eastAsia="Times New Roman" w:hAnsi="Times New Roman" w:cs="Times New Roman"/>
                <w:i/>
                <w:iCs/>
                <w:kern w:val="0"/>
                <w:lang w:eastAsia="sk-SK"/>
                <w14:ligatures w14:val="none"/>
              </w:rPr>
            </w:pPr>
          </w:p>
        </w:tc>
      </w:tr>
      <w:tr w:rsidR="00AD62CD" w:rsidRPr="00AD62CD" w14:paraId="3E99A9E5" w14:textId="77777777" w:rsidTr="003627DF">
        <w:trPr>
          <w:trHeight w:val="255"/>
        </w:trPr>
        <w:tc>
          <w:tcPr>
            <w:tcW w:w="7070" w:type="dxa"/>
            <w:tcBorders>
              <w:top w:val="nil"/>
              <w:left w:val="single" w:sz="4" w:space="0" w:color="auto"/>
              <w:bottom w:val="single" w:sz="4" w:space="0" w:color="auto"/>
              <w:right w:val="single" w:sz="4" w:space="0" w:color="auto"/>
            </w:tcBorders>
          </w:tcPr>
          <w:p w14:paraId="6C6ECF9E"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Bežné transfery (640)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721FC66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80A32F5"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A51B20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B269167"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51A4E95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318EEB5"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28177B80"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Splácanie úrokov a ostatné platby súvisiace s </w:t>
            </w:r>
            <w:r w:rsidRPr="00AD62CD">
              <w:rPr>
                <w:rFonts w:ascii="Calibri" w:eastAsia="Calibri" w:hAnsi="Calibri" w:cs="Times New Roman"/>
                <w:kern w:val="0"/>
                <w:sz w:val="22"/>
                <w:szCs w:val="22"/>
                <w14:ligatures w14:val="none"/>
              </w:rPr>
              <w:t xml:space="preserve"> </w:t>
            </w:r>
            <w:r w:rsidRPr="00AD62CD">
              <w:rPr>
                <w:rFonts w:ascii="Times New Roman" w:eastAsia="Times New Roman" w:hAnsi="Times New Roman" w:cs="Times New Roman"/>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27E9B804"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C45351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6137434"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35D9A21"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38EE900C"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315C5006" w14:textId="77777777" w:rsidTr="003627DF">
        <w:trPr>
          <w:trHeight w:val="255"/>
        </w:trPr>
        <w:tc>
          <w:tcPr>
            <w:tcW w:w="7070" w:type="dxa"/>
            <w:tcBorders>
              <w:top w:val="nil"/>
              <w:left w:val="single" w:sz="4" w:space="0" w:color="auto"/>
              <w:bottom w:val="single" w:sz="4" w:space="0" w:color="auto"/>
              <w:right w:val="single" w:sz="4" w:space="0" w:color="auto"/>
            </w:tcBorders>
          </w:tcPr>
          <w:p w14:paraId="5E8A6121"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vAlign w:val="center"/>
          </w:tcPr>
          <w:p w14:paraId="7DBD24D9"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187 330</w:t>
            </w:r>
          </w:p>
        </w:tc>
        <w:tc>
          <w:tcPr>
            <w:tcW w:w="1650" w:type="dxa"/>
            <w:tcBorders>
              <w:top w:val="nil"/>
              <w:left w:val="nil"/>
              <w:bottom w:val="single" w:sz="4" w:space="0" w:color="auto"/>
              <w:right w:val="single" w:sz="4" w:space="0" w:color="auto"/>
            </w:tcBorders>
          </w:tcPr>
          <w:p w14:paraId="5C3B8E5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540" w:type="dxa"/>
            <w:tcBorders>
              <w:top w:val="nil"/>
              <w:left w:val="nil"/>
              <w:bottom w:val="single" w:sz="4" w:space="0" w:color="auto"/>
              <w:right w:val="single" w:sz="4" w:space="0" w:color="auto"/>
            </w:tcBorders>
          </w:tcPr>
          <w:p w14:paraId="73CFB26F"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540" w:type="dxa"/>
            <w:tcBorders>
              <w:top w:val="nil"/>
              <w:left w:val="nil"/>
              <w:bottom w:val="single" w:sz="4" w:space="0" w:color="auto"/>
              <w:right w:val="single" w:sz="4" w:space="0" w:color="auto"/>
            </w:tcBorders>
          </w:tcPr>
          <w:p w14:paraId="01FD339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649" w:type="dxa"/>
            <w:tcBorders>
              <w:top w:val="nil"/>
              <w:left w:val="nil"/>
              <w:bottom w:val="single" w:sz="4" w:space="0" w:color="auto"/>
              <w:right w:val="single" w:sz="4" w:space="0" w:color="auto"/>
            </w:tcBorders>
            <w:noWrap/>
            <w:vAlign w:val="bottom"/>
          </w:tcPr>
          <w:p w14:paraId="69B073E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6FFD1B4B" w14:textId="77777777" w:rsidTr="003627DF">
        <w:trPr>
          <w:trHeight w:val="255"/>
        </w:trPr>
        <w:tc>
          <w:tcPr>
            <w:tcW w:w="7070" w:type="dxa"/>
            <w:tcBorders>
              <w:top w:val="nil"/>
              <w:left w:val="single" w:sz="4" w:space="0" w:color="auto"/>
              <w:bottom w:val="single" w:sz="4" w:space="0" w:color="auto"/>
              <w:right w:val="single" w:sz="4" w:space="0" w:color="auto"/>
            </w:tcBorders>
          </w:tcPr>
          <w:p w14:paraId="3D76C980"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Obstarávanie kapitálových aktív (710)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111D0CB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187 330</w:t>
            </w:r>
          </w:p>
        </w:tc>
        <w:tc>
          <w:tcPr>
            <w:tcW w:w="1650" w:type="dxa"/>
            <w:tcBorders>
              <w:top w:val="nil"/>
              <w:left w:val="nil"/>
              <w:bottom w:val="single" w:sz="4" w:space="0" w:color="auto"/>
              <w:right w:val="single" w:sz="4" w:space="0" w:color="auto"/>
            </w:tcBorders>
          </w:tcPr>
          <w:p w14:paraId="227E955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D32F20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67CF4A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12C378C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0C46203" w14:textId="77777777" w:rsidTr="003627DF">
        <w:trPr>
          <w:trHeight w:val="255"/>
        </w:trPr>
        <w:tc>
          <w:tcPr>
            <w:tcW w:w="7070" w:type="dxa"/>
            <w:tcBorders>
              <w:top w:val="nil"/>
              <w:left w:val="single" w:sz="4" w:space="0" w:color="auto"/>
              <w:bottom w:val="single" w:sz="4" w:space="0" w:color="auto"/>
              <w:right w:val="single" w:sz="4" w:space="0" w:color="auto"/>
            </w:tcBorders>
          </w:tcPr>
          <w:p w14:paraId="5C0D0481"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Kapitálové transfery (720)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7A72B73B"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1DEC41A1"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B9E863F"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B90E0AC"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600812C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3BA98B5" w14:textId="77777777" w:rsidTr="003627DF">
        <w:trPr>
          <w:trHeight w:val="255"/>
        </w:trPr>
        <w:tc>
          <w:tcPr>
            <w:tcW w:w="7070" w:type="dxa"/>
            <w:tcBorders>
              <w:top w:val="nil"/>
              <w:left w:val="single" w:sz="4" w:space="0" w:color="auto"/>
              <w:bottom w:val="single" w:sz="4" w:space="0" w:color="auto"/>
              <w:right w:val="single" w:sz="4" w:space="0" w:color="auto"/>
            </w:tcBorders>
          </w:tcPr>
          <w:p w14:paraId="78F0D624"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4A54271A"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50" w:type="dxa"/>
            <w:tcBorders>
              <w:top w:val="nil"/>
              <w:left w:val="nil"/>
              <w:bottom w:val="single" w:sz="4" w:space="0" w:color="auto"/>
              <w:right w:val="single" w:sz="4" w:space="0" w:color="auto"/>
            </w:tcBorders>
            <w:shd w:val="clear" w:color="auto" w:fill="auto"/>
          </w:tcPr>
          <w:p w14:paraId="196CEC63"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540" w:type="dxa"/>
            <w:tcBorders>
              <w:top w:val="nil"/>
              <w:left w:val="nil"/>
              <w:bottom w:val="single" w:sz="4" w:space="0" w:color="auto"/>
              <w:right w:val="single" w:sz="4" w:space="0" w:color="auto"/>
            </w:tcBorders>
            <w:shd w:val="clear" w:color="auto" w:fill="auto"/>
          </w:tcPr>
          <w:p w14:paraId="02B54093"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540" w:type="dxa"/>
            <w:tcBorders>
              <w:top w:val="nil"/>
              <w:left w:val="nil"/>
              <w:bottom w:val="single" w:sz="4" w:space="0" w:color="auto"/>
              <w:right w:val="single" w:sz="4" w:space="0" w:color="auto"/>
            </w:tcBorders>
            <w:shd w:val="clear" w:color="auto" w:fill="auto"/>
          </w:tcPr>
          <w:p w14:paraId="7E7AFA20"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49" w:type="dxa"/>
            <w:tcBorders>
              <w:top w:val="nil"/>
              <w:left w:val="nil"/>
              <w:bottom w:val="single" w:sz="4" w:space="0" w:color="auto"/>
              <w:right w:val="single" w:sz="4" w:space="0" w:color="auto"/>
            </w:tcBorders>
            <w:noWrap/>
            <w:vAlign w:val="bottom"/>
          </w:tcPr>
          <w:p w14:paraId="4EDA9CB5"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66D17C19"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18812023"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2CBAA40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187 330</w:t>
            </w:r>
          </w:p>
        </w:tc>
        <w:tc>
          <w:tcPr>
            <w:tcW w:w="1650" w:type="dxa"/>
            <w:tcBorders>
              <w:top w:val="single" w:sz="4" w:space="0" w:color="auto"/>
              <w:left w:val="nil"/>
              <w:bottom w:val="single" w:sz="4" w:space="0" w:color="auto"/>
              <w:right w:val="single" w:sz="4" w:space="0" w:color="auto"/>
            </w:tcBorders>
            <w:shd w:val="clear" w:color="auto" w:fill="BFBFBF"/>
          </w:tcPr>
          <w:p w14:paraId="0F3354B2"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152 000</w:t>
            </w:r>
          </w:p>
        </w:tc>
        <w:tc>
          <w:tcPr>
            <w:tcW w:w="1540" w:type="dxa"/>
            <w:tcBorders>
              <w:top w:val="single" w:sz="4" w:space="0" w:color="auto"/>
              <w:left w:val="nil"/>
              <w:bottom w:val="single" w:sz="4" w:space="0" w:color="auto"/>
              <w:right w:val="single" w:sz="4" w:space="0" w:color="auto"/>
            </w:tcBorders>
            <w:shd w:val="clear" w:color="auto" w:fill="BFBFBF"/>
          </w:tcPr>
          <w:p w14:paraId="3F44F453"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204 000</w:t>
            </w:r>
          </w:p>
        </w:tc>
        <w:tc>
          <w:tcPr>
            <w:tcW w:w="1540" w:type="dxa"/>
            <w:tcBorders>
              <w:top w:val="single" w:sz="4" w:space="0" w:color="auto"/>
              <w:left w:val="nil"/>
              <w:bottom w:val="single" w:sz="4" w:space="0" w:color="auto"/>
              <w:right w:val="single" w:sz="4" w:space="0" w:color="auto"/>
            </w:tcBorders>
            <w:shd w:val="clear" w:color="auto" w:fill="BFBFBF"/>
          </w:tcPr>
          <w:p w14:paraId="535DEED1"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sz w:val="20"/>
                <w:lang w:eastAsia="sk-SK"/>
                <w14:ligatures w14:val="none"/>
              </w:rPr>
              <w:t>213 000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559F998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bl>
    <w:p w14:paraId="0D92C3CB"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526E0E20" w14:textId="77777777" w:rsidR="00AD62CD" w:rsidRPr="00AD62CD" w:rsidRDefault="00AD62CD" w:rsidP="00AD62CD">
      <w:pPr>
        <w:spacing w:after="200" w:line="276" w:lineRule="auto"/>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br w:type="page"/>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2837A105"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6320B11F"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7837E7BF"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obce</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13C2836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poznámka</w:t>
            </w:r>
          </w:p>
        </w:tc>
      </w:tr>
      <w:tr w:rsidR="00AD62CD" w:rsidRPr="00AD62CD" w14:paraId="26AF8CF6"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92902CC"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355D3EFA"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2025</w:t>
            </w:r>
          </w:p>
        </w:tc>
        <w:tc>
          <w:tcPr>
            <w:tcW w:w="1650" w:type="dxa"/>
            <w:tcBorders>
              <w:top w:val="nil"/>
              <w:left w:val="nil"/>
              <w:bottom w:val="single" w:sz="4" w:space="0" w:color="auto"/>
              <w:right w:val="single" w:sz="4" w:space="0" w:color="auto"/>
            </w:tcBorders>
            <w:shd w:val="clear" w:color="auto" w:fill="BFBFBF"/>
          </w:tcPr>
          <w:p w14:paraId="5545C1D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2026</w:t>
            </w:r>
          </w:p>
        </w:tc>
        <w:tc>
          <w:tcPr>
            <w:tcW w:w="1540" w:type="dxa"/>
            <w:tcBorders>
              <w:top w:val="nil"/>
              <w:left w:val="nil"/>
              <w:bottom w:val="single" w:sz="4" w:space="0" w:color="auto"/>
              <w:right w:val="single" w:sz="4" w:space="0" w:color="auto"/>
            </w:tcBorders>
            <w:shd w:val="clear" w:color="auto" w:fill="BFBFBF"/>
          </w:tcPr>
          <w:p w14:paraId="7029C70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2027</w:t>
            </w:r>
          </w:p>
        </w:tc>
        <w:tc>
          <w:tcPr>
            <w:tcW w:w="1540" w:type="dxa"/>
            <w:tcBorders>
              <w:top w:val="nil"/>
              <w:left w:val="nil"/>
              <w:bottom w:val="single" w:sz="4" w:space="0" w:color="auto"/>
              <w:right w:val="single" w:sz="4" w:space="0" w:color="auto"/>
            </w:tcBorders>
            <w:shd w:val="clear" w:color="auto" w:fill="BFBFBF"/>
          </w:tcPr>
          <w:p w14:paraId="0DC4DEF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54AA5C9B"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7B59EC5F" w14:textId="77777777" w:rsidTr="003627DF">
        <w:trPr>
          <w:trHeight w:val="255"/>
        </w:trPr>
        <w:tc>
          <w:tcPr>
            <w:tcW w:w="7070" w:type="dxa"/>
            <w:tcBorders>
              <w:top w:val="nil"/>
              <w:left w:val="single" w:sz="4" w:space="0" w:color="auto"/>
              <w:bottom w:val="single" w:sz="4" w:space="0" w:color="auto"/>
              <w:right w:val="single" w:sz="4" w:space="0" w:color="auto"/>
            </w:tcBorders>
          </w:tcPr>
          <w:p w14:paraId="37BF8D5D"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tcPr>
          <w:p w14:paraId="4A9EF403"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4F03FF0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304 000</w:t>
            </w:r>
          </w:p>
        </w:tc>
        <w:tc>
          <w:tcPr>
            <w:tcW w:w="1540" w:type="dxa"/>
            <w:tcBorders>
              <w:top w:val="nil"/>
              <w:left w:val="nil"/>
              <w:bottom w:val="single" w:sz="4" w:space="0" w:color="auto"/>
              <w:right w:val="single" w:sz="4" w:space="0" w:color="auto"/>
            </w:tcBorders>
          </w:tcPr>
          <w:p w14:paraId="675B13D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355 000</w:t>
            </w:r>
          </w:p>
        </w:tc>
        <w:tc>
          <w:tcPr>
            <w:tcW w:w="1540" w:type="dxa"/>
            <w:tcBorders>
              <w:top w:val="nil"/>
              <w:left w:val="nil"/>
              <w:bottom w:val="single" w:sz="4" w:space="0" w:color="auto"/>
              <w:right w:val="single" w:sz="4" w:space="0" w:color="auto"/>
            </w:tcBorders>
          </w:tcPr>
          <w:p w14:paraId="2C143130"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371 000</w:t>
            </w:r>
          </w:p>
        </w:tc>
        <w:tc>
          <w:tcPr>
            <w:tcW w:w="1649" w:type="dxa"/>
            <w:tcBorders>
              <w:top w:val="nil"/>
              <w:left w:val="nil"/>
              <w:bottom w:val="single" w:sz="4" w:space="0" w:color="auto"/>
              <w:right w:val="single" w:sz="4" w:space="0" w:color="auto"/>
            </w:tcBorders>
            <w:noWrap/>
            <w:vAlign w:val="bottom"/>
          </w:tcPr>
          <w:p w14:paraId="1DAFC65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13DEAD36" w14:textId="77777777" w:rsidTr="003627DF">
        <w:trPr>
          <w:trHeight w:val="255"/>
        </w:trPr>
        <w:tc>
          <w:tcPr>
            <w:tcW w:w="7070" w:type="dxa"/>
            <w:tcBorders>
              <w:top w:val="nil"/>
              <w:left w:val="single" w:sz="4" w:space="0" w:color="auto"/>
              <w:bottom w:val="single" w:sz="4" w:space="0" w:color="auto"/>
              <w:right w:val="single" w:sz="4" w:space="0" w:color="auto"/>
            </w:tcBorders>
          </w:tcPr>
          <w:p w14:paraId="43CDEBC0"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4DDA0CA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1252037"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851AFE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0D512AC"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093A125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68B1F757" w14:textId="77777777" w:rsidTr="003627DF">
        <w:trPr>
          <w:trHeight w:val="255"/>
        </w:trPr>
        <w:tc>
          <w:tcPr>
            <w:tcW w:w="7070" w:type="dxa"/>
            <w:tcBorders>
              <w:top w:val="nil"/>
              <w:left w:val="single" w:sz="4" w:space="0" w:color="auto"/>
              <w:bottom w:val="single" w:sz="4" w:space="0" w:color="auto"/>
              <w:right w:val="single" w:sz="4" w:space="0" w:color="auto"/>
            </w:tcBorders>
          </w:tcPr>
          <w:p w14:paraId="60A7BD88"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tcPr>
          <w:p w14:paraId="1E1EE27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21E3899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1211CF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E61571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575811DC"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73986103" w14:textId="77777777" w:rsidTr="003627DF">
        <w:trPr>
          <w:trHeight w:val="255"/>
        </w:trPr>
        <w:tc>
          <w:tcPr>
            <w:tcW w:w="7070" w:type="dxa"/>
            <w:tcBorders>
              <w:top w:val="nil"/>
              <w:left w:val="single" w:sz="4" w:space="0" w:color="auto"/>
              <w:bottom w:val="single" w:sz="4" w:space="0" w:color="auto"/>
              <w:right w:val="single" w:sz="4" w:space="0" w:color="auto"/>
            </w:tcBorders>
          </w:tcPr>
          <w:p w14:paraId="0E6ABD51"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Tovary a služby (630)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2FED97C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48E58956"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304 000</w:t>
            </w:r>
          </w:p>
        </w:tc>
        <w:tc>
          <w:tcPr>
            <w:tcW w:w="1540" w:type="dxa"/>
            <w:tcBorders>
              <w:top w:val="nil"/>
              <w:left w:val="nil"/>
              <w:bottom w:val="single" w:sz="4" w:space="0" w:color="auto"/>
              <w:right w:val="single" w:sz="4" w:space="0" w:color="auto"/>
            </w:tcBorders>
          </w:tcPr>
          <w:p w14:paraId="28D2775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355 000</w:t>
            </w:r>
          </w:p>
        </w:tc>
        <w:tc>
          <w:tcPr>
            <w:tcW w:w="1540" w:type="dxa"/>
            <w:tcBorders>
              <w:top w:val="nil"/>
              <w:left w:val="nil"/>
              <w:bottom w:val="single" w:sz="4" w:space="0" w:color="auto"/>
              <w:right w:val="single" w:sz="4" w:space="0" w:color="auto"/>
            </w:tcBorders>
          </w:tcPr>
          <w:p w14:paraId="2D3A23CC"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371 000</w:t>
            </w:r>
          </w:p>
        </w:tc>
        <w:tc>
          <w:tcPr>
            <w:tcW w:w="1649" w:type="dxa"/>
            <w:tcBorders>
              <w:top w:val="nil"/>
              <w:left w:val="nil"/>
              <w:bottom w:val="single" w:sz="4" w:space="0" w:color="auto"/>
              <w:right w:val="single" w:sz="4" w:space="0" w:color="auto"/>
            </w:tcBorders>
            <w:noWrap/>
            <w:vAlign w:val="bottom"/>
          </w:tcPr>
          <w:p w14:paraId="2A7C0A00"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463DDC92" w14:textId="77777777" w:rsidTr="003627DF">
        <w:trPr>
          <w:trHeight w:val="255"/>
        </w:trPr>
        <w:tc>
          <w:tcPr>
            <w:tcW w:w="7070" w:type="dxa"/>
            <w:tcBorders>
              <w:top w:val="nil"/>
              <w:left w:val="single" w:sz="4" w:space="0" w:color="auto"/>
              <w:bottom w:val="single" w:sz="4" w:space="0" w:color="auto"/>
              <w:right w:val="single" w:sz="4" w:space="0" w:color="auto"/>
            </w:tcBorders>
          </w:tcPr>
          <w:p w14:paraId="37CEA714" w14:textId="77777777" w:rsidR="00AD62CD" w:rsidRPr="00AD62CD" w:rsidRDefault="00AD62CD" w:rsidP="00AD62CD">
            <w:pPr>
              <w:spacing w:after="0" w:line="240" w:lineRule="auto"/>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634003 výdavky na poistenie</w:t>
            </w:r>
          </w:p>
        </w:tc>
        <w:tc>
          <w:tcPr>
            <w:tcW w:w="1430" w:type="dxa"/>
            <w:tcBorders>
              <w:top w:val="nil"/>
              <w:left w:val="nil"/>
              <w:bottom w:val="single" w:sz="4" w:space="0" w:color="auto"/>
              <w:right w:val="single" w:sz="4" w:space="0" w:color="auto"/>
            </w:tcBorders>
          </w:tcPr>
          <w:p w14:paraId="0DEC6ED4" w14:textId="77777777" w:rsidR="00AD62CD" w:rsidRPr="00AD62CD" w:rsidRDefault="00AD62CD" w:rsidP="00AD62CD">
            <w:pPr>
              <w:spacing w:after="0" w:line="240" w:lineRule="auto"/>
              <w:jc w:val="center"/>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42647636" w14:textId="77777777" w:rsidR="00AD62CD" w:rsidRPr="00AD62CD" w:rsidRDefault="00AD62CD" w:rsidP="00AD62CD">
            <w:pPr>
              <w:spacing w:after="0" w:line="240" w:lineRule="auto"/>
              <w:jc w:val="center"/>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304 000</w:t>
            </w:r>
          </w:p>
        </w:tc>
        <w:tc>
          <w:tcPr>
            <w:tcW w:w="1540" w:type="dxa"/>
            <w:tcBorders>
              <w:top w:val="nil"/>
              <w:left w:val="nil"/>
              <w:bottom w:val="single" w:sz="4" w:space="0" w:color="auto"/>
              <w:right w:val="single" w:sz="4" w:space="0" w:color="auto"/>
            </w:tcBorders>
          </w:tcPr>
          <w:p w14:paraId="2317BC20" w14:textId="77777777" w:rsidR="00AD62CD" w:rsidRPr="00AD62CD" w:rsidRDefault="00AD62CD" w:rsidP="00AD62CD">
            <w:pPr>
              <w:spacing w:after="0" w:line="240" w:lineRule="auto"/>
              <w:jc w:val="center"/>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355 000</w:t>
            </w:r>
          </w:p>
        </w:tc>
        <w:tc>
          <w:tcPr>
            <w:tcW w:w="1540" w:type="dxa"/>
            <w:tcBorders>
              <w:top w:val="nil"/>
              <w:left w:val="nil"/>
              <w:bottom w:val="single" w:sz="4" w:space="0" w:color="auto"/>
              <w:right w:val="single" w:sz="4" w:space="0" w:color="auto"/>
            </w:tcBorders>
          </w:tcPr>
          <w:p w14:paraId="6098EE8A" w14:textId="77777777" w:rsidR="00AD62CD" w:rsidRPr="00AD62CD" w:rsidRDefault="00AD62CD" w:rsidP="00AD62CD">
            <w:pPr>
              <w:spacing w:after="0" w:line="240" w:lineRule="auto"/>
              <w:jc w:val="center"/>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371 000</w:t>
            </w:r>
          </w:p>
        </w:tc>
        <w:tc>
          <w:tcPr>
            <w:tcW w:w="1649" w:type="dxa"/>
            <w:tcBorders>
              <w:top w:val="nil"/>
              <w:left w:val="nil"/>
              <w:bottom w:val="single" w:sz="4" w:space="0" w:color="auto"/>
              <w:right w:val="single" w:sz="4" w:space="0" w:color="auto"/>
            </w:tcBorders>
            <w:noWrap/>
            <w:vAlign w:val="bottom"/>
          </w:tcPr>
          <w:p w14:paraId="660418F2" w14:textId="77777777" w:rsidR="00AD62CD" w:rsidRPr="00AD62CD" w:rsidRDefault="00AD62CD" w:rsidP="00AD62CD">
            <w:pPr>
              <w:spacing w:after="0" w:line="240" w:lineRule="auto"/>
              <w:rPr>
                <w:rFonts w:ascii="Times New Roman" w:eastAsia="Times New Roman" w:hAnsi="Times New Roman" w:cs="Times New Roman"/>
                <w:i/>
                <w:iCs/>
                <w:kern w:val="0"/>
                <w:lang w:eastAsia="sk-SK"/>
                <w14:ligatures w14:val="none"/>
              </w:rPr>
            </w:pPr>
          </w:p>
        </w:tc>
      </w:tr>
      <w:tr w:rsidR="00AD62CD" w:rsidRPr="00AD62CD" w14:paraId="2A0BBD3E" w14:textId="77777777" w:rsidTr="003627DF">
        <w:trPr>
          <w:trHeight w:val="255"/>
        </w:trPr>
        <w:tc>
          <w:tcPr>
            <w:tcW w:w="7070" w:type="dxa"/>
            <w:tcBorders>
              <w:top w:val="nil"/>
              <w:left w:val="single" w:sz="4" w:space="0" w:color="auto"/>
              <w:bottom w:val="single" w:sz="4" w:space="0" w:color="auto"/>
              <w:right w:val="single" w:sz="4" w:space="0" w:color="auto"/>
            </w:tcBorders>
          </w:tcPr>
          <w:p w14:paraId="4E43B304"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Bežné transfery (640)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16378276"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6A94B2D2"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59D06D7"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41C5D2A"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5F2F062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DA0BF40"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1F67BA68"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Splácanie úrokov a ostatné platby súvisiace s </w:t>
            </w:r>
            <w:r w:rsidRPr="00AD62CD">
              <w:rPr>
                <w:rFonts w:ascii="Calibri" w:eastAsia="Calibri" w:hAnsi="Calibri" w:cs="Times New Roman"/>
                <w:kern w:val="0"/>
                <w:sz w:val="22"/>
                <w:szCs w:val="22"/>
                <w14:ligatures w14:val="none"/>
              </w:rPr>
              <w:t xml:space="preserve"> </w:t>
            </w:r>
            <w:r w:rsidRPr="00AD62CD">
              <w:rPr>
                <w:rFonts w:ascii="Times New Roman" w:eastAsia="Times New Roman" w:hAnsi="Times New Roman" w:cs="Times New Roman"/>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6966FB2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2EBECD8F"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8E0A31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CDE8A45"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506B40C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72574D20" w14:textId="77777777" w:rsidTr="003627DF">
        <w:trPr>
          <w:trHeight w:val="255"/>
        </w:trPr>
        <w:tc>
          <w:tcPr>
            <w:tcW w:w="7070" w:type="dxa"/>
            <w:tcBorders>
              <w:top w:val="nil"/>
              <w:left w:val="single" w:sz="4" w:space="0" w:color="auto"/>
              <w:bottom w:val="single" w:sz="4" w:space="0" w:color="auto"/>
              <w:right w:val="single" w:sz="4" w:space="0" w:color="auto"/>
            </w:tcBorders>
          </w:tcPr>
          <w:p w14:paraId="5AD5D37D"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tcPr>
          <w:p w14:paraId="581F4910"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342BECF"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729ED66D"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294FB8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38821B1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BD3D62F" w14:textId="77777777" w:rsidTr="003627DF">
        <w:trPr>
          <w:trHeight w:val="255"/>
        </w:trPr>
        <w:tc>
          <w:tcPr>
            <w:tcW w:w="7070" w:type="dxa"/>
            <w:tcBorders>
              <w:top w:val="nil"/>
              <w:left w:val="single" w:sz="4" w:space="0" w:color="auto"/>
              <w:bottom w:val="single" w:sz="4" w:space="0" w:color="auto"/>
              <w:right w:val="single" w:sz="4" w:space="0" w:color="auto"/>
            </w:tcBorders>
          </w:tcPr>
          <w:p w14:paraId="1A36AECD"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Obstarávanie kapitálových aktív (710)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3EDCB0C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3376DF58"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72630204"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B51457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57E3DE4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042BC374" w14:textId="77777777" w:rsidTr="003627DF">
        <w:trPr>
          <w:trHeight w:val="255"/>
        </w:trPr>
        <w:tc>
          <w:tcPr>
            <w:tcW w:w="7070" w:type="dxa"/>
            <w:tcBorders>
              <w:top w:val="nil"/>
              <w:left w:val="single" w:sz="4" w:space="0" w:color="auto"/>
              <w:bottom w:val="single" w:sz="4" w:space="0" w:color="auto"/>
              <w:right w:val="single" w:sz="4" w:space="0" w:color="auto"/>
            </w:tcBorders>
          </w:tcPr>
          <w:p w14:paraId="68CCBB56"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Kapitálové transfery (720)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113BD286"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3F0810F5"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37F5C46"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803B808"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01B7D324"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41E28CFF" w14:textId="77777777" w:rsidTr="003627DF">
        <w:trPr>
          <w:trHeight w:val="255"/>
        </w:trPr>
        <w:tc>
          <w:tcPr>
            <w:tcW w:w="7070" w:type="dxa"/>
            <w:tcBorders>
              <w:top w:val="nil"/>
              <w:left w:val="single" w:sz="4" w:space="0" w:color="auto"/>
              <w:bottom w:val="single" w:sz="4" w:space="0" w:color="auto"/>
              <w:right w:val="single" w:sz="4" w:space="0" w:color="auto"/>
            </w:tcBorders>
          </w:tcPr>
          <w:p w14:paraId="1DF5F58A"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7FD962AC"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50" w:type="dxa"/>
            <w:tcBorders>
              <w:top w:val="nil"/>
              <w:left w:val="nil"/>
              <w:bottom w:val="single" w:sz="4" w:space="0" w:color="auto"/>
              <w:right w:val="single" w:sz="4" w:space="0" w:color="auto"/>
            </w:tcBorders>
            <w:shd w:val="clear" w:color="auto" w:fill="auto"/>
          </w:tcPr>
          <w:p w14:paraId="51AB503D"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540" w:type="dxa"/>
            <w:tcBorders>
              <w:top w:val="nil"/>
              <w:left w:val="nil"/>
              <w:bottom w:val="single" w:sz="4" w:space="0" w:color="auto"/>
              <w:right w:val="single" w:sz="4" w:space="0" w:color="auto"/>
            </w:tcBorders>
            <w:shd w:val="clear" w:color="auto" w:fill="auto"/>
          </w:tcPr>
          <w:p w14:paraId="34321E09"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540" w:type="dxa"/>
            <w:tcBorders>
              <w:top w:val="nil"/>
              <w:left w:val="nil"/>
              <w:bottom w:val="single" w:sz="4" w:space="0" w:color="auto"/>
              <w:right w:val="single" w:sz="4" w:space="0" w:color="auto"/>
            </w:tcBorders>
            <w:shd w:val="clear" w:color="auto" w:fill="auto"/>
          </w:tcPr>
          <w:p w14:paraId="01B70C00"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49" w:type="dxa"/>
            <w:tcBorders>
              <w:top w:val="nil"/>
              <w:left w:val="nil"/>
              <w:bottom w:val="single" w:sz="4" w:space="0" w:color="auto"/>
              <w:right w:val="single" w:sz="4" w:space="0" w:color="auto"/>
            </w:tcBorders>
            <w:noWrap/>
            <w:vAlign w:val="bottom"/>
          </w:tcPr>
          <w:p w14:paraId="66540F79"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7DDC7FF9"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2B47DCAB"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7EE9514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650" w:type="dxa"/>
            <w:tcBorders>
              <w:top w:val="single" w:sz="4" w:space="0" w:color="auto"/>
              <w:left w:val="nil"/>
              <w:bottom w:val="single" w:sz="4" w:space="0" w:color="auto"/>
              <w:right w:val="single" w:sz="4" w:space="0" w:color="auto"/>
            </w:tcBorders>
            <w:shd w:val="clear" w:color="auto" w:fill="BFBFBF"/>
          </w:tcPr>
          <w:p w14:paraId="57E003BB"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304 000</w:t>
            </w:r>
          </w:p>
        </w:tc>
        <w:tc>
          <w:tcPr>
            <w:tcW w:w="1540" w:type="dxa"/>
            <w:tcBorders>
              <w:top w:val="single" w:sz="4" w:space="0" w:color="auto"/>
              <w:left w:val="nil"/>
              <w:bottom w:val="single" w:sz="4" w:space="0" w:color="auto"/>
              <w:right w:val="single" w:sz="4" w:space="0" w:color="auto"/>
            </w:tcBorders>
            <w:shd w:val="clear" w:color="auto" w:fill="BFBFBF"/>
          </w:tcPr>
          <w:p w14:paraId="47FC0F59"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355 000</w:t>
            </w:r>
          </w:p>
        </w:tc>
        <w:tc>
          <w:tcPr>
            <w:tcW w:w="1540" w:type="dxa"/>
            <w:tcBorders>
              <w:top w:val="single" w:sz="4" w:space="0" w:color="auto"/>
              <w:left w:val="nil"/>
              <w:bottom w:val="single" w:sz="4" w:space="0" w:color="auto"/>
              <w:right w:val="single" w:sz="4" w:space="0" w:color="auto"/>
            </w:tcBorders>
            <w:shd w:val="clear" w:color="auto" w:fill="BFBFBF"/>
          </w:tcPr>
          <w:p w14:paraId="2BE5B12F"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sz w:val="20"/>
                <w:lang w:eastAsia="sk-SK"/>
                <w14:ligatures w14:val="none"/>
              </w:rPr>
              <w:t>371 000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25CB2879"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bl>
    <w:p w14:paraId="0F266161"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4E728BB2" w14:textId="77777777" w:rsidR="00AD62CD" w:rsidRPr="00AD62CD" w:rsidRDefault="00AD62CD" w:rsidP="00AD62CD">
      <w:pPr>
        <w:spacing w:after="200" w:line="276" w:lineRule="auto"/>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br w:type="page"/>
      </w:r>
    </w:p>
    <w:p w14:paraId="1B66141E"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1FF9C0F8"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361E7E5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4AE0C4D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VÚC</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2BEC36A9"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poznámka</w:t>
            </w:r>
          </w:p>
        </w:tc>
      </w:tr>
      <w:tr w:rsidR="00AD62CD" w:rsidRPr="00AD62CD" w14:paraId="1DC1D2DD"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B6CC030"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2615BFF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2025</w:t>
            </w:r>
          </w:p>
        </w:tc>
        <w:tc>
          <w:tcPr>
            <w:tcW w:w="1650" w:type="dxa"/>
            <w:tcBorders>
              <w:top w:val="nil"/>
              <w:left w:val="nil"/>
              <w:bottom w:val="single" w:sz="4" w:space="0" w:color="auto"/>
              <w:right w:val="single" w:sz="4" w:space="0" w:color="auto"/>
            </w:tcBorders>
            <w:shd w:val="clear" w:color="auto" w:fill="BFBFBF"/>
          </w:tcPr>
          <w:p w14:paraId="2B7227FF"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2026</w:t>
            </w:r>
          </w:p>
        </w:tc>
        <w:tc>
          <w:tcPr>
            <w:tcW w:w="1540" w:type="dxa"/>
            <w:tcBorders>
              <w:top w:val="nil"/>
              <w:left w:val="nil"/>
              <w:bottom w:val="single" w:sz="4" w:space="0" w:color="auto"/>
              <w:right w:val="single" w:sz="4" w:space="0" w:color="auto"/>
            </w:tcBorders>
            <w:shd w:val="clear" w:color="auto" w:fill="BFBFBF"/>
          </w:tcPr>
          <w:p w14:paraId="55751D2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2027</w:t>
            </w:r>
          </w:p>
        </w:tc>
        <w:tc>
          <w:tcPr>
            <w:tcW w:w="1540" w:type="dxa"/>
            <w:tcBorders>
              <w:top w:val="nil"/>
              <w:left w:val="nil"/>
              <w:bottom w:val="single" w:sz="4" w:space="0" w:color="auto"/>
              <w:right w:val="single" w:sz="4" w:space="0" w:color="auto"/>
            </w:tcBorders>
            <w:shd w:val="clear" w:color="auto" w:fill="BFBFBF"/>
          </w:tcPr>
          <w:p w14:paraId="08EB5D5F"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4869CBF2"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3361AE77" w14:textId="77777777" w:rsidTr="003627DF">
        <w:trPr>
          <w:trHeight w:val="255"/>
        </w:trPr>
        <w:tc>
          <w:tcPr>
            <w:tcW w:w="7070" w:type="dxa"/>
            <w:tcBorders>
              <w:top w:val="nil"/>
              <w:left w:val="single" w:sz="4" w:space="0" w:color="auto"/>
              <w:bottom w:val="single" w:sz="4" w:space="0" w:color="auto"/>
              <w:right w:val="single" w:sz="4" w:space="0" w:color="auto"/>
            </w:tcBorders>
          </w:tcPr>
          <w:p w14:paraId="2FC33ADC"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tcPr>
          <w:p w14:paraId="6FB5C3D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2B26F89B"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72 000</w:t>
            </w:r>
          </w:p>
        </w:tc>
        <w:tc>
          <w:tcPr>
            <w:tcW w:w="1540" w:type="dxa"/>
            <w:tcBorders>
              <w:top w:val="nil"/>
              <w:left w:val="nil"/>
              <w:bottom w:val="single" w:sz="4" w:space="0" w:color="auto"/>
              <w:right w:val="single" w:sz="4" w:space="0" w:color="auto"/>
            </w:tcBorders>
          </w:tcPr>
          <w:p w14:paraId="111C228F"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83 000</w:t>
            </w:r>
          </w:p>
        </w:tc>
        <w:tc>
          <w:tcPr>
            <w:tcW w:w="1540" w:type="dxa"/>
            <w:tcBorders>
              <w:top w:val="nil"/>
              <w:left w:val="nil"/>
              <w:bottom w:val="single" w:sz="4" w:space="0" w:color="auto"/>
              <w:right w:val="single" w:sz="4" w:space="0" w:color="auto"/>
            </w:tcBorders>
          </w:tcPr>
          <w:p w14:paraId="7F66900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87 000</w:t>
            </w:r>
          </w:p>
        </w:tc>
        <w:tc>
          <w:tcPr>
            <w:tcW w:w="1649" w:type="dxa"/>
            <w:tcBorders>
              <w:top w:val="nil"/>
              <w:left w:val="nil"/>
              <w:bottom w:val="single" w:sz="4" w:space="0" w:color="auto"/>
              <w:right w:val="single" w:sz="4" w:space="0" w:color="auto"/>
            </w:tcBorders>
            <w:noWrap/>
            <w:vAlign w:val="bottom"/>
          </w:tcPr>
          <w:p w14:paraId="1CB052B5"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1F530E74" w14:textId="77777777" w:rsidTr="003627DF">
        <w:trPr>
          <w:trHeight w:val="255"/>
        </w:trPr>
        <w:tc>
          <w:tcPr>
            <w:tcW w:w="7070" w:type="dxa"/>
            <w:tcBorders>
              <w:top w:val="nil"/>
              <w:left w:val="single" w:sz="4" w:space="0" w:color="auto"/>
              <w:bottom w:val="single" w:sz="4" w:space="0" w:color="auto"/>
              <w:right w:val="single" w:sz="4" w:space="0" w:color="auto"/>
            </w:tcBorders>
          </w:tcPr>
          <w:p w14:paraId="456ED45C"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47D5B20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6C1C7463"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AA9E7B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32BF53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4869D66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7DC06BDA" w14:textId="77777777" w:rsidTr="003627DF">
        <w:trPr>
          <w:trHeight w:val="255"/>
        </w:trPr>
        <w:tc>
          <w:tcPr>
            <w:tcW w:w="7070" w:type="dxa"/>
            <w:tcBorders>
              <w:top w:val="nil"/>
              <w:left w:val="single" w:sz="4" w:space="0" w:color="auto"/>
              <w:bottom w:val="single" w:sz="4" w:space="0" w:color="auto"/>
              <w:right w:val="single" w:sz="4" w:space="0" w:color="auto"/>
            </w:tcBorders>
          </w:tcPr>
          <w:p w14:paraId="505E4B3C"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tcPr>
          <w:p w14:paraId="4C79277F"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5EECFFC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51DBB41"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0A5826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0888A8C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9313F75" w14:textId="77777777" w:rsidTr="003627DF">
        <w:trPr>
          <w:trHeight w:val="255"/>
        </w:trPr>
        <w:tc>
          <w:tcPr>
            <w:tcW w:w="7070" w:type="dxa"/>
            <w:tcBorders>
              <w:top w:val="nil"/>
              <w:left w:val="single" w:sz="4" w:space="0" w:color="auto"/>
              <w:bottom w:val="single" w:sz="4" w:space="0" w:color="auto"/>
              <w:right w:val="single" w:sz="4" w:space="0" w:color="auto"/>
            </w:tcBorders>
          </w:tcPr>
          <w:p w14:paraId="59F690EA"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Tovary a služby (630)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632251A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36A24131"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72 000</w:t>
            </w:r>
          </w:p>
        </w:tc>
        <w:tc>
          <w:tcPr>
            <w:tcW w:w="1540" w:type="dxa"/>
            <w:tcBorders>
              <w:top w:val="nil"/>
              <w:left w:val="nil"/>
              <w:bottom w:val="single" w:sz="4" w:space="0" w:color="auto"/>
              <w:right w:val="single" w:sz="4" w:space="0" w:color="auto"/>
            </w:tcBorders>
          </w:tcPr>
          <w:p w14:paraId="09ABB505"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83 000</w:t>
            </w:r>
          </w:p>
        </w:tc>
        <w:tc>
          <w:tcPr>
            <w:tcW w:w="1540" w:type="dxa"/>
            <w:tcBorders>
              <w:top w:val="nil"/>
              <w:left w:val="nil"/>
              <w:bottom w:val="single" w:sz="4" w:space="0" w:color="auto"/>
              <w:right w:val="single" w:sz="4" w:space="0" w:color="auto"/>
            </w:tcBorders>
          </w:tcPr>
          <w:p w14:paraId="1B4C277B"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87 000</w:t>
            </w:r>
          </w:p>
        </w:tc>
        <w:tc>
          <w:tcPr>
            <w:tcW w:w="1649" w:type="dxa"/>
            <w:tcBorders>
              <w:top w:val="nil"/>
              <w:left w:val="nil"/>
              <w:bottom w:val="single" w:sz="4" w:space="0" w:color="auto"/>
              <w:right w:val="single" w:sz="4" w:space="0" w:color="auto"/>
            </w:tcBorders>
            <w:noWrap/>
            <w:vAlign w:val="bottom"/>
          </w:tcPr>
          <w:p w14:paraId="5393690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780AAFDF" w14:textId="77777777" w:rsidTr="003627DF">
        <w:trPr>
          <w:trHeight w:val="255"/>
        </w:trPr>
        <w:tc>
          <w:tcPr>
            <w:tcW w:w="7070" w:type="dxa"/>
            <w:tcBorders>
              <w:top w:val="nil"/>
              <w:left w:val="single" w:sz="4" w:space="0" w:color="auto"/>
              <w:bottom w:val="single" w:sz="4" w:space="0" w:color="auto"/>
              <w:right w:val="single" w:sz="4" w:space="0" w:color="auto"/>
            </w:tcBorders>
          </w:tcPr>
          <w:p w14:paraId="515C4664" w14:textId="77777777" w:rsidR="00AD62CD" w:rsidRPr="00AD62CD" w:rsidRDefault="00AD62CD" w:rsidP="00AD62CD">
            <w:pPr>
              <w:spacing w:after="0" w:line="240" w:lineRule="auto"/>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634003 výdavky na poistenie</w:t>
            </w:r>
          </w:p>
        </w:tc>
        <w:tc>
          <w:tcPr>
            <w:tcW w:w="1430" w:type="dxa"/>
            <w:tcBorders>
              <w:top w:val="nil"/>
              <w:left w:val="nil"/>
              <w:bottom w:val="single" w:sz="4" w:space="0" w:color="auto"/>
              <w:right w:val="single" w:sz="4" w:space="0" w:color="auto"/>
            </w:tcBorders>
          </w:tcPr>
          <w:p w14:paraId="5C0550D4" w14:textId="77777777" w:rsidR="00AD62CD" w:rsidRPr="00AD62CD" w:rsidRDefault="00AD62CD" w:rsidP="00AD62CD">
            <w:pPr>
              <w:spacing w:after="0" w:line="240" w:lineRule="auto"/>
              <w:jc w:val="center"/>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52FAC170" w14:textId="77777777" w:rsidR="00AD62CD" w:rsidRPr="00AD62CD" w:rsidRDefault="00AD62CD" w:rsidP="00AD62CD">
            <w:pPr>
              <w:spacing w:after="0" w:line="240" w:lineRule="auto"/>
              <w:jc w:val="center"/>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72 000</w:t>
            </w:r>
          </w:p>
        </w:tc>
        <w:tc>
          <w:tcPr>
            <w:tcW w:w="1540" w:type="dxa"/>
            <w:tcBorders>
              <w:top w:val="nil"/>
              <w:left w:val="nil"/>
              <w:bottom w:val="single" w:sz="4" w:space="0" w:color="auto"/>
              <w:right w:val="single" w:sz="4" w:space="0" w:color="auto"/>
            </w:tcBorders>
          </w:tcPr>
          <w:p w14:paraId="78DBB928" w14:textId="77777777" w:rsidR="00AD62CD" w:rsidRPr="00AD62CD" w:rsidRDefault="00AD62CD" w:rsidP="00AD62CD">
            <w:pPr>
              <w:spacing w:after="0" w:line="240" w:lineRule="auto"/>
              <w:jc w:val="center"/>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83 000</w:t>
            </w:r>
          </w:p>
        </w:tc>
        <w:tc>
          <w:tcPr>
            <w:tcW w:w="1540" w:type="dxa"/>
            <w:tcBorders>
              <w:top w:val="nil"/>
              <w:left w:val="nil"/>
              <w:bottom w:val="single" w:sz="4" w:space="0" w:color="auto"/>
              <w:right w:val="single" w:sz="4" w:space="0" w:color="auto"/>
            </w:tcBorders>
          </w:tcPr>
          <w:p w14:paraId="205B1AB6" w14:textId="77777777" w:rsidR="00AD62CD" w:rsidRPr="00AD62CD" w:rsidRDefault="00AD62CD" w:rsidP="00AD62CD">
            <w:pPr>
              <w:spacing w:after="0" w:line="240" w:lineRule="auto"/>
              <w:jc w:val="center"/>
              <w:rPr>
                <w:rFonts w:ascii="Times New Roman" w:eastAsia="Times New Roman" w:hAnsi="Times New Roman" w:cs="Times New Roman"/>
                <w:i/>
                <w:iCs/>
                <w:kern w:val="0"/>
                <w:sz w:val="20"/>
                <w:szCs w:val="20"/>
                <w:lang w:eastAsia="sk-SK"/>
                <w14:ligatures w14:val="none"/>
              </w:rPr>
            </w:pPr>
            <w:r w:rsidRPr="00AD62CD">
              <w:rPr>
                <w:rFonts w:ascii="Times New Roman" w:eastAsia="Times New Roman" w:hAnsi="Times New Roman" w:cs="Times New Roman"/>
                <w:i/>
                <w:iCs/>
                <w:kern w:val="0"/>
                <w:sz w:val="20"/>
                <w:szCs w:val="20"/>
                <w:lang w:eastAsia="sk-SK"/>
                <w14:ligatures w14:val="none"/>
              </w:rPr>
              <w:t>87 000</w:t>
            </w:r>
          </w:p>
        </w:tc>
        <w:tc>
          <w:tcPr>
            <w:tcW w:w="1649" w:type="dxa"/>
            <w:tcBorders>
              <w:top w:val="nil"/>
              <w:left w:val="nil"/>
              <w:bottom w:val="single" w:sz="4" w:space="0" w:color="auto"/>
              <w:right w:val="single" w:sz="4" w:space="0" w:color="auto"/>
            </w:tcBorders>
            <w:noWrap/>
            <w:vAlign w:val="bottom"/>
          </w:tcPr>
          <w:p w14:paraId="621C703D" w14:textId="77777777" w:rsidR="00AD62CD" w:rsidRPr="00AD62CD" w:rsidRDefault="00AD62CD" w:rsidP="00AD62CD">
            <w:pPr>
              <w:spacing w:after="0" w:line="240" w:lineRule="auto"/>
              <w:rPr>
                <w:rFonts w:ascii="Times New Roman" w:eastAsia="Times New Roman" w:hAnsi="Times New Roman" w:cs="Times New Roman"/>
                <w:i/>
                <w:iCs/>
                <w:kern w:val="0"/>
                <w:lang w:eastAsia="sk-SK"/>
                <w14:ligatures w14:val="none"/>
              </w:rPr>
            </w:pPr>
          </w:p>
        </w:tc>
      </w:tr>
      <w:tr w:rsidR="00AD62CD" w:rsidRPr="00AD62CD" w14:paraId="1B709964" w14:textId="77777777" w:rsidTr="003627DF">
        <w:trPr>
          <w:trHeight w:val="255"/>
        </w:trPr>
        <w:tc>
          <w:tcPr>
            <w:tcW w:w="7070" w:type="dxa"/>
            <w:tcBorders>
              <w:top w:val="nil"/>
              <w:left w:val="single" w:sz="4" w:space="0" w:color="auto"/>
              <w:bottom w:val="single" w:sz="4" w:space="0" w:color="auto"/>
              <w:right w:val="single" w:sz="4" w:space="0" w:color="auto"/>
            </w:tcBorders>
          </w:tcPr>
          <w:p w14:paraId="4D09E470"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Bežné transfery (640)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0F8D8238"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2C9568A"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109CED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04FE3DF"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03E5A17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49A0B379"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49B96386"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Splácanie úrokov a ostatné platby súvisiace s </w:t>
            </w:r>
            <w:r w:rsidRPr="00AD62CD">
              <w:rPr>
                <w:rFonts w:ascii="Calibri" w:eastAsia="Calibri" w:hAnsi="Calibri" w:cs="Times New Roman"/>
                <w:kern w:val="0"/>
                <w:sz w:val="22"/>
                <w:szCs w:val="22"/>
                <w14:ligatures w14:val="none"/>
              </w:rPr>
              <w:t xml:space="preserve"> </w:t>
            </w:r>
            <w:r w:rsidRPr="00AD62CD">
              <w:rPr>
                <w:rFonts w:ascii="Times New Roman" w:eastAsia="Times New Roman" w:hAnsi="Times New Roman" w:cs="Times New Roman"/>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682BEF7B"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788F3FC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A8EF6C2"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99D4A51"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3238D719"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7B46B639" w14:textId="77777777" w:rsidTr="003627DF">
        <w:trPr>
          <w:trHeight w:val="255"/>
        </w:trPr>
        <w:tc>
          <w:tcPr>
            <w:tcW w:w="7070" w:type="dxa"/>
            <w:tcBorders>
              <w:top w:val="nil"/>
              <w:left w:val="single" w:sz="4" w:space="0" w:color="auto"/>
              <w:bottom w:val="single" w:sz="4" w:space="0" w:color="auto"/>
              <w:right w:val="single" w:sz="4" w:space="0" w:color="auto"/>
            </w:tcBorders>
          </w:tcPr>
          <w:p w14:paraId="3511F72F"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tcPr>
          <w:p w14:paraId="0D4491D5"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1A9B3DFF"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0A61A28"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F46450E"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15D3D95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65E9A37" w14:textId="77777777" w:rsidTr="003627DF">
        <w:trPr>
          <w:trHeight w:val="255"/>
        </w:trPr>
        <w:tc>
          <w:tcPr>
            <w:tcW w:w="7070" w:type="dxa"/>
            <w:tcBorders>
              <w:top w:val="nil"/>
              <w:left w:val="single" w:sz="4" w:space="0" w:color="auto"/>
              <w:bottom w:val="single" w:sz="4" w:space="0" w:color="auto"/>
              <w:right w:val="single" w:sz="4" w:space="0" w:color="auto"/>
            </w:tcBorders>
          </w:tcPr>
          <w:p w14:paraId="62C9A90F"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Obstarávanie kapitálových aktív (710)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6D678421"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3744E478"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8FD9A72"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41AF2DC"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78E3CDE4"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074C9D24" w14:textId="77777777" w:rsidTr="003627DF">
        <w:trPr>
          <w:trHeight w:val="255"/>
        </w:trPr>
        <w:tc>
          <w:tcPr>
            <w:tcW w:w="7070" w:type="dxa"/>
            <w:tcBorders>
              <w:top w:val="nil"/>
              <w:left w:val="single" w:sz="4" w:space="0" w:color="auto"/>
              <w:bottom w:val="single" w:sz="4" w:space="0" w:color="auto"/>
              <w:right w:val="single" w:sz="4" w:space="0" w:color="auto"/>
            </w:tcBorders>
          </w:tcPr>
          <w:p w14:paraId="064F0986"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Kapitálové transfery (720)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212D0F7B"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58B7A531"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8493BE5"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C8B73AB"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1CE138CC"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267C572C" w14:textId="77777777" w:rsidTr="003627DF">
        <w:trPr>
          <w:trHeight w:val="255"/>
        </w:trPr>
        <w:tc>
          <w:tcPr>
            <w:tcW w:w="7070" w:type="dxa"/>
            <w:tcBorders>
              <w:top w:val="nil"/>
              <w:left w:val="single" w:sz="4" w:space="0" w:color="auto"/>
              <w:bottom w:val="single" w:sz="4" w:space="0" w:color="auto"/>
              <w:right w:val="single" w:sz="4" w:space="0" w:color="auto"/>
            </w:tcBorders>
          </w:tcPr>
          <w:p w14:paraId="213515F1"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0C978A4F"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50" w:type="dxa"/>
            <w:tcBorders>
              <w:top w:val="nil"/>
              <w:left w:val="nil"/>
              <w:bottom w:val="single" w:sz="4" w:space="0" w:color="auto"/>
              <w:right w:val="single" w:sz="4" w:space="0" w:color="auto"/>
            </w:tcBorders>
            <w:shd w:val="clear" w:color="auto" w:fill="auto"/>
          </w:tcPr>
          <w:p w14:paraId="2CA19E5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540" w:type="dxa"/>
            <w:tcBorders>
              <w:top w:val="nil"/>
              <w:left w:val="nil"/>
              <w:bottom w:val="single" w:sz="4" w:space="0" w:color="auto"/>
              <w:right w:val="single" w:sz="4" w:space="0" w:color="auto"/>
            </w:tcBorders>
            <w:shd w:val="clear" w:color="auto" w:fill="auto"/>
          </w:tcPr>
          <w:p w14:paraId="4F4343F2"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540" w:type="dxa"/>
            <w:tcBorders>
              <w:top w:val="nil"/>
              <w:left w:val="nil"/>
              <w:bottom w:val="single" w:sz="4" w:space="0" w:color="auto"/>
              <w:right w:val="single" w:sz="4" w:space="0" w:color="auto"/>
            </w:tcBorders>
            <w:shd w:val="clear" w:color="auto" w:fill="auto"/>
          </w:tcPr>
          <w:p w14:paraId="62926F6E"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49" w:type="dxa"/>
            <w:tcBorders>
              <w:top w:val="nil"/>
              <w:left w:val="nil"/>
              <w:bottom w:val="single" w:sz="4" w:space="0" w:color="auto"/>
              <w:right w:val="single" w:sz="4" w:space="0" w:color="auto"/>
            </w:tcBorders>
            <w:noWrap/>
            <w:vAlign w:val="bottom"/>
          </w:tcPr>
          <w:p w14:paraId="26C9CAF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D960CF1"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0B290CFA"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40E38C1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650" w:type="dxa"/>
            <w:tcBorders>
              <w:top w:val="single" w:sz="4" w:space="0" w:color="auto"/>
              <w:left w:val="nil"/>
              <w:bottom w:val="single" w:sz="4" w:space="0" w:color="auto"/>
              <w:right w:val="single" w:sz="4" w:space="0" w:color="auto"/>
            </w:tcBorders>
            <w:shd w:val="clear" w:color="auto" w:fill="BFBFBF"/>
          </w:tcPr>
          <w:p w14:paraId="74813952"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72 000</w:t>
            </w:r>
          </w:p>
        </w:tc>
        <w:tc>
          <w:tcPr>
            <w:tcW w:w="1540" w:type="dxa"/>
            <w:tcBorders>
              <w:top w:val="single" w:sz="4" w:space="0" w:color="auto"/>
              <w:left w:val="nil"/>
              <w:bottom w:val="single" w:sz="4" w:space="0" w:color="auto"/>
              <w:right w:val="single" w:sz="4" w:space="0" w:color="auto"/>
            </w:tcBorders>
            <w:shd w:val="clear" w:color="auto" w:fill="BFBFBF"/>
          </w:tcPr>
          <w:p w14:paraId="1C80F42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83 000</w:t>
            </w:r>
          </w:p>
        </w:tc>
        <w:tc>
          <w:tcPr>
            <w:tcW w:w="1540" w:type="dxa"/>
            <w:tcBorders>
              <w:top w:val="single" w:sz="4" w:space="0" w:color="auto"/>
              <w:left w:val="nil"/>
              <w:bottom w:val="single" w:sz="4" w:space="0" w:color="auto"/>
              <w:right w:val="single" w:sz="4" w:space="0" w:color="auto"/>
            </w:tcBorders>
            <w:shd w:val="clear" w:color="auto" w:fill="BFBFBF"/>
          </w:tcPr>
          <w:p w14:paraId="1A225ADA"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sz w:val="20"/>
                <w:lang w:eastAsia="sk-SK"/>
                <w14:ligatures w14:val="none"/>
              </w:rPr>
              <w:t>87 000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33040DE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bl>
    <w:p w14:paraId="407B51F7"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56045775"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7F9BFE77"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1E7E08B4"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6420A367"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sectPr w:rsidR="00AD62CD" w:rsidRPr="00AD62CD" w:rsidSect="0099636A">
          <w:pgSz w:w="16838" w:h="11906" w:orient="landscape"/>
          <w:pgMar w:top="1417" w:right="1417" w:bottom="1417" w:left="1276" w:header="708" w:footer="708" w:gutter="0"/>
          <w:cols w:space="708"/>
          <w:docGrid w:linePitch="360"/>
        </w:sectPr>
      </w:pPr>
    </w:p>
    <w:p w14:paraId="5329813B"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 xml:space="preserve">Analýza </w:t>
      </w:r>
      <w:bookmarkStart w:id="3" w:name="_Hlk207099489"/>
      <w:r w:rsidRPr="00AD62CD">
        <w:rPr>
          <w:rFonts w:ascii="Times New Roman" w:eastAsia="Times New Roman" w:hAnsi="Times New Roman" w:cs="Times New Roman"/>
          <w:b/>
          <w:bCs/>
          <w:kern w:val="0"/>
          <w:sz w:val="28"/>
          <w:szCs w:val="28"/>
          <w:lang w:eastAsia="sk-SK"/>
          <w14:ligatures w14:val="none"/>
        </w:rPr>
        <w:t>vplyvov na rozpočet verejnej správy,</w:t>
      </w:r>
    </w:p>
    <w:p w14:paraId="7A4F93F7"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 xml:space="preserve">na zamestnanosť vo verejnej správe a financovanie návrhu </w:t>
      </w:r>
    </w:p>
    <w:p w14:paraId="59EC5B46"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Calibri" w:hAnsi="Times New Roman" w:cs="Times New Roman"/>
          <w:b/>
          <w:bCs/>
          <w:kern w:val="0"/>
          <w:sz w:val="28"/>
          <w:szCs w:val="28"/>
          <w:lang w:eastAsia="sk-SK"/>
          <w14:ligatures w14:val="none"/>
        </w:rPr>
        <w:t>(Zákon o poisťovníctve)</w:t>
      </w:r>
    </w:p>
    <w:bookmarkEnd w:id="3"/>
    <w:p w14:paraId="5B765FAC"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p>
    <w:p w14:paraId="6741421E"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p>
    <w:p w14:paraId="4D9263AC"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 Zhrnutie vplyvov na rozpočet verejnej správy v návrhu</w:t>
      </w:r>
    </w:p>
    <w:p w14:paraId="0406911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AD62CD" w:rsidRPr="00AD62CD" w14:paraId="1C320765" w14:textId="77777777" w:rsidTr="00AD62CD">
        <w:trPr>
          <w:cantSplit/>
          <w:trHeight w:val="194"/>
          <w:jc w:val="center"/>
        </w:trPr>
        <w:tc>
          <w:tcPr>
            <w:tcW w:w="4661" w:type="dxa"/>
            <w:vMerge w:val="restart"/>
            <w:shd w:val="clear" w:color="auto" w:fill="BFBFBF"/>
            <w:vAlign w:val="center"/>
          </w:tcPr>
          <w:p w14:paraId="0AF98790"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bookmarkStart w:id="4" w:name="OLE_LINK1"/>
            <w:r w:rsidRPr="00AD62CD">
              <w:rPr>
                <w:rFonts w:ascii="Times New Roman" w:eastAsia="Times New Roman" w:hAnsi="Times New Roman" w:cs="Times New Roman"/>
                <w:b/>
                <w:bCs/>
                <w:kern w:val="0"/>
                <w:lang w:eastAsia="sk-SK"/>
                <w14:ligatures w14:val="none"/>
              </w:rPr>
              <w:t>Vplyvy na rozpočet verejnej správy</w:t>
            </w:r>
          </w:p>
        </w:tc>
        <w:tc>
          <w:tcPr>
            <w:tcW w:w="5068" w:type="dxa"/>
            <w:gridSpan w:val="4"/>
            <w:shd w:val="clear" w:color="auto" w:fill="BFBFBF"/>
            <w:vAlign w:val="center"/>
          </w:tcPr>
          <w:p w14:paraId="21D24F1E"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 na rozpočet verejnej správy (v eurách)</w:t>
            </w:r>
          </w:p>
        </w:tc>
      </w:tr>
      <w:tr w:rsidR="00AD62CD" w:rsidRPr="00AD62CD" w14:paraId="68BD34BE" w14:textId="77777777" w:rsidTr="00AD62CD">
        <w:trPr>
          <w:cantSplit/>
          <w:trHeight w:val="70"/>
          <w:jc w:val="center"/>
        </w:trPr>
        <w:tc>
          <w:tcPr>
            <w:tcW w:w="4661" w:type="dxa"/>
            <w:vMerge/>
            <w:shd w:val="clear" w:color="auto" w:fill="BFBFBF"/>
            <w:vAlign w:val="center"/>
          </w:tcPr>
          <w:p w14:paraId="46526AD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267" w:type="dxa"/>
            <w:shd w:val="clear" w:color="auto" w:fill="BFBFBF"/>
            <w:vAlign w:val="center"/>
          </w:tcPr>
          <w:p w14:paraId="62D94F9C"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2025</w:t>
            </w:r>
          </w:p>
        </w:tc>
        <w:tc>
          <w:tcPr>
            <w:tcW w:w="1267" w:type="dxa"/>
            <w:shd w:val="clear" w:color="auto" w:fill="BFBFBF"/>
            <w:vAlign w:val="center"/>
          </w:tcPr>
          <w:p w14:paraId="45CFF288"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2026</w:t>
            </w:r>
          </w:p>
        </w:tc>
        <w:tc>
          <w:tcPr>
            <w:tcW w:w="1267" w:type="dxa"/>
            <w:shd w:val="clear" w:color="auto" w:fill="BFBFBF"/>
            <w:vAlign w:val="center"/>
          </w:tcPr>
          <w:p w14:paraId="55982399"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2027</w:t>
            </w:r>
          </w:p>
        </w:tc>
        <w:tc>
          <w:tcPr>
            <w:tcW w:w="1267" w:type="dxa"/>
            <w:shd w:val="clear" w:color="auto" w:fill="BFBFBF"/>
            <w:vAlign w:val="center"/>
          </w:tcPr>
          <w:p w14:paraId="489A7667"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2028</w:t>
            </w:r>
          </w:p>
        </w:tc>
      </w:tr>
      <w:tr w:rsidR="00AD62CD" w:rsidRPr="00AD62CD" w14:paraId="1E15795E" w14:textId="77777777" w:rsidTr="003627DF">
        <w:trPr>
          <w:trHeight w:val="70"/>
          <w:jc w:val="center"/>
        </w:trPr>
        <w:tc>
          <w:tcPr>
            <w:tcW w:w="4661" w:type="dxa"/>
            <w:shd w:val="clear" w:color="auto" w:fill="C0C0C0"/>
            <w:noWrap/>
            <w:vAlign w:val="center"/>
          </w:tcPr>
          <w:p w14:paraId="3D9D495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bCs/>
                <w:kern w:val="0"/>
                <w:lang w:eastAsia="sk-SK"/>
                <w14:ligatures w14:val="none"/>
              </w:rPr>
              <w:t>Príjmy verejnej správy celkom</w:t>
            </w:r>
          </w:p>
        </w:tc>
        <w:tc>
          <w:tcPr>
            <w:tcW w:w="1267" w:type="dxa"/>
            <w:shd w:val="clear" w:color="auto" w:fill="C0C0C0"/>
            <w:vAlign w:val="center"/>
          </w:tcPr>
          <w:p w14:paraId="56148E03"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C0C0C0"/>
            <w:vAlign w:val="center"/>
          </w:tcPr>
          <w:p w14:paraId="6D98F462"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9 393 000</w:t>
            </w:r>
          </w:p>
        </w:tc>
        <w:tc>
          <w:tcPr>
            <w:tcW w:w="1267" w:type="dxa"/>
            <w:shd w:val="clear" w:color="auto" w:fill="C0C0C0"/>
            <w:vAlign w:val="center"/>
          </w:tcPr>
          <w:p w14:paraId="1FE45801"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11 214 000</w:t>
            </w:r>
          </w:p>
        </w:tc>
        <w:tc>
          <w:tcPr>
            <w:tcW w:w="1267" w:type="dxa"/>
            <w:shd w:val="clear" w:color="auto" w:fill="C0C0C0"/>
            <w:vAlign w:val="center"/>
          </w:tcPr>
          <w:p w14:paraId="1610D058"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11 772 000</w:t>
            </w:r>
          </w:p>
        </w:tc>
      </w:tr>
      <w:tr w:rsidR="00AD62CD" w:rsidRPr="00AD62CD" w14:paraId="57593A94" w14:textId="77777777" w:rsidTr="003627DF">
        <w:trPr>
          <w:trHeight w:val="70"/>
          <w:jc w:val="center"/>
        </w:trPr>
        <w:tc>
          <w:tcPr>
            <w:tcW w:w="4661" w:type="dxa"/>
            <w:noWrap/>
            <w:vAlign w:val="center"/>
          </w:tcPr>
          <w:p w14:paraId="38DDC3DF"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xml:space="preserve">z toho:  </w:t>
            </w:r>
          </w:p>
        </w:tc>
        <w:tc>
          <w:tcPr>
            <w:tcW w:w="1267" w:type="dxa"/>
            <w:noWrap/>
            <w:vAlign w:val="center"/>
          </w:tcPr>
          <w:p w14:paraId="2EB008BF" w14:textId="77777777" w:rsidR="00AD62CD" w:rsidRPr="00AD62CD" w:rsidRDefault="00AD62CD" w:rsidP="00AD62CD">
            <w:pPr>
              <w:spacing w:after="0" w:line="240" w:lineRule="auto"/>
              <w:jc w:val="right"/>
              <w:rPr>
                <w:rFonts w:ascii="Times New Roman" w:eastAsia="Times New Roman" w:hAnsi="Times New Roman" w:cs="Times New Roman"/>
                <w:iCs/>
                <w:kern w:val="0"/>
                <w:lang w:eastAsia="sk-SK"/>
                <w14:ligatures w14:val="none"/>
              </w:rPr>
            </w:pPr>
          </w:p>
        </w:tc>
        <w:tc>
          <w:tcPr>
            <w:tcW w:w="1267" w:type="dxa"/>
            <w:noWrap/>
            <w:vAlign w:val="center"/>
          </w:tcPr>
          <w:p w14:paraId="324C4CD9" w14:textId="77777777" w:rsidR="00AD62CD" w:rsidRPr="00AD62CD" w:rsidRDefault="00AD62CD" w:rsidP="00AD62CD">
            <w:pPr>
              <w:spacing w:after="0" w:line="240" w:lineRule="auto"/>
              <w:jc w:val="right"/>
              <w:rPr>
                <w:rFonts w:ascii="Times New Roman" w:eastAsia="Times New Roman" w:hAnsi="Times New Roman" w:cs="Times New Roman"/>
                <w:iCs/>
                <w:kern w:val="0"/>
                <w:lang w:eastAsia="sk-SK"/>
                <w14:ligatures w14:val="none"/>
              </w:rPr>
            </w:pPr>
          </w:p>
        </w:tc>
        <w:tc>
          <w:tcPr>
            <w:tcW w:w="1267" w:type="dxa"/>
            <w:noWrap/>
            <w:vAlign w:val="center"/>
          </w:tcPr>
          <w:p w14:paraId="342CE2EB" w14:textId="77777777" w:rsidR="00AD62CD" w:rsidRPr="00AD62CD" w:rsidRDefault="00AD62CD" w:rsidP="00AD62CD">
            <w:pPr>
              <w:spacing w:after="0" w:line="240" w:lineRule="auto"/>
              <w:jc w:val="right"/>
              <w:rPr>
                <w:rFonts w:ascii="Times New Roman" w:eastAsia="Times New Roman" w:hAnsi="Times New Roman" w:cs="Times New Roman"/>
                <w:iCs/>
                <w:kern w:val="0"/>
                <w:lang w:eastAsia="sk-SK"/>
                <w14:ligatures w14:val="none"/>
              </w:rPr>
            </w:pPr>
          </w:p>
        </w:tc>
        <w:tc>
          <w:tcPr>
            <w:tcW w:w="1267" w:type="dxa"/>
            <w:noWrap/>
            <w:vAlign w:val="center"/>
          </w:tcPr>
          <w:p w14:paraId="390A3327" w14:textId="77777777" w:rsidR="00AD62CD" w:rsidRPr="00AD62CD" w:rsidRDefault="00AD62CD" w:rsidP="00AD62CD">
            <w:pPr>
              <w:spacing w:after="0" w:line="240" w:lineRule="auto"/>
              <w:jc w:val="right"/>
              <w:rPr>
                <w:rFonts w:ascii="Times New Roman" w:eastAsia="Times New Roman" w:hAnsi="Times New Roman" w:cs="Times New Roman"/>
                <w:iCs/>
                <w:kern w:val="0"/>
                <w:lang w:eastAsia="sk-SK"/>
                <w14:ligatures w14:val="none"/>
              </w:rPr>
            </w:pPr>
          </w:p>
        </w:tc>
      </w:tr>
      <w:tr w:rsidR="00AD62CD" w:rsidRPr="00AD62CD" w14:paraId="0098FCB0" w14:textId="77777777" w:rsidTr="003627DF">
        <w:trPr>
          <w:trHeight w:val="125"/>
          <w:jc w:val="center"/>
        </w:trPr>
        <w:tc>
          <w:tcPr>
            <w:tcW w:w="4661" w:type="dxa"/>
            <w:noWrap/>
            <w:vAlign w:val="center"/>
          </w:tcPr>
          <w:p w14:paraId="152930AF"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ŠR</w:t>
            </w:r>
          </w:p>
        </w:tc>
        <w:tc>
          <w:tcPr>
            <w:tcW w:w="1267" w:type="dxa"/>
            <w:noWrap/>
            <w:vAlign w:val="center"/>
          </w:tcPr>
          <w:p w14:paraId="683D7925" w14:textId="77777777" w:rsidR="00AD62CD" w:rsidRPr="00AD62CD" w:rsidRDefault="00AD62CD" w:rsidP="00AD62CD">
            <w:pPr>
              <w:spacing w:after="0" w:line="240" w:lineRule="auto"/>
              <w:jc w:val="right"/>
              <w:rPr>
                <w:rFonts w:ascii="Times New Roman" w:eastAsia="Times New Roman" w:hAnsi="Times New Roman" w:cs="Times New Roman"/>
                <w:iCs/>
                <w:kern w:val="0"/>
                <w:lang w:eastAsia="sk-SK"/>
                <w14:ligatures w14:val="none"/>
              </w:rPr>
            </w:pPr>
            <w:r w:rsidRPr="00AD62CD">
              <w:rPr>
                <w:rFonts w:ascii="Times New Roman" w:eastAsia="Times New Roman" w:hAnsi="Times New Roman" w:cs="Times New Roman"/>
                <w:iCs/>
                <w:kern w:val="0"/>
                <w:lang w:eastAsia="sk-SK"/>
                <w14:ligatures w14:val="none"/>
              </w:rPr>
              <w:t>0</w:t>
            </w:r>
          </w:p>
        </w:tc>
        <w:tc>
          <w:tcPr>
            <w:tcW w:w="1267" w:type="dxa"/>
            <w:noWrap/>
          </w:tcPr>
          <w:p w14:paraId="195D7CE6"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9 393 000</w:t>
            </w:r>
          </w:p>
        </w:tc>
        <w:tc>
          <w:tcPr>
            <w:tcW w:w="1267" w:type="dxa"/>
            <w:noWrap/>
          </w:tcPr>
          <w:p w14:paraId="328D5215"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11 214 000</w:t>
            </w:r>
          </w:p>
        </w:tc>
        <w:tc>
          <w:tcPr>
            <w:tcW w:w="1267" w:type="dxa"/>
            <w:noWrap/>
          </w:tcPr>
          <w:p w14:paraId="7292B0E4"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11 772 000</w:t>
            </w:r>
          </w:p>
        </w:tc>
      </w:tr>
      <w:tr w:rsidR="00AD62CD" w:rsidRPr="00AD62CD" w14:paraId="1F1E5A7A" w14:textId="77777777" w:rsidTr="003627DF">
        <w:trPr>
          <w:trHeight w:val="125"/>
          <w:jc w:val="center"/>
        </w:trPr>
        <w:tc>
          <w:tcPr>
            <w:tcW w:w="4661" w:type="dxa"/>
            <w:noWrap/>
            <w:vAlign w:val="center"/>
          </w:tcPr>
          <w:p w14:paraId="0822A81C" w14:textId="77777777" w:rsidR="00AD62CD" w:rsidRPr="00AD62CD" w:rsidRDefault="00AD62CD" w:rsidP="00AD62CD">
            <w:pPr>
              <w:spacing w:after="0" w:line="240" w:lineRule="auto"/>
              <w:ind w:left="259"/>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Cs/>
                <w:i/>
                <w:iCs/>
                <w:kern w:val="0"/>
                <w:lang w:eastAsia="sk-SK"/>
                <w14:ligatures w14:val="none"/>
              </w:rPr>
              <w:t>Rozpočtové prostriedky</w:t>
            </w:r>
          </w:p>
        </w:tc>
        <w:tc>
          <w:tcPr>
            <w:tcW w:w="1267" w:type="dxa"/>
            <w:noWrap/>
            <w:vAlign w:val="center"/>
          </w:tcPr>
          <w:p w14:paraId="3497E82E" w14:textId="77777777" w:rsidR="00AD62CD" w:rsidRPr="00AD62CD" w:rsidRDefault="00AD62CD" w:rsidP="00AD62CD">
            <w:pPr>
              <w:spacing w:after="0" w:line="240" w:lineRule="auto"/>
              <w:jc w:val="right"/>
              <w:rPr>
                <w:rFonts w:ascii="Times New Roman" w:eastAsia="Times New Roman" w:hAnsi="Times New Roman" w:cs="Times New Roman"/>
                <w:iCs/>
                <w:kern w:val="0"/>
                <w:lang w:eastAsia="sk-SK"/>
                <w14:ligatures w14:val="none"/>
              </w:rPr>
            </w:pPr>
            <w:r w:rsidRPr="00AD62CD">
              <w:rPr>
                <w:rFonts w:ascii="Times New Roman" w:eastAsia="Times New Roman" w:hAnsi="Times New Roman" w:cs="Times New Roman"/>
                <w:iCs/>
                <w:kern w:val="0"/>
                <w:lang w:eastAsia="sk-SK"/>
                <w14:ligatures w14:val="none"/>
              </w:rPr>
              <w:t>0</w:t>
            </w:r>
          </w:p>
        </w:tc>
        <w:tc>
          <w:tcPr>
            <w:tcW w:w="1267" w:type="dxa"/>
            <w:noWrap/>
          </w:tcPr>
          <w:p w14:paraId="42B2FFEB"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9 393 000</w:t>
            </w:r>
          </w:p>
        </w:tc>
        <w:tc>
          <w:tcPr>
            <w:tcW w:w="1267" w:type="dxa"/>
            <w:noWrap/>
          </w:tcPr>
          <w:p w14:paraId="6810BC56"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11 214 000</w:t>
            </w:r>
          </w:p>
        </w:tc>
        <w:tc>
          <w:tcPr>
            <w:tcW w:w="1267" w:type="dxa"/>
            <w:noWrap/>
          </w:tcPr>
          <w:p w14:paraId="65162F38"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11 772 000</w:t>
            </w:r>
          </w:p>
        </w:tc>
      </w:tr>
      <w:tr w:rsidR="00AD62CD" w:rsidRPr="00AD62CD" w14:paraId="173738FE" w14:textId="77777777" w:rsidTr="003627DF">
        <w:trPr>
          <w:trHeight w:val="125"/>
          <w:jc w:val="center"/>
        </w:trPr>
        <w:tc>
          <w:tcPr>
            <w:tcW w:w="4661" w:type="dxa"/>
            <w:noWrap/>
          </w:tcPr>
          <w:p w14:paraId="6A81B9B5" w14:textId="77777777" w:rsidR="00AD62CD" w:rsidRPr="00AD62CD" w:rsidRDefault="00AD62CD" w:rsidP="00AD62CD">
            <w:pPr>
              <w:spacing w:after="0" w:line="240" w:lineRule="auto"/>
              <w:rPr>
                <w:rFonts w:ascii="Times New Roman" w:eastAsia="Times New Roman" w:hAnsi="Times New Roman" w:cs="Times New Roman"/>
                <w:bCs/>
                <w:i/>
                <w:iCs/>
                <w:color w:val="FF0000"/>
                <w:kern w:val="0"/>
                <w:lang w:eastAsia="sk-SK"/>
                <w14:ligatures w14:val="none"/>
              </w:rPr>
            </w:pPr>
            <w:r w:rsidRPr="00AD62CD">
              <w:rPr>
                <w:rFonts w:ascii="Times New Roman" w:eastAsia="Times New Roman" w:hAnsi="Times New Roman" w:cs="Times New Roman"/>
                <w:bCs/>
                <w:i/>
                <w:iCs/>
                <w:kern w:val="0"/>
                <w:lang w:eastAsia="sk-SK"/>
                <w14:ligatures w14:val="none"/>
              </w:rPr>
              <w:t xml:space="preserve">v tom: (139003) odvod z časti poistného z odvetví neživotného poistenia (PZP) </w:t>
            </w:r>
          </w:p>
        </w:tc>
        <w:tc>
          <w:tcPr>
            <w:tcW w:w="1267" w:type="dxa"/>
            <w:noWrap/>
          </w:tcPr>
          <w:p w14:paraId="0DBE4839" w14:textId="77777777" w:rsidR="00AD62CD" w:rsidRPr="00AD62CD" w:rsidRDefault="00AD62CD" w:rsidP="00AD62CD">
            <w:pPr>
              <w:spacing w:after="0" w:line="240" w:lineRule="auto"/>
              <w:jc w:val="right"/>
              <w:rPr>
                <w:rFonts w:ascii="Times New Roman" w:eastAsia="Times New Roman" w:hAnsi="Times New Roman" w:cs="Times New Roman"/>
                <w:bCs/>
                <w:i/>
                <w:iCs/>
                <w:kern w:val="0"/>
                <w:lang w:eastAsia="sk-SK"/>
                <w14:ligatures w14:val="none"/>
              </w:rPr>
            </w:pPr>
            <w:r w:rsidRPr="00AD62CD">
              <w:rPr>
                <w:rFonts w:ascii="Times New Roman" w:eastAsia="Times New Roman" w:hAnsi="Times New Roman" w:cs="Times New Roman"/>
                <w:bCs/>
                <w:i/>
                <w:iCs/>
                <w:kern w:val="0"/>
                <w:lang w:eastAsia="sk-SK"/>
                <w14:ligatures w14:val="none"/>
              </w:rPr>
              <w:t>0</w:t>
            </w:r>
          </w:p>
        </w:tc>
        <w:tc>
          <w:tcPr>
            <w:tcW w:w="1267" w:type="dxa"/>
            <w:noWrap/>
          </w:tcPr>
          <w:p w14:paraId="57E562A9" w14:textId="77777777" w:rsidR="00AD62CD" w:rsidRPr="00AD62CD" w:rsidRDefault="00AD62CD" w:rsidP="00AD62CD">
            <w:pPr>
              <w:spacing w:after="0" w:line="240" w:lineRule="auto"/>
              <w:jc w:val="right"/>
              <w:rPr>
                <w:rFonts w:ascii="Times New Roman" w:eastAsia="Times New Roman" w:hAnsi="Times New Roman" w:cs="Times New Roman"/>
                <w:bCs/>
                <w:i/>
                <w:iCs/>
                <w:kern w:val="0"/>
                <w:lang w:eastAsia="sk-SK"/>
                <w14:ligatures w14:val="none"/>
              </w:rPr>
            </w:pPr>
            <w:r w:rsidRPr="00AD62CD">
              <w:rPr>
                <w:rFonts w:ascii="Times New Roman" w:eastAsia="Times New Roman" w:hAnsi="Times New Roman" w:cs="Times New Roman"/>
                <w:bCs/>
                <w:i/>
                <w:iCs/>
                <w:kern w:val="0"/>
                <w:lang w:eastAsia="sk-SK"/>
                <w14:ligatures w14:val="none"/>
              </w:rPr>
              <w:t>9 393 000</w:t>
            </w:r>
          </w:p>
        </w:tc>
        <w:tc>
          <w:tcPr>
            <w:tcW w:w="1267" w:type="dxa"/>
            <w:noWrap/>
          </w:tcPr>
          <w:p w14:paraId="1606D0D4" w14:textId="77777777" w:rsidR="00AD62CD" w:rsidRPr="00AD62CD" w:rsidRDefault="00AD62CD" w:rsidP="00AD62CD">
            <w:pPr>
              <w:spacing w:after="0" w:line="240" w:lineRule="auto"/>
              <w:jc w:val="right"/>
              <w:rPr>
                <w:rFonts w:ascii="Times New Roman" w:eastAsia="Times New Roman" w:hAnsi="Times New Roman" w:cs="Times New Roman"/>
                <w:bCs/>
                <w:i/>
                <w:iCs/>
                <w:kern w:val="0"/>
                <w:lang w:eastAsia="sk-SK"/>
                <w14:ligatures w14:val="none"/>
              </w:rPr>
            </w:pPr>
            <w:r w:rsidRPr="00AD62CD">
              <w:rPr>
                <w:rFonts w:ascii="Times New Roman" w:eastAsia="Times New Roman" w:hAnsi="Times New Roman" w:cs="Times New Roman"/>
                <w:bCs/>
                <w:i/>
                <w:iCs/>
                <w:kern w:val="0"/>
                <w:lang w:eastAsia="sk-SK"/>
                <w14:ligatures w14:val="none"/>
              </w:rPr>
              <w:t>11 214 000</w:t>
            </w:r>
          </w:p>
        </w:tc>
        <w:tc>
          <w:tcPr>
            <w:tcW w:w="1267" w:type="dxa"/>
            <w:noWrap/>
          </w:tcPr>
          <w:p w14:paraId="1E8609EB" w14:textId="77777777" w:rsidR="00AD62CD" w:rsidRPr="00AD62CD" w:rsidRDefault="00AD62CD" w:rsidP="00AD62CD">
            <w:pPr>
              <w:spacing w:after="0" w:line="240" w:lineRule="auto"/>
              <w:jc w:val="right"/>
              <w:rPr>
                <w:rFonts w:ascii="Times New Roman" w:eastAsia="Times New Roman" w:hAnsi="Times New Roman" w:cs="Times New Roman"/>
                <w:bCs/>
                <w:i/>
                <w:iCs/>
                <w:kern w:val="0"/>
                <w:lang w:eastAsia="sk-SK"/>
                <w14:ligatures w14:val="none"/>
              </w:rPr>
            </w:pPr>
            <w:r w:rsidRPr="00AD62CD">
              <w:rPr>
                <w:rFonts w:ascii="Times New Roman" w:eastAsia="Times New Roman" w:hAnsi="Times New Roman" w:cs="Times New Roman"/>
                <w:bCs/>
                <w:i/>
                <w:iCs/>
                <w:kern w:val="0"/>
                <w:lang w:eastAsia="sk-SK"/>
                <w14:ligatures w14:val="none"/>
              </w:rPr>
              <w:t>11 772 000</w:t>
            </w:r>
          </w:p>
        </w:tc>
      </w:tr>
      <w:tr w:rsidR="00AD62CD" w:rsidRPr="00AD62CD" w14:paraId="36B79748" w14:textId="77777777" w:rsidTr="003627DF">
        <w:trPr>
          <w:trHeight w:val="125"/>
          <w:jc w:val="center"/>
        </w:trPr>
        <w:tc>
          <w:tcPr>
            <w:tcW w:w="4661" w:type="dxa"/>
            <w:noWrap/>
            <w:vAlign w:val="center"/>
          </w:tcPr>
          <w:p w14:paraId="3C9219BA" w14:textId="77777777" w:rsidR="00AD62CD" w:rsidRPr="00AD62CD" w:rsidRDefault="00AD62CD" w:rsidP="00AD62CD">
            <w:pPr>
              <w:spacing w:after="0" w:line="240" w:lineRule="auto"/>
              <w:ind w:left="259"/>
              <w:rPr>
                <w:rFonts w:ascii="Times New Roman" w:eastAsia="Times New Roman" w:hAnsi="Times New Roman" w:cs="Times New Roman"/>
                <w:bCs/>
                <w:i/>
                <w:iCs/>
                <w:kern w:val="0"/>
                <w:lang w:eastAsia="sk-SK"/>
                <w14:ligatures w14:val="none"/>
              </w:rPr>
            </w:pPr>
            <w:r w:rsidRPr="00AD62CD">
              <w:rPr>
                <w:rFonts w:ascii="Times New Roman" w:eastAsia="Times New Roman" w:hAnsi="Times New Roman" w:cs="Times New Roman"/>
                <w:bCs/>
                <w:i/>
                <w:iCs/>
                <w:kern w:val="0"/>
                <w:lang w:eastAsia="sk-SK"/>
                <w14:ligatures w14:val="none"/>
              </w:rPr>
              <w:t>EÚ zdroje</w:t>
            </w:r>
          </w:p>
        </w:tc>
        <w:tc>
          <w:tcPr>
            <w:tcW w:w="1267" w:type="dxa"/>
            <w:noWrap/>
            <w:vAlign w:val="center"/>
          </w:tcPr>
          <w:p w14:paraId="4BF1C9EA"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15DBEB94"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30E950E0"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01D07F7D"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r>
      <w:tr w:rsidR="00AD62CD" w:rsidRPr="00AD62CD" w14:paraId="69F008D0" w14:textId="77777777" w:rsidTr="003627DF">
        <w:trPr>
          <w:trHeight w:val="125"/>
          <w:jc w:val="center"/>
        </w:trPr>
        <w:tc>
          <w:tcPr>
            <w:tcW w:w="4661" w:type="dxa"/>
            <w:noWrap/>
            <w:vAlign w:val="center"/>
          </w:tcPr>
          <w:p w14:paraId="3C3379D4"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obce</w:t>
            </w:r>
          </w:p>
        </w:tc>
        <w:tc>
          <w:tcPr>
            <w:tcW w:w="1267" w:type="dxa"/>
            <w:noWrap/>
            <w:vAlign w:val="center"/>
          </w:tcPr>
          <w:p w14:paraId="1DD58E3D"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24BE73EF"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39724D06"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101B7AB"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2F92BD34" w14:textId="77777777" w:rsidTr="003627DF">
        <w:trPr>
          <w:trHeight w:val="125"/>
          <w:jc w:val="center"/>
        </w:trPr>
        <w:tc>
          <w:tcPr>
            <w:tcW w:w="4661" w:type="dxa"/>
            <w:noWrap/>
            <w:vAlign w:val="center"/>
          </w:tcPr>
          <w:p w14:paraId="388F10C5"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vyššie územné celky</w:t>
            </w:r>
          </w:p>
        </w:tc>
        <w:tc>
          <w:tcPr>
            <w:tcW w:w="1267" w:type="dxa"/>
            <w:noWrap/>
            <w:vAlign w:val="center"/>
          </w:tcPr>
          <w:p w14:paraId="63831D0C"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37FE3A24"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2F093652"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0F75A6F5"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2D0D4611" w14:textId="77777777" w:rsidTr="003627DF">
        <w:trPr>
          <w:trHeight w:val="125"/>
          <w:jc w:val="center"/>
        </w:trPr>
        <w:tc>
          <w:tcPr>
            <w:tcW w:w="4661" w:type="dxa"/>
            <w:noWrap/>
            <w:vAlign w:val="center"/>
          </w:tcPr>
          <w:p w14:paraId="2B713036"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ostatné subjekty verejnej správy</w:t>
            </w:r>
          </w:p>
        </w:tc>
        <w:tc>
          <w:tcPr>
            <w:tcW w:w="1267" w:type="dxa"/>
            <w:noWrap/>
            <w:vAlign w:val="center"/>
          </w:tcPr>
          <w:p w14:paraId="30534390"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0553AAC8"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5CB685C"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176F89FC"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3A29A9BB" w14:textId="77777777" w:rsidTr="003627DF">
        <w:trPr>
          <w:trHeight w:val="125"/>
          <w:jc w:val="center"/>
        </w:trPr>
        <w:tc>
          <w:tcPr>
            <w:tcW w:w="4661" w:type="dxa"/>
            <w:shd w:val="clear" w:color="auto" w:fill="C0C0C0"/>
            <w:noWrap/>
            <w:vAlign w:val="center"/>
          </w:tcPr>
          <w:p w14:paraId="7145B285"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Výdavky verejnej správy celkom</w:t>
            </w:r>
          </w:p>
        </w:tc>
        <w:tc>
          <w:tcPr>
            <w:tcW w:w="1267" w:type="dxa"/>
            <w:shd w:val="clear" w:color="auto" w:fill="C0C0C0"/>
            <w:noWrap/>
            <w:vAlign w:val="center"/>
          </w:tcPr>
          <w:p w14:paraId="19DE88F0"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C0C0C0"/>
            <w:noWrap/>
            <w:vAlign w:val="center"/>
          </w:tcPr>
          <w:p w14:paraId="093812F7"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C0C0C0"/>
            <w:noWrap/>
            <w:vAlign w:val="center"/>
          </w:tcPr>
          <w:p w14:paraId="473C54EA"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9 393 000</w:t>
            </w:r>
          </w:p>
        </w:tc>
        <w:tc>
          <w:tcPr>
            <w:tcW w:w="1267" w:type="dxa"/>
            <w:shd w:val="clear" w:color="auto" w:fill="C0C0C0"/>
            <w:noWrap/>
            <w:vAlign w:val="center"/>
          </w:tcPr>
          <w:p w14:paraId="70925DE9"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xml:space="preserve">11 214 000   </w:t>
            </w:r>
          </w:p>
        </w:tc>
      </w:tr>
      <w:tr w:rsidR="00AD62CD" w:rsidRPr="00AD62CD" w14:paraId="366A33FE" w14:textId="77777777" w:rsidTr="003627DF">
        <w:trPr>
          <w:trHeight w:val="70"/>
          <w:jc w:val="center"/>
        </w:trPr>
        <w:tc>
          <w:tcPr>
            <w:tcW w:w="4661" w:type="dxa"/>
            <w:noWrap/>
            <w:vAlign w:val="center"/>
          </w:tcPr>
          <w:p w14:paraId="6B614EF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v tom: za každý subjekt verejnej správy / program zvlášť</w:t>
            </w:r>
          </w:p>
        </w:tc>
        <w:tc>
          <w:tcPr>
            <w:tcW w:w="1267" w:type="dxa"/>
            <w:noWrap/>
            <w:vAlign w:val="center"/>
          </w:tcPr>
          <w:p w14:paraId="0F1F2004"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p>
        </w:tc>
        <w:tc>
          <w:tcPr>
            <w:tcW w:w="1267" w:type="dxa"/>
            <w:noWrap/>
            <w:vAlign w:val="center"/>
          </w:tcPr>
          <w:p w14:paraId="381BFB9E" w14:textId="77777777" w:rsidR="00AD62CD" w:rsidRPr="00AD62CD" w:rsidRDefault="00AD62CD" w:rsidP="00AD62CD">
            <w:pPr>
              <w:spacing w:after="0" w:line="240" w:lineRule="auto"/>
              <w:jc w:val="right"/>
              <w:rPr>
                <w:rFonts w:ascii="Times New Roman" w:eastAsia="Times New Roman" w:hAnsi="Times New Roman" w:cs="Times New Roman"/>
                <w:color w:val="FF0000"/>
                <w:kern w:val="0"/>
                <w:lang w:eastAsia="sk-SK"/>
                <w14:ligatures w14:val="none"/>
              </w:rPr>
            </w:pPr>
          </w:p>
        </w:tc>
        <w:tc>
          <w:tcPr>
            <w:tcW w:w="1267" w:type="dxa"/>
            <w:noWrap/>
            <w:vAlign w:val="center"/>
          </w:tcPr>
          <w:p w14:paraId="24909EC9" w14:textId="77777777" w:rsidR="00AD62CD" w:rsidRPr="00AD62CD" w:rsidRDefault="00AD62CD" w:rsidP="00AD62CD">
            <w:pPr>
              <w:spacing w:after="0" w:line="240" w:lineRule="auto"/>
              <w:jc w:val="right"/>
              <w:rPr>
                <w:rFonts w:ascii="Times New Roman" w:eastAsia="Times New Roman" w:hAnsi="Times New Roman" w:cs="Times New Roman"/>
                <w:color w:val="FF0000"/>
                <w:kern w:val="0"/>
                <w:lang w:eastAsia="sk-SK"/>
                <w14:ligatures w14:val="none"/>
              </w:rPr>
            </w:pPr>
          </w:p>
        </w:tc>
        <w:tc>
          <w:tcPr>
            <w:tcW w:w="1267" w:type="dxa"/>
            <w:noWrap/>
            <w:vAlign w:val="center"/>
          </w:tcPr>
          <w:p w14:paraId="5B285C4F" w14:textId="77777777" w:rsidR="00AD62CD" w:rsidRPr="00AD62CD" w:rsidRDefault="00AD62CD" w:rsidP="00AD62CD">
            <w:pPr>
              <w:spacing w:after="0" w:line="240" w:lineRule="auto"/>
              <w:jc w:val="right"/>
              <w:rPr>
                <w:rFonts w:ascii="Times New Roman" w:eastAsia="Times New Roman" w:hAnsi="Times New Roman" w:cs="Times New Roman"/>
                <w:color w:val="FF0000"/>
                <w:kern w:val="0"/>
                <w:lang w:eastAsia="sk-SK"/>
                <w14:ligatures w14:val="none"/>
              </w:rPr>
            </w:pPr>
          </w:p>
        </w:tc>
      </w:tr>
      <w:tr w:rsidR="00AD62CD" w:rsidRPr="00AD62CD" w14:paraId="7B70E210" w14:textId="77777777" w:rsidTr="003627DF">
        <w:trPr>
          <w:trHeight w:val="70"/>
          <w:jc w:val="center"/>
        </w:trPr>
        <w:tc>
          <w:tcPr>
            <w:tcW w:w="4661" w:type="dxa"/>
            <w:noWrap/>
            <w:vAlign w:val="center"/>
          </w:tcPr>
          <w:p w14:paraId="23596354"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xml:space="preserve">z toho: </w:t>
            </w:r>
          </w:p>
        </w:tc>
        <w:tc>
          <w:tcPr>
            <w:tcW w:w="1267" w:type="dxa"/>
            <w:noWrap/>
            <w:vAlign w:val="center"/>
          </w:tcPr>
          <w:p w14:paraId="37444F01"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p>
        </w:tc>
        <w:tc>
          <w:tcPr>
            <w:tcW w:w="1267" w:type="dxa"/>
            <w:noWrap/>
            <w:vAlign w:val="center"/>
          </w:tcPr>
          <w:p w14:paraId="5297A9C3" w14:textId="77777777" w:rsidR="00AD62CD" w:rsidRPr="00AD62CD" w:rsidRDefault="00AD62CD" w:rsidP="00AD62CD">
            <w:pPr>
              <w:spacing w:after="0" w:line="240" w:lineRule="auto"/>
              <w:jc w:val="right"/>
              <w:rPr>
                <w:rFonts w:ascii="Times New Roman" w:eastAsia="Times New Roman" w:hAnsi="Times New Roman" w:cs="Times New Roman"/>
                <w:b/>
                <w:bCs/>
                <w:iCs/>
                <w:color w:val="FF0000"/>
                <w:kern w:val="0"/>
                <w:lang w:eastAsia="sk-SK"/>
                <w14:ligatures w14:val="none"/>
              </w:rPr>
            </w:pPr>
          </w:p>
        </w:tc>
        <w:tc>
          <w:tcPr>
            <w:tcW w:w="1267" w:type="dxa"/>
            <w:noWrap/>
            <w:vAlign w:val="center"/>
          </w:tcPr>
          <w:p w14:paraId="1F5873DC" w14:textId="77777777" w:rsidR="00AD62CD" w:rsidRPr="00AD62CD" w:rsidRDefault="00AD62CD" w:rsidP="00AD62CD">
            <w:pPr>
              <w:spacing w:after="0" w:line="240" w:lineRule="auto"/>
              <w:jc w:val="right"/>
              <w:rPr>
                <w:rFonts w:ascii="Times New Roman" w:eastAsia="Times New Roman" w:hAnsi="Times New Roman" w:cs="Times New Roman"/>
                <w:b/>
                <w:bCs/>
                <w:iCs/>
                <w:color w:val="FF0000"/>
                <w:kern w:val="0"/>
                <w:lang w:eastAsia="sk-SK"/>
                <w14:ligatures w14:val="none"/>
              </w:rPr>
            </w:pPr>
          </w:p>
        </w:tc>
        <w:tc>
          <w:tcPr>
            <w:tcW w:w="1267" w:type="dxa"/>
            <w:noWrap/>
            <w:vAlign w:val="center"/>
          </w:tcPr>
          <w:p w14:paraId="1F61867B" w14:textId="77777777" w:rsidR="00AD62CD" w:rsidRPr="00AD62CD" w:rsidRDefault="00AD62CD" w:rsidP="00AD62CD">
            <w:pPr>
              <w:spacing w:after="0" w:line="240" w:lineRule="auto"/>
              <w:jc w:val="right"/>
              <w:rPr>
                <w:rFonts w:ascii="Times New Roman" w:eastAsia="Times New Roman" w:hAnsi="Times New Roman" w:cs="Times New Roman"/>
                <w:b/>
                <w:bCs/>
                <w:iCs/>
                <w:color w:val="FF0000"/>
                <w:kern w:val="0"/>
                <w:lang w:eastAsia="sk-SK"/>
                <w14:ligatures w14:val="none"/>
              </w:rPr>
            </w:pPr>
          </w:p>
        </w:tc>
      </w:tr>
      <w:tr w:rsidR="00AD62CD" w:rsidRPr="00AD62CD" w14:paraId="2348C868" w14:textId="77777777" w:rsidTr="003627DF">
        <w:trPr>
          <w:trHeight w:val="70"/>
          <w:jc w:val="center"/>
        </w:trPr>
        <w:tc>
          <w:tcPr>
            <w:tcW w:w="4661" w:type="dxa"/>
            <w:noWrap/>
            <w:vAlign w:val="center"/>
          </w:tcPr>
          <w:p w14:paraId="349D87A9"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ŠR</w:t>
            </w:r>
          </w:p>
        </w:tc>
        <w:tc>
          <w:tcPr>
            <w:tcW w:w="1267" w:type="dxa"/>
            <w:noWrap/>
            <w:vAlign w:val="center"/>
          </w:tcPr>
          <w:p w14:paraId="1A6A1E03"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noWrap/>
            <w:vAlign w:val="center"/>
          </w:tcPr>
          <w:p w14:paraId="740E14BB"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noWrap/>
            <w:vAlign w:val="center"/>
          </w:tcPr>
          <w:p w14:paraId="5B3E3A40"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9 393 000</w:t>
            </w:r>
          </w:p>
        </w:tc>
        <w:tc>
          <w:tcPr>
            <w:tcW w:w="1267" w:type="dxa"/>
            <w:noWrap/>
            <w:vAlign w:val="center"/>
          </w:tcPr>
          <w:p w14:paraId="7D4D8DE0"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11 214 000</w:t>
            </w:r>
          </w:p>
        </w:tc>
      </w:tr>
      <w:tr w:rsidR="00AD62CD" w:rsidRPr="00AD62CD" w14:paraId="10DDD21C" w14:textId="77777777" w:rsidTr="003627DF">
        <w:trPr>
          <w:trHeight w:val="70"/>
          <w:jc w:val="center"/>
        </w:trPr>
        <w:tc>
          <w:tcPr>
            <w:tcW w:w="4661" w:type="dxa"/>
            <w:noWrap/>
            <w:vAlign w:val="center"/>
          </w:tcPr>
          <w:p w14:paraId="3A3D0557" w14:textId="77777777" w:rsidR="00AD62CD" w:rsidRPr="00AD62CD" w:rsidRDefault="00AD62CD" w:rsidP="00AD62CD">
            <w:pPr>
              <w:spacing w:after="0" w:line="240" w:lineRule="auto"/>
              <w:ind w:left="259"/>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Cs/>
                <w:i/>
                <w:iCs/>
                <w:kern w:val="0"/>
                <w:lang w:eastAsia="sk-SK"/>
                <w14:ligatures w14:val="none"/>
              </w:rPr>
              <w:t>Rozpočtové prostriedky (zdroj 72e)</w:t>
            </w:r>
          </w:p>
        </w:tc>
        <w:tc>
          <w:tcPr>
            <w:tcW w:w="1267" w:type="dxa"/>
            <w:noWrap/>
            <w:vAlign w:val="bottom"/>
          </w:tcPr>
          <w:p w14:paraId="52029FFD" w14:textId="77777777" w:rsidR="00AD62CD" w:rsidRPr="00AD62CD" w:rsidRDefault="00AD62CD" w:rsidP="00AD62CD">
            <w:pPr>
              <w:spacing w:after="0" w:line="240" w:lineRule="auto"/>
              <w:jc w:val="right"/>
              <w:rPr>
                <w:rFonts w:ascii="Times New Roman" w:eastAsia="Times New Roman" w:hAnsi="Times New Roman" w:cs="Times New Roman"/>
                <w:i/>
                <w:iCs/>
                <w:kern w:val="0"/>
                <w:lang w:eastAsia="sk-SK"/>
                <w14:ligatures w14:val="none"/>
              </w:rPr>
            </w:pPr>
            <w:r w:rsidRPr="00AD62CD">
              <w:rPr>
                <w:rFonts w:ascii="Times New Roman" w:eastAsia="Times New Roman" w:hAnsi="Times New Roman" w:cs="Times New Roman"/>
                <w:i/>
                <w:iCs/>
                <w:kern w:val="0"/>
                <w:lang w:eastAsia="sk-SK"/>
                <w14:ligatures w14:val="none"/>
              </w:rPr>
              <w:t>0</w:t>
            </w:r>
          </w:p>
        </w:tc>
        <w:tc>
          <w:tcPr>
            <w:tcW w:w="1267" w:type="dxa"/>
            <w:noWrap/>
            <w:vAlign w:val="bottom"/>
          </w:tcPr>
          <w:p w14:paraId="49C08E64" w14:textId="77777777" w:rsidR="00AD62CD" w:rsidRPr="00AD62CD" w:rsidRDefault="00AD62CD" w:rsidP="00AD62CD">
            <w:pPr>
              <w:spacing w:after="0" w:line="240" w:lineRule="auto"/>
              <w:jc w:val="right"/>
              <w:rPr>
                <w:rFonts w:ascii="Times New Roman" w:eastAsia="Times New Roman" w:hAnsi="Times New Roman" w:cs="Times New Roman"/>
                <w:i/>
                <w:iCs/>
                <w:kern w:val="0"/>
                <w:lang w:eastAsia="sk-SK"/>
                <w14:ligatures w14:val="none"/>
              </w:rPr>
            </w:pPr>
            <w:r w:rsidRPr="00AD62CD">
              <w:rPr>
                <w:rFonts w:ascii="Times New Roman" w:eastAsia="Times New Roman" w:hAnsi="Times New Roman" w:cs="Times New Roman"/>
                <w:i/>
                <w:iCs/>
                <w:kern w:val="0"/>
                <w:lang w:eastAsia="sk-SK"/>
                <w14:ligatures w14:val="none"/>
              </w:rPr>
              <w:t>0</w:t>
            </w:r>
          </w:p>
        </w:tc>
        <w:tc>
          <w:tcPr>
            <w:tcW w:w="1267" w:type="dxa"/>
            <w:noWrap/>
            <w:vAlign w:val="bottom"/>
          </w:tcPr>
          <w:p w14:paraId="7B23783A" w14:textId="77777777" w:rsidR="00AD62CD" w:rsidRPr="00AD62CD" w:rsidRDefault="00AD62CD" w:rsidP="00AD62CD">
            <w:pPr>
              <w:spacing w:after="0" w:line="240" w:lineRule="auto"/>
              <w:jc w:val="right"/>
              <w:rPr>
                <w:rFonts w:ascii="Times New Roman" w:eastAsia="Times New Roman" w:hAnsi="Times New Roman" w:cs="Times New Roman"/>
                <w:i/>
                <w:iCs/>
                <w:kern w:val="0"/>
                <w:lang w:eastAsia="sk-SK"/>
                <w14:ligatures w14:val="none"/>
              </w:rPr>
            </w:pPr>
            <w:r w:rsidRPr="00AD62CD">
              <w:rPr>
                <w:rFonts w:ascii="Times New Roman" w:eastAsia="Times New Roman" w:hAnsi="Times New Roman" w:cs="Times New Roman"/>
                <w:i/>
                <w:iCs/>
                <w:kern w:val="0"/>
                <w:lang w:eastAsia="sk-SK"/>
                <w14:ligatures w14:val="none"/>
              </w:rPr>
              <w:t>9 393 000</w:t>
            </w:r>
          </w:p>
        </w:tc>
        <w:tc>
          <w:tcPr>
            <w:tcW w:w="1267" w:type="dxa"/>
            <w:noWrap/>
            <w:vAlign w:val="bottom"/>
          </w:tcPr>
          <w:p w14:paraId="1AC84A79" w14:textId="77777777" w:rsidR="00AD62CD" w:rsidRPr="00AD62CD" w:rsidRDefault="00AD62CD" w:rsidP="00AD62CD">
            <w:pPr>
              <w:spacing w:after="0" w:line="240" w:lineRule="auto"/>
              <w:jc w:val="right"/>
              <w:rPr>
                <w:rFonts w:ascii="Times New Roman" w:eastAsia="Times New Roman" w:hAnsi="Times New Roman" w:cs="Times New Roman"/>
                <w:i/>
                <w:iCs/>
                <w:kern w:val="0"/>
                <w:lang w:eastAsia="sk-SK"/>
                <w14:ligatures w14:val="none"/>
              </w:rPr>
            </w:pPr>
            <w:r w:rsidRPr="00AD62CD">
              <w:rPr>
                <w:rFonts w:ascii="Times New Roman" w:eastAsia="Times New Roman" w:hAnsi="Times New Roman" w:cs="Times New Roman"/>
                <w:i/>
                <w:iCs/>
                <w:kern w:val="0"/>
                <w:lang w:eastAsia="sk-SK"/>
                <w14:ligatures w14:val="none"/>
              </w:rPr>
              <w:t>11 214 000</w:t>
            </w:r>
          </w:p>
        </w:tc>
      </w:tr>
      <w:tr w:rsidR="00AD62CD" w:rsidRPr="00AD62CD" w14:paraId="600A5912" w14:textId="77777777" w:rsidTr="003627DF">
        <w:trPr>
          <w:trHeight w:val="70"/>
          <w:jc w:val="center"/>
        </w:trPr>
        <w:tc>
          <w:tcPr>
            <w:tcW w:w="4661" w:type="dxa"/>
            <w:noWrap/>
            <w:vAlign w:val="center"/>
          </w:tcPr>
          <w:p w14:paraId="28D240F5"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obce</w:t>
            </w:r>
          </w:p>
        </w:tc>
        <w:tc>
          <w:tcPr>
            <w:tcW w:w="1267" w:type="dxa"/>
            <w:noWrap/>
            <w:vAlign w:val="center"/>
          </w:tcPr>
          <w:p w14:paraId="2512C71B"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5C6D10F4"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5F3038AE"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57FB5575"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6DC4C8A2" w14:textId="77777777" w:rsidTr="003627DF">
        <w:trPr>
          <w:trHeight w:val="70"/>
          <w:jc w:val="center"/>
        </w:trPr>
        <w:tc>
          <w:tcPr>
            <w:tcW w:w="4661" w:type="dxa"/>
            <w:noWrap/>
            <w:vAlign w:val="center"/>
          </w:tcPr>
          <w:p w14:paraId="0807F324"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vyššie územné celky</w:t>
            </w:r>
          </w:p>
        </w:tc>
        <w:tc>
          <w:tcPr>
            <w:tcW w:w="1267" w:type="dxa"/>
            <w:noWrap/>
            <w:vAlign w:val="center"/>
          </w:tcPr>
          <w:p w14:paraId="34075943"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18F82720"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0301AA8E"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1F8B857"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6E172535" w14:textId="77777777" w:rsidTr="003627DF">
        <w:trPr>
          <w:trHeight w:val="70"/>
          <w:jc w:val="center"/>
        </w:trPr>
        <w:tc>
          <w:tcPr>
            <w:tcW w:w="4661" w:type="dxa"/>
            <w:noWrap/>
            <w:vAlign w:val="center"/>
          </w:tcPr>
          <w:p w14:paraId="3151D654"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ostatné subjekty verejnej správy</w:t>
            </w:r>
          </w:p>
        </w:tc>
        <w:tc>
          <w:tcPr>
            <w:tcW w:w="1267" w:type="dxa"/>
            <w:noWrap/>
            <w:vAlign w:val="center"/>
          </w:tcPr>
          <w:p w14:paraId="2B982883"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0756F4D2"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2DFADDDA"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0C1DCB91"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537190AE" w14:textId="77777777" w:rsidTr="00AD62CD">
        <w:trPr>
          <w:trHeight w:val="70"/>
          <w:jc w:val="center"/>
        </w:trPr>
        <w:tc>
          <w:tcPr>
            <w:tcW w:w="4661" w:type="dxa"/>
            <w:shd w:val="clear" w:color="auto" w:fill="BFBFBF"/>
            <w:noWrap/>
            <w:vAlign w:val="center"/>
          </w:tcPr>
          <w:p w14:paraId="08FB508D"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xml:space="preserve">Vplyv na počet zamestnancov </w:t>
            </w:r>
          </w:p>
        </w:tc>
        <w:tc>
          <w:tcPr>
            <w:tcW w:w="1267" w:type="dxa"/>
            <w:shd w:val="clear" w:color="auto" w:fill="BFBFBF"/>
            <w:noWrap/>
            <w:vAlign w:val="center"/>
          </w:tcPr>
          <w:p w14:paraId="2C4DF316"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BFBFBF"/>
            <w:noWrap/>
            <w:vAlign w:val="center"/>
          </w:tcPr>
          <w:p w14:paraId="45735FDE"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BFBFBF"/>
            <w:noWrap/>
            <w:vAlign w:val="center"/>
          </w:tcPr>
          <w:p w14:paraId="7631AF6C"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BFBFBF"/>
            <w:noWrap/>
            <w:vAlign w:val="center"/>
          </w:tcPr>
          <w:p w14:paraId="6B23B206"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r>
      <w:tr w:rsidR="00AD62CD" w:rsidRPr="00AD62CD" w14:paraId="66DD056A" w14:textId="77777777" w:rsidTr="003627DF">
        <w:trPr>
          <w:trHeight w:val="70"/>
          <w:jc w:val="center"/>
        </w:trPr>
        <w:tc>
          <w:tcPr>
            <w:tcW w:w="4661" w:type="dxa"/>
            <w:noWrap/>
            <w:vAlign w:val="center"/>
          </w:tcPr>
          <w:p w14:paraId="46C850D5"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ŠR</w:t>
            </w:r>
          </w:p>
        </w:tc>
        <w:tc>
          <w:tcPr>
            <w:tcW w:w="1267" w:type="dxa"/>
            <w:noWrap/>
            <w:vAlign w:val="center"/>
          </w:tcPr>
          <w:p w14:paraId="0DD1CB41"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46F4837"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C324A62"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305C7ABA"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73BF694A" w14:textId="77777777" w:rsidTr="003627DF">
        <w:trPr>
          <w:trHeight w:val="70"/>
          <w:jc w:val="center"/>
        </w:trPr>
        <w:tc>
          <w:tcPr>
            <w:tcW w:w="4661" w:type="dxa"/>
            <w:noWrap/>
            <w:vAlign w:val="center"/>
          </w:tcPr>
          <w:p w14:paraId="4825972A"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obce</w:t>
            </w:r>
          </w:p>
        </w:tc>
        <w:tc>
          <w:tcPr>
            <w:tcW w:w="1267" w:type="dxa"/>
            <w:noWrap/>
            <w:vAlign w:val="center"/>
          </w:tcPr>
          <w:p w14:paraId="6524F00F"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551A6C6E"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1BE90E6"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36C9B8B3"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243ED7D3" w14:textId="77777777" w:rsidTr="003627DF">
        <w:trPr>
          <w:trHeight w:val="70"/>
          <w:jc w:val="center"/>
        </w:trPr>
        <w:tc>
          <w:tcPr>
            <w:tcW w:w="4661" w:type="dxa"/>
            <w:noWrap/>
            <w:vAlign w:val="center"/>
          </w:tcPr>
          <w:p w14:paraId="113739EA"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vyššie územné celky</w:t>
            </w:r>
          </w:p>
        </w:tc>
        <w:tc>
          <w:tcPr>
            <w:tcW w:w="1267" w:type="dxa"/>
            <w:noWrap/>
            <w:vAlign w:val="center"/>
          </w:tcPr>
          <w:p w14:paraId="0EB58D91"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6604B90F"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5E3C55EE"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BB9715D"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76C40057" w14:textId="77777777" w:rsidTr="003627DF">
        <w:trPr>
          <w:trHeight w:val="70"/>
          <w:jc w:val="center"/>
        </w:trPr>
        <w:tc>
          <w:tcPr>
            <w:tcW w:w="4661" w:type="dxa"/>
            <w:noWrap/>
            <w:vAlign w:val="center"/>
          </w:tcPr>
          <w:p w14:paraId="19EA87BB"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ostatné subjekty verejnej správy</w:t>
            </w:r>
          </w:p>
        </w:tc>
        <w:tc>
          <w:tcPr>
            <w:tcW w:w="1267" w:type="dxa"/>
            <w:noWrap/>
            <w:vAlign w:val="center"/>
          </w:tcPr>
          <w:p w14:paraId="5565CEC0"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3DB96FF8"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0E095D3B"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184A55A3"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4BD67FC0" w14:textId="77777777" w:rsidTr="00AD62CD">
        <w:trPr>
          <w:trHeight w:val="70"/>
          <w:jc w:val="center"/>
        </w:trPr>
        <w:tc>
          <w:tcPr>
            <w:tcW w:w="4661" w:type="dxa"/>
            <w:shd w:val="clear" w:color="auto" w:fill="BFBFBF"/>
            <w:noWrap/>
            <w:vAlign w:val="center"/>
          </w:tcPr>
          <w:p w14:paraId="584DF74D" w14:textId="77777777" w:rsidR="00AD62CD" w:rsidRPr="00AD62CD" w:rsidRDefault="00AD62CD" w:rsidP="00AD62CD">
            <w:pPr>
              <w:spacing w:after="0" w:line="240" w:lineRule="auto"/>
              <w:rPr>
                <w:rFonts w:ascii="Times New Roman" w:eastAsia="Times New Roman" w:hAnsi="Times New Roman" w:cs="Times New Roman"/>
                <w:b/>
                <w:kern w:val="0"/>
                <w:lang w:eastAsia="sk-SK"/>
                <w14:ligatures w14:val="none"/>
              </w:rPr>
            </w:pPr>
            <w:r w:rsidRPr="00AD62CD">
              <w:rPr>
                <w:rFonts w:ascii="Times New Roman" w:eastAsia="Times New Roman" w:hAnsi="Times New Roman" w:cs="Times New Roman"/>
                <w:b/>
                <w:kern w:val="0"/>
                <w:lang w:eastAsia="sk-SK"/>
                <w14:ligatures w14:val="none"/>
              </w:rPr>
              <w:t>Vplyv na mzdové výdavky</w:t>
            </w:r>
          </w:p>
        </w:tc>
        <w:tc>
          <w:tcPr>
            <w:tcW w:w="1267" w:type="dxa"/>
            <w:shd w:val="clear" w:color="auto" w:fill="BFBFBF"/>
            <w:noWrap/>
            <w:vAlign w:val="center"/>
          </w:tcPr>
          <w:p w14:paraId="42151BD1" w14:textId="77777777" w:rsidR="00AD62CD" w:rsidRPr="00AD62CD" w:rsidRDefault="00AD62CD" w:rsidP="00AD62CD">
            <w:pPr>
              <w:spacing w:after="0" w:line="240" w:lineRule="auto"/>
              <w:jc w:val="right"/>
              <w:rPr>
                <w:rFonts w:ascii="Times New Roman" w:eastAsia="Times New Roman" w:hAnsi="Times New Roman" w:cs="Times New Roman"/>
                <w:b/>
                <w:kern w:val="0"/>
                <w:lang w:eastAsia="sk-SK"/>
                <w14:ligatures w14:val="none"/>
              </w:rPr>
            </w:pPr>
            <w:r w:rsidRPr="00AD62CD">
              <w:rPr>
                <w:rFonts w:ascii="Times New Roman" w:eastAsia="Times New Roman" w:hAnsi="Times New Roman" w:cs="Times New Roman"/>
                <w:b/>
                <w:kern w:val="0"/>
                <w:lang w:eastAsia="sk-SK"/>
                <w14:ligatures w14:val="none"/>
              </w:rPr>
              <w:t>0</w:t>
            </w:r>
          </w:p>
        </w:tc>
        <w:tc>
          <w:tcPr>
            <w:tcW w:w="1267" w:type="dxa"/>
            <w:shd w:val="clear" w:color="auto" w:fill="BFBFBF"/>
            <w:noWrap/>
            <w:vAlign w:val="center"/>
          </w:tcPr>
          <w:p w14:paraId="3ED8E868" w14:textId="77777777" w:rsidR="00AD62CD" w:rsidRPr="00AD62CD" w:rsidRDefault="00AD62CD" w:rsidP="00AD62CD">
            <w:pPr>
              <w:spacing w:after="0" w:line="240" w:lineRule="auto"/>
              <w:jc w:val="right"/>
              <w:rPr>
                <w:rFonts w:ascii="Times New Roman" w:eastAsia="Times New Roman" w:hAnsi="Times New Roman" w:cs="Times New Roman"/>
                <w:b/>
                <w:kern w:val="0"/>
                <w:lang w:eastAsia="sk-SK"/>
                <w14:ligatures w14:val="none"/>
              </w:rPr>
            </w:pPr>
            <w:r w:rsidRPr="00AD62CD">
              <w:rPr>
                <w:rFonts w:ascii="Times New Roman" w:eastAsia="Times New Roman" w:hAnsi="Times New Roman" w:cs="Times New Roman"/>
                <w:b/>
                <w:kern w:val="0"/>
                <w:lang w:eastAsia="sk-SK"/>
                <w14:ligatures w14:val="none"/>
              </w:rPr>
              <w:t>0</w:t>
            </w:r>
          </w:p>
        </w:tc>
        <w:tc>
          <w:tcPr>
            <w:tcW w:w="1267" w:type="dxa"/>
            <w:shd w:val="clear" w:color="auto" w:fill="BFBFBF"/>
            <w:noWrap/>
            <w:vAlign w:val="center"/>
          </w:tcPr>
          <w:p w14:paraId="2258C290" w14:textId="77777777" w:rsidR="00AD62CD" w:rsidRPr="00AD62CD" w:rsidRDefault="00AD62CD" w:rsidP="00AD62CD">
            <w:pPr>
              <w:spacing w:after="0" w:line="240" w:lineRule="auto"/>
              <w:jc w:val="right"/>
              <w:rPr>
                <w:rFonts w:ascii="Times New Roman" w:eastAsia="Times New Roman" w:hAnsi="Times New Roman" w:cs="Times New Roman"/>
                <w:b/>
                <w:kern w:val="0"/>
                <w:lang w:eastAsia="sk-SK"/>
                <w14:ligatures w14:val="none"/>
              </w:rPr>
            </w:pPr>
            <w:r w:rsidRPr="00AD62CD">
              <w:rPr>
                <w:rFonts w:ascii="Times New Roman" w:eastAsia="Times New Roman" w:hAnsi="Times New Roman" w:cs="Times New Roman"/>
                <w:b/>
                <w:kern w:val="0"/>
                <w:lang w:eastAsia="sk-SK"/>
                <w14:ligatures w14:val="none"/>
              </w:rPr>
              <w:t>0</w:t>
            </w:r>
          </w:p>
        </w:tc>
        <w:tc>
          <w:tcPr>
            <w:tcW w:w="1267" w:type="dxa"/>
            <w:shd w:val="clear" w:color="auto" w:fill="BFBFBF"/>
            <w:noWrap/>
            <w:vAlign w:val="center"/>
          </w:tcPr>
          <w:p w14:paraId="422CCD8D" w14:textId="77777777" w:rsidR="00AD62CD" w:rsidRPr="00AD62CD" w:rsidRDefault="00AD62CD" w:rsidP="00AD62CD">
            <w:pPr>
              <w:spacing w:after="0" w:line="240" w:lineRule="auto"/>
              <w:jc w:val="right"/>
              <w:rPr>
                <w:rFonts w:ascii="Times New Roman" w:eastAsia="Times New Roman" w:hAnsi="Times New Roman" w:cs="Times New Roman"/>
                <w:b/>
                <w:kern w:val="0"/>
                <w:lang w:eastAsia="sk-SK"/>
                <w14:ligatures w14:val="none"/>
              </w:rPr>
            </w:pPr>
            <w:r w:rsidRPr="00AD62CD">
              <w:rPr>
                <w:rFonts w:ascii="Times New Roman" w:eastAsia="Times New Roman" w:hAnsi="Times New Roman" w:cs="Times New Roman"/>
                <w:b/>
                <w:kern w:val="0"/>
                <w:lang w:eastAsia="sk-SK"/>
                <w14:ligatures w14:val="none"/>
              </w:rPr>
              <w:t>0</w:t>
            </w:r>
          </w:p>
        </w:tc>
      </w:tr>
      <w:tr w:rsidR="00AD62CD" w:rsidRPr="00AD62CD" w14:paraId="6252C61B" w14:textId="77777777" w:rsidTr="003627DF">
        <w:trPr>
          <w:trHeight w:val="70"/>
          <w:jc w:val="center"/>
        </w:trPr>
        <w:tc>
          <w:tcPr>
            <w:tcW w:w="4661" w:type="dxa"/>
            <w:noWrap/>
            <w:vAlign w:val="center"/>
          </w:tcPr>
          <w:p w14:paraId="7EEFC74E"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ŠR</w:t>
            </w:r>
          </w:p>
        </w:tc>
        <w:tc>
          <w:tcPr>
            <w:tcW w:w="1267" w:type="dxa"/>
            <w:noWrap/>
            <w:vAlign w:val="center"/>
          </w:tcPr>
          <w:p w14:paraId="4FBE0461"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7BADF9E"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67219D31"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0F98571E"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0B139167" w14:textId="77777777" w:rsidTr="003627DF">
        <w:trPr>
          <w:trHeight w:val="70"/>
          <w:jc w:val="center"/>
        </w:trPr>
        <w:tc>
          <w:tcPr>
            <w:tcW w:w="4661" w:type="dxa"/>
            <w:noWrap/>
            <w:vAlign w:val="center"/>
          </w:tcPr>
          <w:p w14:paraId="1C86DA18"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obce</w:t>
            </w:r>
          </w:p>
        </w:tc>
        <w:tc>
          <w:tcPr>
            <w:tcW w:w="1267" w:type="dxa"/>
            <w:noWrap/>
            <w:vAlign w:val="center"/>
          </w:tcPr>
          <w:p w14:paraId="7C698DDA"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873DACE"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0F9DFF5C"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3B5A1CE7"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05002A3E" w14:textId="77777777" w:rsidTr="003627DF">
        <w:trPr>
          <w:trHeight w:val="70"/>
          <w:jc w:val="center"/>
        </w:trPr>
        <w:tc>
          <w:tcPr>
            <w:tcW w:w="4661" w:type="dxa"/>
            <w:noWrap/>
            <w:vAlign w:val="center"/>
          </w:tcPr>
          <w:p w14:paraId="08BDDAD6"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vyššie územné celky</w:t>
            </w:r>
          </w:p>
        </w:tc>
        <w:tc>
          <w:tcPr>
            <w:tcW w:w="1267" w:type="dxa"/>
            <w:noWrap/>
            <w:vAlign w:val="center"/>
          </w:tcPr>
          <w:p w14:paraId="768102FB"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E5C3CB6"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391F0C0"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50CDDF66"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5999A4D8" w14:textId="77777777" w:rsidTr="003627DF">
        <w:trPr>
          <w:trHeight w:val="70"/>
          <w:jc w:val="center"/>
        </w:trPr>
        <w:tc>
          <w:tcPr>
            <w:tcW w:w="4661" w:type="dxa"/>
            <w:noWrap/>
            <w:vAlign w:val="center"/>
          </w:tcPr>
          <w:p w14:paraId="72614C5C"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ostatné subjekty verejnej správy</w:t>
            </w:r>
          </w:p>
        </w:tc>
        <w:tc>
          <w:tcPr>
            <w:tcW w:w="1267" w:type="dxa"/>
            <w:noWrap/>
            <w:vAlign w:val="center"/>
          </w:tcPr>
          <w:p w14:paraId="19BB5C56"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3D20CE9"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6C460CED"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566AC879"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2854999C" w14:textId="77777777" w:rsidTr="003627DF">
        <w:trPr>
          <w:trHeight w:val="70"/>
          <w:jc w:val="center"/>
        </w:trPr>
        <w:tc>
          <w:tcPr>
            <w:tcW w:w="4661" w:type="dxa"/>
            <w:shd w:val="clear" w:color="auto" w:fill="C0C0C0"/>
            <w:noWrap/>
            <w:vAlign w:val="center"/>
          </w:tcPr>
          <w:p w14:paraId="7655D8F8"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Financovanie zabezpečené v rozpočte</w:t>
            </w:r>
          </w:p>
        </w:tc>
        <w:tc>
          <w:tcPr>
            <w:tcW w:w="1267" w:type="dxa"/>
            <w:shd w:val="clear" w:color="auto" w:fill="C0C0C0"/>
            <w:noWrap/>
            <w:vAlign w:val="center"/>
          </w:tcPr>
          <w:p w14:paraId="56718E84"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C0C0C0"/>
            <w:noWrap/>
            <w:vAlign w:val="center"/>
          </w:tcPr>
          <w:p w14:paraId="5D75317F"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C0C0C0"/>
            <w:noWrap/>
            <w:vAlign w:val="center"/>
          </w:tcPr>
          <w:p w14:paraId="73F8C347"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C0C0C0"/>
            <w:noWrap/>
            <w:vAlign w:val="center"/>
          </w:tcPr>
          <w:p w14:paraId="29687B72"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r>
      <w:tr w:rsidR="00AD62CD" w:rsidRPr="00AD62CD" w14:paraId="1169C305" w14:textId="77777777" w:rsidTr="003627DF">
        <w:trPr>
          <w:trHeight w:val="70"/>
          <w:jc w:val="center"/>
        </w:trPr>
        <w:tc>
          <w:tcPr>
            <w:tcW w:w="4661" w:type="dxa"/>
            <w:noWrap/>
            <w:vAlign w:val="center"/>
          </w:tcPr>
          <w:p w14:paraId="5095BD4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v tom: za každý subjekt verejnej správy / program zvlášť</w:t>
            </w:r>
          </w:p>
        </w:tc>
        <w:tc>
          <w:tcPr>
            <w:tcW w:w="1267" w:type="dxa"/>
            <w:noWrap/>
            <w:vAlign w:val="center"/>
          </w:tcPr>
          <w:p w14:paraId="1B8C25B1"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6A8EAE4C"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7EC17FE2"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6053FEFB"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r>
      <w:tr w:rsidR="00AD62CD" w:rsidRPr="00AD62CD" w14:paraId="3B556A30" w14:textId="77777777" w:rsidTr="00AD62CD">
        <w:trPr>
          <w:trHeight w:val="70"/>
          <w:jc w:val="center"/>
        </w:trPr>
        <w:tc>
          <w:tcPr>
            <w:tcW w:w="4661" w:type="dxa"/>
            <w:shd w:val="clear" w:color="auto" w:fill="BFBFBF"/>
            <w:noWrap/>
            <w:vAlign w:val="center"/>
          </w:tcPr>
          <w:p w14:paraId="216B5682" w14:textId="77777777" w:rsidR="00AD62CD" w:rsidRPr="00AD62CD" w:rsidRDefault="00AD62CD" w:rsidP="00AD62CD">
            <w:pPr>
              <w:spacing w:after="0" w:line="240" w:lineRule="auto"/>
              <w:rPr>
                <w:rFonts w:ascii="Times New Roman" w:eastAsia="Times New Roman" w:hAnsi="Times New Roman" w:cs="Times New Roman"/>
                <w:b/>
                <w:kern w:val="0"/>
                <w:lang w:eastAsia="sk-SK"/>
                <w14:ligatures w14:val="none"/>
              </w:rPr>
            </w:pPr>
            <w:r w:rsidRPr="00AD62CD">
              <w:rPr>
                <w:rFonts w:ascii="Times New Roman" w:eastAsia="Times New Roman" w:hAnsi="Times New Roman" w:cs="Times New Roman"/>
                <w:b/>
                <w:kern w:val="0"/>
                <w:lang w:eastAsia="sk-SK"/>
                <w14:ligatures w14:val="none"/>
              </w:rPr>
              <w:t>Iné ako rozpočtové zdroje</w:t>
            </w:r>
          </w:p>
        </w:tc>
        <w:tc>
          <w:tcPr>
            <w:tcW w:w="1267" w:type="dxa"/>
            <w:shd w:val="clear" w:color="auto" w:fill="BFBFBF"/>
            <w:noWrap/>
            <w:vAlign w:val="center"/>
          </w:tcPr>
          <w:p w14:paraId="2DE27BD7"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BFBFBF"/>
            <w:noWrap/>
            <w:vAlign w:val="center"/>
          </w:tcPr>
          <w:p w14:paraId="64B5ACF0"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BFBFBF"/>
            <w:noWrap/>
            <w:vAlign w:val="center"/>
          </w:tcPr>
          <w:p w14:paraId="28B8581E"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BFBFBF"/>
            <w:noWrap/>
            <w:vAlign w:val="center"/>
          </w:tcPr>
          <w:p w14:paraId="43194413"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r>
      <w:tr w:rsidR="00AD62CD" w:rsidRPr="00AD62CD" w14:paraId="4114F7E8" w14:textId="77777777" w:rsidTr="00AD62CD">
        <w:trPr>
          <w:trHeight w:val="70"/>
          <w:jc w:val="center"/>
        </w:trPr>
        <w:tc>
          <w:tcPr>
            <w:tcW w:w="4661" w:type="dxa"/>
            <w:shd w:val="clear" w:color="auto" w:fill="A6A6A6"/>
            <w:noWrap/>
            <w:vAlign w:val="center"/>
          </w:tcPr>
          <w:p w14:paraId="56D792BF"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Rozpočtovo nekrytý vplyv / úspora</w:t>
            </w:r>
          </w:p>
        </w:tc>
        <w:tc>
          <w:tcPr>
            <w:tcW w:w="1267" w:type="dxa"/>
            <w:shd w:val="clear" w:color="auto" w:fill="A6A6A6"/>
            <w:noWrap/>
            <w:vAlign w:val="center"/>
          </w:tcPr>
          <w:p w14:paraId="27258507"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267" w:type="dxa"/>
            <w:shd w:val="clear" w:color="auto" w:fill="A6A6A6"/>
            <w:noWrap/>
            <w:vAlign w:val="center"/>
          </w:tcPr>
          <w:p w14:paraId="656D16A3"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color w:val="000000"/>
                <w:kern w:val="0"/>
                <w:sz w:val="22"/>
                <w:szCs w:val="22"/>
                <w14:ligatures w14:val="none"/>
              </w:rPr>
              <w:t>-9 393 000</w:t>
            </w:r>
          </w:p>
        </w:tc>
        <w:tc>
          <w:tcPr>
            <w:tcW w:w="1267" w:type="dxa"/>
            <w:shd w:val="clear" w:color="auto" w:fill="A6A6A6"/>
            <w:noWrap/>
            <w:vAlign w:val="center"/>
          </w:tcPr>
          <w:p w14:paraId="250A54CA"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color w:val="000000"/>
                <w:kern w:val="0"/>
                <w:sz w:val="22"/>
                <w:szCs w:val="22"/>
                <w14:ligatures w14:val="none"/>
              </w:rPr>
              <w:t>-1 821 000</w:t>
            </w:r>
          </w:p>
        </w:tc>
        <w:tc>
          <w:tcPr>
            <w:tcW w:w="1267" w:type="dxa"/>
            <w:shd w:val="clear" w:color="auto" w:fill="A6A6A6"/>
            <w:noWrap/>
            <w:vAlign w:val="center"/>
          </w:tcPr>
          <w:p w14:paraId="1863A09A"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color w:val="000000"/>
                <w:kern w:val="0"/>
                <w:sz w:val="22"/>
                <w:szCs w:val="22"/>
                <w14:ligatures w14:val="none"/>
              </w:rPr>
              <w:t>-558 000</w:t>
            </w:r>
          </w:p>
        </w:tc>
      </w:tr>
    </w:tbl>
    <w:bookmarkEnd w:id="4"/>
    <w:p w14:paraId="5C774F74" w14:textId="77777777" w:rsidR="00AD62CD" w:rsidRPr="00AD62CD" w:rsidRDefault="00AD62CD" w:rsidP="00AD62CD">
      <w:pPr>
        <w:spacing w:after="0" w:line="276" w:lineRule="auto"/>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AD62CD" w:rsidRPr="00AD62CD" w14:paraId="278A185A" w14:textId="77777777" w:rsidTr="00AD62CD">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82FFC9D"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13FB0D5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r</w:t>
            </w: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213AC70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r + 1</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66F3036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r + 2</w:t>
            </w:r>
          </w:p>
        </w:tc>
        <w:tc>
          <w:tcPr>
            <w:tcW w:w="1418" w:type="dxa"/>
            <w:tcBorders>
              <w:top w:val="single" w:sz="4" w:space="0" w:color="auto"/>
              <w:left w:val="nil"/>
              <w:bottom w:val="single" w:sz="4" w:space="0" w:color="auto"/>
              <w:right w:val="single" w:sz="4" w:space="0" w:color="auto"/>
            </w:tcBorders>
            <w:shd w:val="clear" w:color="auto" w:fill="BFBFBF"/>
            <w:noWrap/>
            <w:vAlign w:val="center"/>
            <w:hideMark/>
          </w:tcPr>
          <w:p w14:paraId="13D683C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r + 3</w:t>
            </w:r>
          </w:p>
        </w:tc>
      </w:tr>
      <w:tr w:rsidR="00AD62CD" w:rsidRPr="00AD62CD" w14:paraId="56D93EC6"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77D4EADE"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3E432D00"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417" w:type="dxa"/>
            <w:tcBorders>
              <w:top w:val="nil"/>
              <w:left w:val="nil"/>
              <w:bottom w:val="single" w:sz="4" w:space="0" w:color="auto"/>
              <w:right w:val="single" w:sz="4" w:space="0" w:color="auto"/>
            </w:tcBorders>
            <w:shd w:val="clear" w:color="auto" w:fill="auto"/>
            <w:noWrap/>
            <w:vAlign w:val="center"/>
            <w:hideMark/>
          </w:tcPr>
          <w:p w14:paraId="322237A3"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134" w:type="dxa"/>
            <w:tcBorders>
              <w:top w:val="nil"/>
              <w:left w:val="nil"/>
              <w:bottom w:val="single" w:sz="4" w:space="0" w:color="auto"/>
              <w:right w:val="single" w:sz="4" w:space="0" w:color="auto"/>
            </w:tcBorders>
            <w:shd w:val="clear" w:color="auto" w:fill="auto"/>
            <w:noWrap/>
            <w:vAlign w:val="center"/>
            <w:hideMark/>
          </w:tcPr>
          <w:p w14:paraId="65BD2B80"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418" w:type="dxa"/>
            <w:tcBorders>
              <w:top w:val="nil"/>
              <w:left w:val="nil"/>
              <w:bottom w:val="single" w:sz="4" w:space="0" w:color="auto"/>
              <w:right w:val="single" w:sz="4" w:space="0" w:color="auto"/>
            </w:tcBorders>
            <w:shd w:val="clear" w:color="auto" w:fill="auto"/>
            <w:noWrap/>
            <w:vAlign w:val="center"/>
            <w:hideMark/>
          </w:tcPr>
          <w:p w14:paraId="253AABB0"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r>
      <w:tr w:rsidR="00AD62CD" w:rsidRPr="00AD62CD" w14:paraId="1D70EE16"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674A28D7"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14:paraId="230DA410"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0</w:t>
            </w:r>
          </w:p>
        </w:tc>
        <w:tc>
          <w:tcPr>
            <w:tcW w:w="1417" w:type="dxa"/>
            <w:tcBorders>
              <w:top w:val="nil"/>
              <w:left w:val="nil"/>
              <w:bottom w:val="single" w:sz="4" w:space="0" w:color="auto"/>
              <w:right w:val="single" w:sz="4" w:space="0" w:color="auto"/>
            </w:tcBorders>
            <w:shd w:val="clear" w:color="auto" w:fill="auto"/>
            <w:noWrap/>
            <w:vAlign w:val="center"/>
            <w:hideMark/>
          </w:tcPr>
          <w:p w14:paraId="5D5BB920"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0</w:t>
            </w:r>
          </w:p>
        </w:tc>
        <w:tc>
          <w:tcPr>
            <w:tcW w:w="1134" w:type="dxa"/>
            <w:tcBorders>
              <w:top w:val="nil"/>
              <w:left w:val="nil"/>
              <w:bottom w:val="single" w:sz="4" w:space="0" w:color="auto"/>
              <w:right w:val="single" w:sz="4" w:space="0" w:color="auto"/>
            </w:tcBorders>
            <w:shd w:val="clear" w:color="auto" w:fill="auto"/>
            <w:noWrap/>
            <w:vAlign w:val="center"/>
            <w:hideMark/>
          </w:tcPr>
          <w:p w14:paraId="22D9ED20"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0</w:t>
            </w:r>
          </w:p>
        </w:tc>
        <w:tc>
          <w:tcPr>
            <w:tcW w:w="1418" w:type="dxa"/>
            <w:tcBorders>
              <w:top w:val="nil"/>
              <w:left w:val="nil"/>
              <w:bottom w:val="single" w:sz="4" w:space="0" w:color="auto"/>
              <w:right w:val="single" w:sz="4" w:space="0" w:color="auto"/>
            </w:tcBorders>
            <w:shd w:val="clear" w:color="auto" w:fill="auto"/>
            <w:noWrap/>
            <w:vAlign w:val="center"/>
            <w:hideMark/>
          </w:tcPr>
          <w:p w14:paraId="1D6A98B4"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0</w:t>
            </w:r>
          </w:p>
        </w:tc>
      </w:tr>
      <w:tr w:rsidR="00AD62CD" w:rsidRPr="00AD62CD" w14:paraId="381C14ED"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106A7A6B" w14:textId="77777777" w:rsidR="00AD62CD" w:rsidRPr="00AD62CD" w:rsidRDefault="00AD62CD" w:rsidP="00AD62CD">
            <w:pPr>
              <w:spacing w:after="0" w:line="240" w:lineRule="auto"/>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5FE705BA"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D3ACE0"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1F9BF454"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c>
          <w:tcPr>
            <w:tcW w:w="1418" w:type="dxa"/>
            <w:tcBorders>
              <w:top w:val="nil"/>
              <w:left w:val="nil"/>
              <w:bottom w:val="single" w:sz="4" w:space="0" w:color="auto"/>
              <w:right w:val="single" w:sz="4" w:space="0" w:color="auto"/>
            </w:tcBorders>
            <w:shd w:val="clear" w:color="auto" w:fill="auto"/>
            <w:noWrap/>
            <w:vAlign w:val="center"/>
            <w:hideMark/>
          </w:tcPr>
          <w:p w14:paraId="3CF90405"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0CCDACA3"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285B8B29"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5AF66D2C"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417" w:type="dxa"/>
            <w:tcBorders>
              <w:top w:val="nil"/>
              <w:left w:val="nil"/>
              <w:bottom w:val="single" w:sz="4" w:space="0" w:color="auto"/>
              <w:right w:val="single" w:sz="4" w:space="0" w:color="auto"/>
            </w:tcBorders>
            <w:shd w:val="clear" w:color="auto" w:fill="auto"/>
            <w:noWrap/>
            <w:vAlign w:val="center"/>
            <w:hideMark/>
          </w:tcPr>
          <w:p w14:paraId="3AC7238D"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134" w:type="dxa"/>
            <w:tcBorders>
              <w:top w:val="nil"/>
              <w:left w:val="nil"/>
              <w:bottom w:val="single" w:sz="4" w:space="0" w:color="auto"/>
              <w:right w:val="single" w:sz="4" w:space="0" w:color="auto"/>
            </w:tcBorders>
            <w:shd w:val="clear" w:color="auto" w:fill="auto"/>
            <w:noWrap/>
            <w:vAlign w:val="center"/>
            <w:hideMark/>
          </w:tcPr>
          <w:p w14:paraId="04ABA7A7"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418" w:type="dxa"/>
            <w:tcBorders>
              <w:top w:val="nil"/>
              <w:left w:val="nil"/>
              <w:bottom w:val="single" w:sz="4" w:space="0" w:color="auto"/>
              <w:right w:val="single" w:sz="4" w:space="0" w:color="auto"/>
            </w:tcBorders>
            <w:shd w:val="clear" w:color="auto" w:fill="auto"/>
            <w:noWrap/>
            <w:vAlign w:val="center"/>
            <w:hideMark/>
          </w:tcPr>
          <w:p w14:paraId="484B5376"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r>
      <w:tr w:rsidR="00AD62CD" w:rsidRPr="00AD62CD" w14:paraId="59627A96"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4964A9BA"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35D02D79"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417" w:type="dxa"/>
            <w:tcBorders>
              <w:top w:val="nil"/>
              <w:left w:val="nil"/>
              <w:bottom w:val="single" w:sz="4" w:space="0" w:color="auto"/>
              <w:right w:val="single" w:sz="4" w:space="0" w:color="auto"/>
            </w:tcBorders>
            <w:shd w:val="clear" w:color="auto" w:fill="auto"/>
            <w:noWrap/>
            <w:vAlign w:val="center"/>
            <w:hideMark/>
          </w:tcPr>
          <w:p w14:paraId="0E6D39D3"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134" w:type="dxa"/>
            <w:tcBorders>
              <w:top w:val="nil"/>
              <w:left w:val="nil"/>
              <w:bottom w:val="single" w:sz="4" w:space="0" w:color="auto"/>
              <w:right w:val="single" w:sz="4" w:space="0" w:color="auto"/>
            </w:tcBorders>
            <w:shd w:val="clear" w:color="auto" w:fill="auto"/>
            <w:noWrap/>
            <w:vAlign w:val="center"/>
            <w:hideMark/>
          </w:tcPr>
          <w:p w14:paraId="0F501658"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418" w:type="dxa"/>
            <w:tcBorders>
              <w:top w:val="nil"/>
              <w:left w:val="nil"/>
              <w:bottom w:val="single" w:sz="4" w:space="0" w:color="auto"/>
              <w:right w:val="single" w:sz="4" w:space="0" w:color="auto"/>
            </w:tcBorders>
            <w:shd w:val="clear" w:color="auto" w:fill="auto"/>
            <w:noWrap/>
            <w:vAlign w:val="center"/>
            <w:hideMark/>
          </w:tcPr>
          <w:p w14:paraId="0E75D469"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r>
      <w:tr w:rsidR="00AD62CD" w:rsidRPr="00AD62CD" w14:paraId="60865123" w14:textId="77777777" w:rsidTr="00AD62CD">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3205C068"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B32F8C"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233D88F"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07E9D3"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CA21181"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p>
        </w:tc>
      </w:tr>
    </w:tbl>
    <w:p w14:paraId="1BE38C4D"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p>
    <w:p w14:paraId="038A1E9F"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2.1.1. Financovanie návrhu - Návrh na riešenie úbytku príjmov alebo zvýšených výdavkov podľa § 33 ods. 1 zákona č. 523/2004 Z. z. o rozpočtových pravidlách verejnej správy:</w:t>
      </w:r>
    </w:p>
    <w:p w14:paraId="64C57986" w14:textId="77777777" w:rsidR="00AD62CD" w:rsidRPr="00AD62CD" w:rsidRDefault="00AD62CD" w:rsidP="00AD62CD">
      <w:pPr>
        <w:spacing w:after="0" w:line="240" w:lineRule="auto"/>
        <w:jc w:val="both"/>
        <w:rPr>
          <w:rFonts w:ascii="Times New Roman" w:eastAsia="Times New Roman" w:hAnsi="Times New Roman" w:cs="Times New Roman"/>
          <w:b/>
          <w:bCs/>
          <w:kern w:val="0"/>
          <w:sz w:val="12"/>
          <w:lang w:eastAsia="sk-SK"/>
          <w14:ligatures w14:val="none"/>
        </w:rPr>
      </w:pPr>
    </w:p>
    <w:p w14:paraId="06D3F9A0"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kern w:val="0"/>
          <w:lang w:eastAsia="sk-SK"/>
          <w14:ligatures w14:val="none"/>
        </w:rPr>
      </w:pPr>
    </w:p>
    <w:p w14:paraId="0D1C30D7"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kern w:val="0"/>
          <w:lang w:eastAsia="sk-SK"/>
          <w14:ligatures w14:val="none"/>
        </w:rPr>
      </w:pPr>
    </w:p>
    <w:p w14:paraId="0D8A670C"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kern w:val="0"/>
          <w:lang w:eastAsia="sk-SK"/>
          <w14:ligatures w14:val="none"/>
        </w:rPr>
      </w:pPr>
    </w:p>
    <w:p w14:paraId="11A00104"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kern w:val="0"/>
          <w:lang w:eastAsia="sk-SK"/>
          <w14:ligatures w14:val="none"/>
        </w:rPr>
      </w:pPr>
    </w:p>
    <w:p w14:paraId="4253BF22"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kern w:val="0"/>
          <w:lang w:eastAsia="sk-SK"/>
          <w14:ligatures w14:val="none"/>
        </w:rPr>
      </w:pPr>
    </w:p>
    <w:p w14:paraId="21D85C89"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 Popis a charakteristika návrhu</w:t>
      </w:r>
    </w:p>
    <w:p w14:paraId="0462BDC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5B1826A1" w14:textId="77777777" w:rsidR="00AD62CD" w:rsidRPr="00AD62CD" w:rsidRDefault="00AD62CD" w:rsidP="00AD62CD">
      <w:pPr>
        <w:spacing w:after="0" w:line="240" w:lineRule="auto"/>
        <w:jc w:val="both"/>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2.2.1. Popis návrhu:</w:t>
      </w:r>
    </w:p>
    <w:p w14:paraId="488EE16E" w14:textId="77777777" w:rsidR="00AD62CD" w:rsidRPr="00AD62CD" w:rsidRDefault="00AD62CD" w:rsidP="00AD62CD">
      <w:pPr>
        <w:spacing w:after="0" w:line="240" w:lineRule="auto"/>
        <w:jc w:val="both"/>
        <w:rPr>
          <w:rFonts w:ascii="Times New Roman" w:eastAsia="Times New Roman" w:hAnsi="Times New Roman" w:cs="Times New Roman"/>
          <w:b/>
          <w:bCs/>
          <w:kern w:val="0"/>
          <w:lang w:eastAsia="sk-SK"/>
          <w14:ligatures w14:val="none"/>
        </w:rPr>
      </w:pPr>
    </w:p>
    <w:p w14:paraId="2C6B04DD" w14:textId="77777777" w:rsidR="00AD62CD" w:rsidRPr="00AD62CD" w:rsidRDefault="00AD62CD" w:rsidP="00AD62CD">
      <w:pPr>
        <w:spacing w:after="0" w:line="240" w:lineRule="auto"/>
        <w:jc w:val="both"/>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Zvýšenie sadzby odvodu z povinného zmluvného poistenia (PZP) zodpovednosti za škodu spôsobenú prevádzkou motorového vozidla z 8 % na 10 %</w:t>
      </w:r>
    </w:p>
    <w:p w14:paraId="20A66C34" w14:textId="77777777" w:rsidR="00AD62CD" w:rsidRPr="00AD62CD" w:rsidRDefault="00AD62CD" w:rsidP="00AD62CD">
      <w:pPr>
        <w:spacing w:after="0" w:line="240" w:lineRule="auto"/>
        <w:ind w:firstLine="708"/>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Akú problematiku návrh rieši? Kto bude návrh implementovať? Kde sa budú služby poskytovať?</w:t>
      </w:r>
    </w:p>
    <w:p w14:paraId="2B91B92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10797BE5"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S účinnosťou od 1.1.2026 sa zvyšuje sadzba odvodu z PZP zodpovednosti za škodu spôsobenú prevádzkou motorového vozidla z 8 % na 10 % z prijatého poistného.</w:t>
      </w:r>
    </w:p>
    <w:p w14:paraId="1F92A86E"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Poisťovne sú povinné odviesť odvod z PZP za predchádzajúci kalendárny rok do konca februára príslušného roka na osobitný účet Ministerstva vnútra Slovenskej republiky (SR). Prostriedky z osobitného účtu rozdelí Ministerstvo vnútra SR hasičským jednotkám a zložkám Ministerstva vnútra SR na materiálno-technické vybavenie do konca júna príslušného roka. . Údaje za príjmy verejnej správy sú spracované v ESA pohľade. V hotovostnom princípe dochádza k ročnému posunu v oblasti príjmov na osobitnom účte MV SR a rovnako aj k ročnému posunu pri použití výdavkov.</w:t>
      </w:r>
    </w:p>
    <w:p w14:paraId="58544C3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34FBD189"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2.2.2. Charakteristika návrhu:</w:t>
      </w:r>
    </w:p>
    <w:p w14:paraId="3BA2578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5E0498F4"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kern w:val="0"/>
          <w:bdr w:val="single" w:sz="4" w:space="0" w:color="auto"/>
          <w:lang w:eastAsia="sk-SK"/>
          <w14:ligatures w14:val="none"/>
        </w:rPr>
        <w:t xml:space="preserve">  x  </w:t>
      </w:r>
      <w:r w:rsidRPr="00AD62CD">
        <w:rPr>
          <w:rFonts w:ascii="Times New Roman" w:eastAsia="Times New Roman" w:hAnsi="Times New Roman" w:cs="Times New Roman"/>
          <w:b/>
          <w:kern w:val="0"/>
          <w:lang w:eastAsia="sk-SK"/>
          <w14:ligatures w14:val="none"/>
        </w:rPr>
        <w:t xml:space="preserve">  </w:t>
      </w:r>
      <w:r w:rsidRPr="00AD62CD">
        <w:rPr>
          <w:rFonts w:ascii="Times New Roman" w:eastAsia="Times New Roman" w:hAnsi="Times New Roman" w:cs="Times New Roman"/>
          <w:kern w:val="0"/>
          <w:lang w:eastAsia="sk-SK"/>
          <w14:ligatures w14:val="none"/>
        </w:rPr>
        <w:t>zmena sadzby</w:t>
      </w:r>
    </w:p>
    <w:p w14:paraId="716CAA5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zmena v nároku</w:t>
      </w:r>
    </w:p>
    <w:p w14:paraId="70CFECC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nová služba alebo nariadenie (alebo ich zrušenie)</w:t>
      </w:r>
    </w:p>
    <w:p w14:paraId="73BB5D0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kombinovaný návrh</w:t>
      </w:r>
    </w:p>
    <w:p w14:paraId="75ED453C"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iné </w:t>
      </w:r>
    </w:p>
    <w:p w14:paraId="2A8611B3"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7461C01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651317C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bCs/>
          <w:kern w:val="0"/>
          <w:lang w:eastAsia="sk-SK"/>
          <w14:ligatures w14:val="none"/>
        </w:rPr>
        <w:t>2.2.3. Predpoklady vývoja objemu aktivít:</w:t>
      </w:r>
    </w:p>
    <w:p w14:paraId="288537F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19BFE6EE" w14:textId="77777777" w:rsidR="00AD62CD" w:rsidRPr="00AD62CD" w:rsidRDefault="00AD62CD" w:rsidP="00AD62CD">
      <w:pPr>
        <w:spacing w:after="0" w:line="240" w:lineRule="auto"/>
        <w:ind w:firstLine="708"/>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Jasne popíšte, v prípade potreby použite nižšie uvedenú tabuľku. Uveďte aj odhady základov daní a/alebo poplatkov, ak sa ich táto zmena týka.</w:t>
      </w:r>
    </w:p>
    <w:p w14:paraId="720AEBC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Tabuľka č. 2 </w:t>
      </w:r>
    </w:p>
    <w:p w14:paraId="2804681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4C1B288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48EEB6E2"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2.2.4. Výpočty vplyvov na verejné financie</w:t>
      </w:r>
    </w:p>
    <w:p w14:paraId="08EACEE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33101C61"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Times New Roman" w:hAnsi="Times New Roman" w:cs="Times New Roman"/>
          <w:kern w:val="0"/>
          <w:lang w:eastAsia="sk-SK"/>
          <w14:ligatures w14:val="none"/>
        </w:rPr>
        <w:t xml:space="preserve">Pri výpočte vplyvu sa vychádzalo z prognózy výnosu odvodu z PZP zodpovednosti za škodu spôsobenú prevádzkou motorového vozidla schválenej Výborom pre daňové prognózy v júni 2025. Pre rok 2026 je vplyv mierne nižší z dôvodu </w:t>
      </w:r>
      <w:r w:rsidRPr="00AD62CD">
        <w:rPr>
          <w:rFonts w:ascii="Times New Roman" w:eastAsia="Calibri" w:hAnsi="Times New Roman" w:cs="Times New Roman"/>
          <w:kern w:val="0"/>
          <w14:ligatures w14:val="none"/>
        </w:rPr>
        <w:t>povinnosti oznámiť výšku poistného najneskôr 10 týždňov pred uplynutím poistného obdobia (§ 800 zákona 40/1964 Zb. Občiansky zákonník).</w:t>
      </w:r>
    </w:p>
    <w:p w14:paraId="0C1D9261"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65853E3F"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r w:rsidRPr="00AD62CD">
        <w:rPr>
          <w:rFonts w:ascii="Times New Roman" w:eastAsia="Calibri" w:hAnsi="Times New Roman" w:cs="Times New Roman"/>
          <w:kern w:val="0"/>
          <w14:ligatures w14:val="none"/>
        </w:rPr>
        <w:t>Zvýšenie sadzby odvodu z PZP negatívne ovplyvní aj na výdavky verejnej správy na poistenie. Tie budú celkovo podľa odhadu vyššie o približne 1 mil. eur v každom roku a sú zahrnuté v doložke vplyvov k zákonu č. 213/2018 Z. z. o dani z poistenia. Sadzba dane z poistenia sa rovnako zvyšuje z 8 % na 10 %.</w:t>
      </w:r>
    </w:p>
    <w:p w14:paraId="43B1DAC4"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lang w:eastAsia="sk-SK"/>
          <w14:ligatures w14:val="none"/>
        </w:rPr>
      </w:pPr>
    </w:p>
    <w:p w14:paraId="19226FEA"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lang w:eastAsia="sk-SK"/>
          <w14:ligatures w14:val="none"/>
        </w:rPr>
      </w:pPr>
    </w:p>
    <w:p w14:paraId="592C2E43"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lang w:eastAsia="sk-SK"/>
          <w14:ligatures w14:val="none"/>
        </w:rPr>
      </w:pPr>
    </w:p>
    <w:p w14:paraId="0EF79A68"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Cs w:val="20"/>
          <w:lang w:eastAsia="sk-SK"/>
          <w14:ligatures w14:val="none"/>
        </w:rPr>
      </w:pPr>
    </w:p>
    <w:p w14:paraId="4BEB47FF"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Cs w:val="20"/>
          <w:lang w:eastAsia="sk-SK"/>
          <w14:ligatures w14:val="none"/>
        </w:rPr>
        <w:sectPr w:rsidR="00AD62CD" w:rsidRPr="00AD62CD" w:rsidSect="0099636A">
          <w:headerReference w:type="even" r:id="rId18"/>
          <w:headerReference w:type="default" r:id="rId19"/>
          <w:footerReference w:type="even" r:id="rId20"/>
          <w:headerReference w:type="first" r:id="rId21"/>
          <w:footerReference w:type="first" r:id="rId22"/>
          <w:pgSz w:w="11906" w:h="16838"/>
          <w:pgMar w:top="1417" w:right="1417" w:bottom="1276" w:left="1417" w:header="708" w:footer="708" w:gutter="0"/>
          <w:cols w:space="708"/>
          <w:docGrid w:linePitch="360"/>
        </w:sectPr>
      </w:pPr>
    </w:p>
    <w:p w14:paraId="1C35CEAA" w14:textId="77777777" w:rsidR="00AD62CD" w:rsidRPr="00AD62CD" w:rsidRDefault="00AD62CD" w:rsidP="00AD62CD">
      <w:pPr>
        <w:tabs>
          <w:tab w:val="num" w:pos="1080"/>
        </w:tabs>
        <w:spacing w:after="0" w:line="240" w:lineRule="auto"/>
        <w:jc w:val="center"/>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D62CD" w:rsidRPr="00AD62CD" w14:paraId="026AB735" w14:textId="77777777" w:rsidTr="00AD62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7461F1B"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3824365C"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 na štátny rozpočet</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6046424F"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poznámka</w:t>
            </w:r>
          </w:p>
        </w:tc>
      </w:tr>
      <w:tr w:rsidR="00AD62CD" w:rsidRPr="00AD62CD" w14:paraId="44D578D9" w14:textId="77777777" w:rsidTr="00AD62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53030BF3"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c>
          <w:tcPr>
            <w:tcW w:w="1500" w:type="dxa"/>
            <w:tcBorders>
              <w:top w:val="nil"/>
              <w:left w:val="nil"/>
              <w:bottom w:val="single" w:sz="4" w:space="0" w:color="auto"/>
              <w:right w:val="single" w:sz="4" w:space="0" w:color="auto"/>
            </w:tcBorders>
            <w:shd w:val="clear" w:color="auto" w:fill="BFBFBF"/>
          </w:tcPr>
          <w:p w14:paraId="36EE3CC0"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2025</w:t>
            </w:r>
          </w:p>
        </w:tc>
        <w:tc>
          <w:tcPr>
            <w:tcW w:w="1500" w:type="dxa"/>
            <w:tcBorders>
              <w:top w:val="nil"/>
              <w:left w:val="nil"/>
              <w:bottom w:val="single" w:sz="4" w:space="0" w:color="auto"/>
              <w:right w:val="single" w:sz="4" w:space="0" w:color="auto"/>
            </w:tcBorders>
            <w:shd w:val="clear" w:color="auto" w:fill="BFBFBF"/>
          </w:tcPr>
          <w:p w14:paraId="6C9D6990"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2026</w:t>
            </w:r>
          </w:p>
        </w:tc>
        <w:tc>
          <w:tcPr>
            <w:tcW w:w="1500" w:type="dxa"/>
            <w:tcBorders>
              <w:top w:val="nil"/>
              <w:left w:val="nil"/>
              <w:bottom w:val="single" w:sz="4" w:space="0" w:color="auto"/>
              <w:right w:val="single" w:sz="4" w:space="0" w:color="auto"/>
            </w:tcBorders>
            <w:shd w:val="clear" w:color="auto" w:fill="BFBFBF"/>
          </w:tcPr>
          <w:p w14:paraId="6DE7B504"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2027</w:t>
            </w:r>
          </w:p>
        </w:tc>
        <w:tc>
          <w:tcPr>
            <w:tcW w:w="1500" w:type="dxa"/>
            <w:tcBorders>
              <w:top w:val="nil"/>
              <w:left w:val="nil"/>
              <w:bottom w:val="single" w:sz="4" w:space="0" w:color="auto"/>
              <w:right w:val="single" w:sz="4" w:space="0" w:color="auto"/>
            </w:tcBorders>
            <w:shd w:val="clear" w:color="auto" w:fill="BFBFBF"/>
          </w:tcPr>
          <w:p w14:paraId="6D18567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59B9B805"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3F6BF08C" w14:textId="77777777" w:rsidTr="003627DF">
        <w:trPr>
          <w:trHeight w:val="255"/>
        </w:trPr>
        <w:tc>
          <w:tcPr>
            <w:tcW w:w="4950" w:type="dxa"/>
            <w:tcBorders>
              <w:top w:val="nil"/>
              <w:left w:val="single" w:sz="4" w:space="0" w:color="auto"/>
              <w:bottom w:val="single" w:sz="4" w:space="0" w:color="auto"/>
              <w:right w:val="single" w:sz="4" w:space="0" w:color="auto"/>
            </w:tcBorders>
          </w:tcPr>
          <w:p w14:paraId="4C89FF4A" w14:textId="77777777" w:rsidR="00AD62CD" w:rsidRPr="00AD62CD" w:rsidRDefault="00AD62CD" w:rsidP="00AD62CD">
            <w:pPr>
              <w:spacing w:after="0" w:line="240" w:lineRule="auto"/>
              <w:rPr>
                <w:rFonts w:ascii="Times New Roman" w:eastAsia="Times New Roman" w:hAnsi="Times New Roman" w:cs="Times New Roman"/>
                <w:b/>
                <w:bCs/>
                <w:kern w:val="0"/>
                <w:vertAlign w:val="superscript"/>
                <w:lang w:eastAsia="sk-SK"/>
                <w14:ligatures w14:val="none"/>
              </w:rPr>
            </w:pPr>
            <w:r w:rsidRPr="00AD62CD">
              <w:rPr>
                <w:rFonts w:ascii="Times New Roman" w:eastAsia="Times New Roman" w:hAnsi="Times New Roman" w:cs="Times New Roman"/>
                <w:b/>
                <w:bCs/>
                <w:kern w:val="0"/>
                <w:lang w:eastAsia="sk-SK"/>
                <w14:ligatures w14:val="none"/>
              </w:rPr>
              <w:t>Daňové príjmy (100)</w:t>
            </w:r>
            <w:r w:rsidRPr="00AD62CD">
              <w:rPr>
                <w:rFonts w:ascii="Times New Roman" w:eastAsia="Times New Roman" w:hAnsi="Times New Roman" w:cs="Times New Roman"/>
                <w:b/>
                <w:bCs/>
                <w:kern w:val="0"/>
                <w:vertAlign w:val="superscript"/>
                <w:lang w:eastAsia="sk-SK"/>
                <w14:ligatures w14:val="none"/>
              </w:rPr>
              <w:t>1</w:t>
            </w:r>
          </w:p>
        </w:tc>
        <w:tc>
          <w:tcPr>
            <w:tcW w:w="1500" w:type="dxa"/>
            <w:tcBorders>
              <w:top w:val="nil"/>
              <w:left w:val="nil"/>
              <w:bottom w:val="single" w:sz="4" w:space="0" w:color="auto"/>
              <w:right w:val="single" w:sz="4" w:space="0" w:color="auto"/>
            </w:tcBorders>
          </w:tcPr>
          <w:p w14:paraId="65138748"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500" w:type="dxa"/>
            <w:tcBorders>
              <w:top w:val="nil"/>
              <w:left w:val="nil"/>
              <w:bottom w:val="single" w:sz="4" w:space="0" w:color="auto"/>
              <w:right w:val="single" w:sz="4" w:space="0" w:color="auto"/>
            </w:tcBorders>
          </w:tcPr>
          <w:p w14:paraId="3939C759"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9 393 000</w:t>
            </w:r>
          </w:p>
        </w:tc>
        <w:tc>
          <w:tcPr>
            <w:tcW w:w="1500" w:type="dxa"/>
            <w:tcBorders>
              <w:top w:val="nil"/>
              <w:left w:val="nil"/>
              <w:bottom w:val="single" w:sz="4" w:space="0" w:color="auto"/>
              <w:right w:val="single" w:sz="4" w:space="0" w:color="auto"/>
            </w:tcBorders>
          </w:tcPr>
          <w:p w14:paraId="78A17446"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11 214 000</w:t>
            </w:r>
          </w:p>
        </w:tc>
        <w:tc>
          <w:tcPr>
            <w:tcW w:w="1500" w:type="dxa"/>
            <w:tcBorders>
              <w:top w:val="nil"/>
              <w:left w:val="nil"/>
              <w:bottom w:val="single" w:sz="4" w:space="0" w:color="auto"/>
              <w:right w:val="single" w:sz="4" w:space="0" w:color="auto"/>
            </w:tcBorders>
          </w:tcPr>
          <w:p w14:paraId="64F6A48D"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11 772 000</w:t>
            </w:r>
          </w:p>
        </w:tc>
        <w:tc>
          <w:tcPr>
            <w:tcW w:w="3000" w:type="dxa"/>
            <w:tcBorders>
              <w:top w:val="nil"/>
              <w:left w:val="nil"/>
              <w:bottom w:val="single" w:sz="4" w:space="0" w:color="auto"/>
              <w:right w:val="single" w:sz="4" w:space="0" w:color="auto"/>
            </w:tcBorders>
            <w:noWrap/>
            <w:vAlign w:val="bottom"/>
          </w:tcPr>
          <w:p w14:paraId="6513B0A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4F2F62EA" w14:textId="77777777" w:rsidTr="003627DF">
        <w:trPr>
          <w:trHeight w:val="255"/>
        </w:trPr>
        <w:tc>
          <w:tcPr>
            <w:tcW w:w="4950" w:type="dxa"/>
            <w:tcBorders>
              <w:top w:val="nil"/>
              <w:left w:val="single" w:sz="4" w:space="0" w:color="auto"/>
              <w:bottom w:val="single" w:sz="4" w:space="0" w:color="auto"/>
              <w:right w:val="single" w:sz="4" w:space="0" w:color="auto"/>
            </w:tcBorders>
          </w:tcPr>
          <w:p w14:paraId="2AF7FF74"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i/>
                <w:iCs/>
                <w:kern w:val="0"/>
                <w:sz w:val="22"/>
                <w:szCs w:val="22"/>
                <w14:ligatures w14:val="none"/>
              </w:rPr>
              <w:t>v tom: (139003) odvod z časti poistného z odvetví neživotného poistenia (PZP)</w:t>
            </w:r>
          </w:p>
        </w:tc>
        <w:tc>
          <w:tcPr>
            <w:tcW w:w="1500" w:type="dxa"/>
            <w:tcBorders>
              <w:top w:val="nil"/>
              <w:left w:val="nil"/>
              <w:bottom w:val="single" w:sz="4" w:space="0" w:color="auto"/>
              <w:right w:val="single" w:sz="4" w:space="0" w:color="auto"/>
            </w:tcBorders>
          </w:tcPr>
          <w:p w14:paraId="070FE1C1"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500" w:type="dxa"/>
            <w:tcBorders>
              <w:top w:val="nil"/>
              <w:left w:val="nil"/>
              <w:bottom w:val="single" w:sz="4" w:space="0" w:color="auto"/>
              <w:right w:val="single" w:sz="4" w:space="0" w:color="auto"/>
            </w:tcBorders>
          </w:tcPr>
          <w:p w14:paraId="07547013"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9 393 000</w:t>
            </w:r>
          </w:p>
        </w:tc>
        <w:tc>
          <w:tcPr>
            <w:tcW w:w="1500" w:type="dxa"/>
            <w:tcBorders>
              <w:top w:val="nil"/>
              <w:left w:val="nil"/>
              <w:bottom w:val="single" w:sz="4" w:space="0" w:color="auto"/>
              <w:right w:val="single" w:sz="4" w:space="0" w:color="auto"/>
            </w:tcBorders>
          </w:tcPr>
          <w:p w14:paraId="4D5C3CE7"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11 214 000</w:t>
            </w:r>
          </w:p>
        </w:tc>
        <w:tc>
          <w:tcPr>
            <w:tcW w:w="1500" w:type="dxa"/>
            <w:tcBorders>
              <w:top w:val="nil"/>
              <w:left w:val="nil"/>
              <w:bottom w:val="single" w:sz="4" w:space="0" w:color="auto"/>
              <w:right w:val="single" w:sz="4" w:space="0" w:color="auto"/>
            </w:tcBorders>
          </w:tcPr>
          <w:p w14:paraId="66994601"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11 772 000</w:t>
            </w:r>
          </w:p>
        </w:tc>
        <w:tc>
          <w:tcPr>
            <w:tcW w:w="3000" w:type="dxa"/>
            <w:tcBorders>
              <w:top w:val="nil"/>
              <w:left w:val="nil"/>
              <w:bottom w:val="single" w:sz="4" w:space="0" w:color="auto"/>
              <w:right w:val="single" w:sz="4" w:space="0" w:color="auto"/>
            </w:tcBorders>
            <w:noWrap/>
            <w:vAlign w:val="bottom"/>
          </w:tcPr>
          <w:p w14:paraId="211F7745"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67CD5067" w14:textId="77777777" w:rsidTr="003627DF">
        <w:trPr>
          <w:trHeight w:val="255"/>
        </w:trPr>
        <w:tc>
          <w:tcPr>
            <w:tcW w:w="4950" w:type="dxa"/>
            <w:tcBorders>
              <w:top w:val="nil"/>
              <w:left w:val="single" w:sz="4" w:space="0" w:color="auto"/>
              <w:bottom w:val="single" w:sz="4" w:space="0" w:color="auto"/>
              <w:right w:val="single" w:sz="4" w:space="0" w:color="auto"/>
            </w:tcBorders>
          </w:tcPr>
          <w:p w14:paraId="67F28478"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Nedaňové príjmy (200)</w:t>
            </w:r>
            <w:r w:rsidRPr="00AD62CD">
              <w:rPr>
                <w:rFonts w:ascii="Times New Roman" w:eastAsia="Times New Roman" w:hAnsi="Times New Roman" w:cs="Times New Roman"/>
                <w:b/>
                <w:bCs/>
                <w:kern w:val="0"/>
                <w:vertAlign w:val="superscript"/>
                <w:lang w:eastAsia="sk-SK"/>
                <w14:ligatures w14:val="none"/>
              </w:rPr>
              <w:t>1</w:t>
            </w:r>
          </w:p>
        </w:tc>
        <w:tc>
          <w:tcPr>
            <w:tcW w:w="1500" w:type="dxa"/>
            <w:tcBorders>
              <w:top w:val="nil"/>
              <w:left w:val="nil"/>
              <w:bottom w:val="single" w:sz="4" w:space="0" w:color="auto"/>
              <w:right w:val="single" w:sz="4" w:space="0" w:color="auto"/>
            </w:tcBorders>
          </w:tcPr>
          <w:p w14:paraId="5DD0EB26"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32D9FECD"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7010CAD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4F41DE03"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3000" w:type="dxa"/>
            <w:tcBorders>
              <w:top w:val="nil"/>
              <w:left w:val="nil"/>
              <w:bottom w:val="single" w:sz="4" w:space="0" w:color="auto"/>
              <w:right w:val="single" w:sz="4" w:space="0" w:color="auto"/>
            </w:tcBorders>
            <w:noWrap/>
            <w:vAlign w:val="bottom"/>
          </w:tcPr>
          <w:p w14:paraId="2CEEFF85"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20340438" w14:textId="77777777" w:rsidTr="003627DF">
        <w:trPr>
          <w:trHeight w:val="255"/>
        </w:trPr>
        <w:tc>
          <w:tcPr>
            <w:tcW w:w="4950" w:type="dxa"/>
            <w:tcBorders>
              <w:top w:val="nil"/>
              <w:left w:val="single" w:sz="4" w:space="0" w:color="auto"/>
              <w:bottom w:val="single" w:sz="4" w:space="0" w:color="auto"/>
              <w:right w:val="single" w:sz="4" w:space="0" w:color="auto"/>
            </w:tcBorders>
          </w:tcPr>
          <w:p w14:paraId="4A927D5F"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xml:space="preserve">290 Iné nedaňové príjmy </w:t>
            </w:r>
          </w:p>
          <w:p w14:paraId="70E08C50" w14:textId="77777777" w:rsidR="00AD62CD" w:rsidRPr="00AD62CD" w:rsidRDefault="00AD62CD" w:rsidP="00AD62CD">
            <w:pPr>
              <w:spacing w:after="0" w:line="240" w:lineRule="auto"/>
              <w:rPr>
                <w:rFonts w:ascii="Times New Roman" w:eastAsia="Times New Roman" w:hAnsi="Times New Roman" w:cs="Times New Roman"/>
                <w:bCs/>
                <w:kern w:val="0"/>
                <w:lang w:eastAsia="sk-SK"/>
                <w14:ligatures w14:val="none"/>
              </w:rPr>
            </w:pPr>
            <w:r w:rsidRPr="00AD62CD">
              <w:rPr>
                <w:rFonts w:ascii="Times New Roman" w:eastAsia="Times New Roman" w:hAnsi="Times New Roman" w:cs="Times New Roman"/>
                <w:bCs/>
                <w:kern w:val="0"/>
                <w:lang w:eastAsia="sk-SK"/>
                <w14:ligatures w14:val="none"/>
              </w:rPr>
              <w:t>- odvody z hazardných hier</w:t>
            </w:r>
            <w:r w:rsidRPr="00AD62CD">
              <w:rPr>
                <w:rFonts w:ascii="Times New Roman" w:eastAsia="Times New Roman" w:hAnsi="Times New Roman" w:cs="Times New Roman"/>
                <w:bCs/>
                <w:kern w:val="0"/>
                <w:lang w:eastAsia="sk-SK"/>
                <w14:ligatures w14:val="none"/>
              </w:rPr>
              <w:tab/>
            </w:r>
          </w:p>
        </w:tc>
        <w:tc>
          <w:tcPr>
            <w:tcW w:w="1500" w:type="dxa"/>
            <w:tcBorders>
              <w:top w:val="nil"/>
              <w:left w:val="nil"/>
              <w:bottom w:val="single" w:sz="4" w:space="0" w:color="auto"/>
              <w:right w:val="single" w:sz="4" w:space="0" w:color="auto"/>
            </w:tcBorders>
          </w:tcPr>
          <w:p w14:paraId="7173BAFE"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7FD98BB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57D11B6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0C1451DA"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3000" w:type="dxa"/>
            <w:tcBorders>
              <w:top w:val="nil"/>
              <w:left w:val="nil"/>
              <w:bottom w:val="single" w:sz="4" w:space="0" w:color="auto"/>
              <w:right w:val="single" w:sz="4" w:space="0" w:color="auto"/>
            </w:tcBorders>
            <w:noWrap/>
            <w:vAlign w:val="bottom"/>
          </w:tcPr>
          <w:p w14:paraId="0294C41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723F8E4A" w14:textId="77777777" w:rsidTr="003627DF">
        <w:trPr>
          <w:trHeight w:val="255"/>
        </w:trPr>
        <w:tc>
          <w:tcPr>
            <w:tcW w:w="4950" w:type="dxa"/>
            <w:tcBorders>
              <w:top w:val="nil"/>
              <w:left w:val="single" w:sz="4" w:space="0" w:color="auto"/>
              <w:bottom w:val="single" w:sz="4" w:space="0" w:color="auto"/>
              <w:right w:val="single" w:sz="4" w:space="0" w:color="auto"/>
            </w:tcBorders>
          </w:tcPr>
          <w:p w14:paraId="0692ABF8"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Granty a transfery (300)</w:t>
            </w:r>
            <w:r w:rsidRPr="00AD62CD">
              <w:rPr>
                <w:rFonts w:ascii="Times New Roman" w:eastAsia="Times New Roman" w:hAnsi="Times New Roman" w:cs="Times New Roman"/>
                <w:b/>
                <w:bCs/>
                <w:kern w:val="0"/>
                <w:vertAlign w:val="superscript"/>
                <w:lang w:eastAsia="sk-SK"/>
                <w14:ligatures w14:val="none"/>
              </w:rPr>
              <w:t>1</w:t>
            </w:r>
          </w:p>
        </w:tc>
        <w:tc>
          <w:tcPr>
            <w:tcW w:w="1500" w:type="dxa"/>
            <w:tcBorders>
              <w:top w:val="nil"/>
              <w:left w:val="nil"/>
              <w:bottom w:val="single" w:sz="4" w:space="0" w:color="auto"/>
              <w:right w:val="single" w:sz="4" w:space="0" w:color="auto"/>
            </w:tcBorders>
          </w:tcPr>
          <w:p w14:paraId="43DC087C"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6B3E4A2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4FAF6A1F"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17870AB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3000" w:type="dxa"/>
            <w:tcBorders>
              <w:top w:val="nil"/>
              <w:left w:val="nil"/>
              <w:bottom w:val="single" w:sz="4" w:space="0" w:color="auto"/>
              <w:right w:val="single" w:sz="4" w:space="0" w:color="auto"/>
            </w:tcBorders>
            <w:noWrap/>
            <w:vAlign w:val="bottom"/>
          </w:tcPr>
          <w:p w14:paraId="32B2039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6B358B39" w14:textId="77777777" w:rsidTr="003627DF">
        <w:trPr>
          <w:trHeight w:val="255"/>
        </w:trPr>
        <w:tc>
          <w:tcPr>
            <w:tcW w:w="4950" w:type="dxa"/>
            <w:tcBorders>
              <w:top w:val="nil"/>
              <w:left w:val="single" w:sz="4" w:space="0" w:color="auto"/>
              <w:bottom w:val="single" w:sz="4" w:space="0" w:color="auto"/>
              <w:right w:val="single" w:sz="4" w:space="0" w:color="auto"/>
            </w:tcBorders>
          </w:tcPr>
          <w:p w14:paraId="0B42AB11"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17A95A29"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56F48619"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7DC9578D"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3030C0B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3000" w:type="dxa"/>
            <w:tcBorders>
              <w:top w:val="nil"/>
              <w:left w:val="nil"/>
              <w:bottom w:val="single" w:sz="4" w:space="0" w:color="auto"/>
              <w:right w:val="single" w:sz="4" w:space="0" w:color="auto"/>
            </w:tcBorders>
            <w:noWrap/>
            <w:vAlign w:val="bottom"/>
          </w:tcPr>
          <w:p w14:paraId="595D4BE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02C4202" w14:textId="77777777" w:rsidTr="003627DF">
        <w:trPr>
          <w:trHeight w:val="255"/>
        </w:trPr>
        <w:tc>
          <w:tcPr>
            <w:tcW w:w="4950" w:type="dxa"/>
            <w:tcBorders>
              <w:top w:val="nil"/>
              <w:left w:val="single" w:sz="4" w:space="0" w:color="auto"/>
              <w:bottom w:val="single" w:sz="4" w:space="0" w:color="auto"/>
              <w:right w:val="single" w:sz="4" w:space="0" w:color="auto"/>
            </w:tcBorders>
          </w:tcPr>
          <w:p w14:paraId="002AED4A"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09DDF2CC"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22B8377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10343FF7"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3F86A15D"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3000" w:type="dxa"/>
            <w:tcBorders>
              <w:top w:val="nil"/>
              <w:left w:val="nil"/>
              <w:bottom w:val="single" w:sz="4" w:space="0" w:color="auto"/>
              <w:right w:val="single" w:sz="4" w:space="0" w:color="auto"/>
            </w:tcBorders>
            <w:noWrap/>
            <w:vAlign w:val="bottom"/>
          </w:tcPr>
          <w:p w14:paraId="2AE93894"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6E67E95D" w14:textId="77777777" w:rsidTr="00AD62CD">
        <w:trPr>
          <w:trHeight w:val="255"/>
        </w:trPr>
        <w:tc>
          <w:tcPr>
            <w:tcW w:w="4950" w:type="dxa"/>
            <w:tcBorders>
              <w:top w:val="nil"/>
              <w:left w:val="single" w:sz="4" w:space="0" w:color="auto"/>
              <w:bottom w:val="single" w:sz="4" w:space="0" w:color="auto"/>
              <w:right w:val="single" w:sz="4" w:space="0" w:color="auto"/>
            </w:tcBorders>
            <w:shd w:val="clear" w:color="auto" w:fill="BFBFBF"/>
          </w:tcPr>
          <w:p w14:paraId="4CED2210"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 na príjmy verejnej správy celkom</w:t>
            </w:r>
          </w:p>
        </w:tc>
        <w:tc>
          <w:tcPr>
            <w:tcW w:w="1500" w:type="dxa"/>
            <w:tcBorders>
              <w:top w:val="nil"/>
              <w:left w:val="nil"/>
              <w:bottom w:val="single" w:sz="4" w:space="0" w:color="auto"/>
              <w:right w:val="single" w:sz="4" w:space="0" w:color="auto"/>
            </w:tcBorders>
            <w:shd w:val="clear" w:color="auto" w:fill="BFBFBF"/>
          </w:tcPr>
          <w:p w14:paraId="4040A9C3"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500" w:type="dxa"/>
            <w:tcBorders>
              <w:top w:val="nil"/>
              <w:left w:val="nil"/>
              <w:bottom w:val="single" w:sz="4" w:space="0" w:color="auto"/>
              <w:right w:val="single" w:sz="4" w:space="0" w:color="auto"/>
            </w:tcBorders>
            <w:shd w:val="clear" w:color="auto" w:fill="BFBFBF"/>
          </w:tcPr>
          <w:p w14:paraId="0BBD718A"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9 393 000</w:t>
            </w:r>
          </w:p>
        </w:tc>
        <w:tc>
          <w:tcPr>
            <w:tcW w:w="1500" w:type="dxa"/>
            <w:tcBorders>
              <w:top w:val="nil"/>
              <w:left w:val="nil"/>
              <w:bottom w:val="single" w:sz="4" w:space="0" w:color="auto"/>
              <w:right w:val="single" w:sz="4" w:space="0" w:color="auto"/>
            </w:tcBorders>
            <w:shd w:val="clear" w:color="auto" w:fill="BFBFBF"/>
          </w:tcPr>
          <w:p w14:paraId="7DB96A7C"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11 214 000</w:t>
            </w:r>
          </w:p>
        </w:tc>
        <w:tc>
          <w:tcPr>
            <w:tcW w:w="1500" w:type="dxa"/>
            <w:tcBorders>
              <w:top w:val="nil"/>
              <w:left w:val="nil"/>
              <w:bottom w:val="single" w:sz="4" w:space="0" w:color="auto"/>
              <w:right w:val="single" w:sz="4" w:space="0" w:color="auto"/>
            </w:tcBorders>
            <w:shd w:val="clear" w:color="auto" w:fill="BFBFBF"/>
          </w:tcPr>
          <w:p w14:paraId="4D370F7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11 772 000</w:t>
            </w:r>
          </w:p>
        </w:tc>
        <w:tc>
          <w:tcPr>
            <w:tcW w:w="3000" w:type="dxa"/>
            <w:tcBorders>
              <w:top w:val="nil"/>
              <w:left w:val="nil"/>
              <w:bottom w:val="single" w:sz="4" w:space="0" w:color="auto"/>
              <w:right w:val="single" w:sz="4" w:space="0" w:color="auto"/>
            </w:tcBorders>
            <w:shd w:val="clear" w:color="auto" w:fill="BFBFBF"/>
            <w:noWrap/>
            <w:vAlign w:val="bottom"/>
          </w:tcPr>
          <w:p w14:paraId="5458D172"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bl>
    <w:p w14:paraId="237084A8"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1 –  príjmy rozpísať až do položiek platnej ekonomickej klasifikácie</w:t>
      </w:r>
    </w:p>
    <w:p w14:paraId="2E9DDBDA"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Cs w:val="20"/>
          <w:lang w:eastAsia="sk-SK"/>
          <w14:ligatures w14:val="none"/>
        </w:rPr>
      </w:pPr>
    </w:p>
    <w:p w14:paraId="79080439"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
          <w:bCs/>
          <w:kern w:val="0"/>
          <w:szCs w:val="20"/>
          <w:lang w:eastAsia="sk-SK"/>
          <w14:ligatures w14:val="none"/>
        </w:rPr>
      </w:pPr>
      <w:r w:rsidRPr="00AD62CD">
        <w:rPr>
          <w:rFonts w:ascii="Times New Roman" w:eastAsia="Times New Roman" w:hAnsi="Times New Roman" w:cs="Times New Roman"/>
          <w:b/>
          <w:bCs/>
          <w:kern w:val="0"/>
          <w:szCs w:val="20"/>
          <w:lang w:eastAsia="sk-SK"/>
          <w14:ligatures w14:val="none"/>
        </w:rPr>
        <w:t>Poznámka:</w:t>
      </w:r>
    </w:p>
    <w:p w14:paraId="4396EA3B"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Cs w:val="20"/>
          <w:lang w:eastAsia="sk-SK"/>
          <w14:ligatures w14:val="none"/>
        </w:rPr>
      </w:pPr>
      <w:r w:rsidRPr="00AD62CD">
        <w:rPr>
          <w:rFonts w:ascii="Times New Roman" w:eastAsia="Times New Roman" w:hAnsi="Times New Roman" w:cs="Times New Roman"/>
          <w:bCs/>
          <w:kern w:val="0"/>
          <w:szCs w:val="20"/>
          <w:lang w:eastAsia="sk-SK"/>
          <w14:ligatures w14:val="none"/>
        </w:rPr>
        <w:t>Ak sa vplyv týka viacerých subjektov verejnej správy, vypĺňa sa samostatná tabuľka za každý subjekt.</w:t>
      </w:r>
    </w:p>
    <w:p w14:paraId="0FA4A617"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r w:rsidRPr="00AD62CD">
        <w:rPr>
          <w:rFonts w:ascii="Times New Roman" w:eastAsia="Times New Roman" w:hAnsi="Times New Roman" w:cs="Times New Roman"/>
          <w:bCs/>
          <w:kern w:val="0"/>
          <w:lang w:eastAsia="sk-SK"/>
          <w14:ligatures w14:val="none"/>
        </w:rPr>
        <w:t xml:space="preserve"> </w:t>
      </w:r>
    </w:p>
    <w:p w14:paraId="3A846CDD"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05513015"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16AE4849"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3717C3E7"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25C35547"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51AB4EE5"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33FE99AF"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495A9708"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3360DA2F"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259F1378"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62BAA6A0"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2D9745A2"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1F5714D8"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6AC776C3"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0123FDF2"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5CD1DDFE"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7A3E3223"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1CCA8762"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3F165E5A"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582E836D"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0B74D98C"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poznámka</w:t>
            </w:r>
          </w:p>
        </w:tc>
      </w:tr>
      <w:tr w:rsidR="00AD62CD" w:rsidRPr="00AD62CD" w14:paraId="7B62F74E"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0B884EF"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61D07F7E"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2025</w:t>
            </w:r>
          </w:p>
        </w:tc>
        <w:tc>
          <w:tcPr>
            <w:tcW w:w="1650" w:type="dxa"/>
            <w:tcBorders>
              <w:top w:val="nil"/>
              <w:left w:val="nil"/>
              <w:bottom w:val="single" w:sz="4" w:space="0" w:color="auto"/>
              <w:right w:val="single" w:sz="4" w:space="0" w:color="auto"/>
            </w:tcBorders>
            <w:shd w:val="clear" w:color="auto" w:fill="BFBFBF"/>
          </w:tcPr>
          <w:p w14:paraId="16B7E73B"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2026</w:t>
            </w:r>
          </w:p>
        </w:tc>
        <w:tc>
          <w:tcPr>
            <w:tcW w:w="1540" w:type="dxa"/>
            <w:tcBorders>
              <w:top w:val="nil"/>
              <w:left w:val="nil"/>
              <w:bottom w:val="single" w:sz="4" w:space="0" w:color="auto"/>
              <w:right w:val="single" w:sz="4" w:space="0" w:color="auto"/>
            </w:tcBorders>
            <w:shd w:val="clear" w:color="auto" w:fill="BFBFBF"/>
          </w:tcPr>
          <w:p w14:paraId="282E8FD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2027</w:t>
            </w:r>
          </w:p>
        </w:tc>
        <w:tc>
          <w:tcPr>
            <w:tcW w:w="1540" w:type="dxa"/>
            <w:tcBorders>
              <w:top w:val="nil"/>
              <w:left w:val="nil"/>
              <w:bottom w:val="single" w:sz="4" w:space="0" w:color="auto"/>
              <w:right w:val="single" w:sz="4" w:space="0" w:color="auto"/>
            </w:tcBorders>
            <w:shd w:val="clear" w:color="auto" w:fill="BFBFBF"/>
          </w:tcPr>
          <w:p w14:paraId="1D50D092"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405E43FC"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46C2616F" w14:textId="77777777" w:rsidTr="003627DF">
        <w:trPr>
          <w:trHeight w:val="255"/>
        </w:trPr>
        <w:tc>
          <w:tcPr>
            <w:tcW w:w="7070" w:type="dxa"/>
            <w:tcBorders>
              <w:top w:val="nil"/>
              <w:left w:val="single" w:sz="4" w:space="0" w:color="auto"/>
              <w:bottom w:val="single" w:sz="4" w:space="0" w:color="auto"/>
              <w:right w:val="single" w:sz="4" w:space="0" w:color="auto"/>
            </w:tcBorders>
          </w:tcPr>
          <w:p w14:paraId="1EB66698"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tcPr>
          <w:p w14:paraId="568AA76A"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650" w:type="dxa"/>
            <w:tcBorders>
              <w:top w:val="nil"/>
              <w:left w:val="nil"/>
              <w:bottom w:val="single" w:sz="4" w:space="0" w:color="auto"/>
              <w:right w:val="single" w:sz="4" w:space="0" w:color="auto"/>
            </w:tcBorders>
          </w:tcPr>
          <w:p w14:paraId="2045715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540" w:type="dxa"/>
            <w:tcBorders>
              <w:top w:val="nil"/>
              <w:left w:val="nil"/>
              <w:bottom w:val="single" w:sz="4" w:space="0" w:color="auto"/>
              <w:right w:val="single" w:sz="4" w:space="0" w:color="auto"/>
            </w:tcBorders>
          </w:tcPr>
          <w:p w14:paraId="2318E1CE"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9 393 000</w:t>
            </w:r>
          </w:p>
        </w:tc>
        <w:tc>
          <w:tcPr>
            <w:tcW w:w="1540" w:type="dxa"/>
            <w:tcBorders>
              <w:top w:val="nil"/>
              <w:left w:val="nil"/>
              <w:bottom w:val="single" w:sz="4" w:space="0" w:color="auto"/>
              <w:right w:val="single" w:sz="4" w:space="0" w:color="auto"/>
            </w:tcBorders>
          </w:tcPr>
          <w:p w14:paraId="0C9B6A3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11 214 000</w:t>
            </w:r>
          </w:p>
        </w:tc>
        <w:tc>
          <w:tcPr>
            <w:tcW w:w="1649" w:type="dxa"/>
            <w:tcBorders>
              <w:top w:val="nil"/>
              <w:left w:val="nil"/>
              <w:bottom w:val="single" w:sz="4" w:space="0" w:color="auto"/>
              <w:right w:val="single" w:sz="4" w:space="0" w:color="auto"/>
            </w:tcBorders>
            <w:noWrap/>
            <w:vAlign w:val="bottom"/>
          </w:tcPr>
          <w:p w14:paraId="4146734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0AB74D6A" w14:textId="77777777" w:rsidTr="003627DF">
        <w:trPr>
          <w:trHeight w:val="255"/>
        </w:trPr>
        <w:tc>
          <w:tcPr>
            <w:tcW w:w="7070" w:type="dxa"/>
            <w:tcBorders>
              <w:top w:val="nil"/>
              <w:left w:val="single" w:sz="4" w:space="0" w:color="auto"/>
              <w:bottom w:val="single" w:sz="4" w:space="0" w:color="auto"/>
              <w:right w:val="single" w:sz="4" w:space="0" w:color="auto"/>
            </w:tcBorders>
          </w:tcPr>
          <w:p w14:paraId="2A20C0F5"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4597447B"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572AF57A"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6183E83"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B22DE5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53B9672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67BDF2C9" w14:textId="77777777" w:rsidTr="003627DF">
        <w:trPr>
          <w:trHeight w:val="255"/>
        </w:trPr>
        <w:tc>
          <w:tcPr>
            <w:tcW w:w="7070" w:type="dxa"/>
            <w:tcBorders>
              <w:top w:val="nil"/>
              <w:left w:val="single" w:sz="4" w:space="0" w:color="auto"/>
              <w:bottom w:val="single" w:sz="4" w:space="0" w:color="auto"/>
              <w:right w:val="single" w:sz="4" w:space="0" w:color="auto"/>
            </w:tcBorders>
          </w:tcPr>
          <w:p w14:paraId="352193DB"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tcPr>
          <w:p w14:paraId="643202D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6DA2BFA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79E43B4"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D981D7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3FB0411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20F4E9E8" w14:textId="77777777" w:rsidTr="003627DF">
        <w:trPr>
          <w:trHeight w:val="255"/>
        </w:trPr>
        <w:tc>
          <w:tcPr>
            <w:tcW w:w="7070" w:type="dxa"/>
            <w:tcBorders>
              <w:top w:val="nil"/>
              <w:left w:val="single" w:sz="4" w:space="0" w:color="auto"/>
              <w:bottom w:val="single" w:sz="4" w:space="0" w:color="auto"/>
              <w:right w:val="single" w:sz="4" w:space="0" w:color="auto"/>
            </w:tcBorders>
          </w:tcPr>
          <w:p w14:paraId="7D17E447"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Tovary a služby (630)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189D8124"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6D6FF39A"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7AE15D9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2D16E36"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277DD22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1B221E6D" w14:textId="77777777" w:rsidTr="003627DF">
        <w:trPr>
          <w:trHeight w:val="255"/>
        </w:trPr>
        <w:tc>
          <w:tcPr>
            <w:tcW w:w="7070" w:type="dxa"/>
            <w:tcBorders>
              <w:top w:val="nil"/>
              <w:left w:val="single" w:sz="4" w:space="0" w:color="auto"/>
              <w:bottom w:val="single" w:sz="4" w:space="0" w:color="auto"/>
              <w:right w:val="single" w:sz="4" w:space="0" w:color="auto"/>
            </w:tcBorders>
          </w:tcPr>
          <w:p w14:paraId="6EBE2FC9"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Bežné transfery (640)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113C2F4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CEF6B6C"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7F8EEE5"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3F186C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23CD6ED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458D2730"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06F5F9CB"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Splácanie úrokov a ostatné platby súvisiace s </w:t>
            </w:r>
            <w:r w:rsidRPr="00AD62CD">
              <w:rPr>
                <w:rFonts w:ascii="Calibri" w:eastAsia="Calibri" w:hAnsi="Calibri" w:cs="Times New Roman"/>
                <w:kern w:val="0"/>
                <w:sz w:val="22"/>
                <w:szCs w:val="22"/>
                <w14:ligatures w14:val="none"/>
              </w:rPr>
              <w:t xml:space="preserve"> </w:t>
            </w:r>
            <w:r w:rsidRPr="00AD62CD">
              <w:rPr>
                <w:rFonts w:ascii="Times New Roman" w:eastAsia="Times New Roman" w:hAnsi="Times New Roman" w:cs="Times New Roman"/>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257C8B15"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35F07028"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40B8BF7"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A056FFA"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2DA59D3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12D91719" w14:textId="77777777" w:rsidTr="003627DF">
        <w:trPr>
          <w:trHeight w:val="255"/>
        </w:trPr>
        <w:tc>
          <w:tcPr>
            <w:tcW w:w="7070" w:type="dxa"/>
            <w:tcBorders>
              <w:top w:val="nil"/>
              <w:left w:val="single" w:sz="4" w:space="0" w:color="auto"/>
              <w:bottom w:val="single" w:sz="4" w:space="0" w:color="auto"/>
              <w:right w:val="single" w:sz="4" w:space="0" w:color="auto"/>
            </w:tcBorders>
          </w:tcPr>
          <w:p w14:paraId="53253EF8"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tcPr>
          <w:p w14:paraId="56ED847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70FF90EF"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7681A83"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FCDC678"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6443A9E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06ADA611" w14:textId="77777777" w:rsidTr="003627DF">
        <w:trPr>
          <w:trHeight w:val="255"/>
        </w:trPr>
        <w:tc>
          <w:tcPr>
            <w:tcW w:w="7070" w:type="dxa"/>
            <w:tcBorders>
              <w:top w:val="nil"/>
              <w:left w:val="single" w:sz="4" w:space="0" w:color="auto"/>
              <w:bottom w:val="single" w:sz="4" w:space="0" w:color="auto"/>
              <w:right w:val="single" w:sz="4" w:space="0" w:color="auto"/>
            </w:tcBorders>
          </w:tcPr>
          <w:p w14:paraId="2D57E550"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Obstarávanie kapitálových aktív (710)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2004EFA1"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7869A47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7D847AC"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F42597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7F6FFF9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3E8F47C" w14:textId="77777777" w:rsidTr="003627DF">
        <w:trPr>
          <w:trHeight w:val="255"/>
        </w:trPr>
        <w:tc>
          <w:tcPr>
            <w:tcW w:w="7070" w:type="dxa"/>
            <w:tcBorders>
              <w:top w:val="nil"/>
              <w:left w:val="single" w:sz="4" w:space="0" w:color="auto"/>
              <w:bottom w:val="single" w:sz="4" w:space="0" w:color="auto"/>
              <w:right w:val="single" w:sz="4" w:space="0" w:color="auto"/>
            </w:tcBorders>
          </w:tcPr>
          <w:p w14:paraId="4EC89C0A"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Kapitálové transfery (720)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0116F883"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69487B0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CA39ECC"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C0FB75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11F9B6D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1367736E" w14:textId="77777777" w:rsidTr="003627DF">
        <w:trPr>
          <w:trHeight w:val="255"/>
        </w:trPr>
        <w:tc>
          <w:tcPr>
            <w:tcW w:w="7070" w:type="dxa"/>
            <w:tcBorders>
              <w:top w:val="nil"/>
              <w:left w:val="single" w:sz="4" w:space="0" w:color="auto"/>
              <w:bottom w:val="single" w:sz="4" w:space="0" w:color="auto"/>
              <w:right w:val="single" w:sz="4" w:space="0" w:color="auto"/>
            </w:tcBorders>
          </w:tcPr>
          <w:p w14:paraId="0AF7F55E"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658CD31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50" w:type="dxa"/>
            <w:tcBorders>
              <w:top w:val="nil"/>
              <w:left w:val="nil"/>
              <w:bottom w:val="single" w:sz="4" w:space="0" w:color="auto"/>
              <w:right w:val="single" w:sz="4" w:space="0" w:color="auto"/>
            </w:tcBorders>
            <w:shd w:val="clear" w:color="auto" w:fill="auto"/>
          </w:tcPr>
          <w:p w14:paraId="668AFF2E"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540" w:type="dxa"/>
            <w:tcBorders>
              <w:top w:val="nil"/>
              <w:left w:val="nil"/>
              <w:bottom w:val="single" w:sz="4" w:space="0" w:color="auto"/>
              <w:right w:val="single" w:sz="4" w:space="0" w:color="auto"/>
            </w:tcBorders>
            <w:shd w:val="clear" w:color="auto" w:fill="auto"/>
          </w:tcPr>
          <w:p w14:paraId="7D6C822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540" w:type="dxa"/>
            <w:tcBorders>
              <w:top w:val="nil"/>
              <w:left w:val="nil"/>
              <w:bottom w:val="single" w:sz="4" w:space="0" w:color="auto"/>
              <w:right w:val="single" w:sz="4" w:space="0" w:color="auto"/>
            </w:tcBorders>
            <w:shd w:val="clear" w:color="auto" w:fill="auto"/>
          </w:tcPr>
          <w:p w14:paraId="46C997A3"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49" w:type="dxa"/>
            <w:tcBorders>
              <w:top w:val="nil"/>
              <w:left w:val="nil"/>
              <w:bottom w:val="single" w:sz="4" w:space="0" w:color="auto"/>
              <w:right w:val="single" w:sz="4" w:space="0" w:color="auto"/>
            </w:tcBorders>
            <w:noWrap/>
            <w:vAlign w:val="bottom"/>
          </w:tcPr>
          <w:p w14:paraId="3ECB2C1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0E897664"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02C40D38"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363BD10C"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650" w:type="dxa"/>
            <w:tcBorders>
              <w:top w:val="single" w:sz="4" w:space="0" w:color="auto"/>
              <w:left w:val="nil"/>
              <w:bottom w:val="single" w:sz="4" w:space="0" w:color="auto"/>
              <w:right w:val="single" w:sz="4" w:space="0" w:color="auto"/>
            </w:tcBorders>
            <w:shd w:val="clear" w:color="auto" w:fill="BFBFBF"/>
          </w:tcPr>
          <w:p w14:paraId="2FCF799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540" w:type="dxa"/>
            <w:tcBorders>
              <w:top w:val="single" w:sz="4" w:space="0" w:color="auto"/>
              <w:left w:val="nil"/>
              <w:bottom w:val="single" w:sz="4" w:space="0" w:color="auto"/>
              <w:right w:val="single" w:sz="4" w:space="0" w:color="auto"/>
            </w:tcBorders>
            <w:shd w:val="clear" w:color="auto" w:fill="BFBFBF"/>
          </w:tcPr>
          <w:p w14:paraId="4577E06E"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9 393 000</w:t>
            </w:r>
          </w:p>
        </w:tc>
        <w:tc>
          <w:tcPr>
            <w:tcW w:w="1540" w:type="dxa"/>
            <w:tcBorders>
              <w:top w:val="single" w:sz="4" w:space="0" w:color="auto"/>
              <w:left w:val="nil"/>
              <w:bottom w:val="single" w:sz="4" w:space="0" w:color="auto"/>
              <w:right w:val="single" w:sz="4" w:space="0" w:color="auto"/>
            </w:tcBorders>
            <w:shd w:val="clear" w:color="auto" w:fill="BFBFBF"/>
          </w:tcPr>
          <w:p w14:paraId="22E9C89C"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sz w:val="20"/>
                <w:lang w:eastAsia="sk-SK"/>
                <w14:ligatures w14:val="none"/>
              </w:rPr>
              <w:t>11 214 000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7DC1CAA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bl>
    <w:p w14:paraId="4A8F9380"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2 –  výdavky rozpísať až do položiek platnej ekonomickej klasifikácie</w:t>
      </w:r>
    </w:p>
    <w:p w14:paraId="011A5FAF"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Cs w:val="20"/>
          <w:lang w:eastAsia="sk-SK"/>
          <w14:ligatures w14:val="none"/>
        </w:rPr>
      </w:pPr>
    </w:p>
    <w:p w14:paraId="6BD5694E"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Cs w:val="20"/>
          <w:lang w:eastAsia="sk-SK"/>
          <w14:ligatures w14:val="none"/>
        </w:rPr>
        <w:t xml:space="preserve">  Poznámka:</w:t>
      </w:r>
    </w:p>
    <w:p w14:paraId="7535C008"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Cs w:val="20"/>
          <w:lang w:eastAsia="sk-SK"/>
          <w14:ligatures w14:val="none"/>
        </w:rPr>
        <w:t xml:space="preserve">  Ak sa vplyv týka viacerých subjektov verejnej správy, vypĺňa sa samostatná tabuľka za každý subjekt.</w:t>
      </w:r>
    </w:p>
    <w:p w14:paraId="2A14F176"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00800DC5"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4B9CE022"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5C4F6094"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6C38E61B"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5DE07991"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07A48EEA"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4F0B5550"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00D4C1A5"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7D1599C6"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40B94208"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1E271116"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23FBC28E"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5BC74D3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cPr>
          <w:p w14:paraId="07E9F0C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4C5D150"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poznámka</w:t>
            </w:r>
          </w:p>
        </w:tc>
      </w:tr>
      <w:tr w:rsidR="00AD62CD" w:rsidRPr="00AD62CD" w14:paraId="2A715FBE"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C6388EC"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6188763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2023</w:t>
            </w:r>
          </w:p>
        </w:tc>
        <w:tc>
          <w:tcPr>
            <w:tcW w:w="1650" w:type="dxa"/>
            <w:tcBorders>
              <w:top w:val="nil"/>
              <w:left w:val="nil"/>
              <w:bottom w:val="single" w:sz="4" w:space="0" w:color="auto"/>
              <w:right w:val="single" w:sz="4" w:space="0" w:color="auto"/>
            </w:tcBorders>
            <w:shd w:val="clear" w:color="auto" w:fill="BFBFBF"/>
          </w:tcPr>
          <w:p w14:paraId="4B2BE37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2024</w:t>
            </w:r>
          </w:p>
        </w:tc>
        <w:tc>
          <w:tcPr>
            <w:tcW w:w="1540" w:type="dxa"/>
            <w:tcBorders>
              <w:top w:val="nil"/>
              <w:left w:val="nil"/>
              <w:bottom w:val="single" w:sz="4" w:space="0" w:color="auto"/>
              <w:right w:val="single" w:sz="4" w:space="0" w:color="auto"/>
            </w:tcBorders>
            <w:shd w:val="clear" w:color="auto" w:fill="BFBFBF"/>
          </w:tcPr>
          <w:p w14:paraId="6DC20AA5"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1540" w:type="dxa"/>
            <w:tcBorders>
              <w:top w:val="nil"/>
              <w:left w:val="nil"/>
              <w:bottom w:val="single" w:sz="4" w:space="0" w:color="auto"/>
              <w:right w:val="single" w:sz="4" w:space="0" w:color="auto"/>
            </w:tcBorders>
            <w:shd w:val="clear" w:color="auto" w:fill="BFBFBF"/>
          </w:tcPr>
          <w:p w14:paraId="481F418B"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14:paraId="72225705"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p>
        </w:tc>
      </w:tr>
      <w:tr w:rsidR="00AD62CD" w:rsidRPr="00AD62CD" w14:paraId="12248E7C" w14:textId="77777777" w:rsidTr="003627DF">
        <w:trPr>
          <w:trHeight w:val="255"/>
        </w:trPr>
        <w:tc>
          <w:tcPr>
            <w:tcW w:w="7070" w:type="dxa"/>
            <w:tcBorders>
              <w:top w:val="nil"/>
              <w:left w:val="single" w:sz="4" w:space="0" w:color="auto"/>
              <w:bottom w:val="single" w:sz="4" w:space="0" w:color="auto"/>
              <w:right w:val="single" w:sz="4" w:space="0" w:color="auto"/>
            </w:tcBorders>
          </w:tcPr>
          <w:p w14:paraId="5A72B87D"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Kapitálové príjmy (230)</w:t>
            </w:r>
          </w:p>
        </w:tc>
        <w:tc>
          <w:tcPr>
            <w:tcW w:w="1430" w:type="dxa"/>
            <w:tcBorders>
              <w:top w:val="nil"/>
              <w:left w:val="nil"/>
              <w:bottom w:val="single" w:sz="4" w:space="0" w:color="auto"/>
              <w:right w:val="single" w:sz="4" w:space="0" w:color="auto"/>
            </w:tcBorders>
          </w:tcPr>
          <w:p w14:paraId="7E1C83A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26F37B4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5CC418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7F9EA5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79A0352A"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p>
        </w:tc>
      </w:tr>
      <w:tr w:rsidR="00AD62CD" w:rsidRPr="00AD62CD" w14:paraId="2018DA52" w14:textId="77777777" w:rsidTr="003627DF">
        <w:trPr>
          <w:trHeight w:val="255"/>
        </w:trPr>
        <w:tc>
          <w:tcPr>
            <w:tcW w:w="7070" w:type="dxa"/>
            <w:tcBorders>
              <w:top w:val="nil"/>
              <w:left w:val="single" w:sz="4" w:space="0" w:color="auto"/>
              <w:bottom w:val="single" w:sz="4" w:space="0" w:color="auto"/>
              <w:right w:val="single" w:sz="4" w:space="0" w:color="auto"/>
            </w:tcBorders>
          </w:tcPr>
          <w:p w14:paraId="1F7AF933"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tcPr>
          <w:p w14:paraId="4BB6DE50"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17B732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7FDCC6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E97637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30CF69C1"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2985A1DD" w14:textId="77777777" w:rsidTr="003627DF">
        <w:trPr>
          <w:trHeight w:val="255"/>
        </w:trPr>
        <w:tc>
          <w:tcPr>
            <w:tcW w:w="7070" w:type="dxa"/>
            <w:tcBorders>
              <w:top w:val="nil"/>
              <w:left w:val="single" w:sz="4" w:space="0" w:color="auto"/>
              <w:bottom w:val="single" w:sz="4" w:space="0" w:color="auto"/>
              <w:right w:val="single" w:sz="4" w:space="0" w:color="auto"/>
            </w:tcBorders>
          </w:tcPr>
          <w:p w14:paraId="747C4105"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5DD756B9"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2926E56E"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43C67DB"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C690D8F"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5539E7FC"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344C9462" w14:textId="77777777" w:rsidTr="003627DF">
        <w:trPr>
          <w:trHeight w:val="255"/>
        </w:trPr>
        <w:tc>
          <w:tcPr>
            <w:tcW w:w="7070" w:type="dxa"/>
            <w:tcBorders>
              <w:top w:val="nil"/>
              <w:left w:val="single" w:sz="4" w:space="0" w:color="auto"/>
              <w:bottom w:val="single" w:sz="4" w:space="0" w:color="auto"/>
              <w:right w:val="single" w:sz="4" w:space="0" w:color="auto"/>
            </w:tcBorders>
          </w:tcPr>
          <w:p w14:paraId="069F63AB"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vertAlign w:val="superscript"/>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tcPr>
          <w:p w14:paraId="2BBF5C6E"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6749C279"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3B685FC"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C3EC8D8"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6FABFE6D"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668BDB5A" w14:textId="77777777" w:rsidTr="003627DF">
        <w:trPr>
          <w:trHeight w:val="255"/>
        </w:trPr>
        <w:tc>
          <w:tcPr>
            <w:tcW w:w="7070" w:type="dxa"/>
            <w:tcBorders>
              <w:top w:val="nil"/>
              <w:left w:val="single" w:sz="4" w:space="0" w:color="auto"/>
              <w:bottom w:val="single" w:sz="4" w:space="0" w:color="auto"/>
              <w:right w:val="single" w:sz="4" w:space="0" w:color="auto"/>
            </w:tcBorders>
          </w:tcPr>
          <w:p w14:paraId="78E545F2"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vertAlign w:val="superscript"/>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Tovary a služby (630)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0EB946A9"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74D86AAD"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D817246"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A09B1FB"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40FDE01F"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7B32BA61" w14:textId="77777777" w:rsidTr="003627DF">
        <w:trPr>
          <w:trHeight w:val="255"/>
        </w:trPr>
        <w:tc>
          <w:tcPr>
            <w:tcW w:w="7070" w:type="dxa"/>
            <w:tcBorders>
              <w:top w:val="nil"/>
              <w:left w:val="single" w:sz="4" w:space="0" w:color="auto"/>
              <w:bottom w:val="single" w:sz="4" w:space="0" w:color="auto"/>
              <w:right w:val="single" w:sz="4" w:space="0" w:color="auto"/>
            </w:tcBorders>
          </w:tcPr>
          <w:p w14:paraId="1E6B0096"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Bežné transfery (640)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0A023BC2"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12BB3CF9"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41ED87A"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E6386C1"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6B356A0F"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73DAE113"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64252208"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Splácanie úrokov a ostatné platby súvisiace s </w:t>
            </w:r>
            <w:r w:rsidRPr="00AD62CD">
              <w:rPr>
                <w:rFonts w:ascii="Calibri" w:eastAsia="Calibri" w:hAnsi="Calibri" w:cs="Times New Roman"/>
                <w:color w:val="000000"/>
                <w:kern w:val="0"/>
                <w:sz w:val="22"/>
                <w:szCs w:val="22"/>
                <w14:ligatures w14:val="none"/>
              </w:rPr>
              <w:t xml:space="preserve"> </w:t>
            </w:r>
            <w:r w:rsidRPr="00AD62CD">
              <w:rPr>
                <w:rFonts w:ascii="Times New Roman" w:eastAsia="Times New Roman" w:hAnsi="Times New Roman" w:cs="Times New Roman"/>
                <w:color w:val="000000"/>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7F97846A"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72BFCBD8"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2FC08B1"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9E64571"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7202E367"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p>
        </w:tc>
      </w:tr>
      <w:tr w:rsidR="00AD62CD" w:rsidRPr="00AD62CD" w14:paraId="3F833033" w14:textId="77777777" w:rsidTr="003627DF">
        <w:trPr>
          <w:trHeight w:val="255"/>
        </w:trPr>
        <w:tc>
          <w:tcPr>
            <w:tcW w:w="7070" w:type="dxa"/>
            <w:tcBorders>
              <w:top w:val="nil"/>
              <w:left w:val="single" w:sz="4" w:space="0" w:color="auto"/>
              <w:bottom w:val="single" w:sz="4" w:space="0" w:color="auto"/>
              <w:right w:val="single" w:sz="4" w:space="0" w:color="auto"/>
            </w:tcBorders>
          </w:tcPr>
          <w:p w14:paraId="2EF97D14"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tcPr>
          <w:p w14:paraId="344046C0"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20E70F7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B49084B"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BD00AB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17374C9F"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24AC9FFB" w14:textId="77777777" w:rsidTr="003627DF">
        <w:trPr>
          <w:trHeight w:val="255"/>
        </w:trPr>
        <w:tc>
          <w:tcPr>
            <w:tcW w:w="7070" w:type="dxa"/>
            <w:tcBorders>
              <w:top w:val="nil"/>
              <w:left w:val="single" w:sz="4" w:space="0" w:color="auto"/>
              <w:bottom w:val="single" w:sz="4" w:space="0" w:color="auto"/>
              <w:right w:val="single" w:sz="4" w:space="0" w:color="auto"/>
            </w:tcBorders>
          </w:tcPr>
          <w:p w14:paraId="26DCF676"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Obstarávanie kapitálových aktív (710)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05E7CFDB"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291DC6DF"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76632955"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535974A"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03F9E401"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1E78A60D" w14:textId="77777777" w:rsidTr="003627DF">
        <w:trPr>
          <w:trHeight w:val="255"/>
        </w:trPr>
        <w:tc>
          <w:tcPr>
            <w:tcW w:w="7070" w:type="dxa"/>
            <w:tcBorders>
              <w:top w:val="nil"/>
              <w:left w:val="single" w:sz="4" w:space="0" w:color="auto"/>
              <w:bottom w:val="single" w:sz="4" w:space="0" w:color="auto"/>
              <w:right w:val="single" w:sz="4" w:space="0" w:color="auto"/>
            </w:tcBorders>
          </w:tcPr>
          <w:p w14:paraId="0D821AB5"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Kapitálové transfery (720)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53473FE9"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6F6BA349"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F6418F7"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E1E6F82"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40A89569"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255755C1"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15871073"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798EC97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650" w:type="dxa"/>
            <w:tcBorders>
              <w:top w:val="single" w:sz="4" w:space="0" w:color="auto"/>
              <w:left w:val="nil"/>
              <w:bottom w:val="single" w:sz="4" w:space="0" w:color="auto"/>
              <w:right w:val="single" w:sz="4" w:space="0" w:color="auto"/>
            </w:tcBorders>
            <w:shd w:val="clear" w:color="auto" w:fill="BFBFBF"/>
          </w:tcPr>
          <w:p w14:paraId="75D2E0B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40" w:type="dxa"/>
            <w:tcBorders>
              <w:top w:val="single" w:sz="4" w:space="0" w:color="auto"/>
              <w:left w:val="nil"/>
              <w:bottom w:val="single" w:sz="4" w:space="0" w:color="auto"/>
              <w:right w:val="single" w:sz="4" w:space="0" w:color="auto"/>
            </w:tcBorders>
            <w:shd w:val="clear" w:color="auto" w:fill="BFBFBF"/>
          </w:tcPr>
          <w:p w14:paraId="3602F53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40" w:type="dxa"/>
            <w:tcBorders>
              <w:top w:val="single" w:sz="4" w:space="0" w:color="auto"/>
              <w:left w:val="nil"/>
              <w:bottom w:val="single" w:sz="4" w:space="0" w:color="auto"/>
              <w:right w:val="single" w:sz="4" w:space="0" w:color="auto"/>
            </w:tcBorders>
            <w:shd w:val="clear" w:color="auto" w:fill="BFBFBF"/>
          </w:tcPr>
          <w:p w14:paraId="2A851B4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sz w:val="20"/>
                <w:lang w:eastAsia="sk-SK"/>
                <w14:ligatures w14:val="none"/>
              </w:rPr>
              <w:t>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4F73B799"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bl>
    <w:p w14:paraId="2281998B"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color w:val="000000"/>
          <w:kern w:val="0"/>
          <w:sz w:val="20"/>
          <w:szCs w:val="20"/>
          <w:lang w:eastAsia="sk-SK"/>
          <w14:ligatures w14:val="none"/>
        </w:rPr>
        <w:t xml:space="preserve">  2 –  výdavky rozpísať až do podpo</w:t>
      </w:r>
      <w:r w:rsidRPr="00AD62CD">
        <w:rPr>
          <w:rFonts w:ascii="Times New Roman" w:eastAsia="Times New Roman" w:hAnsi="Times New Roman" w:cs="Times New Roman"/>
          <w:bCs/>
          <w:kern w:val="0"/>
          <w:sz w:val="20"/>
          <w:szCs w:val="20"/>
          <w:lang w:eastAsia="sk-SK"/>
          <w14:ligatures w14:val="none"/>
        </w:rPr>
        <w:t>ložiek platnej ekonomickej klasifikácie</w:t>
      </w:r>
    </w:p>
    <w:p w14:paraId="60EC2776"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Cs w:val="20"/>
          <w:lang w:eastAsia="sk-SK"/>
          <w14:ligatures w14:val="none"/>
        </w:rPr>
      </w:pPr>
    </w:p>
    <w:p w14:paraId="5EB2BC06"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Cs w:val="20"/>
          <w:lang w:eastAsia="sk-SK"/>
          <w14:ligatures w14:val="none"/>
        </w:rPr>
        <w:t xml:space="preserve">  Poznámka:</w:t>
      </w:r>
    </w:p>
    <w:p w14:paraId="09E40A13"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Cs w:val="20"/>
          <w:lang w:eastAsia="sk-SK"/>
          <w14:ligatures w14:val="none"/>
        </w:rPr>
        <w:t xml:space="preserve">  Ak sa vplyv týka viacerých subjektov verejnej správy, vypĺňa sa samostatná tabuľka za každý subjekt.</w:t>
      </w:r>
    </w:p>
    <w:p w14:paraId="0C6330DB"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p>
    <w:p w14:paraId="5455ECA4"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xml:space="preserve">kých opatrení súčasne.“  </w:t>
      </w:r>
    </w:p>
    <w:p w14:paraId="7F643A6C"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sectPr w:rsidR="00AD62CD" w:rsidRPr="00AD62CD" w:rsidSect="00AD62CD">
          <w:pgSz w:w="16838" w:h="11906" w:orient="landscape"/>
          <w:pgMar w:top="1418" w:right="1418" w:bottom="1418" w:left="1418" w:header="709" w:footer="709" w:gutter="0"/>
          <w:cols w:space="708"/>
          <w:docGrid w:linePitch="360"/>
        </w:sectPr>
      </w:pPr>
    </w:p>
    <w:p w14:paraId="43224230"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Analýza vplyvov na rozpočet verejnej správy,</w:t>
      </w:r>
    </w:p>
    <w:p w14:paraId="1451F625"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 xml:space="preserve">na zamestnanosť vo verejnej správe a financovanie návrhu </w:t>
      </w:r>
      <w:r w:rsidRPr="00AD62CD">
        <w:rPr>
          <w:rFonts w:ascii="Times New Roman" w:eastAsia="Times New Roman" w:hAnsi="Times New Roman" w:cs="Times New Roman"/>
          <w:b/>
          <w:bCs/>
          <w:kern w:val="0"/>
          <w:sz w:val="28"/>
          <w:szCs w:val="28"/>
          <w:lang w:eastAsia="sk-SK"/>
          <w14:ligatures w14:val="none"/>
        </w:rPr>
        <w:br/>
        <w:t>(Zákon o DPH)</w:t>
      </w:r>
    </w:p>
    <w:p w14:paraId="275CA097"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p>
    <w:p w14:paraId="27898EB5"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 Zhrnutie vplyvov na rozpočet verejnej správy v návrhu</w:t>
      </w:r>
    </w:p>
    <w:p w14:paraId="6334850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D62CD" w:rsidRPr="00AD62CD" w14:paraId="7FA29CFA" w14:textId="77777777" w:rsidTr="00AD62CD">
        <w:trPr>
          <w:cantSplit/>
          <w:trHeight w:val="194"/>
          <w:jc w:val="center"/>
        </w:trPr>
        <w:tc>
          <w:tcPr>
            <w:tcW w:w="4498" w:type="dxa"/>
            <w:vMerge w:val="restart"/>
            <w:shd w:val="clear" w:color="auto" w:fill="BFBFBF"/>
            <w:vAlign w:val="center"/>
          </w:tcPr>
          <w:p w14:paraId="70E03E1F"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Vplyvy na rozpočet verejnej správy</w:t>
            </w:r>
          </w:p>
        </w:tc>
        <w:tc>
          <w:tcPr>
            <w:tcW w:w="5523" w:type="dxa"/>
            <w:gridSpan w:val="4"/>
            <w:shd w:val="clear" w:color="auto" w:fill="BFBFBF"/>
            <w:vAlign w:val="center"/>
          </w:tcPr>
          <w:p w14:paraId="65BC30A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 na rozpočet verejnej správy (v eurách)</w:t>
            </w:r>
          </w:p>
        </w:tc>
      </w:tr>
      <w:tr w:rsidR="00AD62CD" w:rsidRPr="00AD62CD" w14:paraId="56C4CFFC" w14:textId="77777777" w:rsidTr="00AD62CD">
        <w:trPr>
          <w:cantSplit/>
          <w:trHeight w:val="70"/>
          <w:jc w:val="center"/>
        </w:trPr>
        <w:tc>
          <w:tcPr>
            <w:tcW w:w="4498" w:type="dxa"/>
            <w:vMerge/>
            <w:vAlign w:val="center"/>
          </w:tcPr>
          <w:p w14:paraId="1C6D12C4"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026" w:type="dxa"/>
            <w:tcBorders>
              <w:top w:val="nil"/>
              <w:left w:val="nil"/>
              <w:bottom w:val="single" w:sz="8" w:space="0" w:color="auto"/>
              <w:right w:val="single" w:sz="8" w:space="0" w:color="auto"/>
            </w:tcBorders>
            <w:shd w:val="clear" w:color="auto" w:fill="BFBFBF"/>
            <w:vAlign w:val="center"/>
          </w:tcPr>
          <w:p w14:paraId="1F75AB11"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559" w:type="dxa"/>
            <w:tcBorders>
              <w:top w:val="nil"/>
              <w:left w:val="nil"/>
              <w:bottom w:val="single" w:sz="8" w:space="0" w:color="auto"/>
              <w:right w:val="single" w:sz="8" w:space="0" w:color="auto"/>
            </w:tcBorders>
            <w:shd w:val="clear" w:color="auto" w:fill="BFBFBF"/>
            <w:vAlign w:val="center"/>
          </w:tcPr>
          <w:p w14:paraId="0030780E"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417" w:type="dxa"/>
            <w:tcBorders>
              <w:top w:val="nil"/>
              <w:left w:val="nil"/>
              <w:bottom w:val="single" w:sz="8" w:space="0" w:color="auto"/>
              <w:right w:val="single" w:sz="8" w:space="0" w:color="auto"/>
            </w:tcBorders>
            <w:shd w:val="clear" w:color="auto" w:fill="BFBFBF"/>
            <w:vAlign w:val="center"/>
          </w:tcPr>
          <w:p w14:paraId="5E7A727F"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521" w:type="dxa"/>
            <w:tcBorders>
              <w:top w:val="nil"/>
              <w:left w:val="nil"/>
              <w:bottom w:val="single" w:sz="8" w:space="0" w:color="auto"/>
              <w:right w:val="single" w:sz="8" w:space="0" w:color="auto"/>
            </w:tcBorders>
            <w:shd w:val="clear" w:color="auto" w:fill="BFBFBF"/>
            <w:vAlign w:val="center"/>
          </w:tcPr>
          <w:p w14:paraId="1A8761EF"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r>
      <w:tr w:rsidR="00AD62CD" w:rsidRPr="00AD62CD" w14:paraId="06FC970B"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576BDF4C"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tcPr>
          <w:p w14:paraId="60623DE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single" w:sz="8" w:space="0" w:color="auto"/>
              <w:left w:val="nil"/>
              <w:bottom w:val="single" w:sz="8" w:space="0" w:color="auto"/>
              <w:right w:val="single" w:sz="8" w:space="0" w:color="auto"/>
            </w:tcBorders>
            <w:shd w:val="clear" w:color="auto" w:fill="C0C0C0"/>
            <w:vAlign w:val="center"/>
          </w:tcPr>
          <w:p w14:paraId="33ED91D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177 738 000</w:t>
            </w:r>
          </w:p>
        </w:tc>
        <w:tc>
          <w:tcPr>
            <w:tcW w:w="1417" w:type="dxa"/>
            <w:tcBorders>
              <w:top w:val="single" w:sz="8" w:space="0" w:color="auto"/>
              <w:left w:val="nil"/>
              <w:bottom w:val="single" w:sz="8" w:space="0" w:color="auto"/>
              <w:right w:val="single" w:sz="8" w:space="0" w:color="auto"/>
            </w:tcBorders>
            <w:shd w:val="clear" w:color="auto" w:fill="C0C0C0"/>
            <w:vAlign w:val="center"/>
          </w:tcPr>
          <w:p w14:paraId="3C00FDE3"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183 448 000</w:t>
            </w:r>
          </w:p>
        </w:tc>
        <w:tc>
          <w:tcPr>
            <w:tcW w:w="1521" w:type="dxa"/>
            <w:tcBorders>
              <w:top w:val="single" w:sz="8" w:space="0" w:color="auto"/>
              <w:left w:val="nil"/>
              <w:bottom w:val="single" w:sz="8" w:space="0" w:color="auto"/>
              <w:right w:val="single" w:sz="8" w:space="0" w:color="auto"/>
            </w:tcBorders>
            <w:shd w:val="clear" w:color="auto" w:fill="C0C0C0"/>
            <w:vAlign w:val="center"/>
          </w:tcPr>
          <w:p w14:paraId="0D18AEF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188 922 000</w:t>
            </w:r>
          </w:p>
        </w:tc>
      </w:tr>
      <w:tr w:rsidR="00AD62CD" w:rsidRPr="00AD62CD" w14:paraId="6C9310CB"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33B30A7"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14:paraId="30C63E3A"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559" w:type="dxa"/>
            <w:tcBorders>
              <w:top w:val="nil"/>
              <w:left w:val="nil"/>
              <w:bottom w:val="single" w:sz="8" w:space="0" w:color="auto"/>
              <w:right w:val="single" w:sz="8" w:space="0" w:color="auto"/>
            </w:tcBorders>
            <w:shd w:val="clear" w:color="auto" w:fill="auto"/>
            <w:noWrap/>
          </w:tcPr>
          <w:p w14:paraId="404DFC74"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417" w:type="dxa"/>
            <w:tcBorders>
              <w:top w:val="nil"/>
              <w:left w:val="nil"/>
              <w:bottom w:val="single" w:sz="8" w:space="0" w:color="auto"/>
              <w:right w:val="single" w:sz="8" w:space="0" w:color="auto"/>
            </w:tcBorders>
            <w:shd w:val="clear" w:color="auto" w:fill="auto"/>
            <w:noWrap/>
          </w:tcPr>
          <w:p w14:paraId="0ADACFA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521" w:type="dxa"/>
            <w:tcBorders>
              <w:top w:val="nil"/>
              <w:left w:val="nil"/>
              <w:bottom w:val="single" w:sz="8" w:space="0" w:color="auto"/>
              <w:right w:val="single" w:sz="8" w:space="0" w:color="auto"/>
            </w:tcBorders>
            <w:shd w:val="clear" w:color="auto" w:fill="auto"/>
            <w:noWrap/>
          </w:tcPr>
          <w:p w14:paraId="075BECAB"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r>
      <w:tr w:rsidR="00AD62CD" w:rsidRPr="00AD62CD" w14:paraId="07E68F66"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0F8302F"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single" w:sz="8" w:space="0" w:color="auto"/>
              <w:bottom w:val="single" w:sz="8" w:space="0" w:color="auto"/>
              <w:right w:val="single" w:sz="8" w:space="0" w:color="auto"/>
            </w:tcBorders>
            <w:shd w:val="clear" w:color="auto" w:fill="auto"/>
            <w:noWrap/>
          </w:tcPr>
          <w:p w14:paraId="2C5D5F6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1521D494"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177 738 000</w:t>
            </w:r>
          </w:p>
        </w:tc>
        <w:tc>
          <w:tcPr>
            <w:tcW w:w="1417" w:type="dxa"/>
            <w:tcBorders>
              <w:top w:val="nil"/>
              <w:left w:val="nil"/>
              <w:bottom w:val="single" w:sz="8" w:space="0" w:color="auto"/>
              <w:right w:val="single" w:sz="8" w:space="0" w:color="auto"/>
            </w:tcBorders>
            <w:shd w:val="clear" w:color="auto" w:fill="auto"/>
            <w:noWrap/>
            <w:vAlign w:val="center"/>
          </w:tcPr>
          <w:p w14:paraId="4DE4E34B"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183 448 000</w:t>
            </w:r>
          </w:p>
        </w:tc>
        <w:tc>
          <w:tcPr>
            <w:tcW w:w="1521" w:type="dxa"/>
            <w:tcBorders>
              <w:top w:val="nil"/>
              <w:left w:val="nil"/>
              <w:bottom w:val="single" w:sz="8" w:space="0" w:color="auto"/>
              <w:right w:val="single" w:sz="8" w:space="0" w:color="auto"/>
            </w:tcBorders>
            <w:shd w:val="clear" w:color="auto" w:fill="auto"/>
            <w:noWrap/>
            <w:vAlign w:val="center"/>
          </w:tcPr>
          <w:p w14:paraId="60F0908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188 922 000</w:t>
            </w:r>
          </w:p>
        </w:tc>
      </w:tr>
      <w:tr w:rsidR="00AD62CD" w:rsidRPr="00AD62CD" w14:paraId="4789E9AC" w14:textId="77777777" w:rsidTr="003627DF">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318008A"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tcPr>
          <w:p w14:paraId="3AD988B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465EEBD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177 738 000</w:t>
            </w:r>
          </w:p>
        </w:tc>
        <w:tc>
          <w:tcPr>
            <w:tcW w:w="1417" w:type="dxa"/>
            <w:tcBorders>
              <w:top w:val="nil"/>
              <w:left w:val="nil"/>
              <w:bottom w:val="single" w:sz="8" w:space="0" w:color="auto"/>
              <w:right w:val="single" w:sz="8" w:space="0" w:color="auto"/>
            </w:tcBorders>
            <w:shd w:val="clear" w:color="auto" w:fill="auto"/>
            <w:noWrap/>
            <w:vAlign w:val="center"/>
          </w:tcPr>
          <w:p w14:paraId="428A474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183 448 000</w:t>
            </w:r>
          </w:p>
        </w:tc>
        <w:tc>
          <w:tcPr>
            <w:tcW w:w="1521" w:type="dxa"/>
            <w:tcBorders>
              <w:top w:val="nil"/>
              <w:left w:val="nil"/>
              <w:bottom w:val="single" w:sz="8" w:space="0" w:color="auto"/>
              <w:right w:val="single" w:sz="8" w:space="0" w:color="auto"/>
            </w:tcBorders>
            <w:shd w:val="clear" w:color="auto" w:fill="auto"/>
            <w:noWrap/>
            <w:vAlign w:val="center"/>
          </w:tcPr>
          <w:p w14:paraId="4DDD8D7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188 922 000</w:t>
            </w:r>
          </w:p>
        </w:tc>
      </w:tr>
      <w:tr w:rsidR="00AD62CD" w:rsidRPr="00AD62CD" w14:paraId="3EC6E507"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0D64F97"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(131) daň z pridanej hodnoty</w:t>
            </w:r>
          </w:p>
        </w:tc>
        <w:tc>
          <w:tcPr>
            <w:tcW w:w="1026" w:type="dxa"/>
            <w:tcBorders>
              <w:top w:val="nil"/>
              <w:left w:val="nil"/>
              <w:bottom w:val="single" w:sz="8" w:space="0" w:color="auto"/>
              <w:right w:val="single" w:sz="8" w:space="0" w:color="auto"/>
            </w:tcBorders>
            <w:shd w:val="clear" w:color="auto" w:fill="auto"/>
            <w:noWrap/>
          </w:tcPr>
          <w:p w14:paraId="08B8211C"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1ADAED11"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177 738 000</w:t>
            </w:r>
          </w:p>
        </w:tc>
        <w:tc>
          <w:tcPr>
            <w:tcW w:w="1417" w:type="dxa"/>
            <w:tcBorders>
              <w:top w:val="nil"/>
              <w:left w:val="nil"/>
              <w:bottom w:val="single" w:sz="8" w:space="0" w:color="auto"/>
              <w:right w:val="single" w:sz="8" w:space="0" w:color="auto"/>
            </w:tcBorders>
            <w:shd w:val="clear" w:color="auto" w:fill="auto"/>
            <w:noWrap/>
            <w:vAlign w:val="center"/>
          </w:tcPr>
          <w:p w14:paraId="5BC55A00"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183 448 000</w:t>
            </w:r>
          </w:p>
        </w:tc>
        <w:tc>
          <w:tcPr>
            <w:tcW w:w="1521" w:type="dxa"/>
            <w:tcBorders>
              <w:top w:val="nil"/>
              <w:left w:val="nil"/>
              <w:bottom w:val="single" w:sz="8" w:space="0" w:color="auto"/>
              <w:right w:val="single" w:sz="8" w:space="0" w:color="auto"/>
            </w:tcBorders>
            <w:shd w:val="clear" w:color="auto" w:fill="auto"/>
            <w:noWrap/>
            <w:vAlign w:val="center"/>
          </w:tcPr>
          <w:p w14:paraId="3D1A8E03"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188 922 000</w:t>
            </w:r>
          </w:p>
        </w:tc>
      </w:tr>
      <w:tr w:rsidR="00AD62CD" w:rsidRPr="00AD62CD" w14:paraId="5B212FC6"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F4D1282"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EÚ zdroje</w:t>
            </w:r>
          </w:p>
        </w:tc>
        <w:tc>
          <w:tcPr>
            <w:tcW w:w="1026" w:type="dxa"/>
            <w:tcBorders>
              <w:top w:val="nil"/>
              <w:left w:val="nil"/>
              <w:bottom w:val="single" w:sz="8" w:space="0" w:color="auto"/>
              <w:right w:val="single" w:sz="8" w:space="0" w:color="auto"/>
            </w:tcBorders>
            <w:shd w:val="clear" w:color="auto" w:fill="auto"/>
            <w:noWrap/>
          </w:tcPr>
          <w:p w14:paraId="7ACC04AD"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FDC5FFF"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445BC348"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F5F6E8F"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2C563DFB"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332B83E"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6BD2D8EB"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2D8AAA2"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1D16B4B0"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B1E8162"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587165BE"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3949490"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76140BA3"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A0F564F"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396F1CB2"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6ACA636"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5725F69"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1591B3E"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2276DE9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546CC4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4817B62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0B4DC4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7817145A"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4FC32904"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Výdavky verejnej správy celkom</w:t>
            </w:r>
          </w:p>
        </w:tc>
        <w:tc>
          <w:tcPr>
            <w:tcW w:w="1026" w:type="dxa"/>
            <w:tcBorders>
              <w:top w:val="nil"/>
              <w:left w:val="nil"/>
              <w:bottom w:val="single" w:sz="8" w:space="0" w:color="auto"/>
              <w:right w:val="single" w:sz="8" w:space="0" w:color="auto"/>
            </w:tcBorders>
            <w:shd w:val="clear" w:color="auto" w:fill="C0C0C0"/>
            <w:noWrap/>
          </w:tcPr>
          <w:p w14:paraId="0D09718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59 730</w:t>
            </w:r>
          </w:p>
        </w:tc>
        <w:tc>
          <w:tcPr>
            <w:tcW w:w="1559" w:type="dxa"/>
            <w:tcBorders>
              <w:top w:val="nil"/>
              <w:left w:val="nil"/>
              <w:bottom w:val="single" w:sz="8" w:space="0" w:color="auto"/>
              <w:right w:val="single" w:sz="8" w:space="0" w:color="auto"/>
            </w:tcBorders>
            <w:shd w:val="clear" w:color="auto" w:fill="C0C0C0"/>
            <w:noWrap/>
          </w:tcPr>
          <w:p w14:paraId="3E55BB5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C0C0C0"/>
            <w:noWrap/>
          </w:tcPr>
          <w:p w14:paraId="7A00A3E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C0C0C0"/>
            <w:noWrap/>
          </w:tcPr>
          <w:p w14:paraId="059D216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4EBF7008" w14:textId="77777777" w:rsidTr="003627DF">
        <w:trPr>
          <w:trHeight w:val="100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874B9C8" w14:textId="77777777" w:rsidR="00AD62CD" w:rsidRPr="00AD62CD" w:rsidRDefault="00AD62CD" w:rsidP="00AD62CD">
            <w:pPr>
              <w:spacing w:after="0" w:line="276"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v tom: kapitola MF SR/</w:t>
            </w:r>
          </w:p>
          <w:p w14:paraId="2107F584"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0EK 0D Informačné technológie financované zo ŠR – MF SR (org. MF SR - úrad, FR SR)</w:t>
            </w:r>
          </w:p>
        </w:tc>
        <w:tc>
          <w:tcPr>
            <w:tcW w:w="1026" w:type="dxa"/>
            <w:tcBorders>
              <w:top w:val="nil"/>
              <w:left w:val="nil"/>
              <w:bottom w:val="single" w:sz="8" w:space="0" w:color="auto"/>
              <w:right w:val="single" w:sz="8" w:space="0" w:color="auto"/>
            </w:tcBorders>
            <w:shd w:val="clear" w:color="auto" w:fill="auto"/>
            <w:noWrap/>
          </w:tcPr>
          <w:p w14:paraId="496283D9"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tcPr>
          <w:p w14:paraId="6368ECD4"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417" w:type="dxa"/>
            <w:tcBorders>
              <w:top w:val="nil"/>
              <w:left w:val="nil"/>
              <w:bottom w:val="single" w:sz="8" w:space="0" w:color="auto"/>
              <w:right w:val="single" w:sz="8" w:space="0" w:color="auto"/>
            </w:tcBorders>
            <w:shd w:val="clear" w:color="auto" w:fill="auto"/>
            <w:noWrap/>
          </w:tcPr>
          <w:p w14:paraId="4B52686B"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521" w:type="dxa"/>
            <w:tcBorders>
              <w:top w:val="nil"/>
              <w:left w:val="nil"/>
              <w:bottom w:val="single" w:sz="8" w:space="0" w:color="auto"/>
              <w:right w:val="single" w:sz="8" w:space="0" w:color="auto"/>
            </w:tcBorders>
            <w:shd w:val="clear" w:color="auto" w:fill="auto"/>
            <w:noWrap/>
          </w:tcPr>
          <w:p w14:paraId="337C9DD3"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r>
      <w:tr w:rsidR="00AD62CD" w:rsidRPr="00AD62CD" w14:paraId="1E502990"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139CE95"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0EK0D0Q</w:t>
            </w:r>
          </w:p>
        </w:tc>
        <w:tc>
          <w:tcPr>
            <w:tcW w:w="1026" w:type="dxa"/>
            <w:tcBorders>
              <w:top w:val="nil"/>
              <w:left w:val="nil"/>
              <w:bottom w:val="single" w:sz="8" w:space="0" w:color="auto"/>
              <w:right w:val="single" w:sz="8" w:space="0" w:color="auto"/>
            </w:tcBorders>
            <w:shd w:val="clear" w:color="auto" w:fill="auto"/>
            <w:noWrap/>
          </w:tcPr>
          <w:p w14:paraId="41B6DE47"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33 000</w:t>
            </w:r>
          </w:p>
        </w:tc>
        <w:tc>
          <w:tcPr>
            <w:tcW w:w="1559" w:type="dxa"/>
            <w:tcBorders>
              <w:top w:val="nil"/>
              <w:left w:val="nil"/>
              <w:bottom w:val="single" w:sz="8" w:space="0" w:color="auto"/>
              <w:right w:val="single" w:sz="8" w:space="0" w:color="auto"/>
            </w:tcBorders>
            <w:shd w:val="clear" w:color="auto" w:fill="auto"/>
            <w:noWrap/>
          </w:tcPr>
          <w:p w14:paraId="1F7A33D2"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E22B397"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4507975"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26D47178"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4574BAA"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0EK0D14</w:t>
            </w:r>
          </w:p>
        </w:tc>
        <w:tc>
          <w:tcPr>
            <w:tcW w:w="1026" w:type="dxa"/>
            <w:tcBorders>
              <w:top w:val="nil"/>
              <w:left w:val="nil"/>
              <w:bottom w:val="single" w:sz="8" w:space="0" w:color="auto"/>
              <w:right w:val="single" w:sz="8" w:space="0" w:color="auto"/>
            </w:tcBorders>
            <w:shd w:val="clear" w:color="auto" w:fill="auto"/>
            <w:noWrap/>
          </w:tcPr>
          <w:p w14:paraId="23FE5DC6"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26 400</w:t>
            </w:r>
          </w:p>
        </w:tc>
        <w:tc>
          <w:tcPr>
            <w:tcW w:w="1559" w:type="dxa"/>
            <w:tcBorders>
              <w:top w:val="nil"/>
              <w:left w:val="nil"/>
              <w:bottom w:val="single" w:sz="8" w:space="0" w:color="auto"/>
              <w:right w:val="single" w:sz="8" w:space="0" w:color="auto"/>
            </w:tcBorders>
            <w:shd w:val="clear" w:color="auto" w:fill="auto"/>
            <w:noWrap/>
          </w:tcPr>
          <w:p w14:paraId="7060446D"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382DFF16"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79FC1A3"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3AAA4901"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F11C79C"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0EK0D1L</w:t>
            </w:r>
          </w:p>
        </w:tc>
        <w:tc>
          <w:tcPr>
            <w:tcW w:w="1026" w:type="dxa"/>
            <w:tcBorders>
              <w:top w:val="nil"/>
              <w:left w:val="nil"/>
              <w:bottom w:val="single" w:sz="8" w:space="0" w:color="auto"/>
              <w:right w:val="single" w:sz="8" w:space="0" w:color="auto"/>
            </w:tcBorders>
            <w:shd w:val="clear" w:color="auto" w:fill="auto"/>
            <w:noWrap/>
          </w:tcPr>
          <w:p w14:paraId="28237C4C"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330</w:t>
            </w:r>
          </w:p>
        </w:tc>
        <w:tc>
          <w:tcPr>
            <w:tcW w:w="1559" w:type="dxa"/>
            <w:tcBorders>
              <w:top w:val="nil"/>
              <w:left w:val="nil"/>
              <w:bottom w:val="single" w:sz="8" w:space="0" w:color="auto"/>
              <w:right w:val="single" w:sz="8" w:space="0" w:color="auto"/>
            </w:tcBorders>
            <w:shd w:val="clear" w:color="auto" w:fill="auto"/>
            <w:noWrap/>
          </w:tcPr>
          <w:p w14:paraId="7464342A"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4332372E"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87BA65D"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46F88278"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1BF71B9"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tcPr>
          <w:p w14:paraId="187A8F3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c>
          <w:tcPr>
            <w:tcW w:w="1559" w:type="dxa"/>
            <w:tcBorders>
              <w:top w:val="nil"/>
              <w:left w:val="nil"/>
              <w:bottom w:val="single" w:sz="8" w:space="0" w:color="auto"/>
              <w:right w:val="single" w:sz="8" w:space="0" w:color="auto"/>
            </w:tcBorders>
            <w:shd w:val="clear" w:color="auto" w:fill="auto"/>
            <w:noWrap/>
          </w:tcPr>
          <w:p w14:paraId="30D3FB2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c>
          <w:tcPr>
            <w:tcW w:w="1417" w:type="dxa"/>
            <w:tcBorders>
              <w:top w:val="nil"/>
              <w:left w:val="nil"/>
              <w:bottom w:val="single" w:sz="8" w:space="0" w:color="auto"/>
              <w:right w:val="single" w:sz="8" w:space="0" w:color="auto"/>
            </w:tcBorders>
            <w:shd w:val="clear" w:color="auto" w:fill="auto"/>
            <w:noWrap/>
          </w:tcPr>
          <w:p w14:paraId="4F5600E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c>
          <w:tcPr>
            <w:tcW w:w="1521" w:type="dxa"/>
            <w:tcBorders>
              <w:top w:val="nil"/>
              <w:left w:val="nil"/>
              <w:bottom w:val="single" w:sz="8" w:space="0" w:color="auto"/>
              <w:right w:val="single" w:sz="8" w:space="0" w:color="auto"/>
            </w:tcBorders>
            <w:shd w:val="clear" w:color="auto" w:fill="auto"/>
            <w:noWrap/>
          </w:tcPr>
          <w:p w14:paraId="316D3E3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r>
      <w:tr w:rsidR="00AD62CD" w:rsidRPr="00AD62CD" w14:paraId="73D91973"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6B2222A"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3AD586A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59 730</w:t>
            </w:r>
          </w:p>
        </w:tc>
        <w:tc>
          <w:tcPr>
            <w:tcW w:w="1559" w:type="dxa"/>
            <w:tcBorders>
              <w:top w:val="nil"/>
              <w:left w:val="nil"/>
              <w:bottom w:val="single" w:sz="8" w:space="0" w:color="auto"/>
              <w:right w:val="single" w:sz="8" w:space="0" w:color="auto"/>
            </w:tcBorders>
            <w:shd w:val="clear" w:color="auto" w:fill="auto"/>
            <w:noWrap/>
          </w:tcPr>
          <w:p w14:paraId="2C9C06B2"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78B9937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25AE392"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678B2284"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AB24092"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Rozpočtové prostriedky</w:t>
            </w:r>
          </w:p>
        </w:tc>
        <w:tc>
          <w:tcPr>
            <w:tcW w:w="1026" w:type="dxa"/>
            <w:tcBorders>
              <w:top w:val="nil"/>
              <w:left w:val="nil"/>
              <w:bottom w:val="single" w:sz="8" w:space="0" w:color="auto"/>
              <w:right w:val="single" w:sz="8" w:space="0" w:color="auto"/>
            </w:tcBorders>
            <w:shd w:val="clear" w:color="auto" w:fill="auto"/>
            <w:noWrap/>
          </w:tcPr>
          <w:p w14:paraId="53641241"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59 730</w:t>
            </w:r>
          </w:p>
        </w:tc>
        <w:tc>
          <w:tcPr>
            <w:tcW w:w="1559" w:type="dxa"/>
            <w:tcBorders>
              <w:top w:val="nil"/>
              <w:left w:val="nil"/>
              <w:bottom w:val="single" w:sz="8" w:space="0" w:color="auto"/>
              <w:right w:val="single" w:sz="8" w:space="0" w:color="auto"/>
            </w:tcBorders>
            <w:shd w:val="clear" w:color="auto" w:fill="auto"/>
            <w:noWrap/>
          </w:tcPr>
          <w:p w14:paraId="411D3310"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183CB26C"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B95A941"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535B80F2"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FB7FE30"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daňový bonus na hypotéky</w:t>
            </w:r>
          </w:p>
        </w:tc>
        <w:tc>
          <w:tcPr>
            <w:tcW w:w="1026" w:type="dxa"/>
            <w:tcBorders>
              <w:top w:val="nil"/>
              <w:left w:val="nil"/>
              <w:bottom w:val="single" w:sz="8" w:space="0" w:color="auto"/>
              <w:right w:val="single" w:sz="8" w:space="0" w:color="auto"/>
            </w:tcBorders>
            <w:shd w:val="clear" w:color="auto" w:fill="auto"/>
            <w:noWrap/>
          </w:tcPr>
          <w:p w14:paraId="309F6848"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6E705AC2"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756C50D"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6D2783D"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0DDDC2D9"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86E9402"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 xml:space="preserve">    EÚ zdroje</w:t>
            </w:r>
          </w:p>
        </w:tc>
        <w:tc>
          <w:tcPr>
            <w:tcW w:w="1026" w:type="dxa"/>
            <w:tcBorders>
              <w:top w:val="nil"/>
              <w:left w:val="nil"/>
              <w:bottom w:val="single" w:sz="8" w:space="0" w:color="auto"/>
              <w:right w:val="single" w:sz="8" w:space="0" w:color="auto"/>
            </w:tcBorders>
            <w:shd w:val="clear" w:color="auto" w:fill="auto"/>
            <w:noWrap/>
          </w:tcPr>
          <w:p w14:paraId="45311799"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076320A0"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00E75E04"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470E624B"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661D14AF"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F88B77B"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 xml:space="preserve">    spolufinancovanie</w:t>
            </w:r>
          </w:p>
        </w:tc>
        <w:tc>
          <w:tcPr>
            <w:tcW w:w="1026" w:type="dxa"/>
            <w:tcBorders>
              <w:top w:val="nil"/>
              <w:left w:val="nil"/>
              <w:bottom w:val="single" w:sz="8" w:space="0" w:color="auto"/>
              <w:right w:val="single" w:sz="8" w:space="0" w:color="auto"/>
            </w:tcBorders>
            <w:shd w:val="clear" w:color="auto" w:fill="auto"/>
            <w:noWrap/>
          </w:tcPr>
          <w:p w14:paraId="0AF3A973"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0B86A5B"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7DD50D21"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165B6A7"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D5FF392"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4AF6CB2"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58E9AA7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73CEA0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16EBBA4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C553F0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55266F96"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50FDD9E"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4CB5A50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6F87F07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4D206AD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FB02FC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5D288433"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E93BC9C"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44B794D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51D5288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7981E1D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6C20AE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0110481A"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76647B48"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Vplyv na počet zamestnancov </w:t>
            </w:r>
          </w:p>
        </w:tc>
        <w:tc>
          <w:tcPr>
            <w:tcW w:w="1026" w:type="dxa"/>
            <w:tcBorders>
              <w:top w:val="nil"/>
              <w:left w:val="nil"/>
              <w:bottom w:val="single" w:sz="8" w:space="0" w:color="auto"/>
              <w:right w:val="single" w:sz="8" w:space="0" w:color="auto"/>
            </w:tcBorders>
            <w:shd w:val="clear" w:color="auto" w:fill="BFBFBF"/>
            <w:noWrap/>
          </w:tcPr>
          <w:p w14:paraId="07DA626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5FFEF7B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53730F6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0024063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3943E8A3"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8AABD2D"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7928443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8CEFC5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7B2FB7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865824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3A1CCC49"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D407EF1"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2E52D99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3B71467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03A87B2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18944A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3980C0C"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DD5D6C5"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0F9D43F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F464E0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72B30F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F023AD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58C1B99B"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B12D5D7"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2CA27CC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0990EA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3AD3A68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4A994E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2B56B1E7"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1AFA53CA"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Vplyv na mzdové výdavky</w:t>
            </w:r>
          </w:p>
        </w:tc>
        <w:tc>
          <w:tcPr>
            <w:tcW w:w="1026" w:type="dxa"/>
            <w:tcBorders>
              <w:top w:val="nil"/>
              <w:left w:val="nil"/>
              <w:bottom w:val="single" w:sz="8" w:space="0" w:color="auto"/>
              <w:right w:val="single" w:sz="8" w:space="0" w:color="auto"/>
            </w:tcBorders>
            <w:shd w:val="clear" w:color="auto" w:fill="BFBFBF"/>
            <w:noWrap/>
          </w:tcPr>
          <w:p w14:paraId="106D361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48C1C62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4CDCD62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4F0FC71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57D572E5"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7F3A2E4"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18BCD29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EE84C9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0D007B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7C5BC4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4B3F5FD"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2A59961"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15F9DE1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2DC975D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4B9908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DE9FDA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BEB61E9"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6F09EFC"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68100C9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AC04EB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4E992D2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5662D7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5BE52AF0"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017F127"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218B1FE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154171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4205D6D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50F02A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7BDE9B33"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01AD1F9E"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Financovanie zabezpečené v rozpočte</w:t>
            </w:r>
          </w:p>
        </w:tc>
        <w:tc>
          <w:tcPr>
            <w:tcW w:w="1026" w:type="dxa"/>
            <w:tcBorders>
              <w:top w:val="nil"/>
              <w:left w:val="nil"/>
              <w:bottom w:val="single" w:sz="8" w:space="0" w:color="auto"/>
              <w:right w:val="single" w:sz="8" w:space="0" w:color="auto"/>
            </w:tcBorders>
            <w:shd w:val="clear" w:color="auto" w:fill="C0C0C0"/>
            <w:noWrap/>
          </w:tcPr>
          <w:p w14:paraId="69A2AF7C" w14:textId="77777777" w:rsidR="00AD62CD" w:rsidRPr="00AD62CD" w:rsidRDefault="00AD62CD" w:rsidP="00AD62CD">
            <w:pPr>
              <w:spacing w:after="20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59 730</w:t>
            </w:r>
          </w:p>
        </w:tc>
        <w:tc>
          <w:tcPr>
            <w:tcW w:w="1559" w:type="dxa"/>
            <w:tcBorders>
              <w:top w:val="nil"/>
              <w:left w:val="nil"/>
              <w:bottom w:val="single" w:sz="8" w:space="0" w:color="auto"/>
              <w:right w:val="single" w:sz="8" w:space="0" w:color="auto"/>
            </w:tcBorders>
            <w:shd w:val="clear" w:color="auto" w:fill="C0C0C0"/>
            <w:noWrap/>
          </w:tcPr>
          <w:p w14:paraId="2133260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C0C0C0"/>
            <w:noWrap/>
          </w:tcPr>
          <w:p w14:paraId="4245CBC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C0C0C0"/>
            <w:noWrap/>
          </w:tcPr>
          <w:p w14:paraId="0AA876B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72649998"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25F4DC21"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Iné ako rozpočtové zdroje</w:t>
            </w:r>
          </w:p>
        </w:tc>
        <w:tc>
          <w:tcPr>
            <w:tcW w:w="1026" w:type="dxa"/>
            <w:tcBorders>
              <w:top w:val="nil"/>
              <w:left w:val="nil"/>
              <w:bottom w:val="single" w:sz="8" w:space="0" w:color="auto"/>
              <w:right w:val="single" w:sz="8" w:space="0" w:color="auto"/>
            </w:tcBorders>
            <w:shd w:val="clear" w:color="auto" w:fill="BFBFBF"/>
            <w:noWrap/>
          </w:tcPr>
          <w:p w14:paraId="3DADA75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49F9AE2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0A9A666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6056862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20D5967A"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A6A6A6"/>
            <w:noWrap/>
            <w:vAlign w:val="center"/>
          </w:tcPr>
          <w:p w14:paraId="186554DB"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Rozpočtovo nekrytý vplyv / úspora</w:t>
            </w:r>
          </w:p>
        </w:tc>
        <w:tc>
          <w:tcPr>
            <w:tcW w:w="1026" w:type="dxa"/>
            <w:tcBorders>
              <w:top w:val="nil"/>
              <w:left w:val="nil"/>
              <w:bottom w:val="single" w:sz="8" w:space="0" w:color="auto"/>
              <w:right w:val="single" w:sz="8" w:space="0" w:color="auto"/>
            </w:tcBorders>
            <w:shd w:val="clear" w:color="auto" w:fill="A6A6A6"/>
            <w:noWrap/>
            <w:vAlign w:val="center"/>
          </w:tcPr>
          <w:p w14:paraId="02751A1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6A6A6"/>
            <w:noWrap/>
            <w:vAlign w:val="center"/>
          </w:tcPr>
          <w:p w14:paraId="6177D27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-177 739 000</w:t>
            </w:r>
          </w:p>
        </w:tc>
        <w:tc>
          <w:tcPr>
            <w:tcW w:w="1417" w:type="dxa"/>
            <w:tcBorders>
              <w:top w:val="nil"/>
              <w:left w:val="nil"/>
              <w:bottom w:val="single" w:sz="8" w:space="0" w:color="auto"/>
              <w:right w:val="single" w:sz="8" w:space="0" w:color="auto"/>
            </w:tcBorders>
            <w:shd w:val="clear" w:color="auto" w:fill="A6A6A6"/>
            <w:noWrap/>
            <w:vAlign w:val="center"/>
          </w:tcPr>
          <w:p w14:paraId="4CD1990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-183 449 000</w:t>
            </w:r>
          </w:p>
        </w:tc>
        <w:tc>
          <w:tcPr>
            <w:tcW w:w="1521" w:type="dxa"/>
            <w:tcBorders>
              <w:top w:val="nil"/>
              <w:left w:val="nil"/>
              <w:bottom w:val="single" w:sz="8" w:space="0" w:color="auto"/>
              <w:right w:val="single" w:sz="8" w:space="0" w:color="auto"/>
            </w:tcBorders>
            <w:shd w:val="clear" w:color="auto" w:fill="A6A6A6"/>
            <w:noWrap/>
            <w:vAlign w:val="center"/>
          </w:tcPr>
          <w:p w14:paraId="1FE7F60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-188 922 000</w:t>
            </w:r>
          </w:p>
        </w:tc>
      </w:tr>
    </w:tbl>
    <w:p w14:paraId="3CFA8170"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p>
    <w:p w14:paraId="71448B96"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2.1.1. Financovanie návrhu - Návrh na riešenie úbytku príjmov alebo zvýšených výdavkov podľa § 33 ods. 1 zákona č. 523/2004 Z. z. o rozpočtových pravidlách verejnej správy:</w:t>
      </w:r>
    </w:p>
    <w:p w14:paraId="6DABFAE4"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bCs/>
          <w:kern w:val="0"/>
          <w14:ligatures w14:val="none"/>
        </w:rPr>
        <w:t xml:space="preserve">Plnenie návrhu zákona je podmienené úpravami informačných systémov Finančného riaditeľstva Slovenskej republiky (ďalej len „FR SR“) v celkovej výške 59 730 eur (kapitálové výdavky, </w:t>
      </w:r>
      <w:r w:rsidRPr="00AD62CD">
        <w:rPr>
          <w:rFonts w:ascii="Times New Roman" w:eastAsia="Times New Roman" w:hAnsi="Times New Roman" w:cs="Times New Roman"/>
          <w:kern w:val="0"/>
          <w:lang w:eastAsia="sk-SK"/>
          <w14:ligatures w14:val="none"/>
        </w:rPr>
        <w:t>kategória 710</w:t>
      </w:r>
      <w:r w:rsidRPr="00AD62CD">
        <w:rPr>
          <w:rFonts w:ascii="Times New Roman" w:eastAsia="Calibri" w:hAnsi="Times New Roman" w:cs="Times New Roman"/>
          <w:bCs/>
          <w:kern w:val="0"/>
          <w14:ligatures w14:val="none"/>
        </w:rPr>
        <w:t>, podprogram 0EK0D – Informačné technológie financované zo štátneho rozpočtu – Ministerstvo financií Slovenskej republiky), a to:</w:t>
      </w:r>
    </w:p>
    <w:p w14:paraId="79C4F157"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p>
    <w:p w14:paraId="136B81D5"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Integrovaný systém Finančnej správy – správa daní (ISFS-SD)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26 400 eur ( 2025)</w:t>
      </w:r>
    </w:p>
    <w:p w14:paraId="1E607929"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DR SCAN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Times New Roman" w:hAnsi="Times New Roman" w:cs="Times New Roman"/>
          <w:kern w:val="0"/>
          <w:lang w:eastAsia="sk-SK"/>
          <w14:ligatures w14:val="none"/>
        </w:rPr>
        <w:t>330</w:t>
      </w:r>
      <w:r w:rsidRPr="00AD62CD">
        <w:rPr>
          <w:rFonts w:ascii="Times New Roman" w:eastAsia="Calibri" w:hAnsi="Times New Roman" w:cs="Times New Roman"/>
          <w:kern w:val="0"/>
          <w14:ligatures w14:val="none"/>
        </w:rPr>
        <w:t xml:space="preserve"> eur (2025)</w:t>
      </w:r>
    </w:p>
    <w:p w14:paraId="7614D6E2"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Portál finančnej správy (PFS)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33 000 eur (2025)</w:t>
      </w:r>
    </w:p>
    <w:p w14:paraId="188496C3"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p>
    <w:p w14:paraId="319877A7"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 Popis a charakteristika návrhu</w:t>
      </w:r>
    </w:p>
    <w:p w14:paraId="41332014"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61627402"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2.2.1. Popis návrhu:</w:t>
      </w:r>
    </w:p>
    <w:p w14:paraId="19095B47"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16FF7183"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Akú problematiku návrh rieši? Kto bude návrh implementovať? Kde sa budú služby poskytovať?</w:t>
      </w:r>
    </w:p>
    <w:p w14:paraId="60B26356"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1"/>
        <w:gridCol w:w="961"/>
        <w:gridCol w:w="1399"/>
        <w:gridCol w:w="1397"/>
        <w:gridCol w:w="1394"/>
      </w:tblGrid>
      <w:tr w:rsidR="00AD62CD" w:rsidRPr="00AD62CD" w14:paraId="6E5AC160" w14:textId="77777777" w:rsidTr="00AD62CD">
        <w:trPr>
          <w:trHeight w:val="194"/>
          <w:jc w:val="center"/>
        </w:trPr>
        <w:tc>
          <w:tcPr>
            <w:tcW w:w="3911" w:type="dxa"/>
            <w:vMerge w:val="restart"/>
            <w:shd w:val="clear" w:color="auto" w:fill="BFBFBF"/>
            <w:vAlign w:val="center"/>
          </w:tcPr>
          <w:p w14:paraId="3699D5A6"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 xml:space="preserve">Vplyvy na </w:t>
            </w:r>
            <w:r w:rsidRPr="00AD62CD">
              <w:rPr>
                <w:rFonts w:ascii="Times New Roman" w:eastAsia="Calibri" w:hAnsi="Times New Roman" w:cs="Times New Roman"/>
                <w:b/>
                <w:bCs/>
                <w:kern w:val="0"/>
                <w:sz w:val="22"/>
                <w:lang w:eastAsia="sk-SK"/>
                <w14:ligatures w14:val="none"/>
              </w:rPr>
              <w:t>rozpočet</w:t>
            </w:r>
            <w:r w:rsidRPr="00AD62CD">
              <w:rPr>
                <w:rFonts w:ascii="Times New Roman" w:eastAsia="Calibri" w:hAnsi="Times New Roman" w:cs="Times New Roman"/>
                <w:b/>
                <w:bCs/>
                <w:kern w:val="0"/>
                <w:lang w:eastAsia="sk-SK"/>
                <w14:ligatures w14:val="none"/>
              </w:rPr>
              <w:t xml:space="preserve"> verejnej správy</w:t>
            </w:r>
          </w:p>
        </w:tc>
        <w:tc>
          <w:tcPr>
            <w:tcW w:w="5151" w:type="dxa"/>
            <w:gridSpan w:val="4"/>
            <w:shd w:val="clear" w:color="auto" w:fill="BFBFBF"/>
            <w:vAlign w:val="center"/>
          </w:tcPr>
          <w:p w14:paraId="46A6215D"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sz w:val="22"/>
                <w:lang w:eastAsia="sk-SK"/>
                <w14:ligatures w14:val="none"/>
              </w:rPr>
              <w:t>Vplyv na rozpočet verejnej správy (v eurách)</w:t>
            </w:r>
          </w:p>
        </w:tc>
      </w:tr>
      <w:tr w:rsidR="00AD62CD" w:rsidRPr="00AD62CD" w14:paraId="3D85E30F" w14:textId="77777777" w:rsidTr="00AD62CD">
        <w:trPr>
          <w:trHeight w:val="70"/>
          <w:jc w:val="center"/>
        </w:trPr>
        <w:tc>
          <w:tcPr>
            <w:tcW w:w="3911" w:type="dxa"/>
            <w:vMerge/>
          </w:tcPr>
          <w:p w14:paraId="2AB982DA" w14:textId="77777777" w:rsidR="00AD62CD" w:rsidRPr="00AD62CD" w:rsidRDefault="00AD62CD" w:rsidP="00AD62CD">
            <w:pPr>
              <w:spacing w:after="200" w:line="276" w:lineRule="auto"/>
              <w:rPr>
                <w:rFonts w:ascii="Calibri" w:eastAsia="Calibri" w:hAnsi="Calibri" w:cs="Times New Roman"/>
                <w:kern w:val="0"/>
                <w:sz w:val="22"/>
                <w:szCs w:val="22"/>
                <w14:ligatures w14:val="none"/>
              </w:rPr>
            </w:pPr>
          </w:p>
        </w:tc>
        <w:tc>
          <w:tcPr>
            <w:tcW w:w="961" w:type="dxa"/>
            <w:tcBorders>
              <w:top w:val="nil"/>
              <w:left w:val="nil"/>
              <w:bottom w:val="single" w:sz="8" w:space="0" w:color="auto"/>
              <w:right w:val="single" w:sz="8" w:space="0" w:color="auto"/>
            </w:tcBorders>
            <w:shd w:val="clear" w:color="auto" w:fill="BFBFBF"/>
            <w:vAlign w:val="center"/>
          </w:tcPr>
          <w:p w14:paraId="29DDAC27"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399" w:type="dxa"/>
            <w:tcBorders>
              <w:top w:val="nil"/>
              <w:left w:val="nil"/>
              <w:bottom w:val="single" w:sz="8" w:space="0" w:color="auto"/>
              <w:right w:val="single" w:sz="8" w:space="0" w:color="auto"/>
            </w:tcBorders>
            <w:shd w:val="clear" w:color="auto" w:fill="BFBFBF"/>
            <w:vAlign w:val="center"/>
          </w:tcPr>
          <w:p w14:paraId="38222E88"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397" w:type="dxa"/>
            <w:tcBorders>
              <w:top w:val="nil"/>
              <w:left w:val="nil"/>
              <w:bottom w:val="single" w:sz="8" w:space="0" w:color="auto"/>
              <w:right w:val="single" w:sz="8" w:space="0" w:color="auto"/>
            </w:tcBorders>
            <w:shd w:val="clear" w:color="auto" w:fill="BFBFBF"/>
            <w:vAlign w:val="center"/>
          </w:tcPr>
          <w:p w14:paraId="125FF37F"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394" w:type="dxa"/>
            <w:tcBorders>
              <w:top w:val="nil"/>
              <w:left w:val="nil"/>
              <w:bottom w:val="single" w:sz="8" w:space="0" w:color="auto"/>
              <w:right w:val="single" w:sz="8" w:space="0" w:color="auto"/>
            </w:tcBorders>
            <w:shd w:val="clear" w:color="auto" w:fill="BFBFBF"/>
            <w:vAlign w:val="center"/>
          </w:tcPr>
          <w:p w14:paraId="060D0BAF"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r>
      <w:tr w:rsidR="00AD62CD" w:rsidRPr="00AD62CD" w14:paraId="4AB892FB" w14:textId="77777777" w:rsidTr="003627DF">
        <w:trPr>
          <w:trHeight w:val="70"/>
          <w:jc w:val="center"/>
        </w:trPr>
        <w:tc>
          <w:tcPr>
            <w:tcW w:w="3911" w:type="dxa"/>
            <w:tcBorders>
              <w:top w:val="nil"/>
              <w:left w:val="single" w:sz="8" w:space="0" w:color="auto"/>
              <w:bottom w:val="single" w:sz="8" w:space="0" w:color="auto"/>
              <w:right w:val="single" w:sz="8" w:space="0" w:color="auto"/>
            </w:tcBorders>
            <w:shd w:val="clear" w:color="auto" w:fill="C0C0C0"/>
            <w:vAlign w:val="center"/>
          </w:tcPr>
          <w:p w14:paraId="54648FEA"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verejnej správy celkom</w:t>
            </w:r>
          </w:p>
        </w:tc>
        <w:tc>
          <w:tcPr>
            <w:tcW w:w="961" w:type="dxa"/>
            <w:tcBorders>
              <w:top w:val="single" w:sz="8" w:space="0" w:color="auto"/>
              <w:left w:val="single" w:sz="8" w:space="0" w:color="auto"/>
              <w:bottom w:val="single" w:sz="8" w:space="0" w:color="auto"/>
              <w:right w:val="single" w:sz="8" w:space="0" w:color="auto"/>
            </w:tcBorders>
            <w:shd w:val="clear" w:color="auto" w:fill="C0C0C0"/>
            <w:vAlign w:val="center"/>
          </w:tcPr>
          <w:p w14:paraId="30F1D934"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399" w:type="dxa"/>
            <w:tcBorders>
              <w:top w:val="single" w:sz="8" w:space="0" w:color="auto"/>
              <w:left w:val="nil"/>
              <w:bottom w:val="single" w:sz="8" w:space="0" w:color="auto"/>
              <w:right w:val="single" w:sz="8" w:space="0" w:color="auto"/>
            </w:tcBorders>
            <w:shd w:val="clear" w:color="auto" w:fill="C0C0C0"/>
            <w:vAlign w:val="center"/>
          </w:tcPr>
          <w:p w14:paraId="49266786" w14:textId="77777777" w:rsidR="00AD62CD" w:rsidRPr="00AD62CD" w:rsidRDefault="00AD62CD" w:rsidP="00AD62CD">
            <w:pPr>
              <w:spacing w:after="0" w:line="276" w:lineRule="auto"/>
              <w:jc w:val="right"/>
              <w:rPr>
                <w:rFonts w:ascii="Times New Roman" w:eastAsia="Calibri" w:hAnsi="Times New Roman" w:cs="Times New Roman"/>
                <w:b/>
                <w:bCs/>
                <w:kern w:val="0"/>
                <w:sz w:val="20"/>
                <w:szCs w:val="22"/>
                <w14:ligatures w14:val="none"/>
              </w:rPr>
            </w:pPr>
            <w:r w:rsidRPr="00AD62CD">
              <w:rPr>
                <w:rFonts w:ascii="Times New Roman" w:eastAsia="Calibri" w:hAnsi="Times New Roman" w:cs="Times New Roman"/>
                <w:b/>
                <w:bCs/>
                <w:kern w:val="0"/>
                <w:sz w:val="22"/>
                <w:szCs w:val="22"/>
                <w14:ligatures w14:val="none"/>
              </w:rPr>
              <w:t>177 738 000</w:t>
            </w:r>
          </w:p>
        </w:tc>
        <w:tc>
          <w:tcPr>
            <w:tcW w:w="1397" w:type="dxa"/>
            <w:tcBorders>
              <w:top w:val="single" w:sz="8" w:space="0" w:color="auto"/>
              <w:left w:val="nil"/>
              <w:bottom w:val="single" w:sz="8" w:space="0" w:color="auto"/>
              <w:right w:val="single" w:sz="8" w:space="0" w:color="auto"/>
            </w:tcBorders>
            <w:shd w:val="clear" w:color="auto" w:fill="C0C0C0"/>
            <w:vAlign w:val="center"/>
          </w:tcPr>
          <w:p w14:paraId="615E4C0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2"/>
                <w14:ligatures w14:val="none"/>
              </w:rPr>
            </w:pPr>
            <w:r w:rsidRPr="00AD62CD">
              <w:rPr>
                <w:rFonts w:ascii="Times New Roman" w:eastAsia="Calibri" w:hAnsi="Times New Roman" w:cs="Times New Roman"/>
                <w:b/>
                <w:bCs/>
                <w:kern w:val="0"/>
                <w:sz w:val="22"/>
                <w:szCs w:val="22"/>
                <w14:ligatures w14:val="none"/>
              </w:rPr>
              <w:t>183 448 000</w:t>
            </w:r>
          </w:p>
        </w:tc>
        <w:tc>
          <w:tcPr>
            <w:tcW w:w="1394" w:type="dxa"/>
            <w:tcBorders>
              <w:top w:val="single" w:sz="8" w:space="0" w:color="auto"/>
              <w:left w:val="nil"/>
              <w:bottom w:val="single" w:sz="8" w:space="0" w:color="auto"/>
              <w:right w:val="single" w:sz="8" w:space="0" w:color="auto"/>
            </w:tcBorders>
            <w:shd w:val="clear" w:color="auto" w:fill="C0C0C0"/>
            <w:vAlign w:val="center"/>
          </w:tcPr>
          <w:p w14:paraId="7997AC4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2"/>
                <w14:ligatures w14:val="none"/>
              </w:rPr>
            </w:pPr>
            <w:r w:rsidRPr="00AD62CD">
              <w:rPr>
                <w:rFonts w:ascii="Times New Roman" w:eastAsia="Calibri" w:hAnsi="Times New Roman" w:cs="Times New Roman"/>
                <w:b/>
                <w:bCs/>
                <w:kern w:val="0"/>
                <w:sz w:val="22"/>
                <w:szCs w:val="22"/>
                <w14:ligatures w14:val="none"/>
              </w:rPr>
              <w:t>188 922 000</w:t>
            </w:r>
          </w:p>
        </w:tc>
      </w:tr>
      <w:tr w:rsidR="00AD62CD" w:rsidRPr="00AD62CD" w14:paraId="2740B81C" w14:textId="77777777" w:rsidTr="003627DF">
        <w:trPr>
          <w:trHeight w:val="125"/>
          <w:jc w:val="center"/>
        </w:trPr>
        <w:tc>
          <w:tcPr>
            <w:tcW w:w="3911" w:type="dxa"/>
            <w:tcBorders>
              <w:top w:val="single" w:sz="8" w:space="0" w:color="auto"/>
              <w:left w:val="single" w:sz="8" w:space="0" w:color="auto"/>
              <w:bottom w:val="single" w:sz="4" w:space="0" w:color="auto"/>
              <w:right w:val="single" w:sz="8" w:space="0" w:color="auto"/>
            </w:tcBorders>
            <w:shd w:val="clear" w:color="auto" w:fill="auto"/>
          </w:tcPr>
          <w:p w14:paraId="25EB7EC7"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softHyphen/>
            </w:r>
            <w:r w:rsidRPr="00AD62CD">
              <w:rPr>
                <w:rFonts w:ascii="Calibri" w:eastAsia="Calibri" w:hAnsi="Calibri" w:cs="Times New Roman"/>
                <w:kern w:val="0"/>
                <w:sz w:val="22"/>
                <w:szCs w:val="22"/>
                <w14:ligatures w14:val="none"/>
              </w:rPr>
              <w:t xml:space="preserve"> Z</w:t>
            </w:r>
            <w:r w:rsidRPr="00AD62CD">
              <w:rPr>
                <w:rFonts w:ascii="Times New Roman" w:eastAsia="Calibri" w:hAnsi="Times New Roman" w:cs="Times New Roman"/>
                <w:color w:val="000000"/>
                <w:kern w:val="0"/>
                <w:sz w:val="22"/>
                <w:szCs w:val="22"/>
                <w14:ligatures w14:val="none"/>
              </w:rPr>
              <w:t>výšenie sadzby DPH z 19 na 23 % pre vybrané tovary</w:t>
            </w:r>
          </w:p>
        </w:tc>
        <w:tc>
          <w:tcPr>
            <w:tcW w:w="961" w:type="dxa"/>
            <w:tcBorders>
              <w:top w:val="single" w:sz="8" w:space="0" w:color="auto"/>
              <w:left w:val="single" w:sz="8" w:space="0" w:color="auto"/>
              <w:bottom w:val="single" w:sz="4" w:space="0" w:color="auto"/>
              <w:right w:val="single" w:sz="8" w:space="0" w:color="auto"/>
            </w:tcBorders>
            <w:shd w:val="clear" w:color="auto" w:fill="auto"/>
            <w:vAlign w:val="center"/>
          </w:tcPr>
          <w:p w14:paraId="566B58BB" w14:textId="77777777" w:rsidR="00AD62CD" w:rsidRPr="00AD62CD" w:rsidRDefault="00AD62CD" w:rsidP="00AD62CD">
            <w:pPr>
              <w:spacing w:after="0" w:line="276" w:lineRule="auto"/>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399" w:type="dxa"/>
            <w:tcBorders>
              <w:top w:val="single" w:sz="8" w:space="0" w:color="auto"/>
              <w:left w:val="nil"/>
              <w:bottom w:val="single" w:sz="4" w:space="0" w:color="auto"/>
              <w:right w:val="single" w:sz="8" w:space="0" w:color="auto"/>
            </w:tcBorders>
            <w:shd w:val="clear" w:color="auto" w:fill="auto"/>
            <w:vAlign w:val="center"/>
          </w:tcPr>
          <w:p w14:paraId="6F37DFDD" w14:textId="77777777" w:rsidR="00AD62CD" w:rsidRPr="00AD62CD" w:rsidRDefault="00AD62CD" w:rsidP="00AD62CD">
            <w:pPr>
              <w:spacing w:after="0" w:line="276" w:lineRule="auto"/>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91 318 000</w:t>
            </w:r>
          </w:p>
        </w:tc>
        <w:tc>
          <w:tcPr>
            <w:tcW w:w="1397" w:type="dxa"/>
            <w:tcBorders>
              <w:top w:val="single" w:sz="8" w:space="0" w:color="auto"/>
              <w:left w:val="nil"/>
              <w:bottom w:val="single" w:sz="4" w:space="0" w:color="auto"/>
              <w:right w:val="single" w:sz="8" w:space="0" w:color="auto"/>
            </w:tcBorders>
            <w:shd w:val="clear" w:color="auto" w:fill="auto"/>
            <w:vAlign w:val="center"/>
          </w:tcPr>
          <w:p w14:paraId="4D940AA2" w14:textId="77777777" w:rsidR="00AD62CD" w:rsidRPr="00AD62CD" w:rsidRDefault="00AD62CD" w:rsidP="00AD62CD">
            <w:pPr>
              <w:spacing w:after="0" w:line="276" w:lineRule="auto"/>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94 659 000</w:t>
            </w:r>
          </w:p>
        </w:tc>
        <w:tc>
          <w:tcPr>
            <w:tcW w:w="1394" w:type="dxa"/>
            <w:tcBorders>
              <w:top w:val="single" w:sz="8" w:space="0" w:color="auto"/>
              <w:left w:val="nil"/>
              <w:bottom w:val="single" w:sz="4" w:space="0" w:color="auto"/>
              <w:right w:val="single" w:sz="8" w:space="0" w:color="auto"/>
            </w:tcBorders>
            <w:shd w:val="clear" w:color="auto" w:fill="auto"/>
            <w:vAlign w:val="center"/>
          </w:tcPr>
          <w:p w14:paraId="4368D1AD" w14:textId="77777777" w:rsidR="00AD62CD" w:rsidRPr="00AD62CD" w:rsidRDefault="00AD62CD" w:rsidP="00AD62CD">
            <w:pPr>
              <w:spacing w:after="0" w:line="276" w:lineRule="auto"/>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97 814 000</w:t>
            </w:r>
          </w:p>
        </w:tc>
      </w:tr>
      <w:tr w:rsidR="00AD62CD" w:rsidRPr="00AD62CD" w14:paraId="0B5BDD8D" w14:textId="77777777" w:rsidTr="003627DF">
        <w:trPr>
          <w:trHeight w:val="125"/>
          <w:jc w:val="center"/>
        </w:trPr>
        <w:tc>
          <w:tcPr>
            <w:tcW w:w="3911" w:type="dxa"/>
            <w:tcBorders>
              <w:top w:val="single" w:sz="4" w:space="0" w:color="auto"/>
              <w:left w:val="single" w:sz="4" w:space="0" w:color="auto"/>
              <w:bottom w:val="single" w:sz="4" w:space="0" w:color="auto"/>
              <w:right w:val="single" w:sz="4" w:space="0" w:color="auto"/>
            </w:tcBorders>
            <w:shd w:val="clear" w:color="auto" w:fill="auto"/>
          </w:tcPr>
          <w:p w14:paraId="78E3D0FA"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Obmedzenie odpočítania DPH pri vybraných kategóriách motorových vozidiel na 50 %, ak sa využívajú aj na iné účely ako na podnikanie</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56D4F99C" w14:textId="77777777" w:rsidR="00AD62CD" w:rsidRPr="00AD62CD" w:rsidRDefault="00AD62CD" w:rsidP="00AD62CD">
            <w:pPr>
              <w:spacing w:after="0" w:line="276" w:lineRule="auto"/>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378BA00" w14:textId="77777777" w:rsidR="00AD62CD" w:rsidRPr="00AD62CD" w:rsidRDefault="00AD62CD" w:rsidP="00AD62CD">
            <w:pPr>
              <w:spacing w:after="0" w:line="276" w:lineRule="auto"/>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86 420 000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9847429" w14:textId="77777777" w:rsidR="00AD62CD" w:rsidRPr="00AD62CD" w:rsidRDefault="00AD62CD" w:rsidP="00AD62CD">
            <w:pPr>
              <w:spacing w:after="0" w:line="276" w:lineRule="auto"/>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88 789 000</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3968FA6C" w14:textId="77777777" w:rsidR="00AD62CD" w:rsidRPr="00AD62CD" w:rsidRDefault="00AD62CD" w:rsidP="00AD62CD">
            <w:pPr>
              <w:spacing w:after="0" w:line="276" w:lineRule="auto"/>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91 108 000</w:t>
            </w:r>
          </w:p>
        </w:tc>
      </w:tr>
    </w:tbl>
    <w:p w14:paraId="5E4F154E"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1AF13C30"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 xml:space="preserve">K novele zákona č. 222/2004 Z. z. o dani z pridanej hodnoty </w:t>
      </w:r>
    </w:p>
    <w:p w14:paraId="339EB1AA" w14:textId="77777777" w:rsidR="00AD62CD" w:rsidRPr="00AD62CD" w:rsidRDefault="00AD62CD" w:rsidP="00AD62CD">
      <w:pPr>
        <w:spacing w:after="0" w:line="240" w:lineRule="auto"/>
        <w:jc w:val="both"/>
        <w:rPr>
          <w:rFonts w:ascii="Times New Roman" w:eastAsia="Calibri" w:hAnsi="Times New Roman" w:cs="Times New Roman"/>
          <w:kern w:val="0"/>
          <w:highlight w:val="yellow"/>
          <w:lang w:eastAsia="sk-SK"/>
          <w14:ligatures w14:val="none"/>
        </w:rPr>
      </w:pPr>
    </w:p>
    <w:p w14:paraId="6A129162" w14:textId="77777777" w:rsidR="00AD62CD" w:rsidRPr="00AD62CD" w:rsidRDefault="00AD62CD" w:rsidP="00AD62CD">
      <w:pPr>
        <w:spacing w:after="0" w:line="240" w:lineRule="auto"/>
        <w:jc w:val="both"/>
        <w:rPr>
          <w:rFonts w:ascii="Times New Roman" w:eastAsia="Calibri" w:hAnsi="Times New Roman" w:cs="Times New Roman"/>
          <w:b/>
          <w:bCs/>
          <w:kern w:val="0"/>
          <w:sz w:val="28"/>
          <w:szCs w:val="28"/>
          <w:lang w:eastAsia="sk-SK"/>
          <w14:ligatures w14:val="none"/>
        </w:rPr>
      </w:pPr>
      <w:r w:rsidRPr="00AD62CD">
        <w:rPr>
          <w:rFonts w:ascii="Times New Roman" w:eastAsia="Calibri" w:hAnsi="Times New Roman" w:cs="Times New Roman"/>
          <w:b/>
          <w:bCs/>
          <w:kern w:val="0"/>
          <w14:ligatures w14:val="none"/>
        </w:rPr>
        <w:t>Z</w:t>
      </w:r>
      <w:r w:rsidRPr="00AD62CD">
        <w:rPr>
          <w:rFonts w:ascii="Times New Roman" w:eastAsia="Calibri" w:hAnsi="Times New Roman" w:cs="Times New Roman"/>
          <w:b/>
          <w:bCs/>
          <w:color w:val="000000"/>
          <w:kern w:val="0"/>
          <w14:ligatures w14:val="none"/>
        </w:rPr>
        <w:t>výšenie sadzby DPH z 19 na 23 % pre vybrané tovary</w:t>
      </w:r>
    </w:p>
    <w:p w14:paraId="65605981"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xml:space="preserve">S účinnosťou od 1.1.2026 sa na vybrané tovary ruší uplatňovanie v súčasnosti platnej zníženej sadzby 19 % zo základu dane. Uvedené tovary budú zdaňované základnou sadzbou DPH vo výške 23 % zo základu dane. Predmetné zrušenie uplatňovania zníženej sadzby DPH sa dotkne vybraných tovarov so zvýšeným obsahom soli a cukru. Ide o rôzne typy sladkostí, cukroviniek, koláčov, zmrzliny, džemov, sladených nealkoholických nápojov, či rôznych slaných pochutín. Uvedená zmena sa netýka podobných výrobkov, ktoré sú dietetickými potravinami podľa osobitného predpisu a sú zverejnené v zozname dietetických potravín zverejňovanom Ministerstvom zdravotníctva SR. </w:t>
      </w:r>
    </w:p>
    <w:p w14:paraId="3C56A233" w14:textId="77777777" w:rsidR="00AD62CD" w:rsidRPr="00AD62CD" w:rsidRDefault="00AD62CD" w:rsidP="00AD62CD">
      <w:pPr>
        <w:spacing w:after="0" w:line="240" w:lineRule="auto"/>
        <w:jc w:val="both"/>
        <w:rPr>
          <w:rFonts w:ascii="Times New Roman" w:eastAsia="Calibri" w:hAnsi="Times New Roman" w:cs="Times New Roman"/>
          <w:kern w:val="0"/>
          <w:highlight w:val="yellow"/>
          <w:lang w:eastAsia="sk-SK"/>
          <w14:ligatures w14:val="none"/>
        </w:rPr>
      </w:pPr>
    </w:p>
    <w:p w14:paraId="62994D6D" w14:textId="77777777" w:rsidR="00AD62CD" w:rsidRPr="00AD62CD" w:rsidRDefault="00AD62CD" w:rsidP="00AD62CD">
      <w:pPr>
        <w:spacing w:after="0" w:line="240" w:lineRule="auto"/>
        <w:jc w:val="both"/>
        <w:rPr>
          <w:rFonts w:ascii="Times New Roman" w:eastAsia="Calibri" w:hAnsi="Times New Roman" w:cs="Times New Roman"/>
          <w:b/>
          <w:bCs/>
          <w:color w:val="000000"/>
          <w:kern w:val="0"/>
          <w14:ligatures w14:val="none"/>
        </w:rPr>
      </w:pPr>
    </w:p>
    <w:p w14:paraId="2E3C32B4" w14:textId="77777777" w:rsidR="00AD62CD" w:rsidRPr="00AD62CD" w:rsidRDefault="00AD62CD" w:rsidP="00AD62CD">
      <w:pPr>
        <w:spacing w:after="0" w:line="240" w:lineRule="auto"/>
        <w:jc w:val="both"/>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b/>
          <w:bCs/>
          <w:color w:val="000000"/>
          <w:kern w:val="0"/>
          <w14:ligatures w14:val="none"/>
        </w:rPr>
        <w:t>Obmedzenie odpočítania DPH pri vybraných kategóriách motorových vozidiel na 50 %, ak sa využívajú aj na iné účely ako na podnikanie</w:t>
      </w:r>
    </w:p>
    <w:p w14:paraId="5671F0A4" w14:textId="77777777" w:rsidR="00AD62CD" w:rsidRPr="00AD62CD" w:rsidRDefault="00AD62CD" w:rsidP="00AD62CD">
      <w:pPr>
        <w:spacing w:after="0" w:line="240" w:lineRule="auto"/>
        <w:jc w:val="both"/>
        <w:rPr>
          <w:rFonts w:ascii="Times New Roman" w:eastAsia="Calibri" w:hAnsi="Times New Roman" w:cs="Times New Roman"/>
          <w:kern w:val="0"/>
          <w:highlight w:val="yellow"/>
          <w:lang w:eastAsia="sk-SK"/>
          <w14:ligatures w14:val="none"/>
        </w:rPr>
      </w:pPr>
      <w:r w:rsidRPr="00AD62CD">
        <w:rPr>
          <w:rFonts w:ascii="Times New Roman" w:eastAsia="Calibri" w:hAnsi="Times New Roman" w:cs="Times New Roman"/>
          <w:kern w:val="0"/>
          <w:lang w:eastAsia="sk-SK"/>
          <w14:ligatures w14:val="none"/>
        </w:rPr>
        <w:t>S účinnosťou od 1.1.2026 sa mení obmedzenie práva na odpočítanie DPH na úroveň 50 % pri obstaraní motorového vozidla kategórie M1, L1e a L3e používaného súčasne na podnikanie a na iný účel ako na podnikanie, ako aj používaní takýchto vozidiel na základe dlhodobej nájomnej, resp. obdobnej zmluvy (napr. operatívny leasing). Obmedzenie sa  dotkne aj služieb (napr. opravy a náhradne diely) a iných tovarov (napr. pohonné látky) súvisiacich s prevádzkou predmetného vozidla. Návrh naďalej umožní uplatniť odpočítanie DPH v súlade so zákonnými podmienkami v plnej miere, pokiaľ platiteľ DPH využíva dotknuté vozidlo výlučne na podnikateľské účely, respektíve výlučne na niektorú z taxatívne vymedzených činností.</w:t>
      </w:r>
    </w:p>
    <w:p w14:paraId="6C29A7D4" w14:textId="77777777" w:rsidR="00AD62CD" w:rsidRPr="00AD62CD" w:rsidRDefault="00AD62CD" w:rsidP="00AD62CD">
      <w:pPr>
        <w:spacing w:after="0" w:line="240" w:lineRule="auto"/>
        <w:jc w:val="both"/>
        <w:rPr>
          <w:rFonts w:ascii="Times New Roman" w:eastAsia="Calibri" w:hAnsi="Times New Roman" w:cs="Times New Roman"/>
          <w:kern w:val="0"/>
          <w:highlight w:val="yellow"/>
          <w:lang w:eastAsia="sk-SK"/>
          <w14:ligatures w14:val="none"/>
        </w:rPr>
      </w:pPr>
    </w:p>
    <w:p w14:paraId="15187192"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2.2.2. Charakteristika návrhu:</w:t>
      </w:r>
    </w:p>
    <w:p w14:paraId="65C9A3C3"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039C52C0"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kern w:val="0"/>
          <w:bdr w:val="single" w:sz="4" w:space="0" w:color="auto"/>
          <w:lang w:eastAsia="sk-SK"/>
          <w14:ligatures w14:val="none"/>
        </w:rPr>
        <w:t xml:space="preserve">     </w:t>
      </w:r>
      <w:r w:rsidRPr="00AD62CD">
        <w:rPr>
          <w:rFonts w:ascii="Times New Roman" w:eastAsia="Calibri" w:hAnsi="Times New Roman" w:cs="Times New Roman"/>
          <w:b/>
          <w:kern w:val="0"/>
          <w:lang w:eastAsia="sk-SK"/>
          <w14:ligatures w14:val="none"/>
        </w:rPr>
        <w:t xml:space="preserve">  </w:t>
      </w:r>
      <w:r w:rsidRPr="00AD62CD">
        <w:rPr>
          <w:rFonts w:ascii="Times New Roman" w:eastAsia="Calibri" w:hAnsi="Times New Roman" w:cs="Times New Roman"/>
          <w:kern w:val="0"/>
          <w:lang w:eastAsia="sk-SK"/>
          <w14:ligatures w14:val="none"/>
        </w:rPr>
        <w:t>zmena sadzby</w:t>
      </w:r>
    </w:p>
    <w:p w14:paraId="1F1F3A3D"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zmena v nároku</w:t>
      </w:r>
    </w:p>
    <w:p w14:paraId="0C09E944"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nová služba alebo nariadenie (alebo ich zrušenie)</w:t>
      </w:r>
    </w:p>
    <w:p w14:paraId="73468488"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x  </w:t>
      </w:r>
      <w:r w:rsidRPr="00AD62CD">
        <w:rPr>
          <w:rFonts w:ascii="Times New Roman" w:eastAsia="Calibri" w:hAnsi="Times New Roman" w:cs="Times New Roman"/>
          <w:kern w:val="0"/>
          <w:lang w:eastAsia="sk-SK"/>
          <w14:ligatures w14:val="none"/>
        </w:rPr>
        <w:t xml:space="preserve">  kombinovaný návrh</w:t>
      </w:r>
    </w:p>
    <w:p w14:paraId="73574366" w14:textId="77777777" w:rsidR="00AD62CD" w:rsidRPr="00AD62CD" w:rsidRDefault="00AD62CD" w:rsidP="00AD62CD">
      <w:pPr>
        <w:spacing w:after="0" w:line="240" w:lineRule="auto"/>
        <w:rPr>
          <w:rFonts w:ascii="Times New Roman" w:eastAsia="Calibri" w:hAnsi="Times New Roman" w:cs="Times New Roman"/>
          <w:kern w:val="0"/>
          <w:highlight w:val="yellow"/>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iné </w:t>
      </w:r>
    </w:p>
    <w:p w14:paraId="75C192C4" w14:textId="77777777" w:rsidR="00AD62CD" w:rsidRPr="00AD62CD" w:rsidRDefault="00AD62CD" w:rsidP="00AD62CD">
      <w:pPr>
        <w:spacing w:after="0" w:line="240" w:lineRule="auto"/>
        <w:rPr>
          <w:rFonts w:ascii="Times New Roman" w:eastAsia="Calibri" w:hAnsi="Times New Roman" w:cs="Times New Roman"/>
          <w:kern w:val="0"/>
          <w:highlight w:val="yellow"/>
          <w:lang w:eastAsia="sk-SK"/>
          <w14:ligatures w14:val="none"/>
        </w:rPr>
      </w:pPr>
    </w:p>
    <w:p w14:paraId="1E286D01" w14:textId="77777777" w:rsidR="00AD62CD" w:rsidRPr="00AD62CD" w:rsidRDefault="00AD62CD" w:rsidP="00AD62CD">
      <w:pPr>
        <w:spacing w:after="0" w:line="240" w:lineRule="auto"/>
        <w:rPr>
          <w:rFonts w:ascii="Times New Roman" w:eastAsia="Calibri" w:hAnsi="Times New Roman" w:cs="Times New Roman"/>
          <w:kern w:val="0"/>
          <w:highlight w:val="yellow"/>
          <w:lang w:eastAsia="sk-SK"/>
          <w14:ligatures w14:val="none"/>
        </w:rPr>
      </w:pPr>
    </w:p>
    <w:p w14:paraId="0FEA8653"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2.2.3. Predpoklady vývoja objemu aktivít:</w:t>
      </w:r>
    </w:p>
    <w:p w14:paraId="332FD227"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4C9DFE41"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Jasne popíšte, v prípade potreby použite nižšie uvedenú tabuľku. Uveďte aj odhady základov daní a/alebo poplatkov, ak sa ich táto zmena týka.</w:t>
      </w:r>
    </w:p>
    <w:p w14:paraId="642FE684" w14:textId="77777777" w:rsidR="00AD62CD" w:rsidRPr="00AD62CD" w:rsidRDefault="00AD62CD" w:rsidP="00AD62CD">
      <w:pPr>
        <w:spacing w:after="0" w:line="240" w:lineRule="auto"/>
        <w:jc w:val="both"/>
        <w:rPr>
          <w:rFonts w:ascii="Times New Roman" w:eastAsia="Calibri" w:hAnsi="Times New Roman" w:cs="Times New Roman"/>
          <w:kern w:val="0"/>
          <w:highlight w:val="yellow"/>
          <w:lang w:eastAsia="sk-SK"/>
          <w14:ligatures w14:val="none"/>
        </w:rPr>
      </w:pPr>
    </w:p>
    <w:p w14:paraId="1CAB4D2B"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72BC1DB8"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2.2.4. Výpočty vplyvov na verejné financie</w:t>
      </w:r>
    </w:p>
    <w:p w14:paraId="35CD1767" w14:textId="77777777" w:rsidR="00AD62CD" w:rsidRPr="00AD62CD" w:rsidRDefault="00AD62CD" w:rsidP="00AD62CD">
      <w:pPr>
        <w:spacing w:after="0" w:line="240" w:lineRule="auto"/>
        <w:jc w:val="both"/>
        <w:rPr>
          <w:rFonts w:ascii="Times New Roman" w:eastAsia="Calibri" w:hAnsi="Times New Roman" w:cs="Times New Roman"/>
          <w:b/>
          <w:bCs/>
          <w:kern w:val="0"/>
          <w:highlight w:val="yellow"/>
          <w:lang w:eastAsia="sk-SK"/>
          <w14:ligatures w14:val="none"/>
        </w:rPr>
      </w:pPr>
    </w:p>
    <w:p w14:paraId="18079221"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Pozitívny vplyv na rozpočet:</w:t>
      </w:r>
    </w:p>
    <w:p w14:paraId="757DA8F1"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K novele zákona č. 222/2004 Z. z. o dani z pridanej hodnoty</w:t>
      </w:r>
    </w:p>
    <w:p w14:paraId="70C72527"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22E92FE6" w14:textId="77777777" w:rsidR="00AD62CD" w:rsidRPr="00AD62CD" w:rsidRDefault="00AD62CD" w:rsidP="00AD62CD">
      <w:pPr>
        <w:spacing w:after="0" w:line="240" w:lineRule="auto"/>
        <w:jc w:val="both"/>
        <w:rPr>
          <w:rFonts w:ascii="Times New Roman" w:eastAsia="Calibri" w:hAnsi="Times New Roman" w:cs="Times New Roman"/>
          <w:b/>
          <w:bCs/>
          <w:kern w:val="0"/>
          <w:sz w:val="28"/>
          <w:szCs w:val="28"/>
          <w:lang w:eastAsia="sk-SK"/>
          <w14:ligatures w14:val="none"/>
        </w:rPr>
      </w:pPr>
      <w:r w:rsidRPr="00AD62CD">
        <w:rPr>
          <w:rFonts w:ascii="Times New Roman" w:eastAsia="Calibri" w:hAnsi="Times New Roman" w:cs="Times New Roman"/>
          <w:b/>
          <w:bCs/>
          <w:kern w:val="0"/>
          <w14:ligatures w14:val="none"/>
        </w:rPr>
        <w:t>Z</w:t>
      </w:r>
      <w:r w:rsidRPr="00AD62CD">
        <w:rPr>
          <w:rFonts w:ascii="Times New Roman" w:eastAsia="Calibri" w:hAnsi="Times New Roman" w:cs="Times New Roman"/>
          <w:b/>
          <w:bCs/>
          <w:color w:val="000000"/>
          <w:kern w:val="0"/>
          <w14:ligatures w14:val="none"/>
        </w:rPr>
        <w:t>výšenie sadzby DPH z 19 na 23 % pre vybrané tovary</w:t>
      </w:r>
    </w:p>
    <w:p w14:paraId="66DF3F3A"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xml:space="preserve">Výpočet vplyvu zmeny sadzieb DPH pre vybrané tovary vychádza primárne z údajov o váhach jednotlivých tovarov v spotrebnom koši  a údajoch o nominálnej konečnej spotrebe domácností. Vplyv na verejné financie tvorí rozdiel medzi výnosmi DPH pri teoretickej platnosti 23 % a 19 % sadzby DPH a je pomerne znížený, zohľadňujúc odhadovanú medzeru výberu DPH indikovanú v sektore maloobchod a odhadovaný možný pokles predaja, resp. tržieb v súvislosti s uvedenou zmenou sadzby DPH. Vplyvy na ďalšie roky zohľadňujú informácie o historickej a predpokladanej potravinovej inflácií známe z poslednej makroekonomickej prognózy. </w:t>
      </w:r>
    </w:p>
    <w:p w14:paraId="1D898883" w14:textId="77777777" w:rsidR="00AD62CD" w:rsidRPr="00AD62CD" w:rsidRDefault="00AD62CD" w:rsidP="00AD62CD">
      <w:pPr>
        <w:spacing w:after="0" w:line="240" w:lineRule="auto"/>
        <w:jc w:val="both"/>
        <w:rPr>
          <w:rFonts w:ascii="Times New Roman" w:eastAsia="Calibri" w:hAnsi="Times New Roman" w:cs="Times New Roman"/>
          <w:color w:val="FF0000"/>
          <w:kern w:val="0"/>
          <w:highlight w:val="yellow"/>
          <w:lang w:eastAsia="sk-SK"/>
          <w14:ligatures w14:val="none"/>
        </w:rPr>
      </w:pPr>
    </w:p>
    <w:p w14:paraId="4046C768" w14:textId="77777777" w:rsidR="00AD62CD" w:rsidRPr="00AD62CD" w:rsidRDefault="00AD62CD" w:rsidP="00AD62CD">
      <w:pPr>
        <w:keepNext/>
        <w:spacing w:after="200" w:line="240" w:lineRule="auto"/>
        <w:rPr>
          <w:rFonts w:ascii="Times New Roman" w:eastAsia="Calibri" w:hAnsi="Times New Roman" w:cs="Times New Roman"/>
          <w:b/>
          <w:bCs/>
          <w:kern w:val="0"/>
          <w14:ligatures w14:val="none"/>
        </w:rPr>
      </w:pPr>
      <w:bookmarkStart w:id="5" w:name="_Hlk177627568"/>
      <w:r w:rsidRPr="00AD62CD">
        <w:rPr>
          <w:rFonts w:ascii="Times New Roman" w:eastAsia="Calibri" w:hAnsi="Times New Roman" w:cs="Times New Roman"/>
          <w:b/>
          <w:bCs/>
          <w:kern w:val="0"/>
          <w14:ligatures w14:val="none"/>
        </w:rPr>
        <w:t xml:space="preserve">Tabuľka </w:t>
      </w:r>
      <w:r w:rsidRPr="00AD62CD">
        <w:rPr>
          <w:rFonts w:ascii="Times New Roman" w:eastAsia="Calibri" w:hAnsi="Times New Roman" w:cs="Times New Roman"/>
          <w:b/>
          <w:bCs/>
          <w:kern w:val="0"/>
          <w14:ligatures w14:val="none"/>
        </w:rPr>
        <w:fldChar w:fldCharType="begin"/>
      </w:r>
      <w:r w:rsidRPr="00AD62CD">
        <w:rPr>
          <w:rFonts w:ascii="Times New Roman" w:eastAsia="Calibri" w:hAnsi="Times New Roman" w:cs="Times New Roman"/>
          <w:b/>
          <w:bCs/>
          <w:kern w:val="0"/>
          <w14:ligatures w14:val="none"/>
        </w:rPr>
        <w:instrText xml:space="preserve"> SEQ Tabuľka \* ARABIC </w:instrText>
      </w:r>
      <w:r w:rsidRPr="00AD62CD">
        <w:rPr>
          <w:rFonts w:ascii="Times New Roman" w:eastAsia="Calibri" w:hAnsi="Times New Roman" w:cs="Times New Roman"/>
          <w:b/>
          <w:bCs/>
          <w:kern w:val="0"/>
          <w14:ligatures w14:val="none"/>
        </w:rPr>
        <w:fldChar w:fldCharType="separate"/>
      </w:r>
      <w:r w:rsidRPr="00AD62CD">
        <w:rPr>
          <w:rFonts w:ascii="Times New Roman" w:eastAsia="Calibri" w:hAnsi="Times New Roman" w:cs="Times New Roman"/>
          <w:b/>
          <w:bCs/>
          <w:noProof/>
          <w:kern w:val="0"/>
          <w14:ligatures w14:val="none"/>
        </w:rPr>
        <w:t>1</w:t>
      </w:r>
      <w:r w:rsidRPr="00AD62CD">
        <w:rPr>
          <w:rFonts w:ascii="Times New Roman" w:eastAsia="Calibri" w:hAnsi="Times New Roman" w:cs="Times New Roman"/>
          <w:b/>
          <w:bCs/>
          <w:kern w:val="0"/>
          <w14:ligatures w14:val="none"/>
        </w:rPr>
        <w:fldChar w:fldCharType="end"/>
      </w:r>
      <w:r w:rsidRPr="00AD62CD">
        <w:rPr>
          <w:rFonts w:ascii="Times New Roman" w:eastAsia="Calibri" w:hAnsi="Times New Roman" w:cs="Times New Roman"/>
          <w:b/>
          <w:bCs/>
          <w:kern w:val="0"/>
          <w14:ligatures w14:val="none"/>
        </w:rPr>
        <w:t xml:space="preserve"> Odhadované fiškálne vplyvy zvýšenia sadzby DPH z 19 na 23 % pre vybrané tovary v mil. eur (ESA2010) </w:t>
      </w:r>
    </w:p>
    <w:tbl>
      <w:tblPr>
        <w:tblStyle w:val="Mriekatabuky2"/>
        <w:tblW w:w="0" w:type="auto"/>
        <w:tblLook w:val="04A0" w:firstRow="1" w:lastRow="0" w:firstColumn="1" w:lastColumn="0" w:noHBand="0" w:noVBand="1"/>
      </w:tblPr>
      <w:tblGrid>
        <w:gridCol w:w="6374"/>
        <w:gridCol w:w="851"/>
        <w:gridCol w:w="992"/>
        <w:gridCol w:w="845"/>
      </w:tblGrid>
      <w:tr w:rsidR="00AD62CD" w:rsidRPr="00AD62CD" w14:paraId="19A5F4BA" w14:textId="77777777" w:rsidTr="00AD62CD">
        <w:trPr>
          <w:trHeight w:val="276"/>
        </w:trPr>
        <w:tc>
          <w:tcPr>
            <w:tcW w:w="6374" w:type="dxa"/>
            <w:shd w:val="clear" w:color="auto" w:fill="BFBFBF"/>
          </w:tcPr>
          <w:p w14:paraId="765CB4FF" w14:textId="77777777" w:rsidR="00AD62CD" w:rsidRPr="00AD62CD" w:rsidRDefault="00AD62CD" w:rsidP="00AD62CD">
            <w:pPr>
              <w:jc w:val="both"/>
              <w:rPr>
                <w:rFonts w:ascii="Times New Roman" w:eastAsia="Calibri" w:hAnsi="Times New Roman" w:cs="Times New Roman"/>
              </w:rPr>
            </w:pPr>
          </w:p>
        </w:tc>
        <w:tc>
          <w:tcPr>
            <w:tcW w:w="851" w:type="dxa"/>
            <w:tcBorders>
              <w:bottom w:val="single" w:sz="4" w:space="0" w:color="auto"/>
            </w:tcBorders>
            <w:shd w:val="clear" w:color="auto" w:fill="BFBFBF"/>
          </w:tcPr>
          <w:p w14:paraId="5D98A122"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2026</w:t>
            </w:r>
          </w:p>
        </w:tc>
        <w:tc>
          <w:tcPr>
            <w:tcW w:w="992" w:type="dxa"/>
            <w:tcBorders>
              <w:bottom w:val="single" w:sz="4" w:space="0" w:color="auto"/>
            </w:tcBorders>
            <w:shd w:val="clear" w:color="auto" w:fill="BFBFBF"/>
          </w:tcPr>
          <w:p w14:paraId="436A70FD"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2027</w:t>
            </w:r>
          </w:p>
        </w:tc>
        <w:tc>
          <w:tcPr>
            <w:tcW w:w="845" w:type="dxa"/>
            <w:tcBorders>
              <w:bottom w:val="single" w:sz="4" w:space="0" w:color="auto"/>
            </w:tcBorders>
            <w:shd w:val="clear" w:color="auto" w:fill="BFBFBF"/>
          </w:tcPr>
          <w:p w14:paraId="657D795E"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2028</w:t>
            </w:r>
          </w:p>
        </w:tc>
      </w:tr>
      <w:tr w:rsidR="00AD62CD" w:rsidRPr="00AD62CD" w14:paraId="34F3A195" w14:textId="77777777" w:rsidTr="003627DF">
        <w:tc>
          <w:tcPr>
            <w:tcW w:w="6374" w:type="dxa"/>
            <w:tcBorders>
              <w:top w:val="nil"/>
              <w:left w:val="single" w:sz="8" w:space="0" w:color="auto"/>
              <w:bottom w:val="single" w:sz="8" w:space="0" w:color="auto"/>
              <w:right w:val="single" w:sz="4" w:space="0" w:color="auto"/>
            </w:tcBorders>
            <w:shd w:val="clear" w:color="auto" w:fill="auto"/>
          </w:tcPr>
          <w:p w14:paraId="0EAA346D"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Sladkosti (sušienky, čokolády, cukrovinky, zmrzliny, zákusky, džemy, výrobky typu müsli, kandizované ovocie a podobne)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9FD8F"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 xml:space="preserve"> 55,5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71271F"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 xml:space="preserve"> 57,5 </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5F6B7BE"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 xml:space="preserve"> 59,5 </w:t>
            </w:r>
          </w:p>
        </w:tc>
      </w:tr>
      <w:tr w:rsidR="00AD62CD" w:rsidRPr="00AD62CD" w14:paraId="55192D1C" w14:textId="77777777" w:rsidTr="003627DF">
        <w:tc>
          <w:tcPr>
            <w:tcW w:w="6374" w:type="dxa"/>
            <w:tcBorders>
              <w:top w:val="nil"/>
              <w:left w:val="single" w:sz="8" w:space="0" w:color="auto"/>
              <w:bottom w:val="single" w:sz="8" w:space="0" w:color="auto"/>
              <w:right w:val="single" w:sz="8" w:space="0" w:color="auto"/>
            </w:tcBorders>
            <w:shd w:val="clear" w:color="auto" w:fill="auto"/>
          </w:tcPr>
          <w:p w14:paraId="018A9565"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Sladené nealkoholické nápoje (energetické nápoje, ochutené radlery, sirupy, tradičné sladené nápoje, a podobne)</w:t>
            </w:r>
          </w:p>
        </w:tc>
        <w:tc>
          <w:tcPr>
            <w:tcW w:w="851" w:type="dxa"/>
            <w:tcBorders>
              <w:top w:val="nil"/>
              <w:left w:val="nil"/>
              <w:bottom w:val="single" w:sz="8" w:space="0" w:color="auto"/>
              <w:right w:val="single" w:sz="8" w:space="0" w:color="auto"/>
            </w:tcBorders>
            <w:shd w:val="clear" w:color="auto" w:fill="auto"/>
          </w:tcPr>
          <w:p w14:paraId="3C91E303"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 xml:space="preserve"> 21,5 </w:t>
            </w:r>
          </w:p>
        </w:tc>
        <w:tc>
          <w:tcPr>
            <w:tcW w:w="992" w:type="dxa"/>
            <w:tcBorders>
              <w:top w:val="nil"/>
              <w:left w:val="nil"/>
              <w:bottom w:val="single" w:sz="8" w:space="0" w:color="auto"/>
              <w:right w:val="single" w:sz="8" w:space="0" w:color="auto"/>
            </w:tcBorders>
            <w:shd w:val="clear" w:color="auto" w:fill="auto"/>
          </w:tcPr>
          <w:p w14:paraId="43BEC115"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 xml:space="preserve"> 22,2 </w:t>
            </w:r>
          </w:p>
        </w:tc>
        <w:tc>
          <w:tcPr>
            <w:tcW w:w="845" w:type="dxa"/>
            <w:tcBorders>
              <w:top w:val="nil"/>
              <w:left w:val="nil"/>
              <w:bottom w:val="single" w:sz="8" w:space="0" w:color="auto"/>
              <w:right w:val="single" w:sz="8" w:space="0" w:color="auto"/>
            </w:tcBorders>
            <w:shd w:val="clear" w:color="auto" w:fill="auto"/>
          </w:tcPr>
          <w:p w14:paraId="08022384"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 xml:space="preserve"> 23,0 </w:t>
            </w:r>
          </w:p>
        </w:tc>
      </w:tr>
      <w:tr w:rsidR="00AD62CD" w:rsidRPr="00AD62CD" w14:paraId="4722BE6E" w14:textId="77777777" w:rsidTr="003627DF">
        <w:tc>
          <w:tcPr>
            <w:tcW w:w="6374" w:type="dxa"/>
            <w:tcBorders>
              <w:top w:val="nil"/>
              <w:left w:val="single" w:sz="8" w:space="0" w:color="auto"/>
              <w:bottom w:val="single" w:sz="8" w:space="0" w:color="auto"/>
              <w:right w:val="single" w:sz="8" w:space="0" w:color="auto"/>
            </w:tcBorders>
            <w:shd w:val="clear" w:color="auto" w:fill="auto"/>
          </w:tcPr>
          <w:p w14:paraId="41E460D1"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Slané pochutiny (zemiakové lupienky, slané tyčinky a podobne)</w:t>
            </w:r>
          </w:p>
        </w:tc>
        <w:tc>
          <w:tcPr>
            <w:tcW w:w="851" w:type="dxa"/>
            <w:tcBorders>
              <w:top w:val="nil"/>
              <w:left w:val="nil"/>
              <w:bottom w:val="single" w:sz="8" w:space="0" w:color="auto"/>
              <w:right w:val="single" w:sz="8" w:space="0" w:color="auto"/>
            </w:tcBorders>
            <w:shd w:val="clear" w:color="auto" w:fill="auto"/>
          </w:tcPr>
          <w:p w14:paraId="7162FD00"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 xml:space="preserve"> 14,3 </w:t>
            </w:r>
          </w:p>
        </w:tc>
        <w:tc>
          <w:tcPr>
            <w:tcW w:w="992" w:type="dxa"/>
            <w:tcBorders>
              <w:top w:val="nil"/>
              <w:left w:val="nil"/>
              <w:bottom w:val="single" w:sz="8" w:space="0" w:color="auto"/>
              <w:right w:val="single" w:sz="8" w:space="0" w:color="auto"/>
            </w:tcBorders>
            <w:shd w:val="clear" w:color="auto" w:fill="auto"/>
          </w:tcPr>
          <w:p w14:paraId="7D90E959"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 xml:space="preserve"> 14,9 </w:t>
            </w:r>
          </w:p>
        </w:tc>
        <w:tc>
          <w:tcPr>
            <w:tcW w:w="845" w:type="dxa"/>
            <w:tcBorders>
              <w:top w:val="nil"/>
              <w:left w:val="nil"/>
              <w:bottom w:val="single" w:sz="8" w:space="0" w:color="auto"/>
              <w:right w:val="single" w:sz="8" w:space="0" w:color="auto"/>
            </w:tcBorders>
            <w:shd w:val="clear" w:color="auto" w:fill="auto"/>
          </w:tcPr>
          <w:p w14:paraId="3B550161"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 xml:space="preserve"> 15,4 </w:t>
            </w:r>
          </w:p>
        </w:tc>
      </w:tr>
      <w:tr w:rsidR="00AD62CD" w:rsidRPr="00AD62CD" w14:paraId="2664B795" w14:textId="77777777" w:rsidTr="003627DF">
        <w:tc>
          <w:tcPr>
            <w:tcW w:w="6374" w:type="dxa"/>
            <w:tcBorders>
              <w:top w:val="nil"/>
              <w:left w:val="single" w:sz="8" w:space="0" w:color="auto"/>
              <w:bottom w:val="single" w:sz="8" w:space="0" w:color="auto"/>
              <w:right w:val="single" w:sz="8" w:space="0" w:color="auto"/>
            </w:tcBorders>
            <w:shd w:val="clear" w:color="000000" w:fill="E7E6E6"/>
            <w:vAlign w:val="center"/>
          </w:tcPr>
          <w:p w14:paraId="1AF053C9"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Vplyv zmien sadzieb na DPH spolu</w:t>
            </w:r>
          </w:p>
        </w:tc>
        <w:tc>
          <w:tcPr>
            <w:tcW w:w="851" w:type="dxa"/>
            <w:tcBorders>
              <w:top w:val="nil"/>
              <w:left w:val="nil"/>
              <w:bottom w:val="single" w:sz="8" w:space="0" w:color="auto"/>
              <w:right w:val="single" w:sz="8" w:space="0" w:color="auto"/>
            </w:tcBorders>
            <w:shd w:val="clear" w:color="000000" w:fill="E7E6E6"/>
          </w:tcPr>
          <w:p w14:paraId="10CB06FC"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91,3</w:t>
            </w:r>
          </w:p>
        </w:tc>
        <w:tc>
          <w:tcPr>
            <w:tcW w:w="992" w:type="dxa"/>
            <w:tcBorders>
              <w:top w:val="nil"/>
              <w:left w:val="nil"/>
              <w:bottom w:val="single" w:sz="8" w:space="0" w:color="auto"/>
              <w:right w:val="single" w:sz="8" w:space="0" w:color="auto"/>
            </w:tcBorders>
            <w:shd w:val="clear" w:color="000000" w:fill="E7E6E6"/>
          </w:tcPr>
          <w:p w14:paraId="57D7B787"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94,7</w:t>
            </w:r>
          </w:p>
        </w:tc>
        <w:tc>
          <w:tcPr>
            <w:tcW w:w="845" w:type="dxa"/>
            <w:tcBorders>
              <w:top w:val="nil"/>
              <w:left w:val="nil"/>
              <w:bottom w:val="single" w:sz="8" w:space="0" w:color="auto"/>
              <w:right w:val="single" w:sz="8" w:space="0" w:color="auto"/>
            </w:tcBorders>
            <w:shd w:val="clear" w:color="000000" w:fill="E7E6E6"/>
          </w:tcPr>
          <w:p w14:paraId="09A8A8E9"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97,8</w:t>
            </w:r>
          </w:p>
        </w:tc>
      </w:tr>
    </w:tbl>
    <w:p w14:paraId="00E386CE" w14:textId="77777777" w:rsidR="00AD62CD" w:rsidRPr="00AD62CD" w:rsidRDefault="00AD62CD" w:rsidP="00AD62CD">
      <w:pPr>
        <w:spacing w:after="200" w:line="23" w:lineRule="atLeast"/>
        <w:rPr>
          <w:rFonts w:ascii="Times New Roman" w:eastAsia="Calibri" w:hAnsi="Times New Roman" w:cs="Times New Roman"/>
          <w:i/>
          <w:iCs/>
          <w:kern w:val="0"/>
          <w:sz w:val="16"/>
          <w:szCs w:val="16"/>
          <w14:ligatures w14:val="none"/>
        </w:rPr>
      </w:pPr>
    </w:p>
    <w:p w14:paraId="33B73EBD" w14:textId="77777777" w:rsidR="00AD62CD" w:rsidRPr="00AD62CD" w:rsidRDefault="00AD62CD" w:rsidP="00AD62CD">
      <w:pPr>
        <w:spacing w:after="200" w:line="23" w:lineRule="atLeast"/>
        <w:rPr>
          <w:rFonts w:ascii="Times New Roman" w:eastAsia="Calibri" w:hAnsi="Times New Roman" w:cs="Times New Roman"/>
          <w:i/>
          <w:iCs/>
          <w:kern w:val="0"/>
          <w:sz w:val="16"/>
          <w:szCs w:val="16"/>
          <w14:ligatures w14:val="none"/>
        </w:rPr>
      </w:pPr>
    </w:p>
    <w:p w14:paraId="17EEB174" w14:textId="77777777" w:rsidR="00AD62CD" w:rsidRPr="00AD62CD" w:rsidRDefault="00AD62CD" w:rsidP="00AD62CD">
      <w:pPr>
        <w:spacing w:after="200" w:line="23" w:lineRule="atLeast"/>
        <w:rPr>
          <w:rFonts w:ascii="Times New Roman" w:eastAsia="Calibri" w:hAnsi="Times New Roman" w:cs="Times New Roman"/>
          <w:i/>
          <w:iCs/>
          <w:kern w:val="0"/>
          <w:sz w:val="16"/>
          <w:szCs w:val="16"/>
          <w14:ligatures w14:val="none"/>
        </w:rPr>
      </w:pPr>
    </w:p>
    <w:bookmarkEnd w:id="5"/>
    <w:p w14:paraId="3B1A777C" w14:textId="77777777" w:rsidR="00AD62CD" w:rsidRPr="00AD62CD" w:rsidRDefault="00AD62CD" w:rsidP="00AD62CD">
      <w:pPr>
        <w:spacing w:after="0" w:line="240" w:lineRule="auto"/>
        <w:jc w:val="both"/>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b/>
          <w:bCs/>
          <w:color w:val="000000"/>
          <w:kern w:val="0"/>
          <w14:ligatures w14:val="none"/>
        </w:rPr>
        <w:t>Obmedzenie odpočítania DPH pri vybraných kategóriách motorových vozidiel na 50 %, ak sa využívajú aj na iné účely ako na podnikanie</w:t>
      </w:r>
    </w:p>
    <w:p w14:paraId="0166A50F" w14:textId="77777777" w:rsidR="00AD62CD" w:rsidRPr="00AD62CD" w:rsidRDefault="00AD62CD" w:rsidP="00AD62CD">
      <w:pPr>
        <w:spacing w:after="0" w:line="240" w:lineRule="auto"/>
        <w:jc w:val="both"/>
        <w:rPr>
          <w:rFonts w:ascii="Times New Roman" w:eastAsia="Times New Roman" w:hAnsi="Times New Roman" w:cs="Times New Roman"/>
          <w:kern w:val="0"/>
          <w14:ligatures w14:val="none"/>
        </w:rPr>
      </w:pPr>
      <w:r w:rsidRPr="00AD62CD">
        <w:rPr>
          <w:rFonts w:ascii="Times New Roman" w:eastAsia="Times New Roman" w:hAnsi="Times New Roman" w:cs="Times New Roman"/>
          <w:kern w:val="0"/>
          <w14:ligatures w14:val="none"/>
        </w:rPr>
        <w:t>Výpočet vplyvu zmeny odpočítania DPH pri dotknutých motorových vozidlách vychádza z informácie, že v roku 2024 sa na Slovensku predalo 92 tis. motorových vozidiel. Z toho 60 tis. zakúpili právnické osoby a živnostníci, z ktorých 51 tis. malo status platiteľa DPH. Z množiny 51 tisícov motorových vozidiel zakúpených platiteľmi DPH výpočet berie do úvahy len 35 tis. motorových vozidiel, kde vlastník vozidla je totožný s držiteľom vozidla. Zvyšných 16 tis. motorových vozidiel do výpočtu nebolo zahŕňaných, keďže je vysoká pravdepodobnosť, že sú využívané na leasing (nepodlieha obmedzeniu, keďže z pohľadu leasingovej spoločnosti ide o vozidlo používané výhradne na podnikateľské účely).</w:t>
      </w:r>
    </w:p>
    <w:p w14:paraId="59D6D384" w14:textId="77777777" w:rsidR="00AD62CD" w:rsidRPr="00AD62CD" w:rsidRDefault="00AD62CD" w:rsidP="00AD62CD">
      <w:pPr>
        <w:spacing w:after="0" w:line="240" w:lineRule="auto"/>
        <w:jc w:val="both"/>
        <w:rPr>
          <w:rFonts w:ascii="Times New Roman" w:eastAsia="Times New Roman" w:hAnsi="Times New Roman" w:cs="Times New Roman"/>
          <w:kern w:val="0"/>
          <w14:ligatures w14:val="none"/>
        </w:rPr>
      </w:pPr>
    </w:p>
    <w:p w14:paraId="217D4918" w14:textId="77777777" w:rsidR="00AD62CD" w:rsidRPr="00AD62CD" w:rsidRDefault="00AD62CD" w:rsidP="00AD62CD">
      <w:pPr>
        <w:spacing w:after="0" w:line="240" w:lineRule="auto"/>
        <w:jc w:val="both"/>
        <w:rPr>
          <w:rFonts w:ascii="Times New Roman" w:eastAsia="Times New Roman" w:hAnsi="Times New Roman" w:cs="Times New Roman"/>
          <w:kern w:val="0"/>
          <w14:ligatures w14:val="none"/>
        </w:rPr>
      </w:pPr>
      <w:r w:rsidRPr="00AD62CD">
        <w:rPr>
          <w:rFonts w:ascii="Times New Roman" w:eastAsia="Times New Roman" w:hAnsi="Times New Roman" w:cs="Times New Roman"/>
          <w:kern w:val="0"/>
          <w14:ligatures w14:val="none"/>
        </w:rPr>
        <w:t>Zápis o cene vozidlá má 94 % nových automobilov platiteľov DPH (t. j. 94 % z 51 tis.). Priemerná cena vozidiel s vyplneným údajom bola 37 tis. eur. Celková hodnota sledovaných vozidiel bola v sume na 1,3 mld. eur. Plná suma DPH so sadzbou 23 % (od 1.1.2025) predstavuje 243 mil. eur.</w:t>
      </w:r>
    </w:p>
    <w:p w14:paraId="5E69F05D" w14:textId="77777777" w:rsidR="00AD62CD" w:rsidRPr="00AD62CD" w:rsidRDefault="00AD62CD" w:rsidP="00AD62CD">
      <w:pPr>
        <w:spacing w:after="0" w:line="240" w:lineRule="auto"/>
        <w:jc w:val="both"/>
        <w:rPr>
          <w:rFonts w:ascii="Times New Roman" w:eastAsia="Times New Roman" w:hAnsi="Times New Roman" w:cs="Times New Roman"/>
          <w:kern w:val="0"/>
          <w14:ligatures w14:val="none"/>
        </w:rPr>
      </w:pPr>
      <w:r w:rsidRPr="00AD62CD">
        <w:rPr>
          <w:rFonts w:ascii="Times New Roman" w:eastAsia="Times New Roman" w:hAnsi="Times New Roman" w:cs="Times New Roman"/>
          <w:kern w:val="0"/>
          <w14:ligatures w14:val="none"/>
        </w:rPr>
        <w:t>Prvotný odhad vplyvu opatrenia v prvom roku je na úrovni 36 mil. eur, kde výpočet pracuje s predpokladom, že veľké spoločnosti (identifikované na základe podmienky vysokých tržieb alebo s vysokým počtom nakúpených vozidiel) budú využívať knihu jázd alebo iné evidencie a uplatňovať si plné odpočítanie DPH na vstupe.</w:t>
      </w:r>
    </w:p>
    <w:p w14:paraId="2137070A" w14:textId="77777777" w:rsidR="00AD62CD" w:rsidRPr="00AD62CD" w:rsidRDefault="00AD62CD" w:rsidP="00AD62CD">
      <w:pPr>
        <w:spacing w:after="0" w:line="240" w:lineRule="auto"/>
        <w:jc w:val="both"/>
        <w:rPr>
          <w:rFonts w:ascii="Times New Roman" w:eastAsia="Times New Roman" w:hAnsi="Times New Roman" w:cs="Times New Roman"/>
          <w:kern w:val="0"/>
          <w14:ligatures w14:val="none"/>
        </w:rPr>
      </w:pPr>
    </w:p>
    <w:p w14:paraId="5715C9A5" w14:textId="77777777" w:rsidR="00AD62CD" w:rsidRPr="00AD62CD" w:rsidRDefault="00AD62CD" w:rsidP="00AD62CD">
      <w:pPr>
        <w:spacing w:after="0" w:line="240" w:lineRule="auto"/>
        <w:jc w:val="both"/>
        <w:rPr>
          <w:rFonts w:ascii="Times New Roman" w:eastAsia="Times New Roman" w:hAnsi="Times New Roman" w:cs="Times New Roman"/>
          <w:kern w:val="0"/>
          <w14:ligatures w14:val="none"/>
        </w:rPr>
      </w:pPr>
      <w:r w:rsidRPr="00AD62CD">
        <w:rPr>
          <w:rFonts w:ascii="Times New Roman" w:eastAsia="Times New Roman" w:hAnsi="Times New Roman" w:cs="Times New Roman"/>
          <w:kern w:val="0"/>
          <w14:ligatures w14:val="none"/>
        </w:rPr>
        <w:t xml:space="preserve">Zmena odpočítania DPH na pohonné látky má potenciál 34 mil. eur. Pri výpočte bol do úvahy braný počet automobilov vo vlastníctve platiteľov DPH, ich priemerné najazdené kilometre z databázy emisných a technických kontrol, priemerná spotreba a priemerná cenu pohonných látok. Rovnako ako pri odhade DPH pri kúpe nového vozidla výpočet pracuje s tým, že platitelia DPH s vysokými tržbami alebo vyšším počtom vlastnených automobilov budú využívať plné odpočítane DPH na vstupe. </w:t>
      </w:r>
    </w:p>
    <w:p w14:paraId="79E5B5ED" w14:textId="77777777" w:rsidR="00AD62CD" w:rsidRPr="00AD62CD" w:rsidRDefault="00AD62CD" w:rsidP="00AD62CD">
      <w:pPr>
        <w:spacing w:after="0" w:line="240" w:lineRule="auto"/>
        <w:jc w:val="both"/>
        <w:rPr>
          <w:rFonts w:ascii="Times New Roman" w:eastAsia="Times New Roman" w:hAnsi="Times New Roman" w:cs="Times New Roman"/>
          <w:kern w:val="0"/>
          <w14:ligatures w14:val="none"/>
        </w:rPr>
      </w:pPr>
    </w:p>
    <w:p w14:paraId="7C813004" w14:textId="77777777" w:rsidR="00AD62CD" w:rsidRPr="00AD62CD" w:rsidRDefault="00AD62CD" w:rsidP="00AD62CD">
      <w:pPr>
        <w:spacing w:after="0" w:line="240" w:lineRule="auto"/>
        <w:jc w:val="both"/>
        <w:rPr>
          <w:rFonts w:ascii="Times New Roman" w:eastAsia="Times New Roman" w:hAnsi="Times New Roman" w:cs="Times New Roman"/>
          <w:kern w:val="0"/>
          <w14:ligatures w14:val="none"/>
        </w:rPr>
      </w:pPr>
      <w:r w:rsidRPr="00AD62CD">
        <w:rPr>
          <w:rFonts w:ascii="Times New Roman" w:eastAsia="Times New Roman" w:hAnsi="Times New Roman" w:cs="Times New Roman"/>
          <w:kern w:val="0"/>
          <w14:ligatures w14:val="none"/>
        </w:rPr>
        <w:t>Pri oprave a nákupe náhradných dielov boli do úvahy brané tržby subjektov podľa NACE kódov opráv a predaja náhradných dielov. Celkovo tržby boli upravené podielom osobných automobilov v držbe právnických osôb na celkovom počte vozidiel.</w:t>
      </w:r>
    </w:p>
    <w:p w14:paraId="031C1174" w14:textId="77777777" w:rsidR="00AD62CD" w:rsidRPr="00AD62CD" w:rsidRDefault="00AD62CD" w:rsidP="00AD62CD">
      <w:pPr>
        <w:spacing w:after="0" w:line="240" w:lineRule="auto"/>
        <w:jc w:val="both"/>
        <w:rPr>
          <w:rFonts w:ascii="Times New Roman" w:eastAsia="Times New Roman" w:hAnsi="Times New Roman" w:cs="Times New Roman"/>
          <w:kern w:val="0"/>
          <w14:ligatures w14:val="none"/>
        </w:rPr>
      </w:pPr>
    </w:p>
    <w:p w14:paraId="66D63653" w14:textId="77777777" w:rsidR="00AD62CD" w:rsidRPr="00AD62CD" w:rsidRDefault="00AD62CD" w:rsidP="00AD62CD">
      <w:pPr>
        <w:spacing w:after="0" w:line="240" w:lineRule="auto"/>
        <w:jc w:val="both"/>
        <w:rPr>
          <w:rFonts w:ascii="Times New Roman" w:eastAsia="Times New Roman" w:hAnsi="Times New Roman" w:cs="Times New Roman"/>
          <w:kern w:val="0"/>
          <w14:ligatures w14:val="none"/>
        </w:rPr>
      </w:pPr>
      <w:r w:rsidRPr="00AD62CD">
        <w:rPr>
          <w:rFonts w:ascii="Times New Roman" w:eastAsia="Times New Roman" w:hAnsi="Times New Roman" w:cs="Times New Roman"/>
          <w:kern w:val="0"/>
          <w14:ligatures w14:val="none"/>
        </w:rPr>
        <w:t>Počet dotknutých subjektov:</w:t>
      </w:r>
    </w:p>
    <w:p w14:paraId="42EF0E48" w14:textId="77777777" w:rsidR="00AD62CD" w:rsidRPr="00AD62CD" w:rsidRDefault="00AD62CD" w:rsidP="00AD62CD">
      <w:pPr>
        <w:numPr>
          <w:ilvl w:val="0"/>
          <w:numId w:val="13"/>
        </w:numPr>
        <w:spacing w:after="0" w:line="240" w:lineRule="auto"/>
        <w:jc w:val="both"/>
        <w:rPr>
          <w:rFonts w:ascii="Times New Roman" w:eastAsia="Times New Roman" w:hAnsi="Times New Roman" w:cs="Times New Roman"/>
          <w:kern w:val="0"/>
          <w14:ligatures w14:val="none"/>
        </w:rPr>
      </w:pPr>
      <w:r w:rsidRPr="00AD62CD">
        <w:rPr>
          <w:rFonts w:ascii="Times New Roman" w:eastAsia="Times New Roman" w:hAnsi="Times New Roman" w:cs="Times New Roman"/>
          <w:kern w:val="0"/>
          <w14:ligatures w14:val="none"/>
        </w:rPr>
        <w:t>v prípade kúpy nových automobilov sa to dotkne 8 300 platiteľov DPH</w:t>
      </w:r>
    </w:p>
    <w:p w14:paraId="6803C1DC" w14:textId="77777777" w:rsidR="00AD62CD" w:rsidRPr="00AD62CD" w:rsidRDefault="00AD62CD" w:rsidP="00AD62CD">
      <w:pPr>
        <w:numPr>
          <w:ilvl w:val="0"/>
          <w:numId w:val="13"/>
        </w:numPr>
        <w:spacing w:after="0" w:line="240" w:lineRule="auto"/>
        <w:jc w:val="both"/>
        <w:rPr>
          <w:rFonts w:ascii="Times New Roman" w:eastAsia="Times New Roman" w:hAnsi="Times New Roman" w:cs="Times New Roman"/>
          <w:kern w:val="0"/>
          <w14:ligatures w14:val="none"/>
        </w:rPr>
      </w:pPr>
      <w:r w:rsidRPr="00AD62CD">
        <w:rPr>
          <w:rFonts w:ascii="Times New Roman" w:eastAsia="Times New Roman" w:hAnsi="Times New Roman" w:cs="Times New Roman"/>
          <w:kern w:val="0"/>
          <w14:ligatures w14:val="none"/>
        </w:rPr>
        <w:t>v prípade vplyvu na pohonné látky, opravy a náhradne diely sa zmena sa dotkne 221 tisíc platiteľov DPH</w:t>
      </w:r>
    </w:p>
    <w:p w14:paraId="73310FBA" w14:textId="77777777" w:rsidR="00AD62CD" w:rsidRPr="00AD62CD" w:rsidRDefault="00AD62CD" w:rsidP="00AD62CD">
      <w:pPr>
        <w:spacing w:after="0" w:line="240" w:lineRule="auto"/>
        <w:jc w:val="both"/>
        <w:rPr>
          <w:rFonts w:ascii="Times New Roman" w:eastAsia="Times New Roman" w:hAnsi="Times New Roman" w:cs="Times New Roman"/>
          <w:kern w:val="0"/>
          <w14:ligatures w14:val="none"/>
        </w:rPr>
      </w:pPr>
    </w:p>
    <w:p w14:paraId="3C35479C" w14:textId="77777777" w:rsidR="00AD62CD" w:rsidRPr="00AD62CD" w:rsidRDefault="00AD62CD" w:rsidP="00AD62CD">
      <w:pPr>
        <w:keepNext/>
        <w:spacing w:after="200" w:line="240" w:lineRule="auto"/>
        <w:jc w:val="both"/>
        <w:rPr>
          <w:rFonts w:ascii="Times New Roman" w:eastAsia="Times New Roman" w:hAnsi="Times New Roman" w:cs="Times New Roman"/>
          <w:i/>
          <w:iCs/>
          <w:color w:val="1F497D"/>
          <w:kern w:val="0"/>
          <w:sz w:val="32"/>
          <w:szCs w:val="32"/>
          <w14:ligatures w14:val="none"/>
        </w:rPr>
      </w:pPr>
      <w:r w:rsidRPr="00AD62CD">
        <w:rPr>
          <w:rFonts w:ascii="Times New Roman" w:eastAsia="Calibri" w:hAnsi="Times New Roman" w:cs="Times New Roman"/>
          <w:b/>
          <w:bCs/>
          <w:kern w:val="0"/>
          <w14:ligatures w14:val="none"/>
        </w:rPr>
        <w:t>Tabuľka 3 Odhadované fiškálne vplyvy zmeny odpočítania DPH pri motorových vozidlách v mil. eur (ESA2010)</w:t>
      </w:r>
    </w:p>
    <w:tbl>
      <w:tblPr>
        <w:tblStyle w:val="Mriekatabuky2"/>
        <w:tblW w:w="0" w:type="auto"/>
        <w:tblLook w:val="04A0" w:firstRow="1" w:lastRow="0" w:firstColumn="1" w:lastColumn="0" w:noHBand="0" w:noVBand="1"/>
      </w:tblPr>
      <w:tblGrid>
        <w:gridCol w:w="5240"/>
        <w:gridCol w:w="1276"/>
        <w:gridCol w:w="1276"/>
        <w:gridCol w:w="1270"/>
      </w:tblGrid>
      <w:tr w:rsidR="00AD62CD" w:rsidRPr="00AD62CD" w14:paraId="35D3BBFD" w14:textId="77777777" w:rsidTr="00AD62CD">
        <w:trPr>
          <w:trHeight w:val="276"/>
        </w:trPr>
        <w:tc>
          <w:tcPr>
            <w:tcW w:w="5240" w:type="dxa"/>
            <w:shd w:val="clear" w:color="auto" w:fill="BFBFBF"/>
          </w:tcPr>
          <w:p w14:paraId="6308FB05" w14:textId="77777777" w:rsidR="00AD62CD" w:rsidRPr="00AD62CD" w:rsidRDefault="00AD62CD" w:rsidP="00AD62CD">
            <w:pPr>
              <w:jc w:val="both"/>
              <w:rPr>
                <w:rFonts w:ascii="Times New Roman" w:eastAsia="Calibri" w:hAnsi="Times New Roman" w:cs="Times New Roman"/>
              </w:rPr>
            </w:pPr>
          </w:p>
        </w:tc>
        <w:tc>
          <w:tcPr>
            <w:tcW w:w="1276" w:type="dxa"/>
            <w:tcBorders>
              <w:bottom w:val="single" w:sz="4" w:space="0" w:color="auto"/>
            </w:tcBorders>
            <w:shd w:val="clear" w:color="auto" w:fill="BFBFBF"/>
          </w:tcPr>
          <w:p w14:paraId="6A92D65D"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2026</w:t>
            </w:r>
          </w:p>
        </w:tc>
        <w:tc>
          <w:tcPr>
            <w:tcW w:w="1276" w:type="dxa"/>
            <w:tcBorders>
              <w:bottom w:val="single" w:sz="4" w:space="0" w:color="auto"/>
            </w:tcBorders>
            <w:shd w:val="clear" w:color="auto" w:fill="BFBFBF"/>
          </w:tcPr>
          <w:p w14:paraId="1E36AF0A"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2027</w:t>
            </w:r>
          </w:p>
        </w:tc>
        <w:tc>
          <w:tcPr>
            <w:tcW w:w="1270" w:type="dxa"/>
            <w:tcBorders>
              <w:bottom w:val="single" w:sz="4" w:space="0" w:color="auto"/>
            </w:tcBorders>
            <w:shd w:val="clear" w:color="auto" w:fill="BFBFBF"/>
          </w:tcPr>
          <w:p w14:paraId="32E5D2C6"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2028</w:t>
            </w:r>
          </w:p>
        </w:tc>
      </w:tr>
      <w:tr w:rsidR="00AD62CD" w:rsidRPr="00AD62CD" w14:paraId="5278FB28" w14:textId="77777777" w:rsidTr="003627DF">
        <w:tc>
          <w:tcPr>
            <w:tcW w:w="5240" w:type="dxa"/>
            <w:tcBorders>
              <w:top w:val="nil"/>
              <w:left w:val="single" w:sz="8" w:space="0" w:color="auto"/>
              <w:bottom w:val="single" w:sz="8" w:space="0" w:color="auto"/>
              <w:right w:val="single" w:sz="4" w:space="0" w:color="auto"/>
            </w:tcBorders>
            <w:shd w:val="clear" w:color="auto" w:fill="auto"/>
          </w:tcPr>
          <w:p w14:paraId="16DFAC62"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Nové autá</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E4EC6B"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4E7CEA"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37,5</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481B181D"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39,1</w:t>
            </w:r>
          </w:p>
        </w:tc>
      </w:tr>
      <w:tr w:rsidR="00AD62CD" w:rsidRPr="00AD62CD" w14:paraId="0A25FB00" w14:textId="77777777" w:rsidTr="003627DF">
        <w:tc>
          <w:tcPr>
            <w:tcW w:w="5240" w:type="dxa"/>
            <w:tcBorders>
              <w:top w:val="nil"/>
              <w:left w:val="single" w:sz="8" w:space="0" w:color="auto"/>
              <w:bottom w:val="single" w:sz="8" w:space="0" w:color="auto"/>
              <w:right w:val="single" w:sz="8" w:space="0" w:color="auto"/>
            </w:tcBorders>
            <w:shd w:val="clear" w:color="auto" w:fill="auto"/>
          </w:tcPr>
          <w:p w14:paraId="06481995"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Palivá</w:t>
            </w:r>
          </w:p>
        </w:tc>
        <w:tc>
          <w:tcPr>
            <w:tcW w:w="1276" w:type="dxa"/>
            <w:tcBorders>
              <w:top w:val="nil"/>
              <w:left w:val="nil"/>
              <w:bottom w:val="single" w:sz="8" w:space="0" w:color="auto"/>
              <w:right w:val="single" w:sz="8" w:space="0" w:color="auto"/>
            </w:tcBorders>
            <w:shd w:val="clear" w:color="auto" w:fill="auto"/>
          </w:tcPr>
          <w:p w14:paraId="170A19C3"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34,0</w:t>
            </w:r>
          </w:p>
        </w:tc>
        <w:tc>
          <w:tcPr>
            <w:tcW w:w="1276" w:type="dxa"/>
            <w:tcBorders>
              <w:top w:val="nil"/>
              <w:left w:val="nil"/>
              <w:bottom w:val="single" w:sz="8" w:space="0" w:color="auto"/>
              <w:right w:val="single" w:sz="8" w:space="0" w:color="auto"/>
            </w:tcBorders>
            <w:shd w:val="clear" w:color="auto" w:fill="auto"/>
          </w:tcPr>
          <w:p w14:paraId="798AFCE4"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34,2</w:t>
            </w:r>
          </w:p>
        </w:tc>
        <w:tc>
          <w:tcPr>
            <w:tcW w:w="1270" w:type="dxa"/>
            <w:tcBorders>
              <w:top w:val="nil"/>
              <w:left w:val="nil"/>
              <w:bottom w:val="single" w:sz="8" w:space="0" w:color="auto"/>
              <w:right w:val="single" w:sz="8" w:space="0" w:color="auto"/>
            </w:tcBorders>
            <w:shd w:val="clear" w:color="auto" w:fill="auto"/>
          </w:tcPr>
          <w:p w14:paraId="6414B9BA"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34,2</w:t>
            </w:r>
          </w:p>
        </w:tc>
      </w:tr>
      <w:tr w:rsidR="00AD62CD" w:rsidRPr="00AD62CD" w14:paraId="434F1A62" w14:textId="77777777" w:rsidTr="003627DF">
        <w:tc>
          <w:tcPr>
            <w:tcW w:w="5240" w:type="dxa"/>
            <w:tcBorders>
              <w:top w:val="nil"/>
              <w:left w:val="single" w:sz="8" w:space="0" w:color="auto"/>
              <w:bottom w:val="single" w:sz="8" w:space="0" w:color="auto"/>
              <w:right w:val="single" w:sz="8" w:space="0" w:color="auto"/>
            </w:tcBorders>
            <w:shd w:val="clear" w:color="auto" w:fill="auto"/>
          </w:tcPr>
          <w:p w14:paraId="6E1AEE16"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Opravy a náhradne diely</w:t>
            </w:r>
          </w:p>
        </w:tc>
        <w:tc>
          <w:tcPr>
            <w:tcW w:w="1276" w:type="dxa"/>
            <w:tcBorders>
              <w:top w:val="nil"/>
              <w:left w:val="nil"/>
              <w:bottom w:val="single" w:sz="8" w:space="0" w:color="auto"/>
              <w:right w:val="single" w:sz="8" w:space="0" w:color="auto"/>
            </w:tcBorders>
            <w:shd w:val="clear" w:color="auto" w:fill="auto"/>
          </w:tcPr>
          <w:p w14:paraId="1A2CBFF3"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 xml:space="preserve"> 16,4 </w:t>
            </w:r>
          </w:p>
        </w:tc>
        <w:tc>
          <w:tcPr>
            <w:tcW w:w="1276" w:type="dxa"/>
            <w:tcBorders>
              <w:top w:val="nil"/>
              <w:left w:val="nil"/>
              <w:bottom w:val="single" w:sz="8" w:space="0" w:color="auto"/>
              <w:right w:val="single" w:sz="8" w:space="0" w:color="auto"/>
            </w:tcBorders>
            <w:shd w:val="clear" w:color="auto" w:fill="auto"/>
          </w:tcPr>
          <w:p w14:paraId="41CC8DCA"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 xml:space="preserve"> 17,1 </w:t>
            </w:r>
          </w:p>
        </w:tc>
        <w:tc>
          <w:tcPr>
            <w:tcW w:w="1270" w:type="dxa"/>
            <w:tcBorders>
              <w:top w:val="nil"/>
              <w:left w:val="nil"/>
              <w:bottom w:val="single" w:sz="8" w:space="0" w:color="auto"/>
              <w:right w:val="single" w:sz="8" w:space="0" w:color="auto"/>
            </w:tcBorders>
            <w:shd w:val="clear" w:color="auto" w:fill="auto"/>
          </w:tcPr>
          <w:p w14:paraId="5F686748" w14:textId="77777777" w:rsidR="00AD62CD" w:rsidRPr="00AD62CD" w:rsidRDefault="00AD62CD" w:rsidP="00AD62CD">
            <w:pPr>
              <w:jc w:val="right"/>
              <w:rPr>
                <w:rFonts w:ascii="Times New Roman" w:eastAsia="Calibri" w:hAnsi="Times New Roman" w:cs="Times New Roman"/>
              </w:rPr>
            </w:pPr>
            <w:r w:rsidRPr="00AD62CD">
              <w:rPr>
                <w:rFonts w:ascii="Times New Roman" w:eastAsia="Calibri" w:hAnsi="Times New Roman" w:cs="Times New Roman"/>
              </w:rPr>
              <w:t>17,8</w:t>
            </w:r>
          </w:p>
        </w:tc>
      </w:tr>
      <w:tr w:rsidR="00AD62CD" w:rsidRPr="00AD62CD" w14:paraId="2999D4DC" w14:textId="77777777" w:rsidTr="003627DF">
        <w:tc>
          <w:tcPr>
            <w:tcW w:w="5240" w:type="dxa"/>
            <w:tcBorders>
              <w:top w:val="nil"/>
              <w:left w:val="single" w:sz="8" w:space="0" w:color="auto"/>
              <w:bottom w:val="single" w:sz="8" w:space="0" w:color="auto"/>
              <w:right w:val="single" w:sz="8" w:space="0" w:color="auto"/>
            </w:tcBorders>
            <w:shd w:val="clear" w:color="000000" w:fill="E7E6E6"/>
            <w:vAlign w:val="center"/>
          </w:tcPr>
          <w:p w14:paraId="4CB40AA7"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Vplyv zmeny na DPH</w:t>
            </w:r>
          </w:p>
        </w:tc>
        <w:tc>
          <w:tcPr>
            <w:tcW w:w="1276" w:type="dxa"/>
            <w:tcBorders>
              <w:top w:val="nil"/>
              <w:left w:val="nil"/>
              <w:bottom w:val="single" w:sz="8" w:space="0" w:color="auto"/>
              <w:right w:val="single" w:sz="8" w:space="0" w:color="auto"/>
            </w:tcBorders>
            <w:shd w:val="clear" w:color="000000" w:fill="E7E6E6"/>
          </w:tcPr>
          <w:p w14:paraId="32097578"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86,4</w:t>
            </w:r>
          </w:p>
        </w:tc>
        <w:tc>
          <w:tcPr>
            <w:tcW w:w="1276" w:type="dxa"/>
            <w:tcBorders>
              <w:top w:val="nil"/>
              <w:left w:val="nil"/>
              <w:bottom w:val="single" w:sz="8" w:space="0" w:color="auto"/>
              <w:right w:val="single" w:sz="8" w:space="0" w:color="auto"/>
            </w:tcBorders>
            <w:shd w:val="clear" w:color="000000" w:fill="E7E6E6"/>
          </w:tcPr>
          <w:p w14:paraId="2FEC5D67"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88,8</w:t>
            </w:r>
          </w:p>
        </w:tc>
        <w:tc>
          <w:tcPr>
            <w:tcW w:w="1270" w:type="dxa"/>
            <w:tcBorders>
              <w:top w:val="nil"/>
              <w:left w:val="nil"/>
              <w:bottom w:val="single" w:sz="8" w:space="0" w:color="auto"/>
              <w:right w:val="single" w:sz="8" w:space="0" w:color="auto"/>
            </w:tcBorders>
            <w:shd w:val="clear" w:color="000000" w:fill="E7E6E6"/>
          </w:tcPr>
          <w:p w14:paraId="19C805F9" w14:textId="77777777" w:rsidR="00AD62CD" w:rsidRPr="00AD62CD" w:rsidRDefault="00AD62CD" w:rsidP="00AD62CD">
            <w:pPr>
              <w:jc w:val="right"/>
              <w:rPr>
                <w:rFonts w:ascii="Times New Roman" w:eastAsia="Calibri" w:hAnsi="Times New Roman" w:cs="Times New Roman"/>
                <w:b/>
                <w:bCs/>
              </w:rPr>
            </w:pPr>
            <w:r w:rsidRPr="00AD62CD">
              <w:rPr>
                <w:rFonts w:ascii="Times New Roman" w:eastAsia="Calibri" w:hAnsi="Times New Roman" w:cs="Times New Roman"/>
                <w:b/>
                <w:bCs/>
              </w:rPr>
              <w:t>91,1</w:t>
            </w:r>
          </w:p>
        </w:tc>
      </w:tr>
    </w:tbl>
    <w:p w14:paraId="0D87C6A1" w14:textId="77777777" w:rsidR="00AD62CD" w:rsidRPr="00AD62CD" w:rsidRDefault="00AD62CD" w:rsidP="00AD62CD">
      <w:pPr>
        <w:spacing w:after="0" w:line="240" w:lineRule="auto"/>
        <w:jc w:val="both"/>
        <w:rPr>
          <w:rFonts w:ascii="Times New Roman" w:eastAsia="Times New Roman" w:hAnsi="Times New Roman" w:cs="Times New Roman"/>
          <w:kern w:val="0"/>
          <w14:ligatures w14:val="none"/>
        </w:rPr>
      </w:pPr>
    </w:p>
    <w:p w14:paraId="2CDBC5A3"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Times New Roman" w:hAnsi="Times New Roman" w:cs="Times New Roman"/>
          <w:b/>
          <w:bCs/>
          <w:kern w:val="0"/>
          <w:lang w:eastAsia="sk-SK"/>
          <w14:ligatures w14:val="none"/>
        </w:rPr>
        <w:t>Negatívny vplyv na rozpočet:</w:t>
      </w:r>
    </w:p>
    <w:p w14:paraId="0639CC12"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72567772"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MF SR požiadalo FR SR o kvantifikáciu dopadov na informačné systémy finančnej správy, ktoré vyplývajú z návrhu zákona. </w:t>
      </w:r>
    </w:p>
    <w:p w14:paraId="7A31575B"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lang w:eastAsia="sk-SK"/>
          <w14:ligatures w14:val="none"/>
        </w:rPr>
      </w:pPr>
    </w:p>
    <w:p w14:paraId="51F14381"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Negatívny vplyv na rozpočet verejnej správy súvisí s požiadavkami na nevyhnutné zmeny  systémov finančnej správy.</w:t>
      </w:r>
    </w:p>
    <w:p w14:paraId="2FB79909" w14:textId="77777777" w:rsidR="00AD62CD" w:rsidRPr="00AD62CD" w:rsidRDefault="00AD62CD" w:rsidP="00AD62CD">
      <w:pPr>
        <w:spacing w:after="0" w:line="240" w:lineRule="auto"/>
        <w:ind w:left="67"/>
        <w:jc w:val="both"/>
        <w:rPr>
          <w:rFonts w:ascii="Times New Roman" w:eastAsia="Calibri" w:hAnsi="Times New Roman" w:cs="Times New Roman"/>
          <w:kern w:val="0"/>
          <w14:ligatures w14:val="none"/>
        </w:rPr>
      </w:pPr>
    </w:p>
    <w:p w14:paraId="3176BAB3"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Odhadovaný hrubý finančný dopad na systémy finančnej správy v nadväznosti na tieto zmeny je vo výške </w:t>
      </w:r>
      <w:r w:rsidRPr="00AD62CD">
        <w:rPr>
          <w:rFonts w:ascii="Times New Roman" w:eastAsia="Calibri" w:hAnsi="Times New Roman" w:cs="Times New Roman"/>
          <w:bCs/>
          <w:kern w:val="0"/>
          <w14:ligatures w14:val="none"/>
        </w:rPr>
        <w:t>59 730 eur s DPH</w:t>
      </w:r>
      <w:r w:rsidRPr="00AD62CD">
        <w:rPr>
          <w:rFonts w:ascii="Times New Roman" w:eastAsia="Calibri" w:hAnsi="Times New Roman" w:cs="Times New Roman"/>
          <w:kern w:val="0"/>
          <w14:ligatures w14:val="none"/>
        </w:rPr>
        <w:t>, z toho:</w:t>
      </w:r>
    </w:p>
    <w:p w14:paraId="32E522FF"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1B7C4C6F"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Integrovaný systém Finančnej správy – správa daní (ISFS-SD) </w:t>
      </w:r>
      <w:r w:rsidRPr="00AD62CD">
        <w:rPr>
          <w:rFonts w:ascii="Times New Roman" w:eastAsia="Calibri" w:hAnsi="Times New Roman" w:cs="Times New Roman"/>
          <w:kern w:val="0"/>
          <w14:ligatures w14:val="none"/>
        </w:rPr>
        <w:tab/>
        <w:t>26 400 eur</w:t>
      </w:r>
    </w:p>
    <w:p w14:paraId="0A8CEFDB"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DR SCAN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330 eur</w:t>
      </w:r>
    </w:p>
    <w:p w14:paraId="5BDA5A81"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Portál finančnej správy (PFS)</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33 000 eur</w:t>
      </w:r>
    </w:p>
    <w:p w14:paraId="62CEFEAC"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3A0CF755"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Odhad FR SR je urobený pri súčasnej miere poznania. Skutočnú prácnosť bude možné určiť až vo fáze realizácie príslušnej  požiadavky.</w:t>
      </w:r>
    </w:p>
    <w:p w14:paraId="1E795278"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2F5D9039"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3372B140"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5206B639"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6689779B"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42BE596A"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sectPr w:rsidR="00AD62CD" w:rsidRPr="00AD62CD" w:rsidSect="0099636A">
          <w:pgSz w:w="11906" w:h="16838"/>
          <w:pgMar w:top="1417" w:right="1417" w:bottom="1276" w:left="1417" w:header="708" w:footer="708" w:gutter="0"/>
          <w:cols w:space="708"/>
          <w:docGrid w:linePitch="360"/>
        </w:sect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D62CD" w:rsidRPr="00AD62CD" w14:paraId="435E7846" w14:textId="77777777" w:rsidTr="00AD62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1B7904C3"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Príjmy štátneho rozpočtu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0CB86ABC"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xml:space="preserve">Vplyv na štátny rozpočet </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19E36320"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poznámka</w:t>
            </w:r>
          </w:p>
        </w:tc>
      </w:tr>
      <w:tr w:rsidR="00AD62CD" w:rsidRPr="00AD62CD" w14:paraId="3EE87A4F" w14:textId="77777777" w:rsidTr="00AD62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1A38F15F"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p>
        </w:tc>
        <w:tc>
          <w:tcPr>
            <w:tcW w:w="1500" w:type="dxa"/>
            <w:tcBorders>
              <w:top w:val="nil"/>
              <w:left w:val="nil"/>
              <w:bottom w:val="single" w:sz="4" w:space="0" w:color="auto"/>
              <w:right w:val="single" w:sz="4" w:space="0" w:color="auto"/>
            </w:tcBorders>
            <w:shd w:val="clear" w:color="auto" w:fill="BFBFBF"/>
            <w:vAlign w:val="center"/>
          </w:tcPr>
          <w:p w14:paraId="1590781F"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2025</w:t>
            </w:r>
          </w:p>
        </w:tc>
        <w:tc>
          <w:tcPr>
            <w:tcW w:w="1500" w:type="dxa"/>
            <w:tcBorders>
              <w:top w:val="nil"/>
              <w:left w:val="nil"/>
              <w:bottom w:val="single" w:sz="4" w:space="0" w:color="auto"/>
              <w:right w:val="single" w:sz="4" w:space="0" w:color="auto"/>
            </w:tcBorders>
            <w:shd w:val="clear" w:color="auto" w:fill="BFBFBF"/>
            <w:vAlign w:val="center"/>
          </w:tcPr>
          <w:p w14:paraId="625CEFFD"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2026</w:t>
            </w:r>
          </w:p>
        </w:tc>
        <w:tc>
          <w:tcPr>
            <w:tcW w:w="1500" w:type="dxa"/>
            <w:tcBorders>
              <w:top w:val="nil"/>
              <w:left w:val="nil"/>
              <w:bottom w:val="single" w:sz="4" w:space="0" w:color="auto"/>
              <w:right w:val="single" w:sz="4" w:space="0" w:color="auto"/>
            </w:tcBorders>
            <w:shd w:val="clear" w:color="auto" w:fill="BFBFBF"/>
            <w:vAlign w:val="center"/>
          </w:tcPr>
          <w:p w14:paraId="226F95A1"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2027</w:t>
            </w:r>
          </w:p>
        </w:tc>
        <w:tc>
          <w:tcPr>
            <w:tcW w:w="1500" w:type="dxa"/>
            <w:tcBorders>
              <w:top w:val="nil"/>
              <w:left w:val="nil"/>
              <w:bottom w:val="single" w:sz="4" w:space="0" w:color="auto"/>
              <w:right w:val="single" w:sz="4" w:space="0" w:color="auto"/>
            </w:tcBorders>
            <w:shd w:val="clear" w:color="auto" w:fill="BFBFBF"/>
            <w:vAlign w:val="center"/>
          </w:tcPr>
          <w:p w14:paraId="2DCBF75D"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04DD7545"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p>
        </w:tc>
      </w:tr>
      <w:tr w:rsidR="00AD62CD" w:rsidRPr="00AD62CD" w14:paraId="651EFFDD" w14:textId="77777777" w:rsidTr="00AD62CD">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77A902E9" w14:textId="77777777" w:rsidR="00AD62CD" w:rsidRPr="00AD62CD" w:rsidRDefault="00AD62CD" w:rsidP="00AD62CD">
            <w:pPr>
              <w:spacing w:after="0" w:line="276" w:lineRule="auto"/>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Daňové príjmy (100)</w:t>
            </w:r>
            <w:r w:rsidRPr="00AD62CD">
              <w:rPr>
                <w:rFonts w:ascii="Times New Roman" w:eastAsia="Calibri" w:hAnsi="Times New Roman" w:cs="Times New Roman"/>
                <w:b/>
                <w:bCs/>
                <w:kern w:val="0"/>
                <w:sz w:val="22"/>
                <w:szCs w:val="22"/>
                <w:vertAlign w:val="superscript"/>
                <w14:ligatures w14:val="none"/>
              </w:rPr>
              <w:t>1</w:t>
            </w:r>
          </w:p>
        </w:tc>
        <w:tc>
          <w:tcPr>
            <w:tcW w:w="1500" w:type="dxa"/>
            <w:tcBorders>
              <w:top w:val="nil"/>
              <w:left w:val="nil"/>
              <w:bottom w:val="single" w:sz="8" w:space="0" w:color="auto"/>
              <w:right w:val="single" w:sz="8" w:space="0" w:color="auto"/>
            </w:tcBorders>
            <w:shd w:val="clear" w:color="auto" w:fill="auto"/>
          </w:tcPr>
          <w:p w14:paraId="29E1992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0</w:t>
            </w:r>
          </w:p>
        </w:tc>
        <w:tc>
          <w:tcPr>
            <w:tcW w:w="1500" w:type="dxa"/>
            <w:tcBorders>
              <w:top w:val="nil"/>
              <w:left w:val="nil"/>
              <w:bottom w:val="single" w:sz="8" w:space="0" w:color="auto"/>
              <w:right w:val="single" w:sz="8" w:space="0" w:color="auto"/>
            </w:tcBorders>
            <w:shd w:val="clear" w:color="auto" w:fill="FFFFFF"/>
          </w:tcPr>
          <w:p w14:paraId="4EBD7EC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177 738 000</w:t>
            </w:r>
          </w:p>
        </w:tc>
        <w:tc>
          <w:tcPr>
            <w:tcW w:w="1500" w:type="dxa"/>
            <w:tcBorders>
              <w:top w:val="nil"/>
              <w:left w:val="nil"/>
              <w:bottom w:val="single" w:sz="8" w:space="0" w:color="auto"/>
              <w:right w:val="single" w:sz="8" w:space="0" w:color="auto"/>
            </w:tcBorders>
            <w:shd w:val="clear" w:color="auto" w:fill="FFFFFF"/>
          </w:tcPr>
          <w:p w14:paraId="56B4892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183 448 000</w:t>
            </w:r>
          </w:p>
        </w:tc>
        <w:tc>
          <w:tcPr>
            <w:tcW w:w="1500" w:type="dxa"/>
            <w:tcBorders>
              <w:top w:val="nil"/>
              <w:left w:val="nil"/>
              <w:bottom w:val="single" w:sz="8" w:space="0" w:color="auto"/>
              <w:right w:val="single" w:sz="8" w:space="0" w:color="auto"/>
            </w:tcBorders>
            <w:shd w:val="clear" w:color="auto" w:fill="FFFFFF"/>
          </w:tcPr>
          <w:p w14:paraId="66FF861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188 922 000</w:t>
            </w:r>
          </w:p>
        </w:tc>
        <w:tc>
          <w:tcPr>
            <w:tcW w:w="3000" w:type="dxa"/>
            <w:tcBorders>
              <w:top w:val="nil"/>
              <w:left w:val="nil"/>
              <w:bottom w:val="single" w:sz="4" w:space="0" w:color="auto"/>
              <w:right w:val="single" w:sz="4" w:space="0" w:color="auto"/>
            </w:tcBorders>
            <w:noWrap/>
            <w:vAlign w:val="bottom"/>
          </w:tcPr>
          <w:p w14:paraId="73C8457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3053DF95" w14:textId="77777777" w:rsidTr="00AD62CD">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714A9C52" w14:textId="77777777" w:rsidR="00AD62CD" w:rsidRPr="00AD62CD" w:rsidRDefault="00AD62CD" w:rsidP="00AD62CD">
            <w:pPr>
              <w:spacing w:after="0" w:line="276" w:lineRule="auto"/>
              <w:ind w:firstLineChars="100" w:firstLine="220"/>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v tom: (131) daň z pridanej hodnoty</w:t>
            </w:r>
          </w:p>
        </w:tc>
        <w:tc>
          <w:tcPr>
            <w:tcW w:w="1500" w:type="dxa"/>
            <w:tcBorders>
              <w:top w:val="nil"/>
              <w:left w:val="single" w:sz="8" w:space="0" w:color="auto"/>
              <w:bottom w:val="single" w:sz="8" w:space="0" w:color="auto"/>
              <w:right w:val="single" w:sz="8" w:space="0" w:color="auto"/>
            </w:tcBorders>
            <w:shd w:val="clear" w:color="auto" w:fill="auto"/>
          </w:tcPr>
          <w:p w14:paraId="565BEA3A"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00" w:type="dxa"/>
            <w:tcBorders>
              <w:top w:val="nil"/>
              <w:left w:val="nil"/>
              <w:bottom w:val="single" w:sz="8" w:space="0" w:color="auto"/>
              <w:right w:val="single" w:sz="8" w:space="0" w:color="auto"/>
            </w:tcBorders>
            <w:shd w:val="clear" w:color="auto" w:fill="FFFFFF"/>
          </w:tcPr>
          <w:p w14:paraId="1F359767"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177 738 000</w:t>
            </w:r>
          </w:p>
        </w:tc>
        <w:tc>
          <w:tcPr>
            <w:tcW w:w="1500" w:type="dxa"/>
            <w:tcBorders>
              <w:top w:val="nil"/>
              <w:left w:val="nil"/>
              <w:bottom w:val="single" w:sz="8" w:space="0" w:color="auto"/>
              <w:right w:val="single" w:sz="8" w:space="0" w:color="auto"/>
            </w:tcBorders>
            <w:shd w:val="clear" w:color="auto" w:fill="FFFFFF"/>
          </w:tcPr>
          <w:p w14:paraId="65FE0635"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183 448 000</w:t>
            </w:r>
          </w:p>
        </w:tc>
        <w:tc>
          <w:tcPr>
            <w:tcW w:w="1500" w:type="dxa"/>
            <w:tcBorders>
              <w:top w:val="nil"/>
              <w:left w:val="nil"/>
              <w:bottom w:val="single" w:sz="8" w:space="0" w:color="auto"/>
              <w:right w:val="single" w:sz="8" w:space="0" w:color="auto"/>
            </w:tcBorders>
            <w:shd w:val="clear" w:color="auto" w:fill="FFFFFF"/>
          </w:tcPr>
          <w:p w14:paraId="5D411D82"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188 922 000</w:t>
            </w:r>
          </w:p>
        </w:tc>
        <w:tc>
          <w:tcPr>
            <w:tcW w:w="3000" w:type="dxa"/>
            <w:tcBorders>
              <w:top w:val="nil"/>
              <w:left w:val="nil"/>
              <w:bottom w:val="single" w:sz="4" w:space="0" w:color="auto"/>
              <w:right w:val="single" w:sz="4" w:space="0" w:color="auto"/>
            </w:tcBorders>
            <w:noWrap/>
            <w:vAlign w:val="bottom"/>
          </w:tcPr>
          <w:p w14:paraId="2615E08A"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3C0C6485"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1CB51B9E" w14:textId="77777777" w:rsidR="00AD62CD" w:rsidRPr="00AD62CD" w:rsidRDefault="00AD62CD" w:rsidP="00AD62CD">
            <w:pPr>
              <w:spacing w:after="0" w:line="276" w:lineRule="auto"/>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Nedaňové príjmy (200)</w:t>
            </w:r>
            <w:r w:rsidRPr="00AD62CD">
              <w:rPr>
                <w:rFonts w:ascii="Times New Roman" w:eastAsia="Calibri" w:hAnsi="Times New Roman" w:cs="Times New Roman"/>
                <w:b/>
                <w:bCs/>
                <w:kern w:val="0"/>
                <w:sz w:val="22"/>
                <w:szCs w:val="22"/>
                <w:vertAlign w:val="superscript"/>
                <w14:ligatures w14:val="none"/>
              </w:rPr>
              <w:t>1</w:t>
            </w:r>
          </w:p>
        </w:tc>
        <w:tc>
          <w:tcPr>
            <w:tcW w:w="1500" w:type="dxa"/>
            <w:tcBorders>
              <w:top w:val="nil"/>
              <w:left w:val="nil"/>
              <w:bottom w:val="single" w:sz="8" w:space="0" w:color="auto"/>
              <w:right w:val="single" w:sz="8" w:space="0" w:color="auto"/>
            </w:tcBorders>
            <w:shd w:val="clear" w:color="auto" w:fill="auto"/>
          </w:tcPr>
          <w:p w14:paraId="6AF1309F"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00" w:type="dxa"/>
            <w:tcBorders>
              <w:top w:val="nil"/>
              <w:left w:val="nil"/>
              <w:bottom w:val="single" w:sz="8" w:space="0" w:color="auto"/>
              <w:right w:val="single" w:sz="8" w:space="0" w:color="auto"/>
            </w:tcBorders>
            <w:shd w:val="clear" w:color="auto" w:fill="auto"/>
          </w:tcPr>
          <w:p w14:paraId="41E334C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00" w:type="dxa"/>
            <w:tcBorders>
              <w:top w:val="nil"/>
              <w:left w:val="nil"/>
              <w:bottom w:val="single" w:sz="8" w:space="0" w:color="auto"/>
              <w:right w:val="single" w:sz="8" w:space="0" w:color="auto"/>
            </w:tcBorders>
            <w:shd w:val="clear" w:color="auto" w:fill="auto"/>
          </w:tcPr>
          <w:p w14:paraId="446BA6A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00" w:type="dxa"/>
            <w:tcBorders>
              <w:top w:val="nil"/>
              <w:left w:val="nil"/>
              <w:bottom w:val="single" w:sz="8" w:space="0" w:color="auto"/>
              <w:right w:val="single" w:sz="8" w:space="0" w:color="auto"/>
            </w:tcBorders>
            <w:shd w:val="clear" w:color="auto" w:fill="auto"/>
          </w:tcPr>
          <w:p w14:paraId="70E54D0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3000" w:type="dxa"/>
            <w:tcBorders>
              <w:top w:val="nil"/>
              <w:left w:val="nil"/>
              <w:bottom w:val="single" w:sz="4" w:space="0" w:color="auto"/>
              <w:right w:val="single" w:sz="4" w:space="0" w:color="auto"/>
            </w:tcBorders>
            <w:noWrap/>
            <w:vAlign w:val="bottom"/>
          </w:tcPr>
          <w:p w14:paraId="27C7EE44"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70816675"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42791689" w14:textId="77777777" w:rsidR="00AD62CD" w:rsidRPr="00AD62CD" w:rsidRDefault="00AD62CD" w:rsidP="00AD62CD">
            <w:pPr>
              <w:spacing w:after="0" w:line="276" w:lineRule="auto"/>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tcPr>
          <w:p w14:paraId="3A6265E7" w14:textId="77777777" w:rsidR="00AD62CD" w:rsidRPr="00AD62CD" w:rsidRDefault="00AD62CD" w:rsidP="00AD62CD">
            <w:pPr>
              <w:spacing w:after="0" w:line="276" w:lineRule="auto"/>
              <w:jc w:val="center"/>
              <w:rPr>
                <w:rFonts w:ascii="Times New Roman" w:eastAsia="Calibri" w:hAnsi="Times New Roman" w:cs="Times New Roman"/>
                <w:b/>
                <w:bCs/>
                <w:kern w:val="0"/>
                <w:sz w:val="22"/>
                <w:szCs w:val="22"/>
                <w14:ligatures w14:val="none"/>
              </w:rPr>
            </w:pPr>
          </w:p>
        </w:tc>
        <w:tc>
          <w:tcPr>
            <w:tcW w:w="1500" w:type="dxa"/>
            <w:tcBorders>
              <w:top w:val="nil"/>
              <w:left w:val="nil"/>
              <w:bottom w:val="single" w:sz="8" w:space="0" w:color="auto"/>
              <w:right w:val="single" w:sz="8" w:space="0" w:color="auto"/>
            </w:tcBorders>
            <w:shd w:val="clear" w:color="000000" w:fill="FFFF99"/>
          </w:tcPr>
          <w:p w14:paraId="6BEC2A7A" w14:textId="77777777" w:rsidR="00AD62CD" w:rsidRPr="00AD62CD" w:rsidRDefault="00AD62CD" w:rsidP="00AD62CD">
            <w:pPr>
              <w:spacing w:after="0" w:line="276" w:lineRule="auto"/>
              <w:jc w:val="center"/>
              <w:rPr>
                <w:rFonts w:ascii="Times New Roman" w:eastAsia="Calibri" w:hAnsi="Times New Roman" w:cs="Times New Roman"/>
                <w:b/>
                <w:bCs/>
                <w:kern w:val="0"/>
                <w:sz w:val="22"/>
                <w:szCs w:val="22"/>
                <w14:ligatures w14:val="none"/>
              </w:rPr>
            </w:pPr>
          </w:p>
        </w:tc>
        <w:tc>
          <w:tcPr>
            <w:tcW w:w="1500" w:type="dxa"/>
            <w:tcBorders>
              <w:top w:val="nil"/>
              <w:left w:val="nil"/>
              <w:bottom w:val="single" w:sz="8" w:space="0" w:color="auto"/>
              <w:right w:val="single" w:sz="8" w:space="0" w:color="auto"/>
            </w:tcBorders>
            <w:shd w:val="clear" w:color="000000" w:fill="FFFF99"/>
          </w:tcPr>
          <w:p w14:paraId="5E26892C" w14:textId="77777777" w:rsidR="00AD62CD" w:rsidRPr="00AD62CD" w:rsidRDefault="00AD62CD" w:rsidP="00AD62CD">
            <w:pPr>
              <w:spacing w:after="0" w:line="276" w:lineRule="auto"/>
              <w:jc w:val="center"/>
              <w:rPr>
                <w:rFonts w:ascii="Times New Roman" w:eastAsia="Calibri" w:hAnsi="Times New Roman" w:cs="Times New Roman"/>
                <w:b/>
                <w:bCs/>
                <w:kern w:val="0"/>
                <w:sz w:val="22"/>
                <w:szCs w:val="22"/>
                <w14:ligatures w14:val="none"/>
              </w:rPr>
            </w:pPr>
          </w:p>
        </w:tc>
        <w:tc>
          <w:tcPr>
            <w:tcW w:w="1500" w:type="dxa"/>
            <w:tcBorders>
              <w:top w:val="nil"/>
              <w:left w:val="nil"/>
              <w:bottom w:val="single" w:sz="8" w:space="0" w:color="auto"/>
              <w:right w:val="single" w:sz="8" w:space="0" w:color="auto"/>
            </w:tcBorders>
            <w:shd w:val="clear" w:color="000000" w:fill="FFFF99"/>
          </w:tcPr>
          <w:p w14:paraId="07694AC2" w14:textId="77777777" w:rsidR="00AD62CD" w:rsidRPr="00AD62CD" w:rsidRDefault="00AD62CD" w:rsidP="00AD62CD">
            <w:pPr>
              <w:spacing w:after="0" w:line="276" w:lineRule="auto"/>
              <w:jc w:val="center"/>
              <w:rPr>
                <w:rFonts w:ascii="Times New Roman" w:eastAsia="Calibri" w:hAnsi="Times New Roman" w:cs="Times New Roman"/>
                <w:b/>
                <w:bCs/>
                <w:kern w:val="0"/>
                <w:sz w:val="22"/>
                <w:szCs w:val="22"/>
                <w14:ligatures w14:val="none"/>
              </w:rPr>
            </w:pPr>
          </w:p>
        </w:tc>
        <w:tc>
          <w:tcPr>
            <w:tcW w:w="3000" w:type="dxa"/>
            <w:tcBorders>
              <w:top w:val="nil"/>
              <w:left w:val="nil"/>
              <w:bottom w:val="single" w:sz="4" w:space="0" w:color="auto"/>
              <w:right w:val="single" w:sz="4" w:space="0" w:color="auto"/>
            </w:tcBorders>
            <w:noWrap/>
            <w:vAlign w:val="bottom"/>
          </w:tcPr>
          <w:p w14:paraId="6D65ABEC"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3418E585"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2F447BBC" w14:textId="77777777" w:rsidR="00AD62CD" w:rsidRPr="00AD62CD" w:rsidRDefault="00AD62CD" w:rsidP="00AD62CD">
            <w:pPr>
              <w:spacing w:after="0" w:line="276" w:lineRule="auto"/>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tcPr>
          <w:p w14:paraId="714B9E0E" w14:textId="77777777" w:rsidR="00AD62CD" w:rsidRPr="00AD62CD" w:rsidRDefault="00AD62CD" w:rsidP="00AD62CD">
            <w:pPr>
              <w:spacing w:after="0" w:line="276" w:lineRule="auto"/>
              <w:jc w:val="center"/>
              <w:rPr>
                <w:rFonts w:ascii="Times New Roman" w:eastAsia="Calibri" w:hAnsi="Times New Roman" w:cs="Times New Roman"/>
                <w:b/>
                <w:bCs/>
                <w:kern w:val="0"/>
                <w:sz w:val="22"/>
                <w:szCs w:val="22"/>
                <w14:ligatures w14:val="none"/>
              </w:rPr>
            </w:pPr>
          </w:p>
        </w:tc>
        <w:tc>
          <w:tcPr>
            <w:tcW w:w="1500" w:type="dxa"/>
            <w:tcBorders>
              <w:top w:val="nil"/>
              <w:left w:val="nil"/>
              <w:bottom w:val="single" w:sz="8" w:space="0" w:color="auto"/>
              <w:right w:val="single" w:sz="8" w:space="0" w:color="auto"/>
            </w:tcBorders>
            <w:shd w:val="clear" w:color="000000" w:fill="FFFF99"/>
          </w:tcPr>
          <w:p w14:paraId="7CFB7937" w14:textId="77777777" w:rsidR="00AD62CD" w:rsidRPr="00AD62CD" w:rsidRDefault="00AD62CD" w:rsidP="00AD62CD">
            <w:pPr>
              <w:spacing w:after="0" w:line="276" w:lineRule="auto"/>
              <w:jc w:val="center"/>
              <w:rPr>
                <w:rFonts w:ascii="Times New Roman" w:eastAsia="Calibri" w:hAnsi="Times New Roman" w:cs="Times New Roman"/>
                <w:b/>
                <w:bCs/>
                <w:kern w:val="0"/>
                <w:sz w:val="22"/>
                <w:szCs w:val="22"/>
                <w14:ligatures w14:val="none"/>
              </w:rPr>
            </w:pPr>
          </w:p>
        </w:tc>
        <w:tc>
          <w:tcPr>
            <w:tcW w:w="1500" w:type="dxa"/>
            <w:tcBorders>
              <w:top w:val="nil"/>
              <w:left w:val="nil"/>
              <w:bottom w:val="single" w:sz="8" w:space="0" w:color="auto"/>
              <w:right w:val="single" w:sz="8" w:space="0" w:color="auto"/>
            </w:tcBorders>
            <w:shd w:val="clear" w:color="000000" w:fill="FFFF99"/>
          </w:tcPr>
          <w:p w14:paraId="5666362E" w14:textId="77777777" w:rsidR="00AD62CD" w:rsidRPr="00AD62CD" w:rsidRDefault="00AD62CD" w:rsidP="00AD62CD">
            <w:pPr>
              <w:spacing w:after="0" w:line="276" w:lineRule="auto"/>
              <w:jc w:val="center"/>
              <w:rPr>
                <w:rFonts w:ascii="Times New Roman" w:eastAsia="Calibri" w:hAnsi="Times New Roman" w:cs="Times New Roman"/>
                <w:b/>
                <w:bCs/>
                <w:kern w:val="0"/>
                <w:sz w:val="22"/>
                <w:szCs w:val="22"/>
                <w14:ligatures w14:val="none"/>
              </w:rPr>
            </w:pPr>
          </w:p>
        </w:tc>
        <w:tc>
          <w:tcPr>
            <w:tcW w:w="1500" w:type="dxa"/>
            <w:tcBorders>
              <w:top w:val="nil"/>
              <w:left w:val="nil"/>
              <w:bottom w:val="single" w:sz="8" w:space="0" w:color="auto"/>
              <w:right w:val="single" w:sz="8" w:space="0" w:color="auto"/>
            </w:tcBorders>
            <w:shd w:val="clear" w:color="000000" w:fill="FFFF99"/>
          </w:tcPr>
          <w:p w14:paraId="2A395EA6" w14:textId="77777777" w:rsidR="00AD62CD" w:rsidRPr="00AD62CD" w:rsidRDefault="00AD62CD" w:rsidP="00AD62CD">
            <w:pPr>
              <w:spacing w:after="0" w:line="276" w:lineRule="auto"/>
              <w:jc w:val="center"/>
              <w:rPr>
                <w:rFonts w:ascii="Times New Roman" w:eastAsia="Calibri" w:hAnsi="Times New Roman" w:cs="Times New Roman"/>
                <w:b/>
                <w:bCs/>
                <w:kern w:val="0"/>
                <w:sz w:val="22"/>
                <w:szCs w:val="22"/>
                <w14:ligatures w14:val="none"/>
              </w:rPr>
            </w:pPr>
          </w:p>
        </w:tc>
        <w:tc>
          <w:tcPr>
            <w:tcW w:w="3000" w:type="dxa"/>
            <w:tcBorders>
              <w:top w:val="nil"/>
              <w:left w:val="nil"/>
              <w:bottom w:val="single" w:sz="4" w:space="0" w:color="auto"/>
              <w:right w:val="single" w:sz="4" w:space="0" w:color="auto"/>
            </w:tcBorders>
            <w:noWrap/>
            <w:vAlign w:val="bottom"/>
          </w:tcPr>
          <w:p w14:paraId="75F0DB45"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0E4EAB32" w14:textId="77777777" w:rsidTr="00AD62CD">
        <w:trPr>
          <w:trHeight w:val="60"/>
        </w:trPr>
        <w:tc>
          <w:tcPr>
            <w:tcW w:w="4950" w:type="dxa"/>
            <w:tcBorders>
              <w:top w:val="nil"/>
              <w:left w:val="single" w:sz="8" w:space="0" w:color="auto"/>
              <w:bottom w:val="single" w:sz="8" w:space="0" w:color="auto"/>
              <w:right w:val="single" w:sz="8" w:space="0" w:color="auto"/>
            </w:tcBorders>
            <w:shd w:val="clear" w:color="000000" w:fill="BFBFBF"/>
            <w:vAlign w:val="center"/>
          </w:tcPr>
          <w:p w14:paraId="3A29F81B" w14:textId="77777777" w:rsidR="00AD62CD" w:rsidRPr="00AD62CD" w:rsidRDefault="00AD62CD" w:rsidP="00AD62CD">
            <w:pPr>
              <w:spacing w:after="0" w:line="276" w:lineRule="auto"/>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Dopad na príjmy štátneho rozpočtu celkom</w:t>
            </w:r>
          </w:p>
        </w:tc>
        <w:tc>
          <w:tcPr>
            <w:tcW w:w="1500" w:type="dxa"/>
            <w:tcBorders>
              <w:top w:val="nil"/>
              <w:left w:val="nil"/>
              <w:bottom w:val="single" w:sz="8" w:space="0" w:color="auto"/>
              <w:right w:val="single" w:sz="8" w:space="0" w:color="auto"/>
            </w:tcBorders>
            <w:shd w:val="clear" w:color="000000" w:fill="BFBFBF"/>
          </w:tcPr>
          <w:p w14:paraId="77200703" w14:textId="77777777" w:rsidR="00AD62CD" w:rsidRPr="00AD62CD" w:rsidRDefault="00AD62CD" w:rsidP="00AD62CD">
            <w:pPr>
              <w:spacing w:after="0" w:line="276" w:lineRule="auto"/>
              <w:jc w:val="center"/>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0</w:t>
            </w:r>
          </w:p>
        </w:tc>
        <w:tc>
          <w:tcPr>
            <w:tcW w:w="1500" w:type="dxa"/>
            <w:tcBorders>
              <w:top w:val="nil"/>
              <w:left w:val="nil"/>
              <w:bottom w:val="single" w:sz="8" w:space="0" w:color="auto"/>
              <w:right w:val="single" w:sz="8" w:space="0" w:color="auto"/>
            </w:tcBorders>
            <w:shd w:val="clear" w:color="auto" w:fill="BFBFBF"/>
          </w:tcPr>
          <w:p w14:paraId="22B9EAD0" w14:textId="77777777" w:rsidR="00AD62CD" w:rsidRPr="00AD62CD" w:rsidRDefault="00AD62CD" w:rsidP="00AD62CD">
            <w:pPr>
              <w:spacing w:after="0" w:line="276" w:lineRule="auto"/>
              <w:ind w:hanging="143"/>
              <w:jc w:val="center"/>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177 738 000</w:t>
            </w:r>
          </w:p>
        </w:tc>
        <w:tc>
          <w:tcPr>
            <w:tcW w:w="1500" w:type="dxa"/>
            <w:tcBorders>
              <w:top w:val="nil"/>
              <w:left w:val="nil"/>
              <w:bottom w:val="single" w:sz="8" w:space="0" w:color="auto"/>
              <w:right w:val="single" w:sz="8" w:space="0" w:color="auto"/>
            </w:tcBorders>
            <w:shd w:val="clear" w:color="auto" w:fill="BFBFBF"/>
          </w:tcPr>
          <w:p w14:paraId="5171F69E" w14:textId="77777777" w:rsidR="00AD62CD" w:rsidRPr="00AD62CD" w:rsidRDefault="00AD62CD" w:rsidP="00AD62CD">
            <w:pPr>
              <w:spacing w:after="0" w:line="276" w:lineRule="auto"/>
              <w:ind w:hanging="143"/>
              <w:jc w:val="center"/>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183 448 000</w:t>
            </w:r>
          </w:p>
        </w:tc>
        <w:tc>
          <w:tcPr>
            <w:tcW w:w="1500" w:type="dxa"/>
            <w:tcBorders>
              <w:top w:val="nil"/>
              <w:left w:val="nil"/>
              <w:bottom w:val="single" w:sz="8" w:space="0" w:color="auto"/>
              <w:right w:val="single" w:sz="8" w:space="0" w:color="auto"/>
            </w:tcBorders>
            <w:shd w:val="clear" w:color="auto" w:fill="BFBFBF"/>
          </w:tcPr>
          <w:p w14:paraId="1C0EE910" w14:textId="77777777" w:rsidR="00AD62CD" w:rsidRPr="00AD62CD" w:rsidRDefault="00AD62CD" w:rsidP="00AD62CD">
            <w:pPr>
              <w:spacing w:after="0" w:line="276" w:lineRule="auto"/>
              <w:ind w:hanging="143"/>
              <w:jc w:val="center"/>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188 922 000</w:t>
            </w:r>
          </w:p>
        </w:tc>
        <w:tc>
          <w:tcPr>
            <w:tcW w:w="3000" w:type="dxa"/>
            <w:tcBorders>
              <w:top w:val="nil"/>
              <w:left w:val="nil"/>
              <w:bottom w:val="single" w:sz="4" w:space="0" w:color="auto"/>
              <w:right w:val="single" w:sz="4" w:space="0" w:color="auto"/>
            </w:tcBorders>
            <w:noWrap/>
            <w:vAlign w:val="bottom"/>
          </w:tcPr>
          <w:p w14:paraId="030FC03E"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bl>
    <w:p w14:paraId="7B0A5822"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p>
    <w:p w14:paraId="56E3FF52"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p>
    <w:p w14:paraId="03C6C715"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p>
    <w:p w14:paraId="7BD01F61"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7A50D9A0"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1 –  príjmy rozpísať až do položiek platnej ekonomickej klasifikácie</w:t>
      </w:r>
    </w:p>
    <w:p w14:paraId="0AB9C60A"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13EF2B4D"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595CEF41"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5D5378FD" w14:textId="77777777" w:rsidR="00AD62CD" w:rsidRPr="00AD62CD" w:rsidRDefault="00AD62CD" w:rsidP="00AD62CD">
      <w:pPr>
        <w:spacing w:after="200" w:line="276" w:lineRule="auto"/>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br w:type="page"/>
      </w:r>
    </w:p>
    <w:p w14:paraId="66555CB9"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321F25FD"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73D304BD"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0169B735"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FA61923"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poznámka</w:t>
            </w:r>
          </w:p>
        </w:tc>
      </w:tr>
      <w:tr w:rsidR="00AD62CD" w:rsidRPr="00AD62CD" w14:paraId="04F8EBEC"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0012AC8"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77D32C9E"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2025</w:t>
            </w:r>
          </w:p>
        </w:tc>
        <w:tc>
          <w:tcPr>
            <w:tcW w:w="1650" w:type="dxa"/>
            <w:tcBorders>
              <w:top w:val="nil"/>
              <w:left w:val="nil"/>
              <w:bottom w:val="single" w:sz="4" w:space="0" w:color="auto"/>
              <w:right w:val="single" w:sz="4" w:space="0" w:color="auto"/>
            </w:tcBorders>
            <w:shd w:val="clear" w:color="auto" w:fill="BFBFBF"/>
          </w:tcPr>
          <w:p w14:paraId="7B63B43D"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2026</w:t>
            </w:r>
          </w:p>
        </w:tc>
        <w:tc>
          <w:tcPr>
            <w:tcW w:w="1540" w:type="dxa"/>
            <w:tcBorders>
              <w:top w:val="nil"/>
              <w:left w:val="nil"/>
              <w:bottom w:val="single" w:sz="4" w:space="0" w:color="auto"/>
              <w:right w:val="single" w:sz="4" w:space="0" w:color="auto"/>
            </w:tcBorders>
            <w:shd w:val="clear" w:color="auto" w:fill="BFBFBF"/>
          </w:tcPr>
          <w:p w14:paraId="3B06785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2027</w:t>
            </w:r>
          </w:p>
        </w:tc>
        <w:tc>
          <w:tcPr>
            <w:tcW w:w="1540" w:type="dxa"/>
            <w:tcBorders>
              <w:top w:val="nil"/>
              <w:left w:val="nil"/>
              <w:bottom w:val="single" w:sz="4" w:space="0" w:color="auto"/>
              <w:right w:val="single" w:sz="4" w:space="0" w:color="auto"/>
            </w:tcBorders>
            <w:shd w:val="clear" w:color="auto" w:fill="BFBFBF"/>
          </w:tcPr>
          <w:p w14:paraId="0243053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602BA229"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30CE346F" w14:textId="77777777" w:rsidTr="003627DF">
        <w:trPr>
          <w:trHeight w:val="255"/>
        </w:trPr>
        <w:tc>
          <w:tcPr>
            <w:tcW w:w="7070" w:type="dxa"/>
            <w:tcBorders>
              <w:top w:val="nil"/>
              <w:left w:val="single" w:sz="4" w:space="0" w:color="auto"/>
              <w:bottom w:val="single" w:sz="4" w:space="0" w:color="auto"/>
              <w:right w:val="single" w:sz="4" w:space="0" w:color="auto"/>
            </w:tcBorders>
          </w:tcPr>
          <w:p w14:paraId="5C7F6BDD"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vAlign w:val="center"/>
          </w:tcPr>
          <w:p w14:paraId="1F59E0CB"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5611879D"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798C70E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1BD3D962"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29475680"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p>
        </w:tc>
      </w:tr>
      <w:tr w:rsidR="00AD62CD" w:rsidRPr="00AD62CD" w14:paraId="16B009A9" w14:textId="77777777" w:rsidTr="003627DF">
        <w:trPr>
          <w:trHeight w:val="255"/>
        </w:trPr>
        <w:tc>
          <w:tcPr>
            <w:tcW w:w="7070" w:type="dxa"/>
            <w:tcBorders>
              <w:top w:val="nil"/>
              <w:left w:val="single" w:sz="4" w:space="0" w:color="auto"/>
              <w:bottom w:val="single" w:sz="4" w:space="0" w:color="auto"/>
              <w:right w:val="single" w:sz="4" w:space="0" w:color="auto"/>
            </w:tcBorders>
          </w:tcPr>
          <w:p w14:paraId="71BE482F"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2BE4265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6A9EB2F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65456B4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333154B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068AD23C"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04CECC1" w14:textId="77777777" w:rsidTr="003627DF">
        <w:trPr>
          <w:trHeight w:val="255"/>
        </w:trPr>
        <w:tc>
          <w:tcPr>
            <w:tcW w:w="7070" w:type="dxa"/>
            <w:tcBorders>
              <w:top w:val="nil"/>
              <w:left w:val="single" w:sz="4" w:space="0" w:color="auto"/>
              <w:bottom w:val="single" w:sz="4" w:space="0" w:color="auto"/>
              <w:right w:val="single" w:sz="4" w:space="0" w:color="auto"/>
            </w:tcBorders>
          </w:tcPr>
          <w:p w14:paraId="7A6F6545"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1E8CEFD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1FD9FAF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087E039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655B94B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0565DFF2"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70F94402" w14:textId="77777777" w:rsidTr="003627DF">
        <w:trPr>
          <w:trHeight w:val="255"/>
        </w:trPr>
        <w:tc>
          <w:tcPr>
            <w:tcW w:w="7070" w:type="dxa"/>
            <w:tcBorders>
              <w:top w:val="nil"/>
              <w:left w:val="single" w:sz="4" w:space="0" w:color="auto"/>
              <w:bottom w:val="single" w:sz="4" w:space="0" w:color="auto"/>
              <w:right w:val="single" w:sz="4" w:space="0" w:color="auto"/>
            </w:tcBorders>
          </w:tcPr>
          <w:p w14:paraId="1223778A"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Tovary a služby (630)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75ADB14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23773AA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3011D95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37CB625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1088F3A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4BA902E4" w14:textId="77777777" w:rsidTr="003627DF">
        <w:trPr>
          <w:trHeight w:val="255"/>
        </w:trPr>
        <w:tc>
          <w:tcPr>
            <w:tcW w:w="7070" w:type="dxa"/>
            <w:tcBorders>
              <w:top w:val="nil"/>
              <w:left w:val="single" w:sz="4" w:space="0" w:color="auto"/>
              <w:bottom w:val="single" w:sz="4" w:space="0" w:color="auto"/>
              <w:right w:val="single" w:sz="4" w:space="0" w:color="auto"/>
            </w:tcBorders>
          </w:tcPr>
          <w:p w14:paraId="25B2ECDA"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Bežné transfery (640)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5C351ED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7CEE02E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51F2A3C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6482AC6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041C45A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8CE4696"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2DE0BBE5"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Splácanie úrokov a ostatné platby súvisiace s </w:t>
            </w:r>
            <w:r w:rsidRPr="00AD62CD">
              <w:rPr>
                <w:rFonts w:ascii="Calibri" w:eastAsia="Calibri" w:hAnsi="Calibri" w:cs="Times New Roman"/>
                <w:kern w:val="0"/>
                <w:sz w:val="22"/>
                <w:szCs w:val="22"/>
                <w14:ligatures w14:val="none"/>
              </w:rPr>
              <w:t xml:space="preserve"> </w:t>
            </w:r>
            <w:r w:rsidRPr="00AD62CD">
              <w:rPr>
                <w:rFonts w:ascii="Times New Roman" w:eastAsia="Times New Roman" w:hAnsi="Times New Roman" w:cs="Times New Roman"/>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21951C9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7076322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016FF57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3F27A4B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6EE741A5"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58E2F6BE" w14:textId="77777777" w:rsidTr="003627DF">
        <w:trPr>
          <w:trHeight w:val="255"/>
        </w:trPr>
        <w:tc>
          <w:tcPr>
            <w:tcW w:w="7070" w:type="dxa"/>
            <w:tcBorders>
              <w:top w:val="nil"/>
              <w:left w:val="single" w:sz="4" w:space="0" w:color="auto"/>
              <w:bottom w:val="single" w:sz="4" w:space="0" w:color="auto"/>
              <w:right w:val="single" w:sz="4" w:space="0" w:color="auto"/>
            </w:tcBorders>
          </w:tcPr>
          <w:p w14:paraId="5C76B4D8"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vAlign w:val="center"/>
          </w:tcPr>
          <w:p w14:paraId="51049FD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59 730</w:t>
            </w:r>
          </w:p>
        </w:tc>
        <w:tc>
          <w:tcPr>
            <w:tcW w:w="1650" w:type="dxa"/>
            <w:tcBorders>
              <w:top w:val="nil"/>
              <w:left w:val="nil"/>
              <w:bottom w:val="single" w:sz="4" w:space="0" w:color="auto"/>
              <w:right w:val="single" w:sz="4" w:space="0" w:color="auto"/>
            </w:tcBorders>
            <w:vAlign w:val="center"/>
          </w:tcPr>
          <w:p w14:paraId="39746E4B"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42B80AC3"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2981BAAD"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70E33E89"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p>
        </w:tc>
      </w:tr>
      <w:tr w:rsidR="00AD62CD" w:rsidRPr="00AD62CD" w14:paraId="67EA8055" w14:textId="77777777" w:rsidTr="003627DF">
        <w:trPr>
          <w:trHeight w:val="255"/>
        </w:trPr>
        <w:tc>
          <w:tcPr>
            <w:tcW w:w="7070" w:type="dxa"/>
            <w:tcBorders>
              <w:top w:val="nil"/>
              <w:left w:val="single" w:sz="4" w:space="0" w:color="auto"/>
              <w:bottom w:val="single" w:sz="4" w:space="0" w:color="auto"/>
              <w:right w:val="single" w:sz="4" w:space="0" w:color="auto"/>
            </w:tcBorders>
          </w:tcPr>
          <w:p w14:paraId="1620C34C"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Obstarávanie kapitálových aktív (710)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01F1002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59 730</w:t>
            </w:r>
          </w:p>
        </w:tc>
        <w:tc>
          <w:tcPr>
            <w:tcW w:w="1650" w:type="dxa"/>
            <w:tcBorders>
              <w:top w:val="nil"/>
              <w:left w:val="nil"/>
              <w:bottom w:val="single" w:sz="4" w:space="0" w:color="auto"/>
              <w:right w:val="single" w:sz="4" w:space="0" w:color="auto"/>
            </w:tcBorders>
            <w:vAlign w:val="center"/>
          </w:tcPr>
          <w:p w14:paraId="159F548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1C7969C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78DCA9E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446EC0E2"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238B0A91" w14:textId="77777777" w:rsidTr="003627DF">
        <w:trPr>
          <w:trHeight w:val="255"/>
        </w:trPr>
        <w:tc>
          <w:tcPr>
            <w:tcW w:w="7070" w:type="dxa"/>
            <w:tcBorders>
              <w:top w:val="nil"/>
              <w:left w:val="single" w:sz="4" w:space="0" w:color="auto"/>
              <w:bottom w:val="single" w:sz="4" w:space="0" w:color="auto"/>
              <w:right w:val="single" w:sz="4" w:space="0" w:color="auto"/>
            </w:tcBorders>
          </w:tcPr>
          <w:p w14:paraId="2A4A1BBD"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14:ligatures w14:val="none"/>
              </w:rPr>
              <w:t>v tom: Rekonštrukcia a modernizácia (718)</w:t>
            </w:r>
          </w:p>
        </w:tc>
        <w:tc>
          <w:tcPr>
            <w:tcW w:w="1430" w:type="dxa"/>
            <w:tcBorders>
              <w:top w:val="nil"/>
              <w:left w:val="nil"/>
              <w:bottom w:val="single" w:sz="4" w:space="0" w:color="auto"/>
              <w:right w:val="single" w:sz="4" w:space="0" w:color="auto"/>
            </w:tcBorders>
            <w:vAlign w:val="center"/>
          </w:tcPr>
          <w:p w14:paraId="7816F9D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59 730</w:t>
            </w:r>
          </w:p>
        </w:tc>
        <w:tc>
          <w:tcPr>
            <w:tcW w:w="1650" w:type="dxa"/>
            <w:tcBorders>
              <w:top w:val="nil"/>
              <w:left w:val="nil"/>
              <w:bottom w:val="single" w:sz="4" w:space="0" w:color="auto"/>
              <w:right w:val="single" w:sz="4" w:space="0" w:color="auto"/>
            </w:tcBorders>
            <w:vAlign w:val="center"/>
          </w:tcPr>
          <w:p w14:paraId="247BF20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42006AC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250D40A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0875A015"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58FA54B4" w14:textId="77777777" w:rsidTr="003627DF">
        <w:trPr>
          <w:trHeight w:val="255"/>
        </w:trPr>
        <w:tc>
          <w:tcPr>
            <w:tcW w:w="7070" w:type="dxa"/>
            <w:tcBorders>
              <w:top w:val="nil"/>
              <w:left w:val="single" w:sz="4" w:space="0" w:color="auto"/>
              <w:bottom w:val="single" w:sz="4" w:space="0" w:color="auto"/>
              <w:right w:val="single" w:sz="4" w:space="0" w:color="auto"/>
            </w:tcBorders>
          </w:tcPr>
          <w:p w14:paraId="28211459"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Kapitálové transfery (720)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1816729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3037306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50478FB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64614C33"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03B52FE0"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6E034984" w14:textId="77777777" w:rsidTr="003627DF">
        <w:trPr>
          <w:trHeight w:val="255"/>
        </w:trPr>
        <w:tc>
          <w:tcPr>
            <w:tcW w:w="7070" w:type="dxa"/>
            <w:tcBorders>
              <w:top w:val="nil"/>
              <w:left w:val="single" w:sz="4" w:space="0" w:color="auto"/>
              <w:bottom w:val="single" w:sz="4" w:space="0" w:color="auto"/>
              <w:right w:val="single" w:sz="4" w:space="0" w:color="auto"/>
            </w:tcBorders>
          </w:tcPr>
          <w:p w14:paraId="16905D4D"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14:paraId="3B5819A1"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50" w:type="dxa"/>
            <w:tcBorders>
              <w:top w:val="nil"/>
              <w:left w:val="nil"/>
              <w:bottom w:val="single" w:sz="4" w:space="0" w:color="auto"/>
              <w:right w:val="single" w:sz="4" w:space="0" w:color="auto"/>
            </w:tcBorders>
            <w:shd w:val="clear" w:color="auto" w:fill="auto"/>
            <w:vAlign w:val="center"/>
          </w:tcPr>
          <w:p w14:paraId="3DDC1A58"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shd w:val="clear" w:color="auto" w:fill="auto"/>
            <w:vAlign w:val="center"/>
          </w:tcPr>
          <w:p w14:paraId="3FEB682D"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shd w:val="clear" w:color="auto" w:fill="auto"/>
            <w:vAlign w:val="center"/>
          </w:tcPr>
          <w:p w14:paraId="450867C1"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6E81360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6A93B59"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0F28412C"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vAlign w:val="center"/>
          </w:tcPr>
          <w:p w14:paraId="1658DDF9"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59 730</w:t>
            </w:r>
          </w:p>
        </w:tc>
        <w:tc>
          <w:tcPr>
            <w:tcW w:w="1650" w:type="dxa"/>
            <w:tcBorders>
              <w:top w:val="single" w:sz="4" w:space="0" w:color="auto"/>
              <w:left w:val="nil"/>
              <w:bottom w:val="single" w:sz="4" w:space="0" w:color="auto"/>
              <w:right w:val="single" w:sz="4" w:space="0" w:color="auto"/>
            </w:tcBorders>
            <w:shd w:val="clear" w:color="auto" w:fill="BFBFBF"/>
            <w:vAlign w:val="center"/>
          </w:tcPr>
          <w:p w14:paraId="6A485AA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single" w:sz="4" w:space="0" w:color="auto"/>
              <w:left w:val="nil"/>
              <w:bottom w:val="single" w:sz="4" w:space="0" w:color="auto"/>
              <w:right w:val="single" w:sz="4" w:space="0" w:color="auto"/>
            </w:tcBorders>
            <w:shd w:val="clear" w:color="auto" w:fill="BFBFBF"/>
            <w:vAlign w:val="center"/>
          </w:tcPr>
          <w:p w14:paraId="74CA46D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single" w:sz="4" w:space="0" w:color="auto"/>
              <w:left w:val="nil"/>
              <w:bottom w:val="single" w:sz="4" w:space="0" w:color="auto"/>
              <w:right w:val="single" w:sz="4" w:space="0" w:color="auto"/>
            </w:tcBorders>
            <w:shd w:val="clear" w:color="auto" w:fill="BFBFBF"/>
            <w:vAlign w:val="center"/>
          </w:tcPr>
          <w:p w14:paraId="0F0C1985"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5E3BC95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bl>
    <w:p w14:paraId="15568626"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2 –  výdavky rozpísať až do položiek platnej ekonomickej klasifikácie</w:t>
      </w:r>
    </w:p>
    <w:p w14:paraId="336517DA"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Cs w:val="20"/>
          <w:lang w:eastAsia="sk-SK"/>
          <w14:ligatures w14:val="none"/>
        </w:rPr>
      </w:pPr>
    </w:p>
    <w:p w14:paraId="4850DAF0"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Cs w:val="20"/>
          <w:lang w:eastAsia="sk-SK"/>
          <w14:ligatures w14:val="none"/>
        </w:rPr>
        <w:t xml:space="preserve">  Poznámka:</w:t>
      </w:r>
    </w:p>
    <w:p w14:paraId="60EC13BC"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Cs w:val="20"/>
          <w:lang w:eastAsia="sk-SK"/>
          <w14:ligatures w14:val="none"/>
        </w:rPr>
        <w:t xml:space="preserve">  Ak sa vplyv týka viacerých subjektov verejnej správy, vypĺňa sa samostatná tabuľka za každý subjekt.</w:t>
      </w:r>
    </w:p>
    <w:p w14:paraId="5BBDF860"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21EE55FD"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4F659FF4"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08B633B4"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sectPr w:rsidR="00AD62CD" w:rsidRPr="00AD62CD" w:rsidSect="0099636A">
          <w:pgSz w:w="16838" w:h="11906" w:orient="landscape"/>
          <w:pgMar w:top="1417" w:right="1417" w:bottom="1417" w:left="1276" w:header="708" w:footer="708" w:gutter="0"/>
          <w:cols w:space="708"/>
          <w:docGrid w:linePitch="360"/>
        </w:sectPr>
      </w:pPr>
    </w:p>
    <w:p w14:paraId="50EA2E9F"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430B6660"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Analýza vplyvov na rozpočet verejnej správy,</w:t>
      </w:r>
    </w:p>
    <w:p w14:paraId="276337D5"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 xml:space="preserve">na zamestnanosť vo verejnej správe a financovanie návrhu </w:t>
      </w:r>
      <w:r w:rsidRPr="00AD62CD">
        <w:rPr>
          <w:rFonts w:ascii="Times New Roman" w:eastAsia="Times New Roman" w:hAnsi="Times New Roman" w:cs="Times New Roman"/>
          <w:b/>
          <w:bCs/>
          <w:kern w:val="0"/>
          <w:sz w:val="28"/>
          <w:szCs w:val="28"/>
          <w:lang w:eastAsia="sk-SK"/>
          <w14:ligatures w14:val="none"/>
        </w:rPr>
        <w:br/>
        <w:t>(Zákon o  osobitnom odvode z podnikania v regulovaných odvetviach)</w:t>
      </w:r>
    </w:p>
    <w:p w14:paraId="2461C0BF"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p>
    <w:p w14:paraId="552C151C"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 Zhrnutie vplyvov na rozpočet verejnej správy v návrhu</w:t>
      </w:r>
    </w:p>
    <w:p w14:paraId="1732B61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D62CD" w:rsidRPr="00AD62CD" w14:paraId="2DDFDD32" w14:textId="77777777" w:rsidTr="00AD62CD">
        <w:trPr>
          <w:cantSplit/>
          <w:trHeight w:val="194"/>
          <w:jc w:val="center"/>
        </w:trPr>
        <w:tc>
          <w:tcPr>
            <w:tcW w:w="4498" w:type="dxa"/>
            <w:vMerge w:val="restart"/>
            <w:shd w:val="clear" w:color="auto" w:fill="BFBFBF"/>
            <w:vAlign w:val="center"/>
          </w:tcPr>
          <w:p w14:paraId="0F7FEE1E"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Vplyvy na rozpočet verejnej správy</w:t>
            </w:r>
          </w:p>
        </w:tc>
        <w:tc>
          <w:tcPr>
            <w:tcW w:w="5523" w:type="dxa"/>
            <w:gridSpan w:val="4"/>
            <w:shd w:val="clear" w:color="auto" w:fill="BFBFBF"/>
            <w:vAlign w:val="center"/>
          </w:tcPr>
          <w:p w14:paraId="39DEA800"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 na rozpočet verejnej správy (v eurách)</w:t>
            </w:r>
          </w:p>
        </w:tc>
      </w:tr>
      <w:tr w:rsidR="00AD62CD" w:rsidRPr="00AD62CD" w14:paraId="1CAAA7AD" w14:textId="77777777" w:rsidTr="00AD62CD">
        <w:trPr>
          <w:cantSplit/>
          <w:trHeight w:val="70"/>
          <w:jc w:val="center"/>
        </w:trPr>
        <w:tc>
          <w:tcPr>
            <w:tcW w:w="4498" w:type="dxa"/>
            <w:vMerge/>
            <w:vAlign w:val="center"/>
          </w:tcPr>
          <w:p w14:paraId="00358ECD"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026" w:type="dxa"/>
            <w:tcBorders>
              <w:top w:val="nil"/>
              <w:left w:val="nil"/>
              <w:bottom w:val="single" w:sz="8" w:space="0" w:color="auto"/>
              <w:right w:val="single" w:sz="8" w:space="0" w:color="auto"/>
            </w:tcBorders>
            <w:shd w:val="clear" w:color="auto" w:fill="BFBFBF"/>
            <w:vAlign w:val="center"/>
          </w:tcPr>
          <w:p w14:paraId="21B3F477"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559" w:type="dxa"/>
            <w:tcBorders>
              <w:top w:val="nil"/>
              <w:left w:val="nil"/>
              <w:bottom w:val="single" w:sz="8" w:space="0" w:color="auto"/>
              <w:right w:val="single" w:sz="8" w:space="0" w:color="auto"/>
            </w:tcBorders>
            <w:shd w:val="clear" w:color="auto" w:fill="BFBFBF"/>
            <w:vAlign w:val="center"/>
          </w:tcPr>
          <w:p w14:paraId="0FB6303C"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417" w:type="dxa"/>
            <w:tcBorders>
              <w:top w:val="nil"/>
              <w:left w:val="nil"/>
              <w:bottom w:val="single" w:sz="8" w:space="0" w:color="auto"/>
              <w:right w:val="single" w:sz="8" w:space="0" w:color="auto"/>
            </w:tcBorders>
            <w:shd w:val="clear" w:color="auto" w:fill="BFBFBF"/>
            <w:vAlign w:val="center"/>
          </w:tcPr>
          <w:p w14:paraId="5B6515BB"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521" w:type="dxa"/>
            <w:tcBorders>
              <w:top w:val="nil"/>
              <w:left w:val="nil"/>
              <w:bottom w:val="single" w:sz="8" w:space="0" w:color="auto"/>
              <w:right w:val="single" w:sz="8" w:space="0" w:color="auto"/>
            </w:tcBorders>
            <w:shd w:val="clear" w:color="auto" w:fill="BFBFBF"/>
            <w:vAlign w:val="center"/>
          </w:tcPr>
          <w:p w14:paraId="4FFFA004"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r>
      <w:tr w:rsidR="00AD62CD" w:rsidRPr="00AD62CD" w14:paraId="202B8496"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59EF52BD"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tcPr>
          <w:p w14:paraId="4D46140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single" w:sz="8" w:space="0" w:color="auto"/>
              <w:left w:val="nil"/>
              <w:bottom w:val="single" w:sz="8" w:space="0" w:color="auto"/>
              <w:right w:val="single" w:sz="8" w:space="0" w:color="auto"/>
            </w:tcBorders>
            <w:shd w:val="clear" w:color="auto" w:fill="C0C0C0"/>
            <w:vAlign w:val="center"/>
          </w:tcPr>
          <w:p w14:paraId="147AEB3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4 940 000</w:t>
            </w:r>
          </w:p>
        </w:tc>
        <w:tc>
          <w:tcPr>
            <w:tcW w:w="1417" w:type="dxa"/>
            <w:tcBorders>
              <w:top w:val="single" w:sz="8" w:space="0" w:color="auto"/>
              <w:left w:val="nil"/>
              <w:bottom w:val="single" w:sz="8" w:space="0" w:color="auto"/>
              <w:right w:val="single" w:sz="8" w:space="0" w:color="auto"/>
            </w:tcBorders>
            <w:shd w:val="clear" w:color="auto" w:fill="C0C0C0"/>
            <w:vAlign w:val="center"/>
          </w:tcPr>
          <w:p w14:paraId="4A9E904B"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4 940 000</w:t>
            </w:r>
          </w:p>
        </w:tc>
        <w:tc>
          <w:tcPr>
            <w:tcW w:w="1521" w:type="dxa"/>
            <w:tcBorders>
              <w:top w:val="single" w:sz="8" w:space="0" w:color="auto"/>
              <w:left w:val="nil"/>
              <w:bottom w:val="single" w:sz="8" w:space="0" w:color="auto"/>
              <w:right w:val="single" w:sz="8" w:space="0" w:color="auto"/>
            </w:tcBorders>
            <w:shd w:val="clear" w:color="auto" w:fill="C0C0C0"/>
            <w:vAlign w:val="center"/>
          </w:tcPr>
          <w:p w14:paraId="40127BF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4 940 000</w:t>
            </w:r>
          </w:p>
        </w:tc>
      </w:tr>
      <w:tr w:rsidR="00AD62CD" w:rsidRPr="00AD62CD" w14:paraId="2857E1C2"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08A22A4"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14:paraId="0E5FD79B"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0DDF099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417" w:type="dxa"/>
            <w:tcBorders>
              <w:top w:val="nil"/>
              <w:left w:val="nil"/>
              <w:bottom w:val="single" w:sz="8" w:space="0" w:color="auto"/>
              <w:right w:val="single" w:sz="8" w:space="0" w:color="auto"/>
            </w:tcBorders>
            <w:shd w:val="clear" w:color="auto" w:fill="auto"/>
            <w:noWrap/>
            <w:vAlign w:val="center"/>
          </w:tcPr>
          <w:p w14:paraId="4080774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521" w:type="dxa"/>
            <w:tcBorders>
              <w:top w:val="nil"/>
              <w:left w:val="nil"/>
              <w:bottom w:val="single" w:sz="8" w:space="0" w:color="auto"/>
              <w:right w:val="single" w:sz="8" w:space="0" w:color="auto"/>
            </w:tcBorders>
            <w:shd w:val="clear" w:color="auto" w:fill="auto"/>
            <w:noWrap/>
            <w:vAlign w:val="center"/>
          </w:tcPr>
          <w:p w14:paraId="1B6C647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r>
      <w:tr w:rsidR="00AD62CD" w:rsidRPr="00AD62CD" w14:paraId="2411C00D"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E7C9ADB"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single" w:sz="8" w:space="0" w:color="auto"/>
              <w:bottom w:val="single" w:sz="8" w:space="0" w:color="auto"/>
              <w:right w:val="single" w:sz="8" w:space="0" w:color="auto"/>
            </w:tcBorders>
            <w:shd w:val="clear" w:color="auto" w:fill="auto"/>
            <w:noWrap/>
          </w:tcPr>
          <w:p w14:paraId="1D4D930F"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440F7593"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4 940 000</w:t>
            </w:r>
          </w:p>
        </w:tc>
        <w:tc>
          <w:tcPr>
            <w:tcW w:w="1417" w:type="dxa"/>
            <w:tcBorders>
              <w:top w:val="nil"/>
              <w:left w:val="nil"/>
              <w:bottom w:val="single" w:sz="8" w:space="0" w:color="auto"/>
              <w:right w:val="single" w:sz="8" w:space="0" w:color="auto"/>
            </w:tcBorders>
            <w:shd w:val="clear" w:color="auto" w:fill="auto"/>
            <w:noWrap/>
            <w:vAlign w:val="center"/>
          </w:tcPr>
          <w:p w14:paraId="201E5B0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4 940 000</w:t>
            </w:r>
          </w:p>
        </w:tc>
        <w:tc>
          <w:tcPr>
            <w:tcW w:w="1521" w:type="dxa"/>
            <w:tcBorders>
              <w:top w:val="nil"/>
              <w:left w:val="nil"/>
              <w:bottom w:val="single" w:sz="8" w:space="0" w:color="auto"/>
              <w:right w:val="single" w:sz="8" w:space="0" w:color="auto"/>
            </w:tcBorders>
            <w:shd w:val="clear" w:color="auto" w:fill="auto"/>
            <w:noWrap/>
            <w:vAlign w:val="center"/>
          </w:tcPr>
          <w:p w14:paraId="4797C29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4 940 000</w:t>
            </w:r>
          </w:p>
        </w:tc>
      </w:tr>
      <w:tr w:rsidR="00AD62CD" w:rsidRPr="00AD62CD" w14:paraId="4AC2B0D3" w14:textId="77777777" w:rsidTr="003627DF">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8018358"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tcPr>
          <w:p w14:paraId="4D18B1E4"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476D5962"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4 940 000</w:t>
            </w:r>
          </w:p>
        </w:tc>
        <w:tc>
          <w:tcPr>
            <w:tcW w:w="1417" w:type="dxa"/>
            <w:tcBorders>
              <w:top w:val="nil"/>
              <w:left w:val="nil"/>
              <w:bottom w:val="single" w:sz="8" w:space="0" w:color="auto"/>
              <w:right w:val="single" w:sz="8" w:space="0" w:color="auto"/>
            </w:tcBorders>
            <w:shd w:val="clear" w:color="auto" w:fill="auto"/>
            <w:noWrap/>
            <w:vAlign w:val="center"/>
          </w:tcPr>
          <w:p w14:paraId="490AF17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4 940 000</w:t>
            </w:r>
          </w:p>
        </w:tc>
        <w:tc>
          <w:tcPr>
            <w:tcW w:w="1521" w:type="dxa"/>
            <w:tcBorders>
              <w:top w:val="nil"/>
              <w:left w:val="nil"/>
              <w:bottom w:val="single" w:sz="8" w:space="0" w:color="auto"/>
              <w:right w:val="single" w:sz="8" w:space="0" w:color="auto"/>
            </w:tcBorders>
            <w:shd w:val="clear" w:color="auto" w:fill="auto"/>
            <w:noWrap/>
            <w:vAlign w:val="center"/>
          </w:tcPr>
          <w:p w14:paraId="43DE85E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4 940 000</w:t>
            </w:r>
          </w:p>
        </w:tc>
      </w:tr>
      <w:tr w:rsidR="00AD62CD" w:rsidRPr="00AD62CD" w14:paraId="3A050224"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A066F50"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(112) daň z príjmov právnických osôb</w:t>
            </w:r>
          </w:p>
        </w:tc>
        <w:tc>
          <w:tcPr>
            <w:tcW w:w="1026" w:type="dxa"/>
            <w:tcBorders>
              <w:top w:val="nil"/>
              <w:left w:val="nil"/>
              <w:bottom w:val="single" w:sz="8" w:space="0" w:color="auto"/>
              <w:right w:val="single" w:sz="8" w:space="0" w:color="auto"/>
            </w:tcBorders>
            <w:shd w:val="clear" w:color="auto" w:fill="auto"/>
            <w:noWrap/>
            <w:vAlign w:val="center"/>
          </w:tcPr>
          <w:p w14:paraId="53E90FAD"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2F0B41DB"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-1 560 000</w:t>
            </w:r>
          </w:p>
        </w:tc>
        <w:tc>
          <w:tcPr>
            <w:tcW w:w="1417" w:type="dxa"/>
            <w:tcBorders>
              <w:top w:val="nil"/>
              <w:left w:val="nil"/>
              <w:bottom w:val="single" w:sz="8" w:space="0" w:color="auto"/>
              <w:right w:val="single" w:sz="8" w:space="0" w:color="auto"/>
            </w:tcBorders>
            <w:shd w:val="clear" w:color="auto" w:fill="auto"/>
            <w:noWrap/>
            <w:vAlign w:val="center"/>
          </w:tcPr>
          <w:p w14:paraId="5DEA3883"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-1 560 000</w:t>
            </w:r>
          </w:p>
        </w:tc>
        <w:tc>
          <w:tcPr>
            <w:tcW w:w="1521" w:type="dxa"/>
            <w:tcBorders>
              <w:top w:val="nil"/>
              <w:left w:val="nil"/>
              <w:bottom w:val="single" w:sz="8" w:space="0" w:color="auto"/>
              <w:right w:val="single" w:sz="8" w:space="0" w:color="auto"/>
            </w:tcBorders>
            <w:shd w:val="clear" w:color="auto" w:fill="auto"/>
            <w:noWrap/>
            <w:vAlign w:val="center"/>
          </w:tcPr>
          <w:p w14:paraId="7D86DE24"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-1 560 000</w:t>
            </w:r>
          </w:p>
        </w:tc>
      </w:tr>
      <w:tr w:rsidR="00AD62CD" w:rsidRPr="00AD62CD" w14:paraId="4C6C1215"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D2FEAAE"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kern w:val="0"/>
                <w:sz w:val="22"/>
                <w:szCs w:val="22"/>
                <w14:ligatures w14:val="none"/>
              </w:rPr>
              <w:t>v tom: (194) osobitný odvod  z podnikania v regulovaných odvetviach</w:t>
            </w:r>
          </w:p>
        </w:tc>
        <w:tc>
          <w:tcPr>
            <w:tcW w:w="1026" w:type="dxa"/>
            <w:tcBorders>
              <w:top w:val="nil"/>
              <w:left w:val="nil"/>
              <w:bottom w:val="single" w:sz="8" w:space="0" w:color="auto"/>
              <w:right w:val="single" w:sz="8" w:space="0" w:color="auto"/>
            </w:tcBorders>
            <w:shd w:val="clear" w:color="auto" w:fill="auto"/>
            <w:noWrap/>
            <w:vAlign w:val="center"/>
          </w:tcPr>
          <w:p w14:paraId="624AF99D"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7156E528"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6 500 000</w:t>
            </w:r>
          </w:p>
        </w:tc>
        <w:tc>
          <w:tcPr>
            <w:tcW w:w="1417" w:type="dxa"/>
            <w:tcBorders>
              <w:top w:val="nil"/>
              <w:left w:val="nil"/>
              <w:bottom w:val="single" w:sz="8" w:space="0" w:color="auto"/>
              <w:right w:val="single" w:sz="8" w:space="0" w:color="auto"/>
            </w:tcBorders>
            <w:shd w:val="clear" w:color="auto" w:fill="auto"/>
            <w:noWrap/>
            <w:vAlign w:val="center"/>
          </w:tcPr>
          <w:p w14:paraId="2DA229AA"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6 500 000</w:t>
            </w:r>
          </w:p>
        </w:tc>
        <w:tc>
          <w:tcPr>
            <w:tcW w:w="1521" w:type="dxa"/>
            <w:tcBorders>
              <w:top w:val="nil"/>
              <w:left w:val="nil"/>
              <w:bottom w:val="single" w:sz="8" w:space="0" w:color="auto"/>
              <w:right w:val="single" w:sz="8" w:space="0" w:color="auto"/>
            </w:tcBorders>
            <w:shd w:val="clear" w:color="auto" w:fill="auto"/>
            <w:noWrap/>
            <w:vAlign w:val="center"/>
          </w:tcPr>
          <w:p w14:paraId="41253B98"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i/>
                <w:iCs/>
                <w:kern w:val="0"/>
                <w:sz w:val="22"/>
                <w:szCs w:val="22"/>
                <w14:ligatures w14:val="none"/>
              </w:rPr>
              <w:t>6 500 000</w:t>
            </w:r>
          </w:p>
        </w:tc>
      </w:tr>
      <w:tr w:rsidR="00AD62CD" w:rsidRPr="00AD62CD" w14:paraId="36680DE2"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8FE7DA1"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EÚ zdroje</w:t>
            </w:r>
          </w:p>
        </w:tc>
        <w:tc>
          <w:tcPr>
            <w:tcW w:w="1026" w:type="dxa"/>
            <w:tcBorders>
              <w:top w:val="nil"/>
              <w:left w:val="nil"/>
              <w:bottom w:val="single" w:sz="8" w:space="0" w:color="auto"/>
              <w:right w:val="single" w:sz="8" w:space="0" w:color="auto"/>
            </w:tcBorders>
            <w:shd w:val="clear" w:color="auto" w:fill="auto"/>
            <w:noWrap/>
          </w:tcPr>
          <w:p w14:paraId="062666B4"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0A3EB95F"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35A2AE9"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52CE55D"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3C916991"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0E95C8F"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2390C267"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037EA4D7"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C868128"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F15A616"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FB292E3"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18BB5C5"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57C91517"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583AFAFB"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9BB510A"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220CF03"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3E5ACD91"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0B9DE6B"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45965B14"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3430EE8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43C5A5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2A634BA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5015227C"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3C8D037A"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Výdavky verejnej správy celkom</w:t>
            </w:r>
          </w:p>
        </w:tc>
        <w:tc>
          <w:tcPr>
            <w:tcW w:w="1026" w:type="dxa"/>
            <w:tcBorders>
              <w:top w:val="nil"/>
              <w:left w:val="nil"/>
              <w:bottom w:val="single" w:sz="8" w:space="0" w:color="auto"/>
              <w:right w:val="single" w:sz="8" w:space="0" w:color="auto"/>
            </w:tcBorders>
            <w:shd w:val="clear" w:color="auto" w:fill="C0C0C0"/>
            <w:noWrap/>
          </w:tcPr>
          <w:p w14:paraId="08CB23F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70 972</w:t>
            </w:r>
          </w:p>
        </w:tc>
        <w:tc>
          <w:tcPr>
            <w:tcW w:w="1559" w:type="dxa"/>
            <w:tcBorders>
              <w:top w:val="nil"/>
              <w:left w:val="nil"/>
              <w:bottom w:val="single" w:sz="8" w:space="0" w:color="auto"/>
              <w:right w:val="single" w:sz="8" w:space="0" w:color="auto"/>
            </w:tcBorders>
            <w:shd w:val="clear" w:color="auto" w:fill="C0C0C0"/>
            <w:noWrap/>
          </w:tcPr>
          <w:p w14:paraId="742F302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C0C0C0"/>
            <w:noWrap/>
          </w:tcPr>
          <w:p w14:paraId="5157A40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C0C0C0"/>
            <w:noWrap/>
          </w:tcPr>
          <w:p w14:paraId="2A3BB82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49908096"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5D8D938" w14:textId="77777777" w:rsidR="00AD62CD" w:rsidRPr="00AD62CD" w:rsidRDefault="00AD62CD" w:rsidP="00AD62CD">
            <w:pPr>
              <w:spacing w:after="0" w:line="276"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v tom: kapitola MF SR/</w:t>
            </w:r>
          </w:p>
          <w:p w14:paraId="7B1221F1"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0EK 0D Informačné technológie financované zo ŠR – MF SR (org. MF SR - úrad, FR SR)</w:t>
            </w:r>
          </w:p>
        </w:tc>
        <w:tc>
          <w:tcPr>
            <w:tcW w:w="1026" w:type="dxa"/>
            <w:tcBorders>
              <w:top w:val="nil"/>
              <w:left w:val="nil"/>
              <w:bottom w:val="single" w:sz="8" w:space="0" w:color="auto"/>
              <w:right w:val="single" w:sz="8" w:space="0" w:color="auto"/>
            </w:tcBorders>
            <w:shd w:val="clear" w:color="auto" w:fill="auto"/>
            <w:noWrap/>
          </w:tcPr>
          <w:p w14:paraId="01AD0A46"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tcPr>
          <w:p w14:paraId="666FCC4F"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417" w:type="dxa"/>
            <w:tcBorders>
              <w:top w:val="nil"/>
              <w:left w:val="nil"/>
              <w:bottom w:val="single" w:sz="8" w:space="0" w:color="auto"/>
              <w:right w:val="single" w:sz="8" w:space="0" w:color="auto"/>
            </w:tcBorders>
            <w:shd w:val="clear" w:color="auto" w:fill="auto"/>
            <w:noWrap/>
          </w:tcPr>
          <w:p w14:paraId="69FDEB55"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521" w:type="dxa"/>
            <w:tcBorders>
              <w:top w:val="nil"/>
              <w:left w:val="nil"/>
              <w:bottom w:val="single" w:sz="8" w:space="0" w:color="auto"/>
              <w:right w:val="single" w:sz="8" w:space="0" w:color="auto"/>
            </w:tcBorders>
            <w:shd w:val="clear" w:color="auto" w:fill="auto"/>
            <w:noWrap/>
          </w:tcPr>
          <w:p w14:paraId="4D3A1DA7"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r>
      <w:tr w:rsidR="00AD62CD" w:rsidRPr="00AD62CD" w14:paraId="2E282584"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7A1CA11"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0EK0D0Q</w:t>
            </w:r>
          </w:p>
        </w:tc>
        <w:tc>
          <w:tcPr>
            <w:tcW w:w="1026" w:type="dxa"/>
            <w:tcBorders>
              <w:top w:val="nil"/>
              <w:left w:val="nil"/>
              <w:bottom w:val="single" w:sz="8" w:space="0" w:color="auto"/>
              <w:right w:val="single" w:sz="8" w:space="0" w:color="auto"/>
            </w:tcBorders>
            <w:shd w:val="clear" w:color="auto" w:fill="auto"/>
            <w:noWrap/>
          </w:tcPr>
          <w:p w14:paraId="24D1C445"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33 000</w:t>
            </w:r>
          </w:p>
        </w:tc>
        <w:tc>
          <w:tcPr>
            <w:tcW w:w="1559" w:type="dxa"/>
            <w:tcBorders>
              <w:top w:val="nil"/>
              <w:left w:val="nil"/>
              <w:bottom w:val="single" w:sz="8" w:space="0" w:color="auto"/>
              <w:right w:val="single" w:sz="8" w:space="0" w:color="auto"/>
            </w:tcBorders>
            <w:shd w:val="clear" w:color="auto" w:fill="auto"/>
            <w:noWrap/>
          </w:tcPr>
          <w:p w14:paraId="1E635998"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470DD7B"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8ED998A"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0DE2BE2C"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533FF62"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0EK0D14</w:t>
            </w:r>
          </w:p>
        </w:tc>
        <w:tc>
          <w:tcPr>
            <w:tcW w:w="1026" w:type="dxa"/>
            <w:tcBorders>
              <w:top w:val="nil"/>
              <w:left w:val="nil"/>
              <w:bottom w:val="single" w:sz="8" w:space="0" w:color="auto"/>
              <w:right w:val="single" w:sz="8" w:space="0" w:color="auto"/>
            </w:tcBorders>
            <w:shd w:val="clear" w:color="auto" w:fill="auto"/>
            <w:noWrap/>
          </w:tcPr>
          <w:p w14:paraId="46D948EA"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37 400</w:t>
            </w:r>
          </w:p>
        </w:tc>
        <w:tc>
          <w:tcPr>
            <w:tcW w:w="1559" w:type="dxa"/>
            <w:tcBorders>
              <w:top w:val="nil"/>
              <w:left w:val="nil"/>
              <w:bottom w:val="single" w:sz="8" w:space="0" w:color="auto"/>
              <w:right w:val="single" w:sz="8" w:space="0" w:color="auto"/>
            </w:tcBorders>
            <w:shd w:val="clear" w:color="auto" w:fill="auto"/>
            <w:noWrap/>
          </w:tcPr>
          <w:p w14:paraId="18CF0B95"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9FC0D0C"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58D6EDC"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6B38C663"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EA66611"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lang w:eastAsia="sk-SK"/>
                <w14:ligatures w14:val="none"/>
              </w:rPr>
              <w:t xml:space="preserve">           Program 0EK0D1L</w:t>
            </w:r>
          </w:p>
        </w:tc>
        <w:tc>
          <w:tcPr>
            <w:tcW w:w="1026" w:type="dxa"/>
            <w:tcBorders>
              <w:top w:val="nil"/>
              <w:left w:val="nil"/>
              <w:bottom w:val="single" w:sz="8" w:space="0" w:color="auto"/>
              <w:right w:val="single" w:sz="8" w:space="0" w:color="auto"/>
            </w:tcBorders>
            <w:shd w:val="clear" w:color="auto" w:fill="auto"/>
            <w:noWrap/>
          </w:tcPr>
          <w:p w14:paraId="60A669F9"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572</w:t>
            </w:r>
          </w:p>
        </w:tc>
        <w:tc>
          <w:tcPr>
            <w:tcW w:w="1559" w:type="dxa"/>
            <w:tcBorders>
              <w:top w:val="nil"/>
              <w:left w:val="nil"/>
              <w:bottom w:val="single" w:sz="8" w:space="0" w:color="auto"/>
              <w:right w:val="single" w:sz="8" w:space="0" w:color="auto"/>
            </w:tcBorders>
            <w:shd w:val="clear" w:color="auto" w:fill="auto"/>
            <w:noWrap/>
          </w:tcPr>
          <w:p w14:paraId="6B3C6074"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064D2AAB"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96AA495"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r w:rsidRPr="00AD62CD">
              <w:rPr>
                <w:rFonts w:ascii="Times New Roman" w:eastAsia="Calibri" w:hAnsi="Times New Roman" w:cs="Times New Roman"/>
                <w:bCs/>
                <w:color w:val="000000"/>
                <w:kern w:val="0"/>
                <w:sz w:val="22"/>
                <w:szCs w:val="22"/>
                <w14:ligatures w14:val="none"/>
              </w:rPr>
              <w:t>0</w:t>
            </w:r>
          </w:p>
        </w:tc>
      </w:tr>
      <w:tr w:rsidR="00AD62CD" w:rsidRPr="00AD62CD" w14:paraId="0F84EA3A"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C1FB122"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tcPr>
          <w:p w14:paraId="66DB583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c>
          <w:tcPr>
            <w:tcW w:w="1559" w:type="dxa"/>
            <w:tcBorders>
              <w:top w:val="nil"/>
              <w:left w:val="nil"/>
              <w:bottom w:val="single" w:sz="8" w:space="0" w:color="auto"/>
              <w:right w:val="single" w:sz="8" w:space="0" w:color="auto"/>
            </w:tcBorders>
            <w:shd w:val="clear" w:color="auto" w:fill="auto"/>
            <w:noWrap/>
          </w:tcPr>
          <w:p w14:paraId="07D4215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c>
          <w:tcPr>
            <w:tcW w:w="1417" w:type="dxa"/>
            <w:tcBorders>
              <w:top w:val="nil"/>
              <w:left w:val="nil"/>
              <w:bottom w:val="single" w:sz="8" w:space="0" w:color="auto"/>
              <w:right w:val="single" w:sz="8" w:space="0" w:color="auto"/>
            </w:tcBorders>
            <w:shd w:val="clear" w:color="auto" w:fill="auto"/>
            <w:noWrap/>
          </w:tcPr>
          <w:p w14:paraId="70105EB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c>
          <w:tcPr>
            <w:tcW w:w="1521" w:type="dxa"/>
            <w:tcBorders>
              <w:top w:val="nil"/>
              <w:left w:val="nil"/>
              <w:bottom w:val="single" w:sz="8" w:space="0" w:color="auto"/>
              <w:right w:val="single" w:sz="8" w:space="0" w:color="auto"/>
            </w:tcBorders>
            <w:shd w:val="clear" w:color="auto" w:fill="auto"/>
            <w:noWrap/>
          </w:tcPr>
          <w:p w14:paraId="3F0DCD2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p>
        </w:tc>
      </w:tr>
      <w:tr w:rsidR="00AD62CD" w:rsidRPr="00AD62CD" w14:paraId="7CDEB5D1"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91A735B"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06C8646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70 972</w:t>
            </w:r>
          </w:p>
        </w:tc>
        <w:tc>
          <w:tcPr>
            <w:tcW w:w="1559" w:type="dxa"/>
            <w:tcBorders>
              <w:top w:val="nil"/>
              <w:left w:val="nil"/>
              <w:bottom w:val="single" w:sz="8" w:space="0" w:color="auto"/>
              <w:right w:val="single" w:sz="8" w:space="0" w:color="auto"/>
            </w:tcBorders>
            <w:shd w:val="clear" w:color="auto" w:fill="auto"/>
            <w:noWrap/>
          </w:tcPr>
          <w:p w14:paraId="50C1282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1D2F0EE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15AA0F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753FEAF"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6F1FDB4"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Rozpočtové prostriedky</w:t>
            </w:r>
          </w:p>
        </w:tc>
        <w:tc>
          <w:tcPr>
            <w:tcW w:w="1026" w:type="dxa"/>
            <w:tcBorders>
              <w:top w:val="nil"/>
              <w:left w:val="nil"/>
              <w:bottom w:val="single" w:sz="8" w:space="0" w:color="auto"/>
              <w:right w:val="single" w:sz="8" w:space="0" w:color="auto"/>
            </w:tcBorders>
            <w:shd w:val="clear" w:color="auto" w:fill="auto"/>
            <w:noWrap/>
          </w:tcPr>
          <w:p w14:paraId="0C9E8FBA"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70 972</w:t>
            </w:r>
          </w:p>
        </w:tc>
        <w:tc>
          <w:tcPr>
            <w:tcW w:w="1559" w:type="dxa"/>
            <w:tcBorders>
              <w:top w:val="nil"/>
              <w:left w:val="nil"/>
              <w:bottom w:val="single" w:sz="8" w:space="0" w:color="auto"/>
              <w:right w:val="single" w:sz="8" w:space="0" w:color="auto"/>
            </w:tcBorders>
            <w:shd w:val="clear" w:color="auto" w:fill="auto"/>
            <w:noWrap/>
          </w:tcPr>
          <w:p w14:paraId="39FC81ED"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7113325"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9E3E84F"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314DFA64"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C5E4D34"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daňový bonus na hypotéky</w:t>
            </w:r>
          </w:p>
        </w:tc>
        <w:tc>
          <w:tcPr>
            <w:tcW w:w="1026" w:type="dxa"/>
            <w:tcBorders>
              <w:top w:val="nil"/>
              <w:left w:val="nil"/>
              <w:bottom w:val="single" w:sz="8" w:space="0" w:color="auto"/>
              <w:right w:val="single" w:sz="8" w:space="0" w:color="auto"/>
            </w:tcBorders>
            <w:shd w:val="clear" w:color="auto" w:fill="auto"/>
            <w:noWrap/>
          </w:tcPr>
          <w:p w14:paraId="18C47E43"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52C96EC"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AA6B99E"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492BD317"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2ACA76F5"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78B8A6C"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 xml:space="preserve">    EÚ zdroje</w:t>
            </w:r>
          </w:p>
        </w:tc>
        <w:tc>
          <w:tcPr>
            <w:tcW w:w="1026" w:type="dxa"/>
            <w:tcBorders>
              <w:top w:val="nil"/>
              <w:left w:val="nil"/>
              <w:bottom w:val="single" w:sz="8" w:space="0" w:color="auto"/>
              <w:right w:val="single" w:sz="8" w:space="0" w:color="auto"/>
            </w:tcBorders>
            <w:shd w:val="clear" w:color="auto" w:fill="auto"/>
            <w:noWrap/>
          </w:tcPr>
          <w:p w14:paraId="5F4A1EA2"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39861F0B"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961BBF1"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573E94F"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727DFB42"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4426720"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 xml:space="preserve">    spolufinancovanie</w:t>
            </w:r>
          </w:p>
        </w:tc>
        <w:tc>
          <w:tcPr>
            <w:tcW w:w="1026" w:type="dxa"/>
            <w:tcBorders>
              <w:top w:val="nil"/>
              <w:left w:val="nil"/>
              <w:bottom w:val="single" w:sz="8" w:space="0" w:color="auto"/>
              <w:right w:val="single" w:sz="8" w:space="0" w:color="auto"/>
            </w:tcBorders>
            <w:shd w:val="clear" w:color="auto" w:fill="auto"/>
            <w:noWrap/>
          </w:tcPr>
          <w:p w14:paraId="727B1375"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6A671BA"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A65E115"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178CDD9"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BD638C8"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61D15B9"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04D7591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5480822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10D9C4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231640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3F87A8AA"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44D0FE6"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1B67A9B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2E6D66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1CBC101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5C2717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303E9E00"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25E51B5"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07715F5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2362D37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15632D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2E898E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3C828412"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6D4035CC"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Vplyv na počet zamestnancov </w:t>
            </w:r>
          </w:p>
        </w:tc>
        <w:tc>
          <w:tcPr>
            <w:tcW w:w="1026" w:type="dxa"/>
            <w:tcBorders>
              <w:top w:val="nil"/>
              <w:left w:val="nil"/>
              <w:bottom w:val="single" w:sz="8" w:space="0" w:color="auto"/>
              <w:right w:val="single" w:sz="8" w:space="0" w:color="auto"/>
            </w:tcBorders>
            <w:shd w:val="clear" w:color="auto" w:fill="BFBFBF"/>
            <w:noWrap/>
          </w:tcPr>
          <w:p w14:paraId="535CD51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2B6872B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610553E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2471CAE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290FABAE"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6117330"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167CF1A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5250296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852218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1DDE7B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D59357C"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939F545"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1F8347B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0A62DD5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0DD1623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4B1A02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9612437"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2659690"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0E4DD4D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5AEB6E1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14EA358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813599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2A56E1C4"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EB71F88"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12417E2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59228A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032FC57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AB69AA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0AB996BC"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621FED6C"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Vplyv na mzdové výdavky</w:t>
            </w:r>
          </w:p>
        </w:tc>
        <w:tc>
          <w:tcPr>
            <w:tcW w:w="1026" w:type="dxa"/>
            <w:tcBorders>
              <w:top w:val="nil"/>
              <w:left w:val="nil"/>
              <w:bottom w:val="single" w:sz="8" w:space="0" w:color="auto"/>
              <w:right w:val="single" w:sz="8" w:space="0" w:color="auto"/>
            </w:tcBorders>
            <w:shd w:val="clear" w:color="auto" w:fill="BFBFBF"/>
            <w:noWrap/>
          </w:tcPr>
          <w:p w14:paraId="7DE4448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3926491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0CCE9AA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6D0F9AF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45394B08"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CD84E0B"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6136A1C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07E87E4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7D41F5E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682DBD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8D93E7F"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2005004"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210A88B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2C2A9C9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79C6C9E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A3BF2A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7C8C5E09"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13F66B4"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0853D5B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339BA0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8A2400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37F7A8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08013C5E"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0008D1C"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20323F2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2AE1FD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D08AFC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414B7CD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75E65396"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3275AA15"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Financovanie zabezpečené v rozpočte</w:t>
            </w:r>
          </w:p>
        </w:tc>
        <w:tc>
          <w:tcPr>
            <w:tcW w:w="1026" w:type="dxa"/>
            <w:tcBorders>
              <w:top w:val="nil"/>
              <w:left w:val="nil"/>
              <w:bottom w:val="single" w:sz="8" w:space="0" w:color="auto"/>
              <w:right w:val="single" w:sz="8" w:space="0" w:color="auto"/>
            </w:tcBorders>
            <w:shd w:val="clear" w:color="auto" w:fill="C0C0C0"/>
            <w:noWrap/>
          </w:tcPr>
          <w:p w14:paraId="670AA97D" w14:textId="77777777" w:rsidR="00AD62CD" w:rsidRPr="00AD62CD" w:rsidRDefault="00AD62CD" w:rsidP="00AD62CD">
            <w:pPr>
              <w:tabs>
                <w:tab w:val="center" w:pos="443"/>
                <w:tab w:val="right" w:pos="886"/>
              </w:tabs>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ab/>
              <w:t>70 972</w:t>
            </w:r>
          </w:p>
        </w:tc>
        <w:tc>
          <w:tcPr>
            <w:tcW w:w="1559" w:type="dxa"/>
            <w:tcBorders>
              <w:top w:val="nil"/>
              <w:left w:val="nil"/>
              <w:bottom w:val="single" w:sz="8" w:space="0" w:color="auto"/>
              <w:right w:val="single" w:sz="8" w:space="0" w:color="auto"/>
            </w:tcBorders>
            <w:shd w:val="clear" w:color="auto" w:fill="C0C0C0"/>
            <w:noWrap/>
          </w:tcPr>
          <w:p w14:paraId="1F1513A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C0C0C0"/>
            <w:noWrap/>
          </w:tcPr>
          <w:p w14:paraId="069FAF1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C0C0C0"/>
            <w:noWrap/>
          </w:tcPr>
          <w:p w14:paraId="370C820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0A03F9D5"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20218F0A"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Iné ako rozpočtové zdroje</w:t>
            </w:r>
          </w:p>
        </w:tc>
        <w:tc>
          <w:tcPr>
            <w:tcW w:w="1026" w:type="dxa"/>
            <w:tcBorders>
              <w:top w:val="nil"/>
              <w:left w:val="nil"/>
              <w:bottom w:val="single" w:sz="8" w:space="0" w:color="auto"/>
              <w:right w:val="single" w:sz="8" w:space="0" w:color="auto"/>
            </w:tcBorders>
            <w:shd w:val="clear" w:color="auto" w:fill="BFBFBF"/>
            <w:noWrap/>
          </w:tcPr>
          <w:p w14:paraId="42793BB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3FF3AC9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0231456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373F148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3086DE71"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A6A6A6"/>
            <w:noWrap/>
            <w:vAlign w:val="center"/>
          </w:tcPr>
          <w:p w14:paraId="559428FC"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Rozpočtovo nekrytý vplyv / úspora</w:t>
            </w:r>
          </w:p>
        </w:tc>
        <w:tc>
          <w:tcPr>
            <w:tcW w:w="1026" w:type="dxa"/>
            <w:tcBorders>
              <w:top w:val="nil"/>
              <w:left w:val="nil"/>
              <w:bottom w:val="single" w:sz="8" w:space="0" w:color="auto"/>
              <w:right w:val="single" w:sz="8" w:space="0" w:color="auto"/>
            </w:tcBorders>
            <w:shd w:val="clear" w:color="auto" w:fill="A6A6A6"/>
            <w:noWrap/>
            <w:vAlign w:val="center"/>
          </w:tcPr>
          <w:p w14:paraId="2FF525C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6A6A6"/>
            <w:noWrap/>
            <w:vAlign w:val="center"/>
          </w:tcPr>
          <w:p w14:paraId="6AB677F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-4 940 000</w:t>
            </w:r>
          </w:p>
        </w:tc>
        <w:tc>
          <w:tcPr>
            <w:tcW w:w="1417" w:type="dxa"/>
            <w:tcBorders>
              <w:top w:val="nil"/>
              <w:left w:val="nil"/>
              <w:bottom w:val="single" w:sz="8" w:space="0" w:color="auto"/>
              <w:right w:val="single" w:sz="8" w:space="0" w:color="auto"/>
            </w:tcBorders>
            <w:shd w:val="clear" w:color="auto" w:fill="A6A6A6"/>
            <w:noWrap/>
            <w:vAlign w:val="center"/>
          </w:tcPr>
          <w:p w14:paraId="7526100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-4 940 000</w:t>
            </w:r>
          </w:p>
        </w:tc>
        <w:tc>
          <w:tcPr>
            <w:tcW w:w="1521" w:type="dxa"/>
            <w:tcBorders>
              <w:top w:val="nil"/>
              <w:left w:val="nil"/>
              <w:bottom w:val="single" w:sz="8" w:space="0" w:color="auto"/>
              <w:right w:val="single" w:sz="8" w:space="0" w:color="auto"/>
            </w:tcBorders>
            <w:shd w:val="clear" w:color="auto" w:fill="A6A6A6"/>
            <w:noWrap/>
            <w:vAlign w:val="center"/>
          </w:tcPr>
          <w:p w14:paraId="5042DF8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-4 940 000</w:t>
            </w:r>
          </w:p>
        </w:tc>
      </w:tr>
    </w:tbl>
    <w:p w14:paraId="4110740F"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p>
    <w:p w14:paraId="2F414994"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2.1.1. Financovanie návrhu - Návrh na riešenie úbytku príjmov alebo zvýšených výdavkov podľa § 33 ods. 1 zákona č. 523/2004 Z. z. o rozpočtových pravidlách verejnej správy:</w:t>
      </w:r>
    </w:p>
    <w:p w14:paraId="76B07C58"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bCs/>
          <w:kern w:val="0"/>
          <w14:ligatures w14:val="none"/>
        </w:rPr>
        <w:t xml:space="preserve">Plnenie návrhu zákona je podmienené úpravami informačných systémov Finančného riaditeľstva Slovenskej republiky (ďalej len „FR SR“) v celkovej výške 70 972 eur (kapitálové výdavky, </w:t>
      </w:r>
      <w:r w:rsidRPr="00AD62CD">
        <w:rPr>
          <w:rFonts w:ascii="Times New Roman" w:eastAsia="Times New Roman" w:hAnsi="Times New Roman" w:cs="Times New Roman"/>
          <w:kern w:val="0"/>
          <w:lang w:eastAsia="sk-SK"/>
          <w14:ligatures w14:val="none"/>
        </w:rPr>
        <w:t>kategória 710</w:t>
      </w:r>
      <w:r w:rsidRPr="00AD62CD">
        <w:rPr>
          <w:rFonts w:ascii="Times New Roman" w:eastAsia="Calibri" w:hAnsi="Times New Roman" w:cs="Times New Roman"/>
          <w:bCs/>
          <w:kern w:val="0"/>
          <w14:ligatures w14:val="none"/>
        </w:rPr>
        <w:t>, podprogram 0EK0D – Informačné technológie financované zo štátneho rozpočtu – Ministerstvo financií Slovenskej republiky), a to:</w:t>
      </w:r>
    </w:p>
    <w:p w14:paraId="6B9F240B"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p>
    <w:p w14:paraId="53369F60"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Integrovaný systém Finančnej správy – správa daní (ISFS-SD)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37 400 eur (2025)</w:t>
      </w:r>
    </w:p>
    <w:p w14:paraId="718CF692"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DR SCAN v sume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Times New Roman" w:hAnsi="Times New Roman" w:cs="Times New Roman"/>
          <w:kern w:val="0"/>
          <w:lang w:eastAsia="sk-SK"/>
          <w14:ligatures w14:val="none"/>
        </w:rPr>
        <w:t>572</w:t>
      </w:r>
      <w:r w:rsidRPr="00AD62CD">
        <w:rPr>
          <w:rFonts w:ascii="Times New Roman" w:eastAsia="Calibri" w:hAnsi="Times New Roman" w:cs="Times New Roman"/>
          <w:kern w:val="0"/>
          <w14:ligatures w14:val="none"/>
        </w:rPr>
        <w:t xml:space="preserve"> eur (2025)</w:t>
      </w:r>
    </w:p>
    <w:p w14:paraId="47DC30EE"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Portál finančnej správy (PFS)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33 000 eur (2025)</w:t>
      </w:r>
    </w:p>
    <w:p w14:paraId="654DF7E5"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p>
    <w:p w14:paraId="7B2BF96F"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 Popis a charakteristika návrhu</w:t>
      </w:r>
    </w:p>
    <w:p w14:paraId="610D1115"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4D5532E9"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2.2.1. Popis návrhu:</w:t>
      </w:r>
    </w:p>
    <w:p w14:paraId="588EFE24"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00B8A1B2"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Akú problematiku návrh rieši? Kto bude návrh implementovať? Kde sa budú služby poskytovať?</w:t>
      </w:r>
    </w:p>
    <w:p w14:paraId="461FCB62"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4CCA3E67"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05C8C585"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024E3977"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K novele zákona č 235/2012 Z. z. o osobitnom odvode z podnikania v regulovaných odvetviach</w:t>
      </w:r>
    </w:p>
    <w:p w14:paraId="0DFF3BE9" w14:textId="77777777" w:rsidR="00AD62CD" w:rsidRPr="00AD62CD" w:rsidRDefault="00AD62CD" w:rsidP="00AD62CD">
      <w:pPr>
        <w:spacing w:after="0" w:line="240" w:lineRule="auto"/>
        <w:jc w:val="both"/>
        <w:rPr>
          <w:rFonts w:ascii="Times New Roman" w:eastAsia="Calibri" w:hAnsi="Times New Roman" w:cs="Times New Roman"/>
          <w:b/>
          <w:bCs/>
          <w:kern w:val="0"/>
          <w:highlight w:val="yellow"/>
          <w:lang w:eastAsia="sk-SK"/>
          <w14:ligatures w14:val="none"/>
        </w:rPr>
      </w:pPr>
    </w:p>
    <w:p w14:paraId="13AA1D89"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Zvýšenie sadzby osobitného odvodu z podnikania v regulovaných odvetviach pre firmy v oblasti kolektívneho investovania na 15 %</w:t>
      </w:r>
    </w:p>
    <w:p w14:paraId="003BCA9E"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r w:rsidRPr="00AD62CD">
        <w:rPr>
          <w:rFonts w:ascii="Times New Roman" w:eastAsia="Calibri" w:hAnsi="Times New Roman" w:cs="Times New Roman"/>
          <w:kern w:val="0"/>
          <w:lang w:eastAsia="sk-SK"/>
          <w14:ligatures w14:val="none"/>
        </w:rPr>
        <w:t xml:space="preserve">S účinnosťou od 31.12.2025 sa </w:t>
      </w:r>
      <w:r w:rsidRPr="00AD62CD">
        <w:rPr>
          <w:rFonts w:ascii="Times New Roman" w:eastAsia="Calibri" w:hAnsi="Times New Roman" w:cs="Times New Roman"/>
          <w:bCs/>
          <w:kern w:val="0"/>
          <w:lang w:eastAsia="sk-SK"/>
          <w14:ligatures w14:val="none"/>
        </w:rPr>
        <w:t>navyšuje pre firmy v oblasti kolektívneho investovania sadzba osobitného odvodu z 4,365 % na 15 % ročne.</w:t>
      </w:r>
    </w:p>
    <w:p w14:paraId="10D8CB92" w14:textId="77777777" w:rsidR="00AD62CD" w:rsidRPr="00AD62CD" w:rsidRDefault="00AD62CD" w:rsidP="00AD62CD">
      <w:pPr>
        <w:spacing w:after="0" w:line="240" w:lineRule="auto"/>
        <w:jc w:val="both"/>
        <w:rPr>
          <w:rFonts w:ascii="Times New Roman" w:eastAsia="Calibri" w:hAnsi="Times New Roman" w:cs="Times New Roman"/>
          <w:b/>
          <w:bCs/>
          <w:kern w:val="0"/>
          <w:highlight w:val="yellow"/>
          <w:lang w:eastAsia="sk-SK"/>
          <w14:ligatures w14:val="none"/>
        </w:rPr>
      </w:pPr>
    </w:p>
    <w:p w14:paraId="68064E0B"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54ECF86F"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2.2.2. Charakteristika návrhu:</w:t>
      </w:r>
    </w:p>
    <w:p w14:paraId="220390B8"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7DD3A6E0"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kern w:val="0"/>
          <w:bdr w:val="single" w:sz="4" w:space="0" w:color="auto"/>
          <w:lang w:eastAsia="sk-SK"/>
          <w14:ligatures w14:val="none"/>
        </w:rPr>
        <w:t xml:space="preserve">     </w:t>
      </w:r>
      <w:r w:rsidRPr="00AD62CD">
        <w:rPr>
          <w:rFonts w:ascii="Times New Roman" w:eastAsia="Calibri" w:hAnsi="Times New Roman" w:cs="Times New Roman"/>
          <w:b/>
          <w:kern w:val="0"/>
          <w:lang w:eastAsia="sk-SK"/>
          <w14:ligatures w14:val="none"/>
        </w:rPr>
        <w:t xml:space="preserve">  </w:t>
      </w:r>
      <w:r w:rsidRPr="00AD62CD">
        <w:rPr>
          <w:rFonts w:ascii="Times New Roman" w:eastAsia="Calibri" w:hAnsi="Times New Roman" w:cs="Times New Roman"/>
          <w:kern w:val="0"/>
          <w:lang w:eastAsia="sk-SK"/>
          <w14:ligatures w14:val="none"/>
        </w:rPr>
        <w:t>zmena sadzby</w:t>
      </w:r>
    </w:p>
    <w:p w14:paraId="3BB5DCE1"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zmena v nároku</w:t>
      </w:r>
    </w:p>
    <w:p w14:paraId="4AE7872B"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nová služba alebo nariadenie (alebo ich zrušenie)</w:t>
      </w:r>
    </w:p>
    <w:p w14:paraId="2F3957E3"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x  </w:t>
      </w:r>
      <w:r w:rsidRPr="00AD62CD">
        <w:rPr>
          <w:rFonts w:ascii="Times New Roman" w:eastAsia="Calibri" w:hAnsi="Times New Roman" w:cs="Times New Roman"/>
          <w:kern w:val="0"/>
          <w:lang w:eastAsia="sk-SK"/>
          <w14:ligatures w14:val="none"/>
        </w:rPr>
        <w:t xml:space="preserve">  kombinovaný návrh</w:t>
      </w:r>
    </w:p>
    <w:p w14:paraId="45ED5C15"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iné </w:t>
      </w:r>
    </w:p>
    <w:p w14:paraId="3DF26972"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17C40FC3"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2.2.3. Predpoklady vývoja objemu aktivít:</w:t>
      </w:r>
    </w:p>
    <w:p w14:paraId="579D5B0B"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4ABA9F78"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kern w:val="0"/>
          <w:lang w:eastAsia="sk-SK"/>
          <w14:ligatures w14:val="none"/>
        </w:rPr>
        <w:t xml:space="preserve">S účinnosťou od 31.12.2025 sa </w:t>
      </w:r>
      <w:r w:rsidRPr="00AD62CD">
        <w:rPr>
          <w:rFonts w:ascii="Times New Roman" w:eastAsia="Calibri" w:hAnsi="Times New Roman" w:cs="Times New Roman"/>
          <w:bCs/>
          <w:kern w:val="0"/>
          <w:lang w:eastAsia="sk-SK"/>
          <w14:ligatures w14:val="none"/>
        </w:rPr>
        <w:t xml:space="preserve">pre firmy v oblasti kolektívneho investovania navyšuje sadzba osobitného odvodu z 4,365 % na 15 % ročne. Odhad súčtu výsledkov hospodárenia pred zdanením relevantných subjektov je 73 mil. eur. Odhadujeme, že základ dane pre osobitný odvod zostane konštantný. Základ dane pre </w:t>
      </w:r>
      <w:r w:rsidRPr="00AD62CD">
        <w:rPr>
          <w:rFonts w:ascii="Times New Roman" w:eastAsia="Calibri" w:hAnsi="Times New Roman" w:cs="Times New Roman"/>
          <w:kern w:val="0"/>
          <w:lang w:eastAsia="sk-SK"/>
          <w14:ligatures w14:val="none"/>
        </w:rPr>
        <w:t>daň z príjmov právnických osôb</w:t>
      </w:r>
      <w:r w:rsidRPr="00AD62CD">
        <w:rPr>
          <w:rFonts w:ascii="Times New Roman" w:eastAsia="Calibri" w:hAnsi="Times New Roman" w:cs="Times New Roman"/>
          <w:bCs/>
          <w:kern w:val="0"/>
          <w:lang w:eastAsia="sk-SK"/>
          <w14:ligatures w14:val="none"/>
        </w:rPr>
        <w:t xml:space="preserve"> (DPPO) klesne v dôsledku rastu osobitného odvodu o 9 mil. eur, čo povedie k nižšiemu výnosu z DPPO. Vplyv na DPPO je zohľadnený v Tabuľke č. 1.</w:t>
      </w:r>
    </w:p>
    <w:p w14:paraId="74849CB3"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1E7C84A0"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2.2.4. Výpočty vplyvov na verejné financie</w:t>
      </w:r>
    </w:p>
    <w:p w14:paraId="29F8C2DF"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4758A932"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K novele zákona č. 235/2012 Z. z. o osobitnom odvode z podnikania v regulovaných odvetviach</w:t>
      </w:r>
    </w:p>
    <w:p w14:paraId="2F5FC83E" w14:textId="77777777" w:rsidR="00AD62CD" w:rsidRPr="00AD62CD" w:rsidRDefault="00AD62CD" w:rsidP="00AD62CD">
      <w:pPr>
        <w:spacing w:after="0" w:line="240" w:lineRule="auto"/>
        <w:jc w:val="both"/>
        <w:rPr>
          <w:rFonts w:ascii="Times New Roman" w:eastAsia="Calibri" w:hAnsi="Times New Roman" w:cs="Times New Roman"/>
          <w:kern w:val="0"/>
          <w:highlight w:val="yellow"/>
          <w:lang w:eastAsia="sk-SK"/>
          <w14:ligatures w14:val="none"/>
        </w:rPr>
      </w:pPr>
    </w:p>
    <w:p w14:paraId="0891CDA4"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Zvýšenie sadzby osobitného odvodu z podnikania v regulovaných odvetviach pre firmy v oblasti kolektívneho investovania na 15 %</w:t>
      </w:r>
    </w:p>
    <w:p w14:paraId="5C8ABB42"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xml:space="preserve">Výpočet vplyvu vychádza z účtovných závierok dotknutých subjektov za rok 2023 a z predpokladu konštantného objemu výsledkov hospodárenia. Na odhadnutý výsledok hospodárenia pre vybrané subjekty bola aplikovaná sadzba osobitného odvodu v danom roku. Samotný fiškálny vplyv je ponížený o výpadok na dani z príjmov právnických osôb (DPPO), nakoľko odvod má negatívny vplyv na základ DPPO a tým pádom aj spôsobí výpadok korporátnej dane. </w:t>
      </w:r>
    </w:p>
    <w:p w14:paraId="513EB309"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p>
    <w:p w14:paraId="6D6734DC"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Times New Roman" w:hAnsi="Times New Roman" w:cs="Times New Roman"/>
          <w:b/>
          <w:bCs/>
          <w:kern w:val="0"/>
          <w:lang w:eastAsia="sk-SK"/>
          <w14:ligatures w14:val="none"/>
        </w:rPr>
        <w:t>Negatívny vplyv na rozpočet:</w:t>
      </w:r>
    </w:p>
    <w:p w14:paraId="2B63DEE6"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316AE483"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MF SR požiadalo FR SR o kvantifikáciu dopadov na informačné systémy finančnej správy, ktoré vyplývajú z návrhu zákona. </w:t>
      </w:r>
    </w:p>
    <w:p w14:paraId="6CCD4FF3"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lang w:eastAsia="sk-SK"/>
          <w14:ligatures w14:val="none"/>
        </w:rPr>
      </w:pPr>
    </w:p>
    <w:p w14:paraId="1B811FBB"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Negatívny vplyv na rozpočet verejnej správy súvisí s požiadavkami na nevyhnutné zmeny  systémov finančnej správy.</w:t>
      </w:r>
    </w:p>
    <w:p w14:paraId="43AB058D" w14:textId="77777777" w:rsidR="00AD62CD" w:rsidRPr="00AD62CD" w:rsidRDefault="00AD62CD" w:rsidP="00AD62CD">
      <w:pPr>
        <w:spacing w:after="0" w:line="240" w:lineRule="auto"/>
        <w:ind w:left="67"/>
        <w:jc w:val="both"/>
        <w:rPr>
          <w:rFonts w:ascii="Times New Roman" w:eastAsia="Calibri" w:hAnsi="Times New Roman" w:cs="Times New Roman"/>
          <w:kern w:val="0"/>
          <w14:ligatures w14:val="none"/>
        </w:rPr>
      </w:pPr>
    </w:p>
    <w:p w14:paraId="1300CA0B"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Odhadovaný hrubý finančný dopad na systémy finančnej správy v nadväznosti na tieto zmeny je vo výške </w:t>
      </w:r>
      <w:r w:rsidRPr="00AD62CD">
        <w:rPr>
          <w:rFonts w:ascii="Times New Roman" w:eastAsia="Calibri" w:hAnsi="Times New Roman" w:cs="Times New Roman"/>
          <w:bCs/>
          <w:kern w:val="0"/>
          <w14:ligatures w14:val="none"/>
        </w:rPr>
        <w:t>70 972 eur s DPH</w:t>
      </w:r>
      <w:r w:rsidRPr="00AD62CD">
        <w:rPr>
          <w:rFonts w:ascii="Times New Roman" w:eastAsia="Calibri" w:hAnsi="Times New Roman" w:cs="Times New Roman"/>
          <w:kern w:val="0"/>
          <w14:ligatures w14:val="none"/>
        </w:rPr>
        <w:t>, z toho:</w:t>
      </w:r>
    </w:p>
    <w:p w14:paraId="2053B6FA"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469F6A63"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Integrovaný systém Finančnej správy – správa daní (ISFS-SD) </w:t>
      </w:r>
      <w:r w:rsidRPr="00AD62CD">
        <w:rPr>
          <w:rFonts w:ascii="Times New Roman" w:eastAsia="Calibri" w:hAnsi="Times New Roman" w:cs="Times New Roman"/>
          <w:kern w:val="0"/>
          <w14:ligatures w14:val="none"/>
        </w:rPr>
        <w:tab/>
        <w:t>37 400 eur</w:t>
      </w:r>
    </w:p>
    <w:p w14:paraId="6CC1426F"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xml:space="preserve">- DR SCAN </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Times New Roman" w:hAnsi="Times New Roman" w:cs="Times New Roman"/>
          <w:kern w:val="0"/>
          <w:lang w:eastAsia="sk-SK"/>
          <w14:ligatures w14:val="none"/>
        </w:rPr>
        <w:t>572</w:t>
      </w:r>
      <w:r w:rsidRPr="00AD62CD">
        <w:rPr>
          <w:rFonts w:ascii="Times New Roman" w:eastAsia="Calibri" w:hAnsi="Times New Roman" w:cs="Times New Roman"/>
          <w:kern w:val="0"/>
          <w14:ligatures w14:val="none"/>
        </w:rPr>
        <w:t xml:space="preserve"> eur</w:t>
      </w:r>
    </w:p>
    <w:p w14:paraId="4D1EA0CC"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 Portál finančnej správy (PFS)</w:t>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r>
      <w:r w:rsidRPr="00AD62CD">
        <w:rPr>
          <w:rFonts w:ascii="Times New Roman" w:eastAsia="Calibri" w:hAnsi="Times New Roman" w:cs="Times New Roman"/>
          <w:kern w:val="0"/>
          <w14:ligatures w14:val="none"/>
        </w:rPr>
        <w:tab/>
        <w:t>33 000 eur</w:t>
      </w:r>
    </w:p>
    <w:p w14:paraId="2B0B9158"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75D3B1A2"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Odhad FR SR je urobený pri súčasnej miere poznania. Skutočnú prácnosť bude možné určiť až vo fáze realizácie príslušnej  požiadavky.</w:t>
      </w:r>
    </w:p>
    <w:p w14:paraId="55529DCB"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5D7C5E05"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072FC787"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4F063420"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3C0A7E4D"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799C1F2B"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7564B498"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
          <w:bCs/>
          <w:kern w:val="0"/>
          <w:sz w:val="28"/>
          <w:szCs w:val="28"/>
          <w:lang w:eastAsia="sk-SK"/>
          <w14:ligatures w14:val="none"/>
        </w:rPr>
        <w:sectPr w:rsidR="00AD62CD" w:rsidRPr="00AD62CD" w:rsidSect="0099636A">
          <w:pgSz w:w="11906" w:h="16838"/>
          <w:pgMar w:top="1417" w:right="1417" w:bottom="1276" w:left="1417" w:header="708" w:footer="708" w:gutter="0"/>
          <w:cols w:space="708"/>
          <w:docGrid w:linePitch="360"/>
        </w:sect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D62CD" w:rsidRPr="00AD62CD" w14:paraId="2290B7BF" w14:textId="77777777" w:rsidTr="00AD62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37134B7"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19000FF3"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2708AFC"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poznámka</w:t>
            </w:r>
          </w:p>
        </w:tc>
      </w:tr>
      <w:tr w:rsidR="00AD62CD" w:rsidRPr="00AD62CD" w14:paraId="7F20875E" w14:textId="77777777" w:rsidTr="00AD62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24E5D7D4"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c>
          <w:tcPr>
            <w:tcW w:w="1500" w:type="dxa"/>
            <w:tcBorders>
              <w:top w:val="nil"/>
              <w:left w:val="nil"/>
              <w:bottom w:val="single" w:sz="4" w:space="0" w:color="auto"/>
              <w:right w:val="single" w:sz="4" w:space="0" w:color="auto"/>
            </w:tcBorders>
            <w:shd w:val="clear" w:color="auto" w:fill="BFBFBF"/>
            <w:vAlign w:val="center"/>
          </w:tcPr>
          <w:p w14:paraId="2095B7C2"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2025</w:t>
            </w:r>
          </w:p>
        </w:tc>
        <w:tc>
          <w:tcPr>
            <w:tcW w:w="1500" w:type="dxa"/>
            <w:tcBorders>
              <w:top w:val="nil"/>
              <w:left w:val="nil"/>
              <w:bottom w:val="single" w:sz="4" w:space="0" w:color="auto"/>
              <w:right w:val="single" w:sz="4" w:space="0" w:color="auto"/>
            </w:tcBorders>
            <w:shd w:val="clear" w:color="auto" w:fill="BFBFBF"/>
            <w:vAlign w:val="center"/>
          </w:tcPr>
          <w:p w14:paraId="2AB75BDA"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2026</w:t>
            </w:r>
          </w:p>
        </w:tc>
        <w:tc>
          <w:tcPr>
            <w:tcW w:w="1500" w:type="dxa"/>
            <w:tcBorders>
              <w:top w:val="nil"/>
              <w:left w:val="nil"/>
              <w:bottom w:val="single" w:sz="4" w:space="0" w:color="auto"/>
              <w:right w:val="single" w:sz="4" w:space="0" w:color="auto"/>
            </w:tcBorders>
            <w:shd w:val="clear" w:color="auto" w:fill="BFBFBF"/>
            <w:vAlign w:val="center"/>
          </w:tcPr>
          <w:p w14:paraId="574B93E2"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2027</w:t>
            </w:r>
          </w:p>
        </w:tc>
        <w:tc>
          <w:tcPr>
            <w:tcW w:w="1500" w:type="dxa"/>
            <w:tcBorders>
              <w:top w:val="nil"/>
              <w:left w:val="nil"/>
              <w:bottom w:val="single" w:sz="4" w:space="0" w:color="auto"/>
              <w:right w:val="single" w:sz="4" w:space="0" w:color="auto"/>
            </w:tcBorders>
            <w:shd w:val="clear" w:color="auto" w:fill="BFBFBF"/>
            <w:vAlign w:val="center"/>
          </w:tcPr>
          <w:p w14:paraId="09752F34"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6FA09928"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r>
      <w:tr w:rsidR="00AD62CD" w:rsidRPr="00AD62CD" w14:paraId="2CA89EBC"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tcPr>
          <w:p w14:paraId="1DF61A76"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Daňové príjmy (100)1</w:t>
            </w:r>
          </w:p>
        </w:tc>
        <w:tc>
          <w:tcPr>
            <w:tcW w:w="1500" w:type="dxa"/>
            <w:tcBorders>
              <w:top w:val="nil"/>
              <w:left w:val="nil"/>
              <w:bottom w:val="single" w:sz="8" w:space="0" w:color="auto"/>
              <w:right w:val="single" w:sz="8" w:space="0" w:color="auto"/>
            </w:tcBorders>
            <w:shd w:val="clear" w:color="auto" w:fill="auto"/>
          </w:tcPr>
          <w:p w14:paraId="0561D75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158F0078"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4 940 000</w:t>
            </w:r>
          </w:p>
        </w:tc>
        <w:tc>
          <w:tcPr>
            <w:tcW w:w="1500" w:type="dxa"/>
            <w:tcBorders>
              <w:top w:val="nil"/>
              <w:left w:val="nil"/>
              <w:bottom w:val="single" w:sz="8" w:space="0" w:color="auto"/>
              <w:right w:val="single" w:sz="8" w:space="0" w:color="auto"/>
            </w:tcBorders>
            <w:shd w:val="clear" w:color="auto" w:fill="auto"/>
            <w:vAlign w:val="center"/>
          </w:tcPr>
          <w:p w14:paraId="2A11C999"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4 940 000</w:t>
            </w:r>
          </w:p>
        </w:tc>
        <w:tc>
          <w:tcPr>
            <w:tcW w:w="1500" w:type="dxa"/>
            <w:tcBorders>
              <w:top w:val="nil"/>
              <w:left w:val="nil"/>
              <w:bottom w:val="single" w:sz="8" w:space="0" w:color="auto"/>
              <w:right w:val="single" w:sz="8" w:space="0" w:color="auto"/>
            </w:tcBorders>
            <w:shd w:val="clear" w:color="auto" w:fill="auto"/>
            <w:vAlign w:val="center"/>
          </w:tcPr>
          <w:p w14:paraId="076FA96F"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4 940 000</w:t>
            </w:r>
          </w:p>
        </w:tc>
        <w:tc>
          <w:tcPr>
            <w:tcW w:w="3000" w:type="dxa"/>
            <w:tcBorders>
              <w:top w:val="nil"/>
              <w:left w:val="nil"/>
              <w:bottom w:val="single" w:sz="4" w:space="0" w:color="auto"/>
              <w:right w:val="single" w:sz="4" w:space="0" w:color="auto"/>
            </w:tcBorders>
            <w:noWrap/>
            <w:vAlign w:val="bottom"/>
          </w:tcPr>
          <w:p w14:paraId="61C3B94D"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70155356"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tcPr>
          <w:p w14:paraId="5BDE4B04"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(112) daň z príjmov právnických osôb</w:t>
            </w:r>
          </w:p>
        </w:tc>
        <w:tc>
          <w:tcPr>
            <w:tcW w:w="1500" w:type="dxa"/>
            <w:tcBorders>
              <w:top w:val="nil"/>
              <w:left w:val="single" w:sz="8" w:space="0" w:color="auto"/>
              <w:bottom w:val="single" w:sz="8" w:space="0" w:color="auto"/>
              <w:right w:val="single" w:sz="8" w:space="0" w:color="auto"/>
            </w:tcBorders>
            <w:shd w:val="clear" w:color="auto" w:fill="auto"/>
          </w:tcPr>
          <w:p w14:paraId="79F0C58C" w14:textId="77777777" w:rsidR="00AD62CD" w:rsidRPr="00AD62CD" w:rsidRDefault="00AD62CD" w:rsidP="00AD62CD">
            <w:pPr>
              <w:spacing w:after="0" w:line="276" w:lineRule="auto"/>
              <w:jc w:val="right"/>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24D777AF" w14:textId="77777777" w:rsidR="00AD62CD" w:rsidRPr="00AD62CD" w:rsidRDefault="00AD62CD" w:rsidP="00AD62CD">
            <w:pPr>
              <w:spacing w:after="0" w:line="276" w:lineRule="auto"/>
              <w:ind w:hanging="143"/>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i/>
                <w:iCs/>
                <w:kern w:val="0"/>
                <w:sz w:val="22"/>
                <w:szCs w:val="22"/>
                <w14:ligatures w14:val="none"/>
              </w:rPr>
              <w:t>-1 560 000</w:t>
            </w:r>
          </w:p>
        </w:tc>
        <w:tc>
          <w:tcPr>
            <w:tcW w:w="1500" w:type="dxa"/>
            <w:tcBorders>
              <w:top w:val="nil"/>
              <w:left w:val="nil"/>
              <w:bottom w:val="single" w:sz="8" w:space="0" w:color="auto"/>
              <w:right w:val="single" w:sz="8" w:space="0" w:color="auto"/>
            </w:tcBorders>
            <w:shd w:val="clear" w:color="auto" w:fill="auto"/>
            <w:vAlign w:val="center"/>
          </w:tcPr>
          <w:p w14:paraId="791736BC" w14:textId="77777777" w:rsidR="00AD62CD" w:rsidRPr="00AD62CD" w:rsidRDefault="00AD62CD" w:rsidP="00AD62CD">
            <w:pPr>
              <w:spacing w:after="0" w:line="276" w:lineRule="auto"/>
              <w:ind w:hanging="143"/>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i/>
                <w:iCs/>
                <w:kern w:val="0"/>
                <w:sz w:val="22"/>
                <w:szCs w:val="22"/>
                <w14:ligatures w14:val="none"/>
              </w:rPr>
              <w:t>-1 560 000</w:t>
            </w:r>
          </w:p>
        </w:tc>
        <w:tc>
          <w:tcPr>
            <w:tcW w:w="1500" w:type="dxa"/>
            <w:tcBorders>
              <w:top w:val="nil"/>
              <w:left w:val="nil"/>
              <w:bottom w:val="single" w:sz="8" w:space="0" w:color="auto"/>
              <w:right w:val="single" w:sz="8" w:space="0" w:color="auto"/>
            </w:tcBorders>
            <w:shd w:val="clear" w:color="auto" w:fill="auto"/>
            <w:vAlign w:val="center"/>
          </w:tcPr>
          <w:p w14:paraId="0A9BB30D" w14:textId="77777777" w:rsidR="00AD62CD" w:rsidRPr="00AD62CD" w:rsidRDefault="00AD62CD" w:rsidP="00AD62CD">
            <w:pPr>
              <w:spacing w:after="0" w:line="276" w:lineRule="auto"/>
              <w:ind w:hanging="143"/>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i/>
                <w:iCs/>
                <w:kern w:val="0"/>
                <w:sz w:val="22"/>
                <w:szCs w:val="22"/>
                <w14:ligatures w14:val="none"/>
              </w:rPr>
              <w:t>-1 560 000</w:t>
            </w:r>
          </w:p>
        </w:tc>
        <w:tc>
          <w:tcPr>
            <w:tcW w:w="3000" w:type="dxa"/>
            <w:tcBorders>
              <w:top w:val="nil"/>
              <w:left w:val="nil"/>
              <w:bottom w:val="single" w:sz="4" w:space="0" w:color="auto"/>
              <w:right w:val="single" w:sz="4" w:space="0" w:color="auto"/>
            </w:tcBorders>
            <w:noWrap/>
            <w:vAlign w:val="bottom"/>
          </w:tcPr>
          <w:p w14:paraId="1230AACE"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1B3C75F3"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tcPr>
          <w:p w14:paraId="7D2AF46A"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(194) osobitný odvod z podnikania v regulovaných odvetviach</w:t>
            </w:r>
          </w:p>
        </w:tc>
        <w:tc>
          <w:tcPr>
            <w:tcW w:w="1500" w:type="dxa"/>
            <w:tcBorders>
              <w:top w:val="nil"/>
              <w:left w:val="nil"/>
              <w:bottom w:val="single" w:sz="8" w:space="0" w:color="auto"/>
              <w:right w:val="single" w:sz="8" w:space="0" w:color="auto"/>
            </w:tcBorders>
            <w:shd w:val="clear" w:color="auto" w:fill="auto"/>
          </w:tcPr>
          <w:p w14:paraId="73EF6F2E" w14:textId="77777777" w:rsidR="00AD62CD" w:rsidRPr="00AD62CD" w:rsidRDefault="00AD62CD" w:rsidP="00AD62CD">
            <w:pPr>
              <w:spacing w:after="0" w:line="276" w:lineRule="auto"/>
              <w:jc w:val="right"/>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43892E79" w14:textId="77777777" w:rsidR="00AD62CD" w:rsidRPr="00AD62CD" w:rsidRDefault="00AD62CD" w:rsidP="00AD62CD">
            <w:pPr>
              <w:spacing w:after="0" w:line="276" w:lineRule="auto"/>
              <w:ind w:hanging="143"/>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i/>
                <w:iCs/>
                <w:kern w:val="0"/>
                <w:sz w:val="22"/>
                <w:szCs w:val="22"/>
                <w14:ligatures w14:val="none"/>
              </w:rPr>
              <w:t>6 500 000</w:t>
            </w:r>
          </w:p>
        </w:tc>
        <w:tc>
          <w:tcPr>
            <w:tcW w:w="1500" w:type="dxa"/>
            <w:tcBorders>
              <w:top w:val="nil"/>
              <w:left w:val="nil"/>
              <w:bottom w:val="single" w:sz="8" w:space="0" w:color="auto"/>
              <w:right w:val="single" w:sz="8" w:space="0" w:color="auto"/>
            </w:tcBorders>
            <w:shd w:val="clear" w:color="auto" w:fill="auto"/>
            <w:vAlign w:val="center"/>
          </w:tcPr>
          <w:p w14:paraId="00C8AE0E" w14:textId="77777777" w:rsidR="00AD62CD" w:rsidRPr="00AD62CD" w:rsidRDefault="00AD62CD" w:rsidP="00AD62CD">
            <w:pPr>
              <w:spacing w:after="0" w:line="276" w:lineRule="auto"/>
              <w:ind w:hanging="143"/>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i/>
                <w:iCs/>
                <w:kern w:val="0"/>
                <w:sz w:val="22"/>
                <w:szCs w:val="22"/>
                <w14:ligatures w14:val="none"/>
              </w:rPr>
              <w:t>6 500 000</w:t>
            </w:r>
          </w:p>
        </w:tc>
        <w:tc>
          <w:tcPr>
            <w:tcW w:w="1500" w:type="dxa"/>
            <w:tcBorders>
              <w:top w:val="nil"/>
              <w:left w:val="nil"/>
              <w:bottom w:val="single" w:sz="8" w:space="0" w:color="auto"/>
              <w:right w:val="single" w:sz="8" w:space="0" w:color="auto"/>
            </w:tcBorders>
            <w:shd w:val="clear" w:color="auto" w:fill="auto"/>
            <w:vAlign w:val="center"/>
          </w:tcPr>
          <w:p w14:paraId="2DC9F740" w14:textId="77777777" w:rsidR="00AD62CD" w:rsidRPr="00AD62CD" w:rsidRDefault="00AD62CD" w:rsidP="00AD62CD">
            <w:pPr>
              <w:spacing w:after="0" w:line="276" w:lineRule="auto"/>
              <w:ind w:hanging="143"/>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i/>
                <w:iCs/>
                <w:kern w:val="0"/>
                <w:sz w:val="22"/>
                <w:szCs w:val="22"/>
                <w14:ligatures w14:val="none"/>
              </w:rPr>
              <w:t>6 500 000</w:t>
            </w:r>
          </w:p>
        </w:tc>
        <w:tc>
          <w:tcPr>
            <w:tcW w:w="3000" w:type="dxa"/>
            <w:tcBorders>
              <w:top w:val="nil"/>
              <w:left w:val="nil"/>
              <w:bottom w:val="single" w:sz="4" w:space="0" w:color="auto"/>
              <w:right w:val="single" w:sz="4" w:space="0" w:color="auto"/>
            </w:tcBorders>
            <w:noWrap/>
            <w:vAlign w:val="bottom"/>
          </w:tcPr>
          <w:p w14:paraId="381F1384"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77D1000F"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7985B5E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Nedaňové príjmy (200)</w:t>
            </w:r>
            <w:r w:rsidRPr="00AD62CD">
              <w:rPr>
                <w:rFonts w:ascii="Times New Roman" w:eastAsia="Calibri" w:hAnsi="Times New Roman" w:cs="Times New Roman"/>
                <w:b/>
                <w:bCs/>
                <w:color w:val="000000"/>
                <w:kern w:val="0"/>
                <w:sz w:val="22"/>
                <w:szCs w:val="22"/>
                <w:vertAlign w:val="superscript"/>
                <w14:ligatures w14:val="none"/>
              </w:rPr>
              <w:t>1</w:t>
            </w:r>
          </w:p>
        </w:tc>
        <w:tc>
          <w:tcPr>
            <w:tcW w:w="1500" w:type="dxa"/>
            <w:tcBorders>
              <w:top w:val="nil"/>
              <w:left w:val="nil"/>
              <w:bottom w:val="single" w:sz="8" w:space="0" w:color="auto"/>
              <w:right w:val="single" w:sz="8" w:space="0" w:color="auto"/>
            </w:tcBorders>
            <w:shd w:val="clear" w:color="auto" w:fill="auto"/>
            <w:vAlign w:val="center"/>
          </w:tcPr>
          <w:p w14:paraId="19A05BD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p>
        </w:tc>
        <w:tc>
          <w:tcPr>
            <w:tcW w:w="1500" w:type="dxa"/>
            <w:tcBorders>
              <w:top w:val="nil"/>
              <w:left w:val="nil"/>
              <w:bottom w:val="single" w:sz="8" w:space="0" w:color="auto"/>
              <w:right w:val="single" w:sz="8" w:space="0" w:color="auto"/>
            </w:tcBorders>
            <w:shd w:val="clear" w:color="auto" w:fill="auto"/>
            <w:vAlign w:val="center"/>
          </w:tcPr>
          <w:p w14:paraId="37EF7FB3"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7A02CBE4"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5854F02C"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3000" w:type="dxa"/>
            <w:tcBorders>
              <w:top w:val="nil"/>
              <w:left w:val="nil"/>
              <w:bottom w:val="single" w:sz="4" w:space="0" w:color="auto"/>
              <w:right w:val="single" w:sz="4" w:space="0" w:color="auto"/>
            </w:tcBorders>
            <w:noWrap/>
            <w:vAlign w:val="bottom"/>
          </w:tcPr>
          <w:p w14:paraId="4D8EBC0C"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740C0244"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27FC284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14:paraId="0FA1E3C5"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50ABA3FA"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63BE9C7D"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22864C1E"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3000" w:type="dxa"/>
            <w:tcBorders>
              <w:top w:val="nil"/>
              <w:left w:val="nil"/>
              <w:bottom w:val="single" w:sz="4" w:space="0" w:color="auto"/>
              <w:right w:val="single" w:sz="4" w:space="0" w:color="auto"/>
            </w:tcBorders>
            <w:noWrap/>
            <w:vAlign w:val="bottom"/>
          </w:tcPr>
          <w:p w14:paraId="1522D32C"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560F44C4"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0BBFEF41"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14:paraId="5D4A5087"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07002290"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2B3AA7C9"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044389B6"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3000" w:type="dxa"/>
            <w:tcBorders>
              <w:top w:val="nil"/>
              <w:left w:val="nil"/>
              <w:bottom w:val="single" w:sz="4" w:space="0" w:color="auto"/>
              <w:right w:val="single" w:sz="4" w:space="0" w:color="auto"/>
            </w:tcBorders>
            <w:noWrap/>
            <w:vAlign w:val="bottom"/>
          </w:tcPr>
          <w:p w14:paraId="2E06CDBB"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753E352D" w14:textId="77777777" w:rsidTr="003627DF">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14:paraId="22CDF822"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14:paraId="52B4FD87"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p>
        </w:tc>
        <w:tc>
          <w:tcPr>
            <w:tcW w:w="1500" w:type="dxa"/>
            <w:tcBorders>
              <w:top w:val="nil"/>
              <w:left w:val="nil"/>
              <w:bottom w:val="single" w:sz="8" w:space="0" w:color="auto"/>
              <w:right w:val="single" w:sz="8" w:space="0" w:color="auto"/>
            </w:tcBorders>
            <w:shd w:val="clear" w:color="000000" w:fill="BFBFBF"/>
            <w:vAlign w:val="center"/>
          </w:tcPr>
          <w:p w14:paraId="046F0155"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4 940 000</w:t>
            </w:r>
          </w:p>
        </w:tc>
        <w:tc>
          <w:tcPr>
            <w:tcW w:w="1500" w:type="dxa"/>
            <w:tcBorders>
              <w:top w:val="nil"/>
              <w:left w:val="nil"/>
              <w:bottom w:val="single" w:sz="8" w:space="0" w:color="auto"/>
              <w:right w:val="single" w:sz="8" w:space="0" w:color="auto"/>
            </w:tcBorders>
            <w:shd w:val="clear" w:color="000000" w:fill="BFBFBF"/>
            <w:vAlign w:val="center"/>
          </w:tcPr>
          <w:p w14:paraId="3192D2D3"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4 940 000</w:t>
            </w:r>
          </w:p>
        </w:tc>
        <w:tc>
          <w:tcPr>
            <w:tcW w:w="1500" w:type="dxa"/>
            <w:tcBorders>
              <w:top w:val="nil"/>
              <w:left w:val="nil"/>
              <w:bottom w:val="single" w:sz="8" w:space="0" w:color="auto"/>
              <w:right w:val="single" w:sz="8" w:space="0" w:color="auto"/>
            </w:tcBorders>
            <w:shd w:val="clear" w:color="000000" w:fill="BFBFBF"/>
            <w:vAlign w:val="center"/>
          </w:tcPr>
          <w:p w14:paraId="68AEC44A"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4 940 000</w:t>
            </w:r>
          </w:p>
        </w:tc>
        <w:tc>
          <w:tcPr>
            <w:tcW w:w="3000" w:type="dxa"/>
            <w:tcBorders>
              <w:top w:val="nil"/>
              <w:left w:val="nil"/>
              <w:bottom w:val="single" w:sz="4" w:space="0" w:color="auto"/>
              <w:right w:val="single" w:sz="4" w:space="0" w:color="auto"/>
            </w:tcBorders>
            <w:noWrap/>
            <w:vAlign w:val="bottom"/>
          </w:tcPr>
          <w:p w14:paraId="13AD2A58"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bl>
    <w:p w14:paraId="6E8AFCED"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p>
    <w:p w14:paraId="6515FA6B"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 </w:t>
      </w:r>
    </w:p>
    <w:p w14:paraId="1734D17C"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p>
    <w:p w14:paraId="60554A20"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1 –  príjmy rozpísať až do položiek platnej ekonomickej klasifikácie</w:t>
      </w:r>
    </w:p>
    <w:p w14:paraId="4309A3C9"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63DD4104"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3A141EFB"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30F54592" w14:textId="77777777" w:rsidR="00AD62CD" w:rsidRPr="00AD62CD" w:rsidRDefault="00AD62CD" w:rsidP="00AD62CD">
      <w:pPr>
        <w:spacing w:after="200" w:line="276" w:lineRule="auto"/>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br w:type="page"/>
      </w:r>
    </w:p>
    <w:p w14:paraId="4C7AC955"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1BDFADD9"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1D8A8CCF"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6748AD40"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6A2B5819"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poznámka</w:t>
            </w:r>
          </w:p>
        </w:tc>
      </w:tr>
      <w:tr w:rsidR="00AD62CD" w:rsidRPr="00AD62CD" w14:paraId="17437874"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F1D0D7C"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489B3BF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2025</w:t>
            </w:r>
          </w:p>
        </w:tc>
        <w:tc>
          <w:tcPr>
            <w:tcW w:w="1650" w:type="dxa"/>
            <w:tcBorders>
              <w:top w:val="nil"/>
              <w:left w:val="nil"/>
              <w:bottom w:val="single" w:sz="4" w:space="0" w:color="auto"/>
              <w:right w:val="single" w:sz="4" w:space="0" w:color="auto"/>
            </w:tcBorders>
            <w:shd w:val="clear" w:color="auto" w:fill="BFBFBF"/>
          </w:tcPr>
          <w:p w14:paraId="06585E8E"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2026</w:t>
            </w:r>
          </w:p>
        </w:tc>
        <w:tc>
          <w:tcPr>
            <w:tcW w:w="1540" w:type="dxa"/>
            <w:tcBorders>
              <w:top w:val="nil"/>
              <w:left w:val="nil"/>
              <w:bottom w:val="single" w:sz="4" w:space="0" w:color="auto"/>
              <w:right w:val="single" w:sz="4" w:space="0" w:color="auto"/>
            </w:tcBorders>
            <w:shd w:val="clear" w:color="auto" w:fill="BFBFBF"/>
          </w:tcPr>
          <w:p w14:paraId="07302FAD"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2027</w:t>
            </w:r>
          </w:p>
        </w:tc>
        <w:tc>
          <w:tcPr>
            <w:tcW w:w="1540" w:type="dxa"/>
            <w:tcBorders>
              <w:top w:val="nil"/>
              <w:left w:val="nil"/>
              <w:bottom w:val="single" w:sz="4" w:space="0" w:color="auto"/>
              <w:right w:val="single" w:sz="4" w:space="0" w:color="auto"/>
            </w:tcBorders>
            <w:shd w:val="clear" w:color="auto" w:fill="BFBFBF"/>
          </w:tcPr>
          <w:p w14:paraId="5EA1BB44"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7D99FB1D"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677496C0" w14:textId="77777777" w:rsidTr="003627DF">
        <w:trPr>
          <w:trHeight w:val="255"/>
        </w:trPr>
        <w:tc>
          <w:tcPr>
            <w:tcW w:w="7070" w:type="dxa"/>
            <w:tcBorders>
              <w:top w:val="nil"/>
              <w:left w:val="single" w:sz="4" w:space="0" w:color="auto"/>
              <w:bottom w:val="single" w:sz="4" w:space="0" w:color="auto"/>
              <w:right w:val="single" w:sz="4" w:space="0" w:color="auto"/>
            </w:tcBorders>
          </w:tcPr>
          <w:p w14:paraId="1270C9CB"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vAlign w:val="center"/>
          </w:tcPr>
          <w:p w14:paraId="0BFA2772"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16C80AD2"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1353DBEE"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1328F16F"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24C2FD1A"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p>
        </w:tc>
      </w:tr>
      <w:tr w:rsidR="00AD62CD" w:rsidRPr="00AD62CD" w14:paraId="164029B5" w14:textId="77777777" w:rsidTr="003627DF">
        <w:trPr>
          <w:trHeight w:val="255"/>
        </w:trPr>
        <w:tc>
          <w:tcPr>
            <w:tcW w:w="7070" w:type="dxa"/>
            <w:tcBorders>
              <w:top w:val="nil"/>
              <w:left w:val="single" w:sz="4" w:space="0" w:color="auto"/>
              <w:bottom w:val="single" w:sz="4" w:space="0" w:color="auto"/>
              <w:right w:val="single" w:sz="4" w:space="0" w:color="auto"/>
            </w:tcBorders>
          </w:tcPr>
          <w:p w14:paraId="7EC82873"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5FC4C8C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1B573DA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7CE514D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7B5C9E5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2B347383"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1480A9CF" w14:textId="77777777" w:rsidTr="003627DF">
        <w:trPr>
          <w:trHeight w:val="255"/>
        </w:trPr>
        <w:tc>
          <w:tcPr>
            <w:tcW w:w="7070" w:type="dxa"/>
            <w:tcBorders>
              <w:top w:val="nil"/>
              <w:left w:val="single" w:sz="4" w:space="0" w:color="auto"/>
              <w:bottom w:val="single" w:sz="4" w:space="0" w:color="auto"/>
              <w:right w:val="single" w:sz="4" w:space="0" w:color="auto"/>
            </w:tcBorders>
          </w:tcPr>
          <w:p w14:paraId="368CB250"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4EA16B5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219F14D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6EEF2CB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6893FDB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10793205"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8C107B7" w14:textId="77777777" w:rsidTr="003627DF">
        <w:trPr>
          <w:trHeight w:val="255"/>
        </w:trPr>
        <w:tc>
          <w:tcPr>
            <w:tcW w:w="7070" w:type="dxa"/>
            <w:tcBorders>
              <w:top w:val="nil"/>
              <w:left w:val="single" w:sz="4" w:space="0" w:color="auto"/>
              <w:bottom w:val="single" w:sz="4" w:space="0" w:color="auto"/>
              <w:right w:val="single" w:sz="4" w:space="0" w:color="auto"/>
            </w:tcBorders>
          </w:tcPr>
          <w:p w14:paraId="26FF2253"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Tovary a služby (630)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24D47F8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072C37E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466A648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7AA04CD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72AFAE5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F956050" w14:textId="77777777" w:rsidTr="003627DF">
        <w:trPr>
          <w:trHeight w:val="255"/>
        </w:trPr>
        <w:tc>
          <w:tcPr>
            <w:tcW w:w="7070" w:type="dxa"/>
            <w:tcBorders>
              <w:top w:val="nil"/>
              <w:left w:val="single" w:sz="4" w:space="0" w:color="auto"/>
              <w:bottom w:val="single" w:sz="4" w:space="0" w:color="auto"/>
              <w:right w:val="single" w:sz="4" w:space="0" w:color="auto"/>
            </w:tcBorders>
          </w:tcPr>
          <w:p w14:paraId="0051E0E9"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Bežné transfery (640)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602DED8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5CFF798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4FE59AC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366F149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5E74BD7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9B2E2E7"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609CADFC"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Splácanie úrokov a ostatné platby súvisiace s </w:t>
            </w:r>
            <w:r w:rsidRPr="00AD62CD">
              <w:rPr>
                <w:rFonts w:ascii="Calibri" w:eastAsia="Calibri" w:hAnsi="Calibri" w:cs="Times New Roman"/>
                <w:kern w:val="0"/>
                <w:sz w:val="22"/>
                <w:szCs w:val="22"/>
                <w14:ligatures w14:val="none"/>
              </w:rPr>
              <w:t xml:space="preserve"> </w:t>
            </w:r>
            <w:r w:rsidRPr="00AD62CD">
              <w:rPr>
                <w:rFonts w:ascii="Times New Roman" w:eastAsia="Times New Roman" w:hAnsi="Times New Roman" w:cs="Times New Roman"/>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75CB7CF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1A867A4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340CFE2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717E351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11C8A6C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0ED3CA09" w14:textId="77777777" w:rsidTr="003627DF">
        <w:trPr>
          <w:trHeight w:val="255"/>
        </w:trPr>
        <w:tc>
          <w:tcPr>
            <w:tcW w:w="7070" w:type="dxa"/>
            <w:tcBorders>
              <w:top w:val="nil"/>
              <w:left w:val="single" w:sz="4" w:space="0" w:color="auto"/>
              <w:bottom w:val="single" w:sz="4" w:space="0" w:color="auto"/>
              <w:right w:val="single" w:sz="4" w:space="0" w:color="auto"/>
            </w:tcBorders>
          </w:tcPr>
          <w:p w14:paraId="3EB7A41D"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vAlign w:val="center"/>
          </w:tcPr>
          <w:p w14:paraId="261FD177"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70 972</w:t>
            </w:r>
          </w:p>
        </w:tc>
        <w:tc>
          <w:tcPr>
            <w:tcW w:w="1650" w:type="dxa"/>
            <w:tcBorders>
              <w:top w:val="nil"/>
              <w:left w:val="nil"/>
              <w:bottom w:val="single" w:sz="4" w:space="0" w:color="auto"/>
              <w:right w:val="single" w:sz="4" w:space="0" w:color="auto"/>
            </w:tcBorders>
            <w:vAlign w:val="center"/>
          </w:tcPr>
          <w:p w14:paraId="2DB38F68"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5C916611"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5105797C"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5A1265AF"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p>
        </w:tc>
      </w:tr>
      <w:tr w:rsidR="00AD62CD" w:rsidRPr="00AD62CD" w14:paraId="1783A956" w14:textId="77777777" w:rsidTr="003627DF">
        <w:trPr>
          <w:trHeight w:val="255"/>
        </w:trPr>
        <w:tc>
          <w:tcPr>
            <w:tcW w:w="7070" w:type="dxa"/>
            <w:tcBorders>
              <w:top w:val="nil"/>
              <w:left w:val="single" w:sz="4" w:space="0" w:color="auto"/>
              <w:bottom w:val="single" w:sz="4" w:space="0" w:color="auto"/>
              <w:right w:val="single" w:sz="4" w:space="0" w:color="auto"/>
            </w:tcBorders>
          </w:tcPr>
          <w:p w14:paraId="6DFA7E7A"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Obstarávanie kapitálových aktív (710)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3DD30BE7"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70 972</w:t>
            </w:r>
          </w:p>
        </w:tc>
        <w:tc>
          <w:tcPr>
            <w:tcW w:w="1650" w:type="dxa"/>
            <w:tcBorders>
              <w:top w:val="nil"/>
              <w:left w:val="nil"/>
              <w:bottom w:val="single" w:sz="4" w:space="0" w:color="auto"/>
              <w:right w:val="single" w:sz="4" w:space="0" w:color="auto"/>
            </w:tcBorders>
            <w:vAlign w:val="center"/>
          </w:tcPr>
          <w:p w14:paraId="647C60E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129D67EA"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3BA83D1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403DA22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6D0682BF" w14:textId="77777777" w:rsidTr="003627DF">
        <w:trPr>
          <w:trHeight w:val="255"/>
        </w:trPr>
        <w:tc>
          <w:tcPr>
            <w:tcW w:w="7070" w:type="dxa"/>
            <w:tcBorders>
              <w:top w:val="nil"/>
              <w:left w:val="single" w:sz="4" w:space="0" w:color="auto"/>
              <w:bottom w:val="single" w:sz="4" w:space="0" w:color="auto"/>
              <w:right w:val="single" w:sz="4" w:space="0" w:color="auto"/>
            </w:tcBorders>
          </w:tcPr>
          <w:p w14:paraId="31040DED"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14:ligatures w14:val="none"/>
              </w:rPr>
              <w:t>v tom: Rekonštrukcia a modernizácia (718)</w:t>
            </w:r>
          </w:p>
        </w:tc>
        <w:tc>
          <w:tcPr>
            <w:tcW w:w="1430" w:type="dxa"/>
            <w:tcBorders>
              <w:top w:val="nil"/>
              <w:left w:val="nil"/>
              <w:bottom w:val="single" w:sz="4" w:space="0" w:color="auto"/>
              <w:right w:val="single" w:sz="4" w:space="0" w:color="auto"/>
            </w:tcBorders>
            <w:vAlign w:val="center"/>
          </w:tcPr>
          <w:p w14:paraId="0397141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70 972</w:t>
            </w:r>
          </w:p>
        </w:tc>
        <w:tc>
          <w:tcPr>
            <w:tcW w:w="1650" w:type="dxa"/>
            <w:tcBorders>
              <w:top w:val="nil"/>
              <w:left w:val="nil"/>
              <w:bottom w:val="single" w:sz="4" w:space="0" w:color="auto"/>
              <w:right w:val="single" w:sz="4" w:space="0" w:color="auto"/>
            </w:tcBorders>
            <w:vAlign w:val="center"/>
          </w:tcPr>
          <w:p w14:paraId="55EA8BC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2201077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1C88469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49" w:type="dxa"/>
            <w:tcBorders>
              <w:top w:val="nil"/>
              <w:left w:val="nil"/>
              <w:bottom w:val="single" w:sz="4" w:space="0" w:color="auto"/>
              <w:right w:val="single" w:sz="4" w:space="0" w:color="auto"/>
            </w:tcBorders>
            <w:noWrap/>
            <w:vAlign w:val="bottom"/>
          </w:tcPr>
          <w:p w14:paraId="3308A09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3A2C05C4" w14:textId="77777777" w:rsidTr="003627DF">
        <w:trPr>
          <w:trHeight w:val="255"/>
        </w:trPr>
        <w:tc>
          <w:tcPr>
            <w:tcW w:w="7070" w:type="dxa"/>
            <w:tcBorders>
              <w:top w:val="nil"/>
              <w:left w:val="single" w:sz="4" w:space="0" w:color="auto"/>
              <w:bottom w:val="single" w:sz="4" w:space="0" w:color="auto"/>
              <w:right w:val="single" w:sz="4" w:space="0" w:color="auto"/>
            </w:tcBorders>
          </w:tcPr>
          <w:p w14:paraId="2DD2BFD1"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Kapitálové transfery (720)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vAlign w:val="center"/>
          </w:tcPr>
          <w:p w14:paraId="0915741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vAlign w:val="center"/>
          </w:tcPr>
          <w:p w14:paraId="171374E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607917B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vAlign w:val="center"/>
          </w:tcPr>
          <w:p w14:paraId="208E9D3F"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1A33395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8E56390" w14:textId="77777777" w:rsidTr="003627DF">
        <w:trPr>
          <w:trHeight w:val="255"/>
        </w:trPr>
        <w:tc>
          <w:tcPr>
            <w:tcW w:w="7070" w:type="dxa"/>
            <w:tcBorders>
              <w:top w:val="nil"/>
              <w:left w:val="single" w:sz="4" w:space="0" w:color="auto"/>
              <w:bottom w:val="single" w:sz="4" w:space="0" w:color="auto"/>
              <w:right w:val="single" w:sz="4" w:space="0" w:color="auto"/>
            </w:tcBorders>
          </w:tcPr>
          <w:p w14:paraId="45E60266"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14:paraId="23F6E6DC"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50" w:type="dxa"/>
            <w:tcBorders>
              <w:top w:val="nil"/>
              <w:left w:val="nil"/>
              <w:bottom w:val="single" w:sz="4" w:space="0" w:color="auto"/>
              <w:right w:val="single" w:sz="4" w:space="0" w:color="auto"/>
            </w:tcBorders>
            <w:shd w:val="clear" w:color="auto" w:fill="auto"/>
            <w:vAlign w:val="center"/>
          </w:tcPr>
          <w:p w14:paraId="52035DAA"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shd w:val="clear" w:color="auto" w:fill="auto"/>
            <w:vAlign w:val="center"/>
          </w:tcPr>
          <w:p w14:paraId="662D1121"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shd w:val="clear" w:color="auto" w:fill="auto"/>
            <w:vAlign w:val="center"/>
          </w:tcPr>
          <w:p w14:paraId="69F71F0A"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486EACB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0A11E606"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73297F26"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vAlign w:val="center"/>
          </w:tcPr>
          <w:p w14:paraId="19FFCDF7"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70 972</w:t>
            </w:r>
          </w:p>
        </w:tc>
        <w:tc>
          <w:tcPr>
            <w:tcW w:w="1650" w:type="dxa"/>
            <w:tcBorders>
              <w:top w:val="single" w:sz="4" w:space="0" w:color="auto"/>
              <w:left w:val="nil"/>
              <w:bottom w:val="single" w:sz="4" w:space="0" w:color="auto"/>
              <w:right w:val="single" w:sz="4" w:space="0" w:color="auto"/>
            </w:tcBorders>
            <w:shd w:val="clear" w:color="auto" w:fill="BFBFBF"/>
            <w:vAlign w:val="center"/>
          </w:tcPr>
          <w:p w14:paraId="058D4BA2"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single" w:sz="4" w:space="0" w:color="auto"/>
              <w:left w:val="nil"/>
              <w:bottom w:val="single" w:sz="4" w:space="0" w:color="auto"/>
              <w:right w:val="single" w:sz="4" w:space="0" w:color="auto"/>
            </w:tcBorders>
            <w:shd w:val="clear" w:color="auto" w:fill="BFBFBF"/>
            <w:vAlign w:val="center"/>
          </w:tcPr>
          <w:p w14:paraId="189B4398"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p>
        </w:tc>
        <w:tc>
          <w:tcPr>
            <w:tcW w:w="1540" w:type="dxa"/>
            <w:tcBorders>
              <w:top w:val="single" w:sz="4" w:space="0" w:color="auto"/>
              <w:left w:val="nil"/>
              <w:bottom w:val="single" w:sz="4" w:space="0" w:color="auto"/>
              <w:right w:val="single" w:sz="4" w:space="0" w:color="auto"/>
            </w:tcBorders>
            <w:shd w:val="clear" w:color="auto" w:fill="BFBFBF"/>
            <w:vAlign w:val="center"/>
          </w:tcPr>
          <w:p w14:paraId="177CEB79"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2E623ED9"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bl>
    <w:p w14:paraId="6BB229D3"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2 –  výdavky rozpísať až do položiek platnej ekonomickej klasifikácie</w:t>
      </w:r>
    </w:p>
    <w:p w14:paraId="2CFB85F4"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Cs w:val="20"/>
          <w:lang w:eastAsia="sk-SK"/>
          <w14:ligatures w14:val="none"/>
        </w:rPr>
      </w:pPr>
    </w:p>
    <w:p w14:paraId="484EB6AF"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Cs w:val="20"/>
          <w:lang w:eastAsia="sk-SK"/>
          <w14:ligatures w14:val="none"/>
        </w:rPr>
        <w:t xml:space="preserve">  Poznámka:</w:t>
      </w:r>
    </w:p>
    <w:p w14:paraId="0EC337A3"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Cs w:val="20"/>
          <w:lang w:eastAsia="sk-SK"/>
          <w14:ligatures w14:val="none"/>
        </w:rPr>
        <w:t xml:space="preserve">  Ak sa vplyv týka viacerých subjektov verejnej správy, vypĺňa sa samostatná tabuľka za každý subjekt.</w:t>
      </w:r>
    </w:p>
    <w:p w14:paraId="723A1671"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397BF007"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sectPr w:rsidR="00AD62CD" w:rsidRPr="00AD62CD" w:rsidSect="0099636A">
          <w:pgSz w:w="16838" w:h="11906" w:orient="landscape"/>
          <w:pgMar w:top="1417" w:right="1417" w:bottom="1417" w:left="1276" w:header="708" w:footer="708" w:gutter="0"/>
          <w:cols w:space="708"/>
          <w:docGrid w:linePitch="360"/>
        </w:sectPr>
      </w:pPr>
    </w:p>
    <w:p w14:paraId="62B40380" w14:textId="77777777" w:rsidR="00AD62CD" w:rsidRPr="00AD62CD" w:rsidRDefault="00AD62CD" w:rsidP="00AD62CD">
      <w:pPr>
        <w:tabs>
          <w:tab w:val="left" w:pos="4080"/>
        </w:tabs>
        <w:spacing w:after="200" w:line="276" w:lineRule="auto"/>
        <w:jc w:val="center"/>
        <w:rPr>
          <w:rFonts w:ascii="Times New Roman" w:eastAsia="Calibri" w:hAnsi="Times New Roman" w:cs="Times New Roman"/>
          <w:b/>
          <w:bCs/>
          <w:kern w:val="0"/>
          <w:sz w:val="28"/>
          <w:szCs w:val="28"/>
          <w:highlight w:val="yellow"/>
          <w:lang w:eastAsia="sk-SK"/>
          <w14:ligatures w14:val="none"/>
        </w:rPr>
      </w:pPr>
      <w:r w:rsidRPr="00AD62CD">
        <w:rPr>
          <w:rFonts w:ascii="Times New Roman" w:eastAsia="Calibri" w:hAnsi="Times New Roman" w:cs="Times New Roman"/>
          <w:b/>
          <w:bCs/>
          <w:kern w:val="0"/>
          <w:sz w:val="28"/>
          <w:szCs w:val="28"/>
          <w:lang w:eastAsia="sk-SK"/>
          <w14:ligatures w14:val="none"/>
        </w:rPr>
        <w:t>Analýza vplyvov na rozpočet verejnej správy, na zamestnanosť vo verejnej správe a financovanie návrhu (Zákon o ochrane a využití nerastného bohatstva)</w:t>
      </w:r>
    </w:p>
    <w:p w14:paraId="2EF71FDD"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2.1 Zhrnutie vplyvov na rozpočet verejnej správy v návrhu</w:t>
      </w:r>
    </w:p>
    <w:p w14:paraId="598E3D5F"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p>
    <w:p w14:paraId="40D5486B"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D62CD" w:rsidRPr="00AD62CD" w14:paraId="3215B0E5" w14:textId="77777777" w:rsidTr="00AD62CD">
        <w:trPr>
          <w:cantSplit/>
          <w:trHeight w:val="194"/>
          <w:jc w:val="center"/>
        </w:trPr>
        <w:tc>
          <w:tcPr>
            <w:tcW w:w="4498" w:type="dxa"/>
            <w:vMerge w:val="restart"/>
            <w:shd w:val="clear" w:color="auto" w:fill="BFBFBF"/>
            <w:vAlign w:val="center"/>
          </w:tcPr>
          <w:p w14:paraId="514801B8"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Vplyvy na rozpočet verejnej správy</w:t>
            </w:r>
          </w:p>
        </w:tc>
        <w:tc>
          <w:tcPr>
            <w:tcW w:w="5523" w:type="dxa"/>
            <w:gridSpan w:val="4"/>
            <w:shd w:val="clear" w:color="auto" w:fill="BFBFBF"/>
            <w:vAlign w:val="center"/>
          </w:tcPr>
          <w:p w14:paraId="5276C94F"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Vplyv na rozpočet verejnej správy (v eurách)</w:t>
            </w:r>
          </w:p>
        </w:tc>
      </w:tr>
      <w:tr w:rsidR="00AD62CD" w:rsidRPr="00AD62CD" w14:paraId="2D1D5926" w14:textId="77777777" w:rsidTr="00AD62CD">
        <w:trPr>
          <w:cantSplit/>
          <w:trHeight w:val="70"/>
          <w:jc w:val="center"/>
        </w:trPr>
        <w:tc>
          <w:tcPr>
            <w:tcW w:w="4498" w:type="dxa"/>
            <w:vMerge/>
            <w:vAlign w:val="center"/>
          </w:tcPr>
          <w:p w14:paraId="053008D4"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p>
        </w:tc>
        <w:tc>
          <w:tcPr>
            <w:tcW w:w="1026" w:type="dxa"/>
            <w:tcBorders>
              <w:top w:val="nil"/>
              <w:left w:val="nil"/>
              <w:bottom w:val="single" w:sz="8" w:space="0" w:color="auto"/>
              <w:right w:val="single" w:sz="8" w:space="0" w:color="auto"/>
            </w:tcBorders>
            <w:shd w:val="clear" w:color="auto" w:fill="BFBFBF"/>
            <w:vAlign w:val="center"/>
          </w:tcPr>
          <w:p w14:paraId="1ECF5302"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559" w:type="dxa"/>
            <w:tcBorders>
              <w:top w:val="nil"/>
              <w:left w:val="nil"/>
              <w:bottom w:val="single" w:sz="8" w:space="0" w:color="auto"/>
              <w:right w:val="single" w:sz="8" w:space="0" w:color="auto"/>
            </w:tcBorders>
            <w:shd w:val="clear" w:color="auto" w:fill="BFBFBF"/>
            <w:vAlign w:val="center"/>
          </w:tcPr>
          <w:p w14:paraId="12B02ABA"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417" w:type="dxa"/>
            <w:tcBorders>
              <w:top w:val="nil"/>
              <w:left w:val="nil"/>
              <w:bottom w:val="single" w:sz="8" w:space="0" w:color="auto"/>
              <w:right w:val="single" w:sz="8" w:space="0" w:color="auto"/>
            </w:tcBorders>
            <w:shd w:val="clear" w:color="auto" w:fill="BFBFBF"/>
            <w:vAlign w:val="center"/>
          </w:tcPr>
          <w:p w14:paraId="0B63E17D"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521" w:type="dxa"/>
            <w:tcBorders>
              <w:top w:val="nil"/>
              <w:left w:val="nil"/>
              <w:bottom w:val="single" w:sz="8" w:space="0" w:color="auto"/>
              <w:right w:val="single" w:sz="8" w:space="0" w:color="auto"/>
            </w:tcBorders>
            <w:shd w:val="clear" w:color="auto" w:fill="BFBFBF"/>
            <w:vAlign w:val="center"/>
          </w:tcPr>
          <w:p w14:paraId="11CE2991"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r>
      <w:tr w:rsidR="00AD62CD" w:rsidRPr="00AD62CD" w14:paraId="24FEE390"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59F1C67E"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vAlign w:val="center"/>
          </w:tcPr>
          <w:p w14:paraId="2B58B8C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single" w:sz="8" w:space="0" w:color="auto"/>
              <w:left w:val="nil"/>
              <w:bottom w:val="single" w:sz="8" w:space="0" w:color="auto"/>
              <w:right w:val="single" w:sz="8" w:space="0" w:color="auto"/>
            </w:tcBorders>
            <w:shd w:val="clear" w:color="auto" w:fill="C0C0C0"/>
            <w:vAlign w:val="center"/>
          </w:tcPr>
          <w:p w14:paraId="05B4639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23 839 500</w:t>
            </w:r>
          </w:p>
        </w:tc>
        <w:tc>
          <w:tcPr>
            <w:tcW w:w="1417" w:type="dxa"/>
            <w:tcBorders>
              <w:top w:val="single" w:sz="8" w:space="0" w:color="auto"/>
              <w:left w:val="nil"/>
              <w:bottom w:val="single" w:sz="8" w:space="0" w:color="auto"/>
              <w:right w:val="single" w:sz="8" w:space="0" w:color="auto"/>
            </w:tcBorders>
            <w:shd w:val="clear" w:color="auto" w:fill="C0C0C0"/>
            <w:vAlign w:val="center"/>
          </w:tcPr>
          <w:p w14:paraId="745D300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31 786 000</w:t>
            </w:r>
          </w:p>
        </w:tc>
        <w:tc>
          <w:tcPr>
            <w:tcW w:w="1521" w:type="dxa"/>
            <w:tcBorders>
              <w:top w:val="single" w:sz="8" w:space="0" w:color="auto"/>
              <w:left w:val="nil"/>
              <w:bottom w:val="single" w:sz="8" w:space="0" w:color="auto"/>
              <w:right w:val="single" w:sz="8" w:space="0" w:color="auto"/>
            </w:tcBorders>
            <w:shd w:val="clear" w:color="auto" w:fill="C0C0C0"/>
            <w:vAlign w:val="center"/>
          </w:tcPr>
          <w:p w14:paraId="36097CA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31 786 000</w:t>
            </w:r>
          </w:p>
        </w:tc>
      </w:tr>
      <w:tr w:rsidR="00AD62CD" w:rsidRPr="00AD62CD" w14:paraId="21E97EA7"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16CD231"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14:paraId="26C89B9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79049D27"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417" w:type="dxa"/>
            <w:tcBorders>
              <w:top w:val="nil"/>
              <w:left w:val="nil"/>
              <w:bottom w:val="single" w:sz="8" w:space="0" w:color="auto"/>
              <w:right w:val="single" w:sz="8" w:space="0" w:color="auto"/>
            </w:tcBorders>
            <w:shd w:val="clear" w:color="auto" w:fill="auto"/>
            <w:noWrap/>
            <w:vAlign w:val="center"/>
          </w:tcPr>
          <w:p w14:paraId="410DEA1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21" w:type="dxa"/>
            <w:tcBorders>
              <w:top w:val="nil"/>
              <w:left w:val="nil"/>
              <w:bottom w:val="single" w:sz="8" w:space="0" w:color="auto"/>
              <w:right w:val="single" w:sz="8" w:space="0" w:color="auto"/>
            </w:tcBorders>
            <w:shd w:val="clear" w:color="auto" w:fill="auto"/>
            <w:noWrap/>
            <w:vAlign w:val="center"/>
          </w:tcPr>
          <w:p w14:paraId="4DD93C42"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r>
      <w:tr w:rsidR="00AD62CD" w:rsidRPr="00AD62CD" w14:paraId="3E223662"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5AC9BDF"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19E46D44"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6B40867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23 946 750</w:t>
            </w:r>
          </w:p>
        </w:tc>
        <w:tc>
          <w:tcPr>
            <w:tcW w:w="1417" w:type="dxa"/>
            <w:tcBorders>
              <w:top w:val="nil"/>
              <w:left w:val="nil"/>
              <w:bottom w:val="single" w:sz="8" w:space="0" w:color="auto"/>
              <w:right w:val="single" w:sz="8" w:space="0" w:color="auto"/>
            </w:tcBorders>
            <w:shd w:val="clear" w:color="auto" w:fill="auto"/>
            <w:noWrap/>
            <w:vAlign w:val="center"/>
          </w:tcPr>
          <w:p w14:paraId="25738F5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31 929 000</w:t>
            </w:r>
          </w:p>
        </w:tc>
        <w:tc>
          <w:tcPr>
            <w:tcW w:w="1521" w:type="dxa"/>
            <w:tcBorders>
              <w:top w:val="nil"/>
              <w:left w:val="nil"/>
              <w:bottom w:val="single" w:sz="8" w:space="0" w:color="auto"/>
              <w:right w:val="single" w:sz="8" w:space="0" w:color="auto"/>
            </w:tcBorders>
            <w:shd w:val="clear" w:color="auto" w:fill="auto"/>
            <w:noWrap/>
            <w:vAlign w:val="center"/>
          </w:tcPr>
          <w:p w14:paraId="5D4F169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31 929 000</w:t>
            </w:r>
          </w:p>
        </w:tc>
      </w:tr>
      <w:tr w:rsidR="00AD62CD" w:rsidRPr="00AD62CD" w14:paraId="4CFF2902" w14:textId="77777777" w:rsidTr="003627DF">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18D28CA"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5F62A96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670963A0"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color w:val="000000"/>
                <w:kern w:val="0"/>
                <w:sz w:val="22"/>
                <w:szCs w:val="22"/>
                <w14:ligatures w14:val="none"/>
              </w:rPr>
              <w:t>23 946 750</w:t>
            </w:r>
          </w:p>
        </w:tc>
        <w:tc>
          <w:tcPr>
            <w:tcW w:w="1417" w:type="dxa"/>
            <w:tcBorders>
              <w:top w:val="nil"/>
              <w:left w:val="nil"/>
              <w:bottom w:val="single" w:sz="8" w:space="0" w:color="auto"/>
              <w:right w:val="single" w:sz="8" w:space="0" w:color="auto"/>
            </w:tcBorders>
            <w:shd w:val="clear" w:color="auto" w:fill="auto"/>
            <w:noWrap/>
            <w:vAlign w:val="center"/>
          </w:tcPr>
          <w:p w14:paraId="6E3FEC74"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color w:val="000000"/>
                <w:kern w:val="0"/>
                <w:sz w:val="22"/>
                <w:szCs w:val="22"/>
                <w14:ligatures w14:val="none"/>
              </w:rPr>
              <w:t>31 929 000</w:t>
            </w:r>
          </w:p>
        </w:tc>
        <w:tc>
          <w:tcPr>
            <w:tcW w:w="1521" w:type="dxa"/>
            <w:tcBorders>
              <w:top w:val="nil"/>
              <w:left w:val="nil"/>
              <w:bottom w:val="single" w:sz="8" w:space="0" w:color="auto"/>
              <w:right w:val="single" w:sz="8" w:space="0" w:color="auto"/>
            </w:tcBorders>
            <w:shd w:val="clear" w:color="auto" w:fill="auto"/>
            <w:noWrap/>
            <w:vAlign w:val="center"/>
          </w:tcPr>
          <w:p w14:paraId="255F1D98"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color w:val="000000"/>
                <w:kern w:val="0"/>
                <w:sz w:val="22"/>
                <w:szCs w:val="22"/>
                <w14:ligatures w14:val="none"/>
              </w:rPr>
              <w:t>31 929 000</w:t>
            </w:r>
          </w:p>
        </w:tc>
      </w:tr>
      <w:tr w:rsidR="00AD62CD" w:rsidRPr="00AD62CD" w14:paraId="18DF21D4"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3D514EE"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 xml:space="preserve">v tom: (212) príjmy z vlastníctva – úhrada  </w:t>
            </w:r>
            <w:r w:rsidRPr="00AD62CD">
              <w:rPr>
                <w:rFonts w:ascii="Times New Roman" w:eastAsia="Calibri" w:hAnsi="Times New Roman" w:cs="Times New Roman"/>
                <w:i/>
                <w:iCs/>
                <w:color w:val="000000"/>
                <w:kern w:val="0"/>
                <w:sz w:val="22"/>
                <w:szCs w:val="22"/>
                <w14:ligatures w14:val="none"/>
              </w:rPr>
              <w:br/>
              <w:t xml:space="preserve">    z primárnych materiálov</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5090DB2E"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60356321"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color w:val="000000"/>
                <w:kern w:val="0"/>
                <w:sz w:val="22"/>
                <w:szCs w:val="22"/>
                <w14:ligatures w14:val="none"/>
              </w:rPr>
              <w:t>23 946 750</w:t>
            </w:r>
          </w:p>
        </w:tc>
        <w:tc>
          <w:tcPr>
            <w:tcW w:w="1417" w:type="dxa"/>
            <w:tcBorders>
              <w:top w:val="nil"/>
              <w:left w:val="nil"/>
              <w:bottom w:val="single" w:sz="8" w:space="0" w:color="auto"/>
              <w:right w:val="single" w:sz="8" w:space="0" w:color="auto"/>
            </w:tcBorders>
            <w:shd w:val="clear" w:color="auto" w:fill="auto"/>
            <w:noWrap/>
            <w:vAlign w:val="center"/>
          </w:tcPr>
          <w:p w14:paraId="7B28C6A5"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color w:val="000000"/>
                <w:kern w:val="0"/>
                <w:sz w:val="22"/>
                <w:szCs w:val="22"/>
                <w14:ligatures w14:val="none"/>
              </w:rPr>
              <w:t>31 929 000</w:t>
            </w:r>
          </w:p>
        </w:tc>
        <w:tc>
          <w:tcPr>
            <w:tcW w:w="1521" w:type="dxa"/>
            <w:tcBorders>
              <w:top w:val="nil"/>
              <w:left w:val="nil"/>
              <w:bottom w:val="single" w:sz="8" w:space="0" w:color="auto"/>
              <w:right w:val="single" w:sz="8" w:space="0" w:color="auto"/>
            </w:tcBorders>
            <w:shd w:val="clear" w:color="auto" w:fill="auto"/>
            <w:noWrap/>
            <w:vAlign w:val="center"/>
          </w:tcPr>
          <w:p w14:paraId="6659AA17"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color w:val="000000"/>
                <w:kern w:val="0"/>
                <w:sz w:val="22"/>
                <w:szCs w:val="22"/>
                <w14:ligatures w14:val="none"/>
              </w:rPr>
              <w:t>31 929 000</w:t>
            </w:r>
          </w:p>
        </w:tc>
      </w:tr>
      <w:tr w:rsidR="00AD62CD" w:rsidRPr="00AD62CD" w14:paraId="60E792DF"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32183F4"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EÚ zdroje</w:t>
            </w:r>
          </w:p>
        </w:tc>
        <w:tc>
          <w:tcPr>
            <w:tcW w:w="1026" w:type="dxa"/>
            <w:tcBorders>
              <w:top w:val="nil"/>
              <w:left w:val="nil"/>
              <w:bottom w:val="single" w:sz="8" w:space="0" w:color="auto"/>
              <w:right w:val="single" w:sz="8" w:space="0" w:color="auto"/>
            </w:tcBorders>
            <w:shd w:val="clear" w:color="auto" w:fill="auto"/>
            <w:noWrap/>
            <w:vAlign w:val="center"/>
          </w:tcPr>
          <w:p w14:paraId="77CFFB7B"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00EFA7B5"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05016E59"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22F30A87"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r>
      <w:tr w:rsidR="00AD62CD" w:rsidRPr="00AD62CD" w14:paraId="556DF5DC"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EFA6DE9"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58574D39"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283A6BC9"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6445BCF5"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626EF305"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714EE45C"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67DDA1A"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552507D6"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08AA8845"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113A6548"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084C4710"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6D775B45"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A9B9C6C"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14:paraId="3ECCD6F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535EB13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-107 250</w:t>
            </w:r>
          </w:p>
        </w:tc>
        <w:tc>
          <w:tcPr>
            <w:tcW w:w="1417" w:type="dxa"/>
            <w:tcBorders>
              <w:top w:val="nil"/>
              <w:left w:val="nil"/>
              <w:bottom w:val="single" w:sz="8" w:space="0" w:color="auto"/>
              <w:right w:val="single" w:sz="8" w:space="0" w:color="auto"/>
            </w:tcBorders>
            <w:shd w:val="clear" w:color="auto" w:fill="auto"/>
            <w:noWrap/>
            <w:vAlign w:val="center"/>
          </w:tcPr>
          <w:p w14:paraId="72C0963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-143 000</w:t>
            </w:r>
          </w:p>
        </w:tc>
        <w:tc>
          <w:tcPr>
            <w:tcW w:w="1521" w:type="dxa"/>
            <w:tcBorders>
              <w:top w:val="nil"/>
              <w:left w:val="nil"/>
              <w:bottom w:val="single" w:sz="8" w:space="0" w:color="auto"/>
              <w:right w:val="single" w:sz="8" w:space="0" w:color="auto"/>
            </w:tcBorders>
            <w:shd w:val="clear" w:color="auto" w:fill="auto"/>
            <w:noWrap/>
            <w:vAlign w:val="center"/>
          </w:tcPr>
          <w:p w14:paraId="6150A283"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-143 000</w:t>
            </w:r>
          </w:p>
        </w:tc>
      </w:tr>
      <w:tr w:rsidR="00AD62CD" w:rsidRPr="00AD62CD" w14:paraId="5C5C4C09"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6F5648C"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 xml:space="preserve">   Environmentálny fond</w:t>
            </w:r>
          </w:p>
        </w:tc>
        <w:tc>
          <w:tcPr>
            <w:tcW w:w="1026" w:type="dxa"/>
            <w:tcBorders>
              <w:top w:val="nil"/>
              <w:left w:val="nil"/>
              <w:bottom w:val="single" w:sz="8" w:space="0" w:color="auto"/>
              <w:right w:val="single" w:sz="8" w:space="0" w:color="auto"/>
            </w:tcBorders>
            <w:shd w:val="clear" w:color="auto" w:fill="auto"/>
            <w:noWrap/>
            <w:vAlign w:val="center"/>
          </w:tcPr>
          <w:p w14:paraId="5F1F19B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472A4690"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color w:val="000000"/>
                <w:kern w:val="0"/>
                <w:sz w:val="22"/>
                <w:szCs w:val="22"/>
                <w14:ligatures w14:val="none"/>
              </w:rPr>
              <w:t>-107 250</w:t>
            </w:r>
          </w:p>
        </w:tc>
        <w:tc>
          <w:tcPr>
            <w:tcW w:w="1417" w:type="dxa"/>
            <w:tcBorders>
              <w:top w:val="nil"/>
              <w:left w:val="nil"/>
              <w:bottom w:val="single" w:sz="8" w:space="0" w:color="auto"/>
              <w:right w:val="single" w:sz="8" w:space="0" w:color="auto"/>
            </w:tcBorders>
            <w:shd w:val="clear" w:color="auto" w:fill="auto"/>
            <w:noWrap/>
            <w:vAlign w:val="center"/>
          </w:tcPr>
          <w:p w14:paraId="3BE1EE4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i/>
                <w:iCs/>
                <w:color w:val="000000"/>
                <w:kern w:val="0"/>
                <w:sz w:val="22"/>
                <w:szCs w:val="22"/>
                <w14:ligatures w14:val="none"/>
              </w:rPr>
              <w:t>-143 000</w:t>
            </w:r>
          </w:p>
        </w:tc>
        <w:tc>
          <w:tcPr>
            <w:tcW w:w="1521" w:type="dxa"/>
            <w:tcBorders>
              <w:top w:val="nil"/>
              <w:left w:val="nil"/>
              <w:bottom w:val="single" w:sz="8" w:space="0" w:color="auto"/>
              <w:right w:val="single" w:sz="8" w:space="0" w:color="auto"/>
            </w:tcBorders>
            <w:shd w:val="clear" w:color="auto" w:fill="auto"/>
            <w:noWrap/>
            <w:vAlign w:val="center"/>
          </w:tcPr>
          <w:p w14:paraId="657F368A"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i/>
                <w:iCs/>
                <w:color w:val="000000"/>
                <w:kern w:val="0"/>
                <w:sz w:val="22"/>
                <w:szCs w:val="22"/>
                <w14:ligatures w14:val="none"/>
              </w:rPr>
              <w:t>-143 000</w:t>
            </w:r>
          </w:p>
        </w:tc>
      </w:tr>
      <w:tr w:rsidR="00AD62CD" w:rsidRPr="00AD62CD" w14:paraId="73375C06"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BDDD16E"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 xml:space="preserve">    v tom: (212) príjmy z vlastníctva – úhrady za   </w:t>
            </w:r>
            <w:r w:rsidRPr="00AD62CD">
              <w:rPr>
                <w:rFonts w:ascii="Times New Roman" w:eastAsia="Calibri" w:hAnsi="Times New Roman" w:cs="Times New Roman"/>
                <w:i/>
                <w:iCs/>
                <w:color w:val="000000"/>
                <w:kern w:val="0"/>
                <w:sz w:val="22"/>
                <w:szCs w:val="22"/>
                <w14:ligatures w14:val="none"/>
              </w:rPr>
              <w:br/>
              <w:t xml:space="preserve">   vydobyté nerasty</w:t>
            </w:r>
          </w:p>
        </w:tc>
        <w:tc>
          <w:tcPr>
            <w:tcW w:w="1026" w:type="dxa"/>
            <w:tcBorders>
              <w:top w:val="nil"/>
              <w:left w:val="nil"/>
              <w:bottom w:val="single" w:sz="8" w:space="0" w:color="auto"/>
              <w:right w:val="single" w:sz="8" w:space="0" w:color="auto"/>
            </w:tcBorders>
            <w:shd w:val="clear" w:color="auto" w:fill="auto"/>
            <w:noWrap/>
            <w:vAlign w:val="center"/>
          </w:tcPr>
          <w:p w14:paraId="67B852D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254EA879"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color w:val="000000"/>
                <w:kern w:val="0"/>
                <w:sz w:val="22"/>
                <w:szCs w:val="22"/>
                <w14:ligatures w14:val="none"/>
              </w:rPr>
              <w:t>-107 250</w:t>
            </w:r>
          </w:p>
        </w:tc>
        <w:tc>
          <w:tcPr>
            <w:tcW w:w="1417" w:type="dxa"/>
            <w:tcBorders>
              <w:top w:val="nil"/>
              <w:left w:val="nil"/>
              <w:bottom w:val="single" w:sz="8" w:space="0" w:color="auto"/>
              <w:right w:val="single" w:sz="8" w:space="0" w:color="auto"/>
            </w:tcBorders>
            <w:shd w:val="clear" w:color="auto" w:fill="auto"/>
            <w:noWrap/>
            <w:vAlign w:val="center"/>
          </w:tcPr>
          <w:p w14:paraId="55A1DD6F"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i/>
                <w:iCs/>
                <w:color w:val="000000"/>
                <w:kern w:val="0"/>
                <w:sz w:val="22"/>
                <w:szCs w:val="22"/>
                <w14:ligatures w14:val="none"/>
              </w:rPr>
              <w:t>-143 000</w:t>
            </w:r>
          </w:p>
        </w:tc>
        <w:tc>
          <w:tcPr>
            <w:tcW w:w="1521" w:type="dxa"/>
            <w:tcBorders>
              <w:top w:val="nil"/>
              <w:left w:val="nil"/>
              <w:bottom w:val="single" w:sz="8" w:space="0" w:color="auto"/>
              <w:right w:val="single" w:sz="8" w:space="0" w:color="auto"/>
            </w:tcBorders>
            <w:shd w:val="clear" w:color="auto" w:fill="auto"/>
            <w:noWrap/>
            <w:vAlign w:val="center"/>
          </w:tcPr>
          <w:p w14:paraId="3DB8BCFF"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i/>
                <w:iCs/>
                <w:color w:val="000000"/>
                <w:kern w:val="0"/>
                <w:sz w:val="22"/>
                <w:szCs w:val="22"/>
                <w14:ligatures w14:val="none"/>
              </w:rPr>
              <w:t>-143 000</w:t>
            </w:r>
          </w:p>
        </w:tc>
      </w:tr>
      <w:tr w:rsidR="00AD62CD" w:rsidRPr="00AD62CD" w14:paraId="24D08304"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2DD246C5"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Výdavky verejnej správy celkom</w:t>
            </w:r>
          </w:p>
        </w:tc>
        <w:tc>
          <w:tcPr>
            <w:tcW w:w="1026" w:type="dxa"/>
            <w:tcBorders>
              <w:top w:val="nil"/>
              <w:left w:val="nil"/>
              <w:bottom w:val="single" w:sz="8" w:space="0" w:color="auto"/>
              <w:right w:val="single" w:sz="8" w:space="0" w:color="auto"/>
            </w:tcBorders>
            <w:shd w:val="clear" w:color="auto" w:fill="C0C0C0"/>
            <w:noWrap/>
            <w:vAlign w:val="center"/>
          </w:tcPr>
          <w:p w14:paraId="76F1BF51"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C0C0C0"/>
            <w:noWrap/>
            <w:vAlign w:val="center"/>
          </w:tcPr>
          <w:p w14:paraId="334578C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C0C0C0"/>
            <w:noWrap/>
            <w:vAlign w:val="center"/>
          </w:tcPr>
          <w:p w14:paraId="0B36D83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C0C0C0"/>
            <w:noWrap/>
            <w:vAlign w:val="center"/>
          </w:tcPr>
          <w:p w14:paraId="5212584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65943D52"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E3EFC47"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14:paraId="0161291B"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 </w:t>
            </w:r>
          </w:p>
        </w:tc>
        <w:tc>
          <w:tcPr>
            <w:tcW w:w="1559" w:type="dxa"/>
            <w:tcBorders>
              <w:top w:val="nil"/>
              <w:left w:val="nil"/>
              <w:bottom w:val="single" w:sz="8" w:space="0" w:color="auto"/>
              <w:right w:val="single" w:sz="8" w:space="0" w:color="auto"/>
            </w:tcBorders>
            <w:shd w:val="clear" w:color="auto" w:fill="auto"/>
            <w:noWrap/>
            <w:vAlign w:val="center"/>
          </w:tcPr>
          <w:p w14:paraId="0772A74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417" w:type="dxa"/>
            <w:tcBorders>
              <w:top w:val="nil"/>
              <w:left w:val="nil"/>
              <w:bottom w:val="single" w:sz="8" w:space="0" w:color="auto"/>
              <w:right w:val="single" w:sz="8" w:space="0" w:color="auto"/>
            </w:tcBorders>
            <w:shd w:val="clear" w:color="auto" w:fill="auto"/>
            <w:noWrap/>
            <w:vAlign w:val="center"/>
          </w:tcPr>
          <w:p w14:paraId="5488510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21" w:type="dxa"/>
            <w:tcBorders>
              <w:top w:val="nil"/>
              <w:left w:val="nil"/>
              <w:bottom w:val="single" w:sz="8" w:space="0" w:color="auto"/>
              <w:right w:val="single" w:sz="8" w:space="0" w:color="auto"/>
            </w:tcBorders>
            <w:shd w:val="clear" w:color="auto" w:fill="auto"/>
            <w:noWrap/>
            <w:vAlign w:val="center"/>
          </w:tcPr>
          <w:p w14:paraId="0C99065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r>
      <w:tr w:rsidR="00AD62CD" w:rsidRPr="00AD62CD" w14:paraId="41C0638B"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3016236"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vAlign w:val="center"/>
          </w:tcPr>
          <w:p w14:paraId="672168EA"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07C2B4C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539ED42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0F3D67B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color w:val="000000"/>
                <w:kern w:val="0"/>
                <w:sz w:val="22"/>
                <w:szCs w:val="22"/>
                <w14:ligatures w14:val="none"/>
              </w:rPr>
              <w:t>0</w:t>
            </w:r>
          </w:p>
        </w:tc>
      </w:tr>
      <w:tr w:rsidR="00AD62CD" w:rsidRPr="00AD62CD" w14:paraId="6DBAACDB"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CB7AEB4"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7DB5F5BF"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48A18FB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7913CFC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0816CCC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4316AA15"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D864119"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127C3985"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42B76A3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1171F9E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5C8DB2F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6A851CED"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787BBFF"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14:paraId="0D4413B6"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07B4DA1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401EE42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7C231FB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4E4C6E7B"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0FB3A1C4"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Vplyv na počet zamestnancov </w:t>
            </w:r>
          </w:p>
        </w:tc>
        <w:tc>
          <w:tcPr>
            <w:tcW w:w="1026" w:type="dxa"/>
            <w:tcBorders>
              <w:top w:val="nil"/>
              <w:left w:val="nil"/>
              <w:bottom w:val="single" w:sz="8" w:space="0" w:color="auto"/>
              <w:right w:val="single" w:sz="8" w:space="0" w:color="auto"/>
            </w:tcBorders>
            <w:shd w:val="clear" w:color="auto" w:fill="BFBFBF"/>
            <w:noWrap/>
            <w:vAlign w:val="center"/>
          </w:tcPr>
          <w:p w14:paraId="7951A4BB"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vAlign w:val="center"/>
          </w:tcPr>
          <w:p w14:paraId="4C29938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vAlign w:val="center"/>
          </w:tcPr>
          <w:p w14:paraId="720E0DD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vAlign w:val="center"/>
          </w:tcPr>
          <w:p w14:paraId="2035E2D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51AC7C09"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53741BE"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vAlign w:val="center"/>
          </w:tcPr>
          <w:p w14:paraId="13E206CB"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612B5B6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575D9CE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3D5A70F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3C95D75C"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11F49F9"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0865B418"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40BAC00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5764C48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4FD5151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09B3A0DF"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B73C860"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03DAF08F"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014B3DB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3E8B964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0C112B3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058AFF64"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B2F2DDA"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14:paraId="6BFEEFCA"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2E42124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37C48F1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0AB2B9B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3C2D33C8"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4074605E"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Vplyv na mzdové výdavky</w:t>
            </w:r>
          </w:p>
        </w:tc>
        <w:tc>
          <w:tcPr>
            <w:tcW w:w="1026" w:type="dxa"/>
            <w:tcBorders>
              <w:top w:val="nil"/>
              <w:left w:val="nil"/>
              <w:bottom w:val="single" w:sz="8" w:space="0" w:color="auto"/>
              <w:right w:val="single" w:sz="8" w:space="0" w:color="auto"/>
            </w:tcBorders>
            <w:shd w:val="clear" w:color="auto" w:fill="BFBFBF"/>
            <w:noWrap/>
            <w:vAlign w:val="center"/>
          </w:tcPr>
          <w:p w14:paraId="4BA1C319"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vAlign w:val="center"/>
          </w:tcPr>
          <w:p w14:paraId="17C684D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vAlign w:val="center"/>
          </w:tcPr>
          <w:p w14:paraId="35E27E5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vAlign w:val="center"/>
          </w:tcPr>
          <w:p w14:paraId="4D1510A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7F4E22BF"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D285A52"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vAlign w:val="center"/>
          </w:tcPr>
          <w:p w14:paraId="001DCD64"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125D216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19D6A55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5A90C7C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0CD4D3F2"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39807E6"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2A73EEFA"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3CA3C05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71179DE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32128DC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6803556A"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BD3B28B"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63757136"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2B8501F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28A9BA1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1255289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4E45AD27"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2F0A98F"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14:paraId="45A5BBEC"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022738E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35BFE76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1E1CB48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36F19259"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62108769"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Financovanie zabezpečené v rozpočte</w:t>
            </w:r>
          </w:p>
        </w:tc>
        <w:tc>
          <w:tcPr>
            <w:tcW w:w="1026" w:type="dxa"/>
            <w:tcBorders>
              <w:top w:val="nil"/>
              <w:left w:val="nil"/>
              <w:bottom w:val="single" w:sz="8" w:space="0" w:color="auto"/>
              <w:right w:val="single" w:sz="8" w:space="0" w:color="auto"/>
            </w:tcBorders>
            <w:shd w:val="clear" w:color="auto" w:fill="C0C0C0"/>
            <w:noWrap/>
            <w:vAlign w:val="bottom"/>
          </w:tcPr>
          <w:p w14:paraId="2F27A39B"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C0C0C0"/>
            <w:noWrap/>
            <w:vAlign w:val="bottom"/>
          </w:tcPr>
          <w:p w14:paraId="1EBC50B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C0C0C0"/>
            <w:noWrap/>
            <w:vAlign w:val="bottom"/>
          </w:tcPr>
          <w:p w14:paraId="397078E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C0C0C0"/>
            <w:noWrap/>
            <w:vAlign w:val="bottom"/>
          </w:tcPr>
          <w:p w14:paraId="2ADB379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6758B169"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6C883406"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Iné ako rozpočtové zdroje</w:t>
            </w:r>
          </w:p>
        </w:tc>
        <w:tc>
          <w:tcPr>
            <w:tcW w:w="1026" w:type="dxa"/>
            <w:tcBorders>
              <w:top w:val="nil"/>
              <w:left w:val="nil"/>
              <w:bottom w:val="single" w:sz="8" w:space="0" w:color="auto"/>
              <w:right w:val="single" w:sz="8" w:space="0" w:color="auto"/>
            </w:tcBorders>
            <w:shd w:val="clear" w:color="auto" w:fill="BFBFBF"/>
            <w:noWrap/>
            <w:vAlign w:val="center"/>
          </w:tcPr>
          <w:p w14:paraId="4040C643"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vAlign w:val="center"/>
          </w:tcPr>
          <w:p w14:paraId="1002CA6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vAlign w:val="center"/>
          </w:tcPr>
          <w:p w14:paraId="561B0DD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vAlign w:val="center"/>
          </w:tcPr>
          <w:p w14:paraId="66EE845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037933C6"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A6A6A6"/>
            <w:noWrap/>
            <w:vAlign w:val="center"/>
          </w:tcPr>
          <w:p w14:paraId="509AE9E0"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Rozpočtovo nekrytý vplyv / úspora</w:t>
            </w:r>
          </w:p>
        </w:tc>
        <w:tc>
          <w:tcPr>
            <w:tcW w:w="1026" w:type="dxa"/>
            <w:tcBorders>
              <w:top w:val="nil"/>
              <w:left w:val="nil"/>
              <w:bottom w:val="single" w:sz="8" w:space="0" w:color="auto"/>
              <w:right w:val="single" w:sz="8" w:space="0" w:color="auto"/>
            </w:tcBorders>
            <w:shd w:val="clear" w:color="auto" w:fill="A6A6A6"/>
            <w:noWrap/>
            <w:vAlign w:val="center"/>
          </w:tcPr>
          <w:p w14:paraId="620B235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6A6A6"/>
            <w:noWrap/>
            <w:vAlign w:val="center"/>
          </w:tcPr>
          <w:p w14:paraId="6056DEA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-23 839 500</w:t>
            </w:r>
          </w:p>
        </w:tc>
        <w:tc>
          <w:tcPr>
            <w:tcW w:w="1417" w:type="dxa"/>
            <w:tcBorders>
              <w:top w:val="nil"/>
              <w:left w:val="nil"/>
              <w:bottom w:val="single" w:sz="8" w:space="0" w:color="auto"/>
              <w:right w:val="single" w:sz="8" w:space="0" w:color="auto"/>
            </w:tcBorders>
            <w:shd w:val="clear" w:color="auto" w:fill="A6A6A6"/>
            <w:noWrap/>
            <w:vAlign w:val="center"/>
          </w:tcPr>
          <w:p w14:paraId="7FA95D2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-31 786 000</w:t>
            </w:r>
          </w:p>
        </w:tc>
        <w:tc>
          <w:tcPr>
            <w:tcW w:w="1521" w:type="dxa"/>
            <w:tcBorders>
              <w:top w:val="nil"/>
              <w:left w:val="nil"/>
              <w:bottom w:val="single" w:sz="8" w:space="0" w:color="auto"/>
              <w:right w:val="single" w:sz="8" w:space="0" w:color="auto"/>
            </w:tcBorders>
            <w:shd w:val="clear" w:color="auto" w:fill="A6A6A6"/>
            <w:noWrap/>
            <w:vAlign w:val="center"/>
          </w:tcPr>
          <w:p w14:paraId="1F68686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-31 786 000</w:t>
            </w:r>
          </w:p>
        </w:tc>
      </w:tr>
    </w:tbl>
    <w:p w14:paraId="5BC3E0EF" w14:textId="77777777" w:rsidR="00AD62CD" w:rsidRPr="00AD62CD" w:rsidRDefault="00AD62CD" w:rsidP="00AD62CD">
      <w:pPr>
        <w:spacing w:after="200" w:line="276" w:lineRule="auto"/>
        <w:rPr>
          <w:rFonts w:ascii="Times New Roman" w:eastAsia="Calibri" w:hAnsi="Times New Roman" w:cs="Times New Roman"/>
          <w:b/>
          <w:bCs/>
          <w:kern w:val="0"/>
          <w:lang w:eastAsia="sk-SK"/>
          <w14:ligatures w14:val="none"/>
        </w:rPr>
      </w:pPr>
    </w:p>
    <w:p w14:paraId="04991EE6" w14:textId="77777777" w:rsidR="00AD62CD" w:rsidRPr="00AD62CD" w:rsidRDefault="00AD62CD" w:rsidP="00AD62CD">
      <w:pPr>
        <w:spacing w:after="200" w:line="276"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2.1.1. Financovanie návrhu - Návrh na riešenie úbytku príjmov alebo zvýšených výdavkov podľa § 33 ods. 1 zákona č. 523/2004 Z. z. o rozpočtových pravidlách verejnej správy:</w:t>
      </w:r>
    </w:p>
    <w:p w14:paraId="01430A84" w14:textId="77777777" w:rsidR="00AD62CD" w:rsidRPr="00AD62CD" w:rsidRDefault="00AD62CD" w:rsidP="00AD62CD">
      <w:pPr>
        <w:spacing w:after="0" w:line="240" w:lineRule="auto"/>
        <w:jc w:val="both"/>
        <w:rPr>
          <w:rFonts w:ascii="Times New Roman" w:eastAsia="Calibri" w:hAnsi="Times New Roman" w:cs="Times New Roman"/>
          <w:b/>
          <w:bCs/>
          <w:kern w:val="0"/>
          <w:sz w:val="12"/>
          <w:lang w:eastAsia="sk-SK"/>
          <w14:ligatures w14:val="none"/>
        </w:rPr>
      </w:pPr>
    </w:p>
    <w:p w14:paraId="03F71CD5"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3A19D7AB"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 Popis a charakteristika návrhu</w:t>
      </w:r>
    </w:p>
    <w:p w14:paraId="0C739A9E"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49FF4B4E"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2.2.1. Popis návrhu:</w:t>
      </w:r>
    </w:p>
    <w:p w14:paraId="61F8DA1B"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22D437CB"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Akú problematiku návrh rieši? Kto bude návrh implementovať? Kde sa budú služby poskytovať?</w:t>
      </w:r>
    </w:p>
    <w:p w14:paraId="426D357F"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72AA1F4D"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K novele zákona č. 44/1988 Zb. o ochrane a využití nerastného bohatstva (banský zákon)</w:t>
      </w:r>
    </w:p>
    <w:p w14:paraId="037FC8D5" w14:textId="77777777" w:rsidR="00AD62CD" w:rsidRPr="00AD62CD" w:rsidRDefault="00AD62CD" w:rsidP="00AD62CD">
      <w:pPr>
        <w:spacing w:after="0" w:line="240" w:lineRule="auto"/>
        <w:jc w:val="both"/>
        <w:rPr>
          <w:rFonts w:ascii="Times New Roman" w:eastAsia="Calibri" w:hAnsi="Times New Roman" w:cs="Times New Roman"/>
          <w:b/>
          <w:bCs/>
          <w:kern w:val="0"/>
          <w:highlight w:val="yellow"/>
          <w:lang w:eastAsia="sk-SK"/>
          <w14:ligatures w14:val="none"/>
        </w:rPr>
      </w:pPr>
    </w:p>
    <w:p w14:paraId="58485098"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 xml:space="preserve">Zavedenie úhrady z primárnych materiálov </w:t>
      </w:r>
    </w:p>
    <w:p w14:paraId="6948C06A"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S účinnosťou od 1.1.2026 sa zavádza úhrada 1,35 € za ťažbu tony primárnych materiálov (štrkopiesok, piesok, stavebný kameň). Úhradu bude vyberať Hlavný banský úrad, ktorý sleduje objem vyťažených primárnych materiálov a spravuje úhrady za vydobyté nerasty.</w:t>
      </w:r>
    </w:p>
    <w:p w14:paraId="270AA39C"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5E33703C"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2.2.2. Charakteristika návrhu:</w:t>
      </w:r>
    </w:p>
    <w:p w14:paraId="7665A275"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34165B97"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kern w:val="0"/>
          <w:bdr w:val="single" w:sz="4" w:space="0" w:color="auto"/>
          <w:lang w:eastAsia="sk-SK"/>
          <w14:ligatures w14:val="none"/>
        </w:rPr>
        <w:t xml:space="preserve">     </w:t>
      </w:r>
      <w:r w:rsidRPr="00AD62CD">
        <w:rPr>
          <w:rFonts w:ascii="Times New Roman" w:eastAsia="Calibri" w:hAnsi="Times New Roman" w:cs="Times New Roman"/>
          <w:b/>
          <w:kern w:val="0"/>
          <w:lang w:eastAsia="sk-SK"/>
          <w14:ligatures w14:val="none"/>
        </w:rPr>
        <w:t xml:space="preserve">  </w:t>
      </w:r>
      <w:r w:rsidRPr="00AD62CD">
        <w:rPr>
          <w:rFonts w:ascii="Times New Roman" w:eastAsia="Calibri" w:hAnsi="Times New Roman" w:cs="Times New Roman"/>
          <w:kern w:val="0"/>
          <w:lang w:eastAsia="sk-SK"/>
          <w14:ligatures w14:val="none"/>
        </w:rPr>
        <w:t>zmena sadzby</w:t>
      </w:r>
    </w:p>
    <w:p w14:paraId="58C477B6"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zmena v nároku</w:t>
      </w:r>
    </w:p>
    <w:p w14:paraId="04316261"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nová služba alebo nariadenie (alebo ich zrušenie)</w:t>
      </w:r>
    </w:p>
    <w:p w14:paraId="7597CDDF"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kombinovaný návrh</w:t>
      </w:r>
    </w:p>
    <w:p w14:paraId="5BC1CB69"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x  </w:t>
      </w:r>
      <w:r w:rsidRPr="00AD62CD">
        <w:rPr>
          <w:rFonts w:ascii="Times New Roman" w:eastAsia="Calibri" w:hAnsi="Times New Roman" w:cs="Times New Roman"/>
          <w:kern w:val="0"/>
          <w:lang w:eastAsia="sk-SK"/>
          <w14:ligatures w14:val="none"/>
        </w:rPr>
        <w:t xml:space="preserve">  iné </w:t>
      </w:r>
    </w:p>
    <w:p w14:paraId="34A56E76"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498B6D3F"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2.2.3. Predpoklady vývoja objemu aktivít:</w:t>
      </w:r>
    </w:p>
    <w:p w14:paraId="04EAF590"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44DB4976"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xml:space="preserve"> S účinnosťou od 1.1.2026 sa zavádza úhrada 1,35 € za ťažbu tony primárnych materiálov (štrkopiesok, piesok, stavebný kameň). </w:t>
      </w:r>
    </w:p>
    <w:p w14:paraId="2B9E1DE4"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6BED8E7D"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2.2.4. Výpočty vplyvov na verejné financie</w:t>
      </w:r>
    </w:p>
    <w:p w14:paraId="13804960"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3B8B9402"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K novele zákona č. 44/1988 Zb. o ochrane a využití nerastného bohatstva (banský zákon)</w:t>
      </w:r>
    </w:p>
    <w:p w14:paraId="74B9EA0A"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kern w:val="0"/>
          <w:lang w:eastAsia="sk-SK"/>
          <w14:ligatures w14:val="none"/>
        </w:rPr>
        <w:t>Výpočet vplyvu vychádza z úrovne ťažby týchto materiálov z dát Hlavného banského úradu (priemer za roky 2022-2024) a predpokladáme sadzbu 1,35 € za ťažbu tony primárnych materiálov. Zohľadňujeme tiež, že zdaňovanie malej časti týchto materiálov (nevyhradené nerasty výhradných ložísk podľa § 43 ods. 6 banského zákona, ročný výnos v priemere 143-tisíc eur) už dnes pokrývajú úhrady za vydobyté nerasty a že tento výnos klesne na nulu s cieľom zabrániť dvojitej úhrade.</w:t>
      </w:r>
    </w:p>
    <w:p w14:paraId="1B546F41"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sectPr w:rsidR="00AD62CD" w:rsidRPr="00AD62CD" w:rsidSect="00AD62CD">
          <w:pgSz w:w="11906" w:h="16838"/>
          <w:pgMar w:top="1417" w:right="1417" w:bottom="1276" w:left="1417" w:header="708" w:footer="708" w:gutter="0"/>
          <w:cols w:space="708"/>
          <w:docGrid w:linePitch="360"/>
        </w:sectPr>
      </w:pPr>
    </w:p>
    <w:p w14:paraId="113CE091"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 </w:t>
      </w:r>
    </w:p>
    <w:p w14:paraId="677FC6E2"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D62CD" w:rsidRPr="00AD62CD" w14:paraId="090BB2C0" w14:textId="77777777" w:rsidTr="00AD62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BFDAC63"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Štátny rozpočet - 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3DCB151A"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2F556B2"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poznámka</w:t>
            </w:r>
          </w:p>
        </w:tc>
      </w:tr>
      <w:tr w:rsidR="00AD62CD" w:rsidRPr="00AD62CD" w14:paraId="25880437" w14:textId="77777777" w:rsidTr="00AD62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20D51930"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c>
          <w:tcPr>
            <w:tcW w:w="1500" w:type="dxa"/>
            <w:tcBorders>
              <w:top w:val="nil"/>
              <w:left w:val="nil"/>
              <w:bottom w:val="single" w:sz="4" w:space="0" w:color="auto"/>
              <w:right w:val="single" w:sz="4" w:space="0" w:color="auto"/>
            </w:tcBorders>
            <w:shd w:val="clear" w:color="auto" w:fill="BFBFBF"/>
            <w:vAlign w:val="center"/>
          </w:tcPr>
          <w:p w14:paraId="2A340B13"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2025</w:t>
            </w:r>
          </w:p>
        </w:tc>
        <w:tc>
          <w:tcPr>
            <w:tcW w:w="1500" w:type="dxa"/>
            <w:tcBorders>
              <w:top w:val="nil"/>
              <w:left w:val="nil"/>
              <w:bottom w:val="single" w:sz="4" w:space="0" w:color="auto"/>
              <w:right w:val="single" w:sz="4" w:space="0" w:color="auto"/>
            </w:tcBorders>
            <w:shd w:val="clear" w:color="auto" w:fill="BFBFBF"/>
            <w:vAlign w:val="center"/>
          </w:tcPr>
          <w:p w14:paraId="29999A11"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2026</w:t>
            </w:r>
          </w:p>
        </w:tc>
        <w:tc>
          <w:tcPr>
            <w:tcW w:w="1500" w:type="dxa"/>
            <w:tcBorders>
              <w:top w:val="nil"/>
              <w:left w:val="nil"/>
              <w:bottom w:val="single" w:sz="4" w:space="0" w:color="auto"/>
              <w:right w:val="single" w:sz="4" w:space="0" w:color="auto"/>
            </w:tcBorders>
            <w:shd w:val="clear" w:color="auto" w:fill="BFBFBF"/>
            <w:vAlign w:val="center"/>
          </w:tcPr>
          <w:p w14:paraId="04B84091"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2027</w:t>
            </w:r>
          </w:p>
        </w:tc>
        <w:tc>
          <w:tcPr>
            <w:tcW w:w="1500" w:type="dxa"/>
            <w:tcBorders>
              <w:top w:val="nil"/>
              <w:left w:val="nil"/>
              <w:bottom w:val="single" w:sz="4" w:space="0" w:color="auto"/>
              <w:right w:val="single" w:sz="4" w:space="0" w:color="auto"/>
            </w:tcBorders>
            <w:shd w:val="clear" w:color="auto" w:fill="BFBFBF"/>
            <w:vAlign w:val="center"/>
          </w:tcPr>
          <w:p w14:paraId="2B91AB9B"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0E71243E"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r>
      <w:tr w:rsidR="00AD62CD" w:rsidRPr="00AD62CD" w14:paraId="025092C5"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tcPr>
          <w:p w14:paraId="6E16737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Daňové príjmy (100)1</w:t>
            </w:r>
          </w:p>
        </w:tc>
        <w:tc>
          <w:tcPr>
            <w:tcW w:w="1500" w:type="dxa"/>
            <w:tcBorders>
              <w:top w:val="nil"/>
              <w:left w:val="nil"/>
              <w:bottom w:val="single" w:sz="8" w:space="0" w:color="auto"/>
              <w:right w:val="single" w:sz="8" w:space="0" w:color="auto"/>
            </w:tcBorders>
            <w:shd w:val="clear" w:color="auto" w:fill="auto"/>
          </w:tcPr>
          <w:p w14:paraId="6E5892FD"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570BF05D"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918 000</w:t>
            </w:r>
          </w:p>
        </w:tc>
        <w:tc>
          <w:tcPr>
            <w:tcW w:w="1500" w:type="dxa"/>
            <w:tcBorders>
              <w:top w:val="nil"/>
              <w:left w:val="nil"/>
              <w:bottom w:val="single" w:sz="8" w:space="0" w:color="auto"/>
              <w:right w:val="single" w:sz="8" w:space="0" w:color="auto"/>
            </w:tcBorders>
            <w:shd w:val="clear" w:color="auto" w:fill="auto"/>
            <w:vAlign w:val="center"/>
          </w:tcPr>
          <w:p w14:paraId="001114C1"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918 000</w:t>
            </w:r>
          </w:p>
        </w:tc>
        <w:tc>
          <w:tcPr>
            <w:tcW w:w="1500" w:type="dxa"/>
            <w:tcBorders>
              <w:top w:val="nil"/>
              <w:left w:val="nil"/>
              <w:bottom w:val="single" w:sz="8" w:space="0" w:color="auto"/>
              <w:right w:val="single" w:sz="8" w:space="0" w:color="auto"/>
            </w:tcBorders>
            <w:shd w:val="clear" w:color="auto" w:fill="auto"/>
            <w:vAlign w:val="center"/>
          </w:tcPr>
          <w:p w14:paraId="2A55D1FC" w14:textId="77777777" w:rsidR="00AD62CD" w:rsidRPr="00AD62CD" w:rsidRDefault="00AD62CD" w:rsidP="00AD62CD">
            <w:pPr>
              <w:spacing w:after="0" w:line="276" w:lineRule="auto"/>
              <w:ind w:hanging="143"/>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918 000</w:t>
            </w:r>
          </w:p>
        </w:tc>
        <w:tc>
          <w:tcPr>
            <w:tcW w:w="3000" w:type="dxa"/>
            <w:tcBorders>
              <w:top w:val="nil"/>
              <w:left w:val="nil"/>
              <w:bottom w:val="single" w:sz="4" w:space="0" w:color="auto"/>
              <w:right w:val="single" w:sz="4" w:space="0" w:color="auto"/>
            </w:tcBorders>
            <w:noWrap/>
            <w:vAlign w:val="bottom"/>
          </w:tcPr>
          <w:p w14:paraId="396567EC"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562F9FF8"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681B2E5C"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(134001) z úhrad za dobývací priestor</w:t>
            </w:r>
          </w:p>
        </w:tc>
        <w:tc>
          <w:tcPr>
            <w:tcW w:w="1500" w:type="dxa"/>
            <w:tcBorders>
              <w:top w:val="nil"/>
              <w:left w:val="nil"/>
              <w:bottom w:val="single" w:sz="8" w:space="0" w:color="auto"/>
              <w:right w:val="single" w:sz="8" w:space="0" w:color="auto"/>
            </w:tcBorders>
            <w:shd w:val="clear" w:color="auto" w:fill="auto"/>
            <w:vAlign w:val="center"/>
          </w:tcPr>
          <w:p w14:paraId="75CE725C" w14:textId="77777777" w:rsidR="00AD62CD" w:rsidRPr="00AD62CD" w:rsidRDefault="00AD62CD" w:rsidP="00AD62CD">
            <w:pPr>
              <w:spacing w:after="0" w:line="276" w:lineRule="auto"/>
              <w:ind w:hanging="143"/>
              <w:jc w:val="center"/>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0C063CB2" w14:textId="77777777" w:rsidR="00AD62CD" w:rsidRPr="00AD62CD" w:rsidRDefault="00AD62CD" w:rsidP="00AD62CD">
            <w:pPr>
              <w:spacing w:after="0" w:line="276" w:lineRule="auto"/>
              <w:ind w:hanging="143"/>
              <w:jc w:val="center"/>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- 82 000</w:t>
            </w:r>
          </w:p>
        </w:tc>
        <w:tc>
          <w:tcPr>
            <w:tcW w:w="1500" w:type="dxa"/>
            <w:tcBorders>
              <w:top w:val="nil"/>
              <w:left w:val="nil"/>
              <w:bottom w:val="single" w:sz="8" w:space="0" w:color="auto"/>
              <w:right w:val="single" w:sz="8" w:space="0" w:color="auto"/>
            </w:tcBorders>
            <w:shd w:val="clear" w:color="auto" w:fill="auto"/>
            <w:vAlign w:val="center"/>
          </w:tcPr>
          <w:p w14:paraId="66532325" w14:textId="77777777" w:rsidR="00AD62CD" w:rsidRPr="00AD62CD" w:rsidRDefault="00AD62CD" w:rsidP="00AD62CD">
            <w:pPr>
              <w:spacing w:after="0" w:line="276" w:lineRule="auto"/>
              <w:ind w:hanging="143"/>
              <w:jc w:val="center"/>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- 82 000</w:t>
            </w:r>
          </w:p>
        </w:tc>
        <w:tc>
          <w:tcPr>
            <w:tcW w:w="1500" w:type="dxa"/>
            <w:tcBorders>
              <w:top w:val="nil"/>
              <w:left w:val="nil"/>
              <w:bottom w:val="single" w:sz="8" w:space="0" w:color="auto"/>
              <w:right w:val="single" w:sz="8" w:space="0" w:color="auto"/>
            </w:tcBorders>
            <w:shd w:val="clear" w:color="auto" w:fill="auto"/>
            <w:vAlign w:val="center"/>
          </w:tcPr>
          <w:p w14:paraId="1E784245" w14:textId="77777777" w:rsidR="00AD62CD" w:rsidRPr="00AD62CD" w:rsidRDefault="00AD62CD" w:rsidP="00AD62CD">
            <w:pPr>
              <w:spacing w:after="0" w:line="276" w:lineRule="auto"/>
              <w:ind w:hanging="143"/>
              <w:jc w:val="center"/>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- 82 000</w:t>
            </w:r>
          </w:p>
        </w:tc>
        <w:tc>
          <w:tcPr>
            <w:tcW w:w="3000" w:type="dxa"/>
            <w:tcBorders>
              <w:top w:val="nil"/>
              <w:left w:val="nil"/>
              <w:bottom w:val="single" w:sz="4" w:space="0" w:color="auto"/>
              <w:right w:val="single" w:sz="4" w:space="0" w:color="auto"/>
            </w:tcBorders>
            <w:noWrap/>
            <w:vAlign w:val="center"/>
          </w:tcPr>
          <w:p w14:paraId="06932644"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6636879A"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7C18DFCE"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(134004) z úhrad za uskladňovanie plynov alebo kvapalín</w:t>
            </w:r>
          </w:p>
        </w:tc>
        <w:tc>
          <w:tcPr>
            <w:tcW w:w="1500" w:type="dxa"/>
            <w:tcBorders>
              <w:top w:val="nil"/>
              <w:left w:val="nil"/>
              <w:bottom w:val="single" w:sz="8" w:space="0" w:color="auto"/>
              <w:right w:val="single" w:sz="8" w:space="0" w:color="auto"/>
            </w:tcBorders>
            <w:shd w:val="clear" w:color="auto" w:fill="auto"/>
            <w:vAlign w:val="center"/>
          </w:tcPr>
          <w:p w14:paraId="614EE58F"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2AC98561"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i/>
                <w:iCs/>
                <w:kern w:val="0"/>
                <w:sz w:val="22"/>
                <w:szCs w:val="22"/>
                <w14:ligatures w14:val="none"/>
              </w:rPr>
              <w:t>1 000 000</w:t>
            </w:r>
          </w:p>
        </w:tc>
        <w:tc>
          <w:tcPr>
            <w:tcW w:w="1500" w:type="dxa"/>
            <w:tcBorders>
              <w:top w:val="nil"/>
              <w:left w:val="nil"/>
              <w:bottom w:val="single" w:sz="8" w:space="0" w:color="auto"/>
              <w:right w:val="single" w:sz="8" w:space="0" w:color="auto"/>
            </w:tcBorders>
            <w:shd w:val="clear" w:color="auto" w:fill="auto"/>
            <w:vAlign w:val="center"/>
          </w:tcPr>
          <w:p w14:paraId="100E9955"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i/>
                <w:iCs/>
                <w:kern w:val="0"/>
                <w:sz w:val="22"/>
                <w:szCs w:val="22"/>
                <w14:ligatures w14:val="none"/>
              </w:rPr>
              <w:t>1 000 000</w:t>
            </w:r>
          </w:p>
        </w:tc>
        <w:tc>
          <w:tcPr>
            <w:tcW w:w="1500" w:type="dxa"/>
            <w:tcBorders>
              <w:top w:val="nil"/>
              <w:left w:val="nil"/>
              <w:bottom w:val="single" w:sz="8" w:space="0" w:color="auto"/>
              <w:right w:val="single" w:sz="8" w:space="0" w:color="auto"/>
            </w:tcBorders>
            <w:shd w:val="clear" w:color="auto" w:fill="auto"/>
            <w:vAlign w:val="center"/>
          </w:tcPr>
          <w:p w14:paraId="1B1D031C"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i/>
                <w:iCs/>
                <w:kern w:val="0"/>
                <w:sz w:val="22"/>
                <w:szCs w:val="22"/>
                <w14:ligatures w14:val="none"/>
              </w:rPr>
              <w:t>1 000 000</w:t>
            </w:r>
          </w:p>
        </w:tc>
        <w:tc>
          <w:tcPr>
            <w:tcW w:w="3000" w:type="dxa"/>
            <w:tcBorders>
              <w:top w:val="nil"/>
              <w:left w:val="nil"/>
              <w:bottom w:val="single" w:sz="4" w:space="0" w:color="auto"/>
              <w:right w:val="single" w:sz="4" w:space="0" w:color="auto"/>
            </w:tcBorders>
            <w:noWrap/>
            <w:vAlign w:val="center"/>
          </w:tcPr>
          <w:p w14:paraId="430D099C"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74DF03EB"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54FD084B"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Nedaňové príjmy (200)</w:t>
            </w:r>
            <w:r w:rsidRPr="00AD62CD">
              <w:rPr>
                <w:rFonts w:ascii="Times New Roman" w:eastAsia="Calibri" w:hAnsi="Times New Roman" w:cs="Times New Roman"/>
                <w:b/>
                <w:bCs/>
                <w:color w:val="000000"/>
                <w:kern w:val="0"/>
                <w:sz w:val="22"/>
                <w:szCs w:val="22"/>
                <w:vertAlign w:val="superscript"/>
                <w14:ligatures w14:val="none"/>
              </w:rPr>
              <w:t>1</w:t>
            </w:r>
          </w:p>
        </w:tc>
        <w:tc>
          <w:tcPr>
            <w:tcW w:w="1500" w:type="dxa"/>
            <w:tcBorders>
              <w:top w:val="nil"/>
              <w:left w:val="nil"/>
              <w:bottom w:val="single" w:sz="8" w:space="0" w:color="auto"/>
              <w:right w:val="single" w:sz="8" w:space="0" w:color="auto"/>
            </w:tcBorders>
            <w:shd w:val="clear" w:color="auto" w:fill="auto"/>
            <w:vAlign w:val="center"/>
          </w:tcPr>
          <w:p w14:paraId="0A340DED"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0A06E710"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26 264 067</w:t>
            </w:r>
          </w:p>
        </w:tc>
        <w:tc>
          <w:tcPr>
            <w:tcW w:w="1500" w:type="dxa"/>
            <w:tcBorders>
              <w:top w:val="nil"/>
              <w:left w:val="nil"/>
              <w:bottom w:val="single" w:sz="8" w:space="0" w:color="auto"/>
              <w:right w:val="single" w:sz="8" w:space="0" w:color="auto"/>
            </w:tcBorders>
            <w:shd w:val="clear" w:color="auto" w:fill="auto"/>
            <w:vAlign w:val="center"/>
          </w:tcPr>
          <w:p w14:paraId="45DAF980"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34 246 167</w:t>
            </w:r>
          </w:p>
        </w:tc>
        <w:tc>
          <w:tcPr>
            <w:tcW w:w="1500" w:type="dxa"/>
            <w:tcBorders>
              <w:top w:val="nil"/>
              <w:left w:val="nil"/>
              <w:bottom w:val="single" w:sz="8" w:space="0" w:color="auto"/>
              <w:right w:val="single" w:sz="8" w:space="0" w:color="auto"/>
            </w:tcBorders>
            <w:shd w:val="clear" w:color="auto" w:fill="auto"/>
            <w:vAlign w:val="center"/>
          </w:tcPr>
          <w:p w14:paraId="7CA26F2D"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34 246 167</w:t>
            </w:r>
          </w:p>
        </w:tc>
        <w:tc>
          <w:tcPr>
            <w:tcW w:w="3000" w:type="dxa"/>
            <w:tcBorders>
              <w:top w:val="nil"/>
              <w:left w:val="nil"/>
              <w:bottom w:val="single" w:sz="4" w:space="0" w:color="auto"/>
              <w:right w:val="single" w:sz="4" w:space="0" w:color="auto"/>
            </w:tcBorders>
            <w:noWrap/>
            <w:vAlign w:val="bottom"/>
          </w:tcPr>
          <w:p w14:paraId="7E8FFCB7"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5C22EA49"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2AA64FEC"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(21200X) z úhrad  z primárnych materiálov</w:t>
            </w:r>
          </w:p>
        </w:tc>
        <w:tc>
          <w:tcPr>
            <w:tcW w:w="1500" w:type="dxa"/>
            <w:tcBorders>
              <w:top w:val="nil"/>
              <w:left w:val="nil"/>
              <w:bottom w:val="single" w:sz="8" w:space="0" w:color="auto"/>
              <w:right w:val="single" w:sz="8" w:space="0" w:color="auto"/>
            </w:tcBorders>
            <w:shd w:val="clear" w:color="auto" w:fill="auto"/>
            <w:vAlign w:val="center"/>
          </w:tcPr>
          <w:p w14:paraId="4954ECD2" w14:textId="77777777" w:rsidR="00AD62CD" w:rsidRPr="00AD62CD" w:rsidRDefault="00AD62CD" w:rsidP="00AD62CD">
            <w:pPr>
              <w:spacing w:after="0" w:line="276" w:lineRule="auto"/>
              <w:ind w:hanging="143"/>
              <w:jc w:val="center"/>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5A0E1731"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i/>
                <w:iCs/>
                <w:kern w:val="0"/>
                <w:sz w:val="22"/>
                <w:szCs w:val="22"/>
                <w14:ligatures w14:val="none"/>
              </w:rPr>
              <w:t>23 946 750</w:t>
            </w:r>
          </w:p>
        </w:tc>
        <w:tc>
          <w:tcPr>
            <w:tcW w:w="1500" w:type="dxa"/>
            <w:tcBorders>
              <w:top w:val="nil"/>
              <w:left w:val="nil"/>
              <w:bottom w:val="single" w:sz="8" w:space="0" w:color="auto"/>
              <w:right w:val="single" w:sz="8" w:space="0" w:color="auto"/>
            </w:tcBorders>
            <w:shd w:val="clear" w:color="auto" w:fill="auto"/>
            <w:vAlign w:val="center"/>
          </w:tcPr>
          <w:p w14:paraId="699CAA02"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i/>
                <w:iCs/>
                <w:kern w:val="0"/>
                <w:sz w:val="22"/>
                <w:szCs w:val="22"/>
                <w14:ligatures w14:val="none"/>
              </w:rPr>
              <w:t>31 928 850</w:t>
            </w:r>
          </w:p>
        </w:tc>
        <w:tc>
          <w:tcPr>
            <w:tcW w:w="1500" w:type="dxa"/>
            <w:tcBorders>
              <w:top w:val="nil"/>
              <w:left w:val="nil"/>
              <w:bottom w:val="single" w:sz="8" w:space="0" w:color="auto"/>
              <w:right w:val="single" w:sz="8" w:space="0" w:color="auto"/>
            </w:tcBorders>
            <w:shd w:val="clear" w:color="auto" w:fill="auto"/>
            <w:vAlign w:val="center"/>
          </w:tcPr>
          <w:p w14:paraId="3A330E8E"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i/>
                <w:iCs/>
                <w:kern w:val="0"/>
                <w:sz w:val="22"/>
                <w:szCs w:val="22"/>
                <w14:ligatures w14:val="none"/>
              </w:rPr>
              <w:t>31 928 850</w:t>
            </w:r>
          </w:p>
        </w:tc>
        <w:tc>
          <w:tcPr>
            <w:tcW w:w="3000" w:type="dxa"/>
            <w:tcBorders>
              <w:top w:val="nil"/>
              <w:left w:val="nil"/>
              <w:bottom w:val="single" w:sz="4" w:space="0" w:color="auto"/>
              <w:right w:val="single" w:sz="4" w:space="0" w:color="auto"/>
            </w:tcBorders>
            <w:noWrap/>
            <w:vAlign w:val="center"/>
          </w:tcPr>
          <w:p w14:paraId="53C232C7" w14:textId="77777777" w:rsidR="00AD62CD" w:rsidRPr="00AD62CD" w:rsidRDefault="00AD62CD" w:rsidP="00AD62CD">
            <w:pPr>
              <w:spacing w:after="0" w:line="240" w:lineRule="auto"/>
              <w:rPr>
                <w:rFonts w:ascii="Times New Roman" w:eastAsia="Calibri" w:hAnsi="Times New Roman" w:cs="Times New Roman"/>
                <w:i/>
                <w:iCs/>
                <w:kern w:val="0"/>
                <w:sz w:val="22"/>
                <w:szCs w:val="22"/>
                <w:lang w:eastAsia="sk-SK"/>
                <w14:ligatures w14:val="none"/>
              </w:rPr>
            </w:pPr>
            <w:r w:rsidRPr="00AD62CD">
              <w:rPr>
                <w:rFonts w:ascii="Times New Roman" w:eastAsia="Calibri" w:hAnsi="Times New Roman" w:cs="Times New Roman"/>
                <w:i/>
                <w:iCs/>
                <w:kern w:val="0"/>
                <w:sz w:val="22"/>
                <w:szCs w:val="22"/>
                <w:lang w:eastAsia="sk-SK"/>
                <w14:ligatures w14:val="none"/>
              </w:rPr>
              <w:t>Nový typ úhrady, ktorý nemá stanovený EKRK kód</w:t>
            </w:r>
          </w:p>
        </w:tc>
      </w:tr>
      <w:tr w:rsidR="00AD62CD" w:rsidRPr="00AD62CD" w14:paraId="0B58F0AA"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4282E53C"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(212001) z úhrad za vydobyté nerasty</w:t>
            </w:r>
          </w:p>
        </w:tc>
        <w:tc>
          <w:tcPr>
            <w:tcW w:w="1500" w:type="dxa"/>
            <w:tcBorders>
              <w:top w:val="nil"/>
              <w:left w:val="nil"/>
              <w:bottom w:val="single" w:sz="8" w:space="0" w:color="auto"/>
              <w:right w:val="single" w:sz="8" w:space="0" w:color="auto"/>
            </w:tcBorders>
            <w:shd w:val="clear" w:color="auto" w:fill="auto"/>
            <w:vAlign w:val="center"/>
          </w:tcPr>
          <w:p w14:paraId="32A10C29" w14:textId="77777777" w:rsidR="00AD62CD" w:rsidRPr="00AD62CD" w:rsidRDefault="00AD62CD" w:rsidP="00AD62CD">
            <w:pPr>
              <w:spacing w:after="0" w:line="276" w:lineRule="auto"/>
              <w:ind w:hanging="143"/>
              <w:jc w:val="center"/>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675C40CE" w14:textId="77777777" w:rsidR="00AD62CD" w:rsidRPr="00AD62CD" w:rsidRDefault="00AD62CD" w:rsidP="00AD62CD">
            <w:pPr>
              <w:spacing w:after="0" w:line="276" w:lineRule="auto"/>
              <w:ind w:hanging="143"/>
              <w:jc w:val="center"/>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2 317 317</w:t>
            </w:r>
          </w:p>
        </w:tc>
        <w:tc>
          <w:tcPr>
            <w:tcW w:w="1500" w:type="dxa"/>
            <w:tcBorders>
              <w:top w:val="nil"/>
              <w:left w:val="nil"/>
              <w:bottom w:val="single" w:sz="8" w:space="0" w:color="auto"/>
              <w:right w:val="single" w:sz="8" w:space="0" w:color="auto"/>
            </w:tcBorders>
            <w:shd w:val="clear" w:color="auto" w:fill="auto"/>
            <w:vAlign w:val="center"/>
          </w:tcPr>
          <w:p w14:paraId="592F1CB7" w14:textId="77777777" w:rsidR="00AD62CD" w:rsidRPr="00AD62CD" w:rsidRDefault="00AD62CD" w:rsidP="00AD62CD">
            <w:pPr>
              <w:spacing w:after="0" w:line="276" w:lineRule="auto"/>
              <w:ind w:hanging="143"/>
              <w:jc w:val="center"/>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2 317 317</w:t>
            </w:r>
          </w:p>
        </w:tc>
        <w:tc>
          <w:tcPr>
            <w:tcW w:w="1500" w:type="dxa"/>
            <w:tcBorders>
              <w:top w:val="nil"/>
              <w:left w:val="nil"/>
              <w:bottom w:val="single" w:sz="8" w:space="0" w:color="auto"/>
              <w:right w:val="single" w:sz="8" w:space="0" w:color="auto"/>
            </w:tcBorders>
            <w:shd w:val="clear" w:color="auto" w:fill="auto"/>
            <w:vAlign w:val="center"/>
          </w:tcPr>
          <w:p w14:paraId="7F6D784F" w14:textId="77777777" w:rsidR="00AD62CD" w:rsidRPr="00AD62CD" w:rsidRDefault="00AD62CD" w:rsidP="00AD62CD">
            <w:pPr>
              <w:spacing w:after="0" w:line="276" w:lineRule="auto"/>
              <w:ind w:hanging="143"/>
              <w:jc w:val="center"/>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2 317 317</w:t>
            </w:r>
          </w:p>
        </w:tc>
        <w:tc>
          <w:tcPr>
            <w:tcW w:w="3000" w:type="dxa"/>
            <w:tcBorders>
              <w:top w:val="nil"/>
              <w:left w:val="nil"/>
              <w:bottom w:val="single" w:sz="4" w:space="0" w:color="auto"/>
              <w:right w:val="single" w:sz="4" w:space="0" w:color="auto"/>
            </w:tcBorders>
            <w:noWrap/>
            <w:vAlign w:val="center"/>
          </w:tcPr>
          <w:p w14:paraId="25AD7B1E" w14:textId="77777777" w:rsidR="00AD62CD" w:rsidRPr="00AD62CD" w:rsidRDefault="00AD62CD" w:rsidP="00AD62CD">
            <w:pPr>
              <w:spacing w:after="0" w:line="240" w:lineRule="auto"/>
              <w:rPr>
                <w:rFonts w:ascii="Times New Roman" w:eastAsia="Calibri" w:hAnsi="Times New Roman" w:cs="Times New Roman"/>
                <w:i/>
                <w:iCs/>
                <w:kern w:val="0"/>
                <w:sz w:val="22"/>
                <w:szCs w:val="22"/>
                <w:lang w:eastAsia="sk-SK"/>
                <w14:ligatures w14:val="none"/>
              </w:rPr>
            </w:pPr>
          </w:p>
        </w:tc>
      </w:tr>
      <w:tr w:rsidR="00AD62CD" w:rsidRPr="00AD62CD" w14:paraId="1CE5EDF7"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6E155729"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14:paraId="43BDC2F2"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61EC8BEA"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4AC06D38"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532AD5AF"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3000" w:type="dxa"/>
            <w:tcBorders>
              <w:top w:val="nil"/>
              <w:left w:val="nil"/>
              <w:bottom w:val="single" w:sz="4" w:space="0" w:color="auto"/>
              <w:right w:val="single" w:sz="4" w:space="0" w:color="auto"/>
            </w:tcBorders>
            <w:noWrap/>
            <w:vAlign w:val="bottom"/>
          </w:tcPr>
          <w:p w14:paraId="2D547A56"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05E6551F"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3BE6E37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14:paraId="23B111B1"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5B007563"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3BA438BF"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2621D2CD"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3000" w:type="dxa"/>
            <w:tcBorders>
              <w:top w:val="nil"/>
              <w:left w:val="nil"/>
              <w:bottom w:val="single" w:sz="4" w:space="0" w:color="auto"/>
              <w:right w:val="single" w:sz="4" w:space="0" w:color="auto"/>
            </w:tcBorders>
            <w:noWrap/>
            <w:vAlign w:val="bottom"/>
          </w:tcPr>
          <w:p w14:paraId="7AA0CD06"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284CE307" w14:textId="77777777" w:rsidTr="003627DF">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14:paraId="705C3623"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14:paraId="1C95DF8B"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000000" w:fill="BFBFBF"/>
            <w:vAlign w:val="center"/>
          </w:tcPr>
          <w:p w14:paraId="3CAD90AB"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27 182 067</w:t>
            </w:r>
          </w:p>
        </w:tc>
        <w:tc>
          <w:tcPr>
            <w:tcW w:w="1500" w:type="dxa"/>
            <w:tcBorders>
              <w:top w:val="nil"/>
              <w:left w:val="nil"/>
              <w:bottom w:val="single" w:sz="8" w:space="0" w:color="auto"/>
              <w:right w:val="single" w:sz="8" w:space="0" w:color="auto"/>
            </w:tcBorders>
            <w:shd w:val="clear" w:color="000000" w:fill="BFBFBF"/>
            <w:vAlign w:val="center"/>
          </w:tcPr>
          <w:p w14:paraId="6993BA4C"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35 164 167</w:t>
            </w:r>
          </w:p>
        </w:tc>
        <w:tc>
          <w:tcPr>
            <w:tcW w:w="1500" w:type="dxa"/>
            <w:tcBorders>
              <w:top w:val="nil"/>
              <w:left w:val="nil"/>
              <w:bottom w:val="single" w:sz="8" w:space="0" w:color="auto"/>
              <w:right w:val="single" w:sz="8" w:space="0" w:color="auto"/>
            </w:tcBorders>
            <w:shd w:val="clear" w:color="000000" w:fill="BFBFBF"/>
            <w:vAlign w:val="center"/>
          </w:tcPr>
          <w:p w14:paraId="635EEF11"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35 164 167</w:t>
            </w:r>
          </w:p>
        </w:tc>
        <w:tc>
          <w:tcPr>
            <w:tcW w:w="3000" w:type="dxa"/>
            <w:tcBorders>
              <w:top w:val="nil"/>
              <w:left w:val="nil"/>
              <w:bottom w:val="single" w:sz="4" w:space="0" w:color="auto"/>
              <w:right w:val="single" w:sz="4" w:space="0" w:color="auto"/>
            </w:tcBorders>
            <w:noWrap/>
            <w:vAlign w:val="bottom"/>
          </w:tcPr>
          <w:p w14:paraId="4C0649E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bl>
    <w:p w14:paraId="28AE566A"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1 –  príjmy rozpísať až do položiek platnej ekonomickej klasifikácie</w:t>
      </w:r>
    </w:p>
    <w:p w14:paraId="4335F64D"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p>
    <w:p w14:paraId="0836C0FE"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37967BA8"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2312BC64" w14:textId="77777777" w:rsidR="00AD62CD" w:rsidRPr="00AD62CD" w:rsidRDefault="00AD62CD" w:rsidP="00AD62CD">
      <w:pPr>
        <w:spacing w:after="200" w:line="276" w:lineRule="auto"/>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br w:type="page"/>
      </w: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D62CD" w:rsidRPr="00AD62CD" w14:paraId="1DD0B3DD" w14:textId="77777777" w:rsidTr="00AD62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0D2126F"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Obce - 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3619F874"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1D5D4299"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poznámka</w:t>
            </w:r>
          </w:p>
        </w:tc>
      </w:tr>
      <w:tr w:rsidR="00AD62CD" w:rsidRPr="00AD62CD" w14:paraId="27AB1C2F" w14:textId="77777777" w:rsidTr="00AD62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6A90D550"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c>
          <w:tcPr>
            <w:tcW w:w="1500" w:type="dxa"/>
            <w:tcBorders>
              <w:top w:val="nil"/>
              <w:left w:val="nil"/>
              <w:bottom w:val="single" w:sz="4" w:space="0" w:color="auto"/>
              <w:right w:val="single" w:sz="4" w:space="0" w:color="auto"/>
            </w:tcBorders>
            <w:shd w:val="clear" w:color="auto" w:fill="BFBFBF"/>
            <w:vAlign w:val="center"/>
          </w:tcPr>
          <w:p w14:paraId="51544876"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2025</w:t>
            </w:r>
          </w:p>
        </w:tc>
        <w:tc>
          <w:tcPr>
            <w:tcW w:w="1500" w:type="dxa"/>
            <w:tcBorders>
              <w:top w:val="nil"/>
              <w:left w:val="nil"/>
              <w:bottom w:val="single" w:sz="4" w:space="0" w:color="auto"/>
              <w:right w:val="single" w:sz="4" w:space="0" w:color="auto"/>
            </w:tcBorders>
            <w:shd w:val="clear" w:color="auto" w:fill="BFBFBF"/>
            <w:vAlign w:val="center"/>
          </w:tcPr>
          <w:p w14:paraId="296CAE03"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2026</w:t>
            </w:r>
          </w:p>
        </w:tc>
        <w:tc>
          <w:tcPr>
            <w:tcW w:w="1500" w:type="dxa"/>
            <w:tcBorders>
              <w:top w:val="nil"/>
              <w:left w:val="nil"/>
              <w:bottom w:val="single" w:sz="4" w:space="0" w:color="auto"/>
              <w:right w:val="single" w:sz="4" w:space="0" w:color="auto"/>
            </w:tcBorders>
            <w:shd w:val="clear" w:color="auto" w:fill="BFBFBF"/>
            <w:vAlign w:val="center"/>
          </w:tcPr>
          <w:p w14:paraId="495C6615"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2027</w:t>
            </w:r>
          </w:p>
        </w:tc>
        <w:tc>
          <w:tcPr>
            <w:tcW w:w="1500" w:type="dxa"/>
            <w:tcBorders>
              <w:top w:val="nil"/>
              <w:left w:val="nil"/>
              <w:bottom w:val="single" w:sz="4" w:space="0" w:color="auto"/>
              <w:right w:val="single" w:sz="4" w:space="0" w:color="auto"/>
            </w:tcBorders>
            <w:shd w:val="clear" w:color="auto" w:fill="BFBFBF"/>
            <w:vAlign w:val="center"/>
          </w:tcPr>
          <w:p w14:paraId="78C507EC"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39CDCFD6"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r>
      <w:tr w:rsidR="00AD62CD" w:rsidRPr="00AD62CD" w14:paraId="2EF40D17"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tcPr>
          <w:p w14:paraId="6A650FF0"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Daňové príjmy (100)1</w:t>
            </w:r>
          </w:p>
        </w:tc>
        <w:tc>
          <w:tcPr>
            <w:tcW w:w="1500" w:type="dxa"/>
            <w:tcBorders>
              <w:top w:val="nil"/>
              <w:left w:val="nil"/>
              <w:bottom w:val="single" w:sz="8" w:space="0" w:color="auto"/>
              <w:right w:val="single" w:sz="8" w:space="0" w:color="auto"/>
            </w:tcBorders>
            <w:shd w:val="clear" w:color="auto" w:fill="auto"/>
            <w:vAlign w:val="center"/>
          </w:tcPr>
          <w:p w14:paraId="4221545C"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13AE3606"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82 000</w:t>
            </w:r>
          </w:p>
        </w:tc>
        <w:tc>
          <w:tcPr>
            <w:tcW w:w="1500" w:type="dxa"/>
            <w:tcBorders>
              <w:top w:val="nil"/>
              <w:left w:val="nil"/>
              <w:bottom w:val="single" w:sz="8" w:space="0" w:color="auto"/>
              <w:right w:val="single" w:sz="8" w:space="0" w:color="auto"/>
            </w:tcBorders>
            <w:shd w:val="clear" w:color="auto" w:fill="auto"/>
            <w:vAlign w:val="center"/>
          </w:tcPr>
          <w:p w14:paraId="1D5B4D89"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82 000</w:t>
            </w:r>
          </w:p>
        </w:tc>
        <w:tc>
          <w:tcPr>
            <w:tcW w:w="1500" w:type="dxa"/>
            <w:tcBorders>
              <w:top w:val="nil"/>
              <w:left w:val="nil"/>
              <w:bottom w:val="single" w:sz="8" w:space="0" w:color="auto"/>
              <w:right w:val="single" w:sz="8" w:space="0" w:color="auto"/>
            </w:tcBorders>
            <w:shd w:val="clear" w:color="auto" w:fill="auto"/>
            <w:vAlign w:val="center"/>
          </w:tcPr>
          <w:p w14:paraId="52BA53F0" w14:textId="77777777" w:rsidR="00AD62CD" w:rsidRPr="00AD62CD" w:rsidRDefault="00AD62CD" w:rsidP="00AD62CD">
            <w:pPr>
              <w:spacing w:after="0" w:line="276" w:lineRule="auto"/>
              <w:ind w:hanging="143"/>
              <w:jc w:val="center"/>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82 000</w:t>
            </w:r>
          </w:p>
        </w:tc>
        <w:tc>
          <w:tcPr>
            <w:tcW w:w="3000" w:type="dxa"/>
            <w:tcBorders>
              <w:top w:val="nil"/>
              <w:left w:val="nil"/>
              <w:bottom w:val="single" w:sz="4" w:space="0" w:color="auto"/>
              <w:right w:val="single" w:sz="4" w:space="0" w:color="auto"/>
            </w:tcBorders>
            <w:noWrap/>
            <w:vAlign w:val="bottom"/>
          </w:tcPr>
          <w:p w14:paraId="51330FDA"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57331C89"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63A6FE99"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(134001) z úhrad za dobývací priestor</w:t>
            </w:r>
          </w:p>
        </w:tc>
        <w:tc>
          <w:tcPr>
            <w:tcW w:w="1500" w:type="dxa"/>
            <w:tcBorders>
              <w:top w:val="nil"/>
              <w:left w:val="nil"/>
              <w:bottom w:val="single" w:sz="8" w:space="0" w:color="auto"/>
              <w:right w:val="single" w:sz="8" w:space="0" w:color="auto"/>
            </w:tcBorders>
            <w:shd w:val="clear" w:color="auto" w:fill="auto"/>
            <w:vAlign w:val="center"/>
          </w:tcPr>
          <w:p w14:paraId="18822C38" w14:textId="77777777" w:rsidR="00AD62CD" w:rsidRPr="00AD62CD" w:rsidRDefault="00AD62CD" w:rsidP="00AD62CD">
            <w:pPr>
              <w:spacing w:after="0" w:line="276" w:lineRule="auto"/>
              <w:ind w:hanging="143"/>
              <w:jc w:val="center"/>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54E724C1" w14:textId="77777777" w:rsidR="00AD62CD" w:rsidRPr="00AD62CD" w:rsidRDefault="00AD62CD" w:rsidP="00AD62CD">
            <w:pPr>
              <w:spacing w:after="0" w:line="276" w:lineRule="auto"/>
              <w:ind w:hanging="143"/>
              <w:jc w:val="center"/>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82 000</w:t>
            </w:r>
          </w:p>
        </w:tc>
        <w:tc>
          <w:tcPr>
            <w:tcW w:w="1500" w:type="dxa"/>
            <w:tcBorders>
              <w:top w:val="nil"/>
              <w:left w:val="nil"/>
              <w:bottom w:val="single" w:sz="8" w:space="0" w:color="auto"/>
              <w:right w:val="single" w:sz="8" w:space="0" w:color="auto"/>
            </w:tcBorders>
            <w:shd w:val="clear" w:color="auto" w:fill="auto"/>
            <w:vAlign w:val="center"/>
          </w:tcPr>
          <w:p w14:paraId="4279D3BC" w14:textId="77777777" w:rsidR="00AD62CD" w:rsidRPr="00AD62CD" w:rsidRDefault="00AD62CD" w:rsidP="00AD62CD">
            <w:pPr>
              <w:spacing w:after="0" w:line="276" w:lineRule="auto"/>
              <w:ind w:hanging="143"/>
              <w:jc w:val="center"/>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82 000</w:t>
            </w:r>
          </w:p>
        </w:tc>
        <w:tc>
          <w:tcPr>
            <w:tcW w:w="1500" w:type="dxa"/>
            <w:tcBorders>
              <w:top w:val="nil"/>
              <w:left w:val="nil"/>
              <w:bottom w:val="single" w:sz="8" w:space="0" w:color="auto"/>
              <w:right w:val="single" w:sz="8" w:space="0" w:color="auto"/>
            </w:tcBorders>
            <w:shd w:val="clear" w:color="auto" w:fill="auto"/>
            <w:vAlign w:val="center"/>
          </w:tcPr>
          <w:p w14:paraId="56BCA20C" w14:textId="77777777" w:rsidR="00AD62CD" w:rsidRPr="00AD62CD" w:rsidRDefault="00AD62CD" w:rsidP="00AD62CD">
            <w:pPr>
              <w:spacing w:after="0" w:line="276" w:lineRule="auto"/>
              <w:ind w:hanging="143"/>
              <w:jc w:val="center"/>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82 000</w:t>
            </w:r>
          </w:p>
        </w:tc>
        <w:tc>
          <w:tcPr>
            <w:tcW w:w="3000" w:type="dxa"/>
            <w:tcBorders>
              <w:top w:val="nil"/>
              <w:left w:val="nil"/>
              <w:bottom w:val="single" w:sz="4" w:space="0" w:color="auto"/>
              <w:right w:val="single" w:sz="4" w:space="0" w:color="auto"/>
            </w:tcBorders>
            <w:noWrap/>
            <w:vAlign w:val="center"/>
          </w:tcPr>
          <w:p w14:paraId="1DA17C88"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282B6CFD"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5EDA9746"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Nedaňové príjmy (200)</w:t>
            </w:r>
            <w:r w:rsidRPr="00AD62CD">
              <w:rPr>
                <w:rFonts w:ascii="Times New Roman" w:eastAsia="Calibri" w:hAnsi="Times New Roman" w:cs="Times New Roman"/>
                <w:b/>
                <w:bCs/>
                <w:color w:val="000000"/>
                <w:kern w:val="0"/>
                <w:sz w:val="22"/>
                <w:szCs w:val="22"/>
                <w:vertAlign w:val="superscript"/>
                <w14:ligatures w14:val="none"/>
              </w:rPr>
              <w:t>1</w:t>
            </w:r>
          </w:p>
        </w:tc>
        <w:tc>
          <w:tcPr>
            <w:tcW w:w="1500" w:type="dxa"/>
            <w:tcBorders>
              <w:top w:val="nil"/>
              <w:left w:val="nil"/>
              <w:bottom w:val="single" w:sz="8" w:space="0" w:color="auto"/>
              <w:right w:val="single" w:sz="8" w:space="0" w:color="auto"/>
            </w:tcBorders>
            <w:shd w:val="clear" w:color="auto" w:fill="auto"/>
            <w:vAlign w:val="center"/>
          </w:tcPr>
          <w:p w14:paraId="02EA3AAA"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6ED94440"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201C49CF"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78484CA8"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3000" w:type="dxa"/>
            <w:tcBorders>
              <w:top w:val="nil"/>
              <w:left w:val="nil"/>
              <w:bottom w:val="single" w:sz="4" w:space="0" w:color="auto"/>
              <w:right w:val="single" w:sz="4" w:space="0" w:color="auto"/>
            </w:tcBorders>
            <w:noWrap/>
            <w:vAlign w:val="bottom"/>
          </w:tcPr>
          <w:p w14:paraId="08B1CDA8"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55094313"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2501004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14:paraId="32745985"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349AFFDC"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39566BC5"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43713E08"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3000" w:type="dxa"/>
            <w:tcBorders>
              <w:top w:val="nil"/>
              <w:left w:val="nil"/>
              <w:bottom w:val="single" w:sz="4" w:space="0" w:color="auto"/>
              <w:right w:val="single" w:sz="4" w:space="0" w:color="auto"/>
            </w:tcBorders>
            <w:noWrap/>
            <w:vAlign w:val="bottom"/>
          </w:tcPr>
          <w:p w14:paraId="6A658E19"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4AA48F14"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5F5F229E"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14:paraId="5FBFE4C2"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5FB7CCC1"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2936DFA2"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392E0353"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3000" w:type="dxa"/>
            <w:tcBorders>
              <w:top w:val="nil"/>
              <w:left w:val="nil"/>
              <w:bottom w:val="single" w:sz="4" w:space="0" w:color="auto"/>
              <w:right w:val="single" w:sz="4" w:space="0" w:color="auto"/>
            </w:tcBorders>
            <w:noWrap/>
            <w:vAlign w:val="bottom"/>
          </w:tcPr>
          <w:p w14:paraId="354246D8"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3248CCBA" w14:textId="77777777" w:rsidTr="003627DF">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14:paraId="2611DE7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14:paraId="169039CC"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000000" w:fill="BFBFBF"/>
            <w:vAlign w:val="center"/>
          </w:tcPr>
          <w:p w14:paraId="36061449"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82 000</w:t>
            </w:r>
          </w:p>
        </w:tc>
        <w:tc>
          <w:tcPr>
            <w:tcW w:w="1500" w:type="dxa"/>
            <w:tcBorders>
              <w:top w:val="nil"/>
              <w:left w:val="nil"/>
              <w:bottom w:val="single" w:sz="8" w:space="0" w:color="auto"/>
              <w:right w:val="single" w:sz="8" w:space="0" w:color="auto"/>
            </w:tcBorders>
            <w:shd w:val="clear" w:color="000000" w:fill="BFBFBF"/>
            <w:vAlign w:val="center"/>
          </w:tcPr>
          <w:p w14:paraId="224511CF"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82 000</w:t>
            </w:r>
          </w:p>
        </w:tc>
        <w:tc>
          <w:tcPr>
            <w:tcW w:w="1500" w:type="dxa"/>
            <w:tcBorders>
              <w:top w:val="nil"/>
              <w:left w:val="nil"/>
              <w:bottom w:val="single" w:sz="8" w:space="0" w:color="auto"/>
              <w:right w:val="single" w:sz="8" w:space="0" w:color="auto"/>
            </w:tcBorders>
            <w:shd w:val="clear" w:color="000000" w:fill="BFBFBF"/>
            <w:vAlign w:val="center"/>
          </w:tcPr>
          <w:p w14:paraId="4EC8EB25"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82 000</w:t>
            </w:r>
          </w:p>
        </w:tc>
        <w:tc>
          <w:tcPr>
            <w:tcW w:w="3000" w:type="dxa"/>
            <w:tcBorders>
              <w:top w:val="nil"/>
              <w:left w:val="nil"/>
              <w:bottom w:val="single" w:sz="4" w:space="0" w:color="auto"/>
              <w:right w:val="single" w:sz="4" w:space="0" w:color="auto"/>
            </w:tcBorders>
            <w:noWrap/>
            <w:vAlign w:val="bottom"/>
          </w:tcPr>
          <w:p w14:paraId="0CF1C615"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bl>
    <w:p w14:paraId="2DE2BEC8"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6EBDD5DF"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 </w:t>
      </w:r>
    </w:p>
    <w:p w14:paraId="03C2B657" w14:textId="77777777" w:rsidR="00AD62CD" w:rsidRPr="00AD62CD" w:rsidRDefault="00AD62CD" w:rsidP="00AD62CD">
      <w:pPr>
        <w:spacing w:after="200" w:line="276" w:lineRule="auto"/>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br w:type="page"/>
      </w:r>
    </w:p>
    <w:tbl>
      <w:tblPr>
        <w:tblpPr w:leftFromText="141" w:rightFromText="141" w:vertAnchor="page" w:horzAnchor="margin" w:tblpY="1765"/>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D62CD" w:rsidRPr="00AD62CD" w14:paraId="50BDD10E" w14:textId="77777777" w:rsidTr="00AD62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FD9D17D"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Environmentálny fond - 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424696DB"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29161F5C"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poznámka</w:t>
            </w:r>
          </w:p>
        </w:tc>
      </w:tr>
      <w:tr w:rsidR="00AD62CD" w:rsidRPr="00AD62CD" w14:paraId="75BE94A9" w14:textId="77777777" w:rsidTr="00AD62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1D09EE9D"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c>
          <w:tcPr>
            <w:tcW w:w="1500" w:type="dxa"/>
            <w:tcBorders>
              <w:top w:val="nil"/>
              <w:left w:val="nil"/>
              <w:bottom w:val="single" w:sz="4" w:space="0" w:color="auto"/>
              <w:right w:val="single" w:sz="4" w:space="0" w:color="auto"/>
            </w:tcBorders>
            <w:shd w:val="clear" w:color="auto" w:fill="BFBFBF"/>
            <w:vAlign w:val="center"/>
          </w:tcPr>
          <w:p w14:paraId="2113BF6D"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2025</w:t>
            </w:r>
          </w:p>
        </w:tc>
        <w:tc>
          <w:tcPr>
            <w:tcW w:w="1500" w:type="dxa"/>
            <w:tcBorders>
              <w:top w:val="nil"/>
              <w:left w:val="nil"/>
              <w:bottom w:val="single" w:sz="4" w:space="0" w:color="auto"/>
              <w:right w:val="single" w:sz="4" w:space="0" w:color="auto"/>
            </w:tcBorders>
            <w:shd w:val="clear" w:color="auto" w:fill="BFBFBF"/>
            <w:vAlign w:val="center"/>
          </w:tcPr>
          <w:p w14:paraId="0DA36987"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2026</w:t>
            </w:r>
          </w:p>
        </w:tc>
        <w:tc>
          <w:tcPr>
            <w:tcW w:w="1500" w:type="dxa"/>
            <w:tcBorders>
              <w:top w:val="nil"/>
              <w:left w:val="nil"/>
              <w:bottom w:val="single" w:sz="4" w:space="0" w:color="auto"/>
              <w:right w:val="single" w:sz="4" w:space="0" w:color="auto"/>
            </w:tcBorders>
            <w:shd w:val="clear" w:color="auto" w:fill="BFBFBF"/>
            <w:vAlign w:val="center"/>
          </w:tcPr>
          <w:p w14:paraId="51142AF8"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2027</w:t>
            </w:r>
          </w:p>
        </w:tc>
        <w:tc>
          <w:tcPr>
            <w:tcW w:w="1500" w:type="dxa"/>
            <w:tcBorders>
              <w:top w:val="nil"/>
              <w:left w:val="nil"/>
              <w:bottom w:val="single" w:sz="4" w:space="0" w:color="auto"/>
              <w:right w:val="single" w:sz="4" w:space="0" w:color="auto"/>
            </w:tcBorders>
            <w:shd w:val="clear" w:color="auto" w:fill="BFBFBF"/>
            <w:vAlign w:val="center"/>
          </w:tcPr>
          <w:p w14:paraId="0DC15E83"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4E538914"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r>
      <w:tr w:rsidR="00AD62CD" w:rsidRPr="00AD62CD" w14:paraId="47987A9F"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tcPr>
          <w:p w14:paraId="2B5A13C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Daňové príjmy (100)1</w:t>
            </w:r>
          </w:p>
        </w:tc>
        <w:tc>
          <w:tcPr>
            <w:tcW w:w="1500" w:type="dxa"/>
            <w:tcBorders>
              <w:top w:val="nil"/>
              <w:left w:val="nil"/>
              <w:bottom w:val="single" w:sz="8" w:space="0" w:color="auto"/>
              <w:right w:val="single" w:sz="8" w:space="0" w:color="auto"/>
            </w:tcBorders>
            <w:shd w:val="clear" w:color="auto" w:fill="auto"/>
          </w:tcPr>
          <w:p w14:paraId="39B580DA"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031CF095" w14:textId="77777777" w:rsidR="00AD62CD" w:rsidRPr="00AD62CD" w:rsidRDefault="00AD62CD" w:rsidP="00AD62CD">
            <w:pPr>
              <w:spacing w:after="0" w:line="276" w:lineRule="auto"/>
              <w:ind w:left="217"/>
              <w:contextualSpacing/>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- 1 000 000</w:t>
            </w:r>
          </w:p>
        </w:tc>
        <w:tc>
          <w:tcPr>
            <w:tcW w:w="1500" w:type="dxa"/>
            <w:tcBorders>
              <w:top w:val="nil"/>
              <w:left w:val="nil"/>
              <w:bottom w:val="single" w:sz="8" w:space="0" w:color="auto"/>
              <w:right w:val="single" w:sz="8" w:space="0" w:color="auto"/>
            </w:tcBorders>
            <w:shd w:val="clear" w:color="auto" w:fill="auto"/>
            <w:vAlign w:val="center"/>
          </w:tcPr>
          <w:p w14:paraId="08463F40"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- 1 000 000</w:t>
            </w:r>
          </w:p>
        </w:tc>
        <w:tc>
          <w:tcPr>
            <w:tcW w:w="1500" w:type="dxa"/>
            <w:tcBorders>
              <w:top w:val="nil"/>
              <w:left w:val="nil"/>
              <w:bottom w:val="single" w:sz="8" w:space="0" w:color="auto"/>
              <w:right w:val="single" w:sz="8" w:space="0" w:color="auto"/>
            </w:tcBorders>
            <w:shd w:val="clear" w:color="auto" w:fill="auto"/>
            <w:vAlign w:val="center"/>
          </w:tcPr>
          <w:p w14:paraId="09F539CC"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- 1 000 000</w:t>
            </w:r>
          </w:p>
        </w:tc>
        <w:tc>
          <w:tcPr>
            <w:tcW w:w="3000" w:type="dxa"/>
            <w:tcBorders>
              <w:top w:val="nil"/>
              <w:left w:val="nil"/>
              <w:bottom w:val="single" w:sz="4" w:space="0" w:color="auto"/>
              <w:right w:val="single" w:sz="4" w:space="0" w:color="auto"/>
            </w:tcBorders>
            <w:noWrap/>
            <w:vAlign w:val="bottom"/>
          </w:tcPr>
          <w:p w14:paraId="1FB6EC6B"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3B744044"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3FA51016"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(134004) z úhrad za uskladňovanie plynov alebo kvapalín</w:t>
            </w:r>
          </w:p>
        </w:tc>
        <w:tc>
          <w:tcPr>
            <w:tcW w:w="1500" w:type="dxa"/>
            <w:tcBorders>
              <w:top w:val="nil"/>
              <w:left w:val="nil"/>
              <w:bottom w:val="single" w:sz="8" w:space="0" w:color="auto"/>
              <w:right w:val="single" w:sz="8" w:space="0" w:color="auto"/>
            </w:tcBorders>
            <w:shd w:val="clear" w:color="auto" w:fill="auto"/>
            <w:vAlign w:val="center"/>
          </w:tcPr>
          <w:p w14:paraId="3A66EC2B" w14:textId="77777777" w:rsidR="00AD62CD" w:rsidRPr="00AD62CD" w:rsidRDefault="00AD62CD" w:rsidP="00AD62CD">
            <w:pPr>
              <w:spacing w:after="0" w:line="276" w:lineRule="auto"/>
              <w:ind w:hanging="143"/>
              <w:jc w:val="center"/>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197EEEBD"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i/>
                <w:iCs/>
                <w:kern w:val="0"/>
                <w:sz w:val="22"/>
                <w:szCs w:val="22"/>
                <w14:ligatures w14:val="none"/>
              </w:rPr>
              <w:t>- 1 000 000</w:t>
            </w:r>
          </w:p>
        </w:tc>
        <w:tc>
          <w:tcPr>
            <w:tcW w:w="1500" w:type="dxa"/>
            <w:tcBorders>
              <w:top w:val="nil"/>
              <w:left w:val="nil"/>
              <w:bottom w:val="single" w:sz="8" w:space="0" w:color="auto"/>
              <w:right w:val="single" w:sz="8" w:space="0" w:color="auto"/>
            </w:tcBorders>
            <w:shd w:val="clear" w:color="auto" w:fill="auto"/>
            <w:vAlign w:val="center"/>
          </w:tcPr>
          <w:p w14:paraId="35997638"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i/>
                <w:iCs/>
                <w:kern w:val="0"/>
                <w:sz w:val="22"/>
                <w:szCs w:val="22"/>
                <w14:ligatures w14:val="none"/>
              </w:rPr>
              <w:t>- 1 000 000</w:t>
            </w:r>
          </w:p>
        </w:tc>
        <w:tc>
          <w:tcPr>
            <w:tcW w:w="1500" w:type="dxa"/>
            <w:tcBorders>
              <w:top w:val="nil"/>
              <w:left w:val="nil"/>
              <w:bottom w:val="single" w:sz="8" w:space="0" w:color="auto"/>
              <w:right w:val="single" w:sz="8" w:space="0" w:color="auto"/>
            </w:tcBorders>
            <w:shd w:val="clear" w:color="auto" w:fill="auto"/>
            <w:vAlign w:val="center"/>
          </w:tcPr>
          <w:p w14:paraId="5B59069A"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i/>
                <w:iCs/>
                <w:kern w:val="0"/>
                <w:sz w:val="22"/>
                <w:szCs w:val="22"/>
                <w14:ligatures w14:val="none"/>
              </w:rPr>
              <w:t>- 1 000 000</w:t>
            </w:r>
          </w:p>
        </w:tc>
        <w:tc>
          <w:tcPr>
            <w:tcW w:w="3000" w:type="dxa"/>
            <w:tcBorders>
              <w:top w:val="nil"/>
              <w:left w:val="nil"/>
              <w:bottom w:val="single" w:sz="4" w:space="0" w:color="auto"/>
              <w:right w:val="single" w:sz="4" w:space="0" w:color="auto"/>
            </w:tcBorders>
            <w:noWrap/>
            <w:vAlign w:val="center"/>
          </w:tcPr>
          <w:p w14:paraId="015F2DF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6F79F364"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75D2461F"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Nedaňové príjmy (200)</w:t>
            </w:r>
            <w:r w:rsidRPr="00AD62CD">
              <w:rPr>
                <w:rFonts w:ascii="Times New Roman" w:eastAsia="Calibri" w:hAnsi="Times New Roman" w:cs="Times New Roman"/>
                <w:b/>
                <w:bCs/>
                <w:color w:val="000000"/>
                <w:kern w:val="0"/>
                <w:sz w:val="22"/>
                <w:szCs w:val="22"/>
                <w:vertAlign w:val="superscript"/>
                <w14:ligatures w14:val="none"/>
              </w:rPr>
              <w:t>1</w:t>
            </w:r>
          </w:p>
        </w:tc>
        <w:tc>
          <w:tcPr>
            <w:tcW w:w="1500" w:type="dxa"/>
            <w:tcBorders>
              <w:top w:val="nil"/>
              <w:left w:val="nil"/>
              <w:bottom w:val="single" w:sz="8" w:space="0" w:color="auto"/>
              <w:right w:val="single" w:sz="8" w:space="0" w:color="auto"/>
            </w:tcBorders>
            <w:shd w:val="clear" w:color="auto" w:fill="auto"/>
            <w:vAlign w:val="center"/>
          </w:tcPr>
          <w:p w14:paraId="1ED8FB44"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052C17AE"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- 2 460 000</w:t>
            </w:r>
          </w:p>
        </w:tc>
        <w:tc>
          <w:tcPr>
            <w:tcW w:w="1500" w:type="dxa"/>
            <w:tcBorders>
              <w:top w:val="nil"/>
              <w:left w:val="nil"/>
              <w:bottom w:val="single" w:sz="8" w:space="0" w:color="auto"/>
              <w:right w:val="single" w:sz="8" w:space="0" w:color="auto"/>
            </w:tcBorders>
            <w:shd w:val="clear" w:color="auto" w:fill="auto"/>
            <w:vAlign w:val="center"/>
          </w:tcPr>
          <w:p w14:paraId="079515A1"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- 2 460 000</w:t>
            </w:r>
          </w:p>
        </w:tc>
        <w:tc>
          <w:tcPr>
            <w:tcW w:w="1500" w:type="dxa"/>
            <w:tcBorders>
              <w:top w:val="nil"/>
              <w:left w:val="nil"/>
              <w:bottom w:val="single" w:sz="8" w:space="0" w:color="auto"/>
              <w:right w:val="single" w:sz="8" w:space="0" w:color="auto"/>
            </w:tcBorders>
            <w:shd w:val="clear" w:color="auto" w:fill="auto"/>
            <w:vAlign w:val="center"/>
          </w:tcPr>
          <w:p w14:paraId="7D6B636D"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- 2 460 000</w:t>
            </w:r>
          </w:p>
        </w:tc>
        <w:tc>
          <w:tcPr>
            <w:tcW w:w="3000" w:type="dxa"/>
            <w:tcBorders>
              <w:top w:val="nil"/>
              <w:left w:val="nil"/>
              <w:bottom w:val="single" w:sz="4" w:space="0" w:color="auto"/>
              <w:right w:val="single" w:sz="4" w:space="0" w:color="auto"/>
            </w:tcBorders>
            <w:noWrap/>
            <w:vAlign w:val="bottom"/>
          </w:tcPr>
          <w:p w14:paraId="1BD257AB"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36A8C225"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347B2CFA"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(212001) z úhrad za vydobyté nerasty</w:t>
            </w:r>
          </w:p>
        </w:tc>
        <w:tc>
          <w:tcPr>
            <w:tcW w:w="1500" w:type="dxa"/>
            <w:tcBorders>
              <w:top w:val="nil"/>
              <w:left w:val="nil"/>
              <w:bottom w:val="single" w:sz="8" w:space="0" w:color="auto"/>
              <w:right w:val="single" w:sz="8" w:space="0" w:color="auto"/>
            </w:tcBorders>
            <w:shd w:val="clear" w:color="auto" w:fill="auto"/>
            <w:vAlign w:val="center"/>
          </w:tcPr>
          <w:p w14:paraId="74795127" w14:textId="77777777" w:rsidR="00AD62CD" w:rsidRPr="00AD62CD" w:rsidRDefault="00AD62CD" w:rsidP="00AD62CD">
            <w:pPr>
              <w:spacing w:after="0" w:line="276" w:lineRule="auto"/>
              <w:ind w:hanging="143"/>
              <w:jc w:val="center"/>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6D2B394E" w14:textId="77777777" w:rsidR="00AD62CD" w:rsidRPr="00AD62CD" w:rsidRDefault="00AD62CD" w:rsidP="00AD62CD">
            <w:pPr>
              <w:spacing w:after="0" w:line="276" w:lineRule="auto"/>
              <w:ind w:hanging="143"/>
              <w:jc w:val="center"/>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- 2 460 000</w:t>
            </w:r>
          </w:p>
        </w:tc>
        <w:tc>
          <w:tcPr>
            <w:tcW w:w="1500" w:type="dxa"/>
            <w:tcBorders>
              <w:top w:val="nil"/>
              <w:left w:val="nil"/>
              <w:bottom w:val="single" w:sz="8" w:space="0" w:color="auto"/>
              <w:right w:val="single" w:sz="8" w:space="0" w:color="auto"/>
            </w:tcBorders>
            <w:shd w:val="clear" w:color="auto" w:fill="auto"/>
            <w:vAlign w:val="center"/>
          </w:tcPr>
          <w:p w14:paraId="2E425428" w14:textId="77777777" w:rsidR="00AD62CD" w:rsidRPr="00AD62CD" w:rsidRDefault="00AD62CD" w:rsidP="00AD62CD">
            <w:pPr>
              <w:spacing w:after="0" w:line="276" w:lineRule="auto"/>
              <w:ind w:hanging="143"/>
              <w:jc w:val="center"/>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- 2 460 000</w:t>
            </w:r>
          </w:p>
        </w:tc>
        <w:tc>
          <w:tcPr>
            <w:tcW w:w="1500" w:type="dxa"/>
            <w:tcBorders>
              <w:top w:val="nil"/>
              <w:left w:val="nil"/>
              <w:bottom w:val="single" w:sz="8" w:space="0" w:color="auto"/>
              <w:right w:val="single" w:sz="8" w:space="0" w:color="auto"/>
            </w:tcBorders>
            <w:shd w:val="clear" w:color="auto" w:fill="auto"/>
            <w:vAlign w:val="center"/>
          </w:tcPr>
          <w:p w14:paraId="41A34EE2" w14:textId="77777777" w:rsidR="00AD62CD" w:rsidRPr="00AD62CD" w:rsidRDefault="00AD62CD" w:rsidP="00AD62CD">
            <w:pPr>
              <w:spacing w:after="0" w:line="276" w:lineRule="auto"/>
              <w:ind w:hanging="143"/>
              <w:jc w:val="center"/>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i/>
                <w:iCs/>
                <w:kern w:val="0"/>
                <w:sz w:val="22"/>
                <w:szCs w:val="22"/>
                <w14:ligatures w14:val="none"/>
              </w:rPr>
              <w:t>- 2 460 000</w:t>
            </w:r>
          </w:p>
        </w:tc>
        <w:tc>
          <w:tcPr>
            <w:tcW w:w="3000" w:type="dxa"/>
            <w:tcBorders>
              <w:top w:val="nil"/>
              <w:left w:val="nil"/>
              <w:bottom w:val="single" w:sz="4" w:space="0" w:color="auto"/>
              <w:right w:val="single" w:sz="4" w:space="0" w:color="auto"/>
            </w:tcBorders>
            <w:noWrap/>
            <w:vAlign w:val="center"/>
          </w:tcPr>
          <w:p w14:paraId="31161177"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61548FF0"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032CDCF6"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14:paraId="6B2582D6"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191931CD"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769838CC"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48C7D435"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3000" w:type="dxa"/>
            <w:tcBorders>
              <w:top w:val="nil"/>
              <w:left w:val="nil"/>
              <w:bottom w:val="single" w:sz="4" w:space="0" w:color="auto"/>
              <w:right w:val="single" w:sz="4" w:space="0" w:color="auto"/>
            </w:tcBorders>
            <w:noWrap/>
            <w:vAlign w:val="bottom"/>
          </w:tcPr>
          <w:p w14:paraId="3524D6E3"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36029D7E"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0422E35A"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14:paraId="49789C28"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330B87AB"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5C607C7E"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7C94D1A6"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3000" w:type="dxa"/>
            <w:tcBorders>
              <w:top w:val="nil"/>
              <w:left w:val="nil"/>
              <w:bottom w:val="single" w:sz="4" w:space="0" w:color="auto"/>
              <w:right w:val="single" w:sz="4" w:space="0" w:color="auto"/>
            </w:tcBorders>
            <w:noWrap/>
            <w:vAlign w:val="bottom"/>
          </w:tcPr>
          <w:p w14:paraId="743BD26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57ECAC11" w14:textId="77777777" w:rsidTr="003627DF">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14:paraId="1D60C4EA"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Dopad na príjmy verejnej správy celkom</w:t>
            </w:r>
          </w:p>
        </w:tc>
        <w:tc>
          <w:tcPr>
            <w:tcW w:w="1500" w:type="dxa"/>
            <w:tcBorders>
              <w:top w:val="nil"/>
              <w:left w:val="nil"/>
              <w:bottom w:val="single" w:sz="8" w:space="0" w:color="auto"/>
              <w:right w:val="single" w:sz="8" w:space="0" w:color="auto"/>
            </w:tcBorders>
            <w:shd w:val="clear" w:color="000000" w:fill="BFBFBF"/>
            <w:vAlign w:val="center"/>
          </w:tcPr>
          <w:p w14:paraId="246F0C31"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00" w:type="dxa"/>
            <w:tcBorders>
              <w:top w:val="nil"/>
              <w:left w:val="nil"/>
              <w:bottom w:val="single" w:sz="8" w:space="0" w:color="auto"/>
              <w:right w:val="single" w:sz="8" w:space="0" w:color="auto"/>
            </w:tcBorders>
            <w:shd w:val="clear" w:color="000000" w:fill="BFBFBF"/>
            <w:vAlign w:val="center"/>
          </w:tcPr>
          <w:p w14:paraId="53337CB5"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- 3 460 000</w:t>
            </w:r>
          </w:p>
        </w:tc>
        <w:tc>
          <w:tcPr>
            <w:tcW w:w="1500" w:type="dxa"/>
            <w:tcBorders>
              <w:top w:val="nil"/>
              <w:left w:val="nil"/>
              <w:bottom w:val="single" w:sz="8" w:space="0" w:color="auto"/>
              <w:right w:val="single" w:sz="8" w:space="0" w:color="auto"/>
            </w:tcBorders>
            <w:shd w:val="clear" w:color="000000" w:fill="BFBFBF"/>
            <w:vAlign w:val="center"/>
          </w:tcPr>
          <w:p w14:paraId="7943FB79"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- 3 460 000</w:t>
            </w:r>
          </w:p>
        </w:tc>
        <w:tc>
          <w:tcPr>
            <w:tcW w:w="1500" w:type="dxa"/>
            <w:tcBorders>
              <w:top w:val="nil"/>
              <w:left w:val="nil"/>
              <w:bottom w:val="single" w:sz="8" w:space="0" w:color="auto"/>
              <w:right w:val="single" w:sz="8" w:space="0" w:color="auto"/>
            </w:tcBorders>
            <w:shd w:val="clear" w:color="000000" w:fill="BFBFBF"/>
            <w:vAlign w:val="center"/>
          </w:tcPr>
          <w:p w14:paraId="40135B5A" w14:textId="77777777" w:rsidR="00AD62CD" w:rsidRPr="00AD62CD" w:rsidRDefault="00AD62CD" w:rsidP="00AD62CD">
            <w:pPr>
              <w:spacing w:after="0" w:line="276" w:lineRule="auto"/>
              <w:ind w:hanging="143"/>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- 3 460 000</w:t>
            </w:r>
          </w:p>
        </w:tc>
        <w:tc>
          <w:tcPr>
            <w:tcW w:w="3000" w:type="dxa"/>
            <w:tcBorders>
              <w:top w:val="nil"/>
              <w:left w:val="nil"/>
              <w:bottom w:val="single" w:sz="4" w:space="0" w:color="auto"/>
              <w:right w:val="single" w:sz="4" w:space="0" w:color="auto"/>
            </w:tcBorders>
            <w:noWrap/>
            <w:vAlign w:val="bottom"/>
          </w:tcPr>
          <w:p w14:paraId="41A4520E"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bl>
    <w:p w14:paraId="2D91DEDF"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p>
    <w:p w14:paraId="501FCA8E" w14:textId="77777777" w:rsidR="00AD62CD" w:rsidRPr="00AD62CD" w:rsidRDefault="00AD62CD" w:rsidP="00AD62CD">
      <w:pPr>
        <w:spacing w:after="200" w:line="276" w:lineRule="auto"/>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br w:type="page"/>
      </w:r>
    </w:p>
    <w:p w14:paraId="6EAA969B"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p>
    <w:p w14:paraId="21609D2A"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p>
    <w:p w14:paraId="127A1A9E"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4 </w:t>
      </w:r>
    </w:p>
    <w:p w14:paraId="715BE860"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AD62CD" w:rsidRPr="00AD62CD" w14:paraId="46BE5450" w14:textId="77777777" w:rsidTr="00AD62CD">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6DEEA7EE"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cPr>
          <w:p w14:paraId="77AD3571"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AE8241D"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poznámka</w:t>
            </w:r>
          </w:p>
        </w:tc>
      </w:tr>
      <w:tr w:rsidR="00AD62CD" w:rsidRPr="00AD62CD" w14:paraId="78A736FA" w14:textId="77777777" w:rsidTr="003627DF">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14:paraId="0EB54A7F"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14:paraId="5BF79DE9" w14:textId="77777777" w:rsidR="00AD62CD" w:rsidRPr="00AD62CD" w:rsidRDefault="00AD62CD" w:rsidP="00AD62CD">
            <w:pPr>
              <w:spacing w:after="100" w:afterAutospacing="1"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701" w:type="dxa"/>
            <w:tcBorders>
              <w:top w:val="single" w:sz="8" w:space="0" w:color="auto"/>
              <w:left w:val="nil"/>
              <w:bottom w:val="single" w:sz="8" w:space="0" w:color="auto"/>
              <w:right w:val="single" w:sz="8" w:space="0" w:color="auto"/>
            </w:tcBorders>
            <w:shd w:val="clear" w:color="000000" w:fill="BFBFBF"/>
            <w:vAlign w:val="center"/>
          </w:tcPr>
          <w:p w14:paraId="4571E131" w14:textId="77777777" w:rsidR="00AD62CD" w:rsidRPr="00AD62CD" w:rsidRDefault="00AD62CD" w:rsidP="00AD62CD">
            <w:pPr>
              <w:spacing w:after="100" w:afterAutospacing="1"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630" w:type="dxa"/>
            <w:tcBorders>
              <w:top w:val="single" w:sz="8" w:space="0" w:color="auto"/>
              <w:left w:val="nil"/>
              <w:bottom w:val="single" w:sz="8" w:space="0" w:color="auto"/>
              <w:right w:val="single" w:sz="8" w:space="0" w:color="auto"/>
            </w:tcBorders>
            <w:shd w:val="clear" w:color="000000" w:fill="BFBFBF"/>
            <w:vAlign w:val="center"/>
          </w:tcPr>
          <w:p w14:paraId="3CD8DDB5" w14:textId="77777777" w:rsidR="00AD62CD" w:rsidRPr="00AD62CD" w:rsidRDefault="00AD62CD" w:rsidP="00AD62CD">
            <w:pPr>
              <w:spacing w:after="100" w:afterAutospacing="1"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540" w:type="dxa"/>
            <w:tcBorders>
              <w:top w:val="single" w:sz="8" w:space="0" w:color="auto"/>
              <w:left w:val="nil"/>
              <w:bottom w:val="single" w:sz="8" w:space="0" w:color="auto"/>
              <w:right w:val="single" w:sz="8" w:space="0" w:color="auto"/>
            </w:tcBorders>
            <w:shd w:val="clear" w:color="000000" w:fill="BFBFBF"/>
            <w:vAlign w:val="center"/>
          </w:tcPr>
          <w:p w14:paraId="66BE387A" w14:textId="77777777" w:rsidR="00AD62CD" w:rsidRPr="00AD62CD" w:rsidRDefault="00AD62CD" w:rsidP="00AD62CD">
            <w:pPr>
              <w:spacing w:after="100" w:afterAutospacing="1"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14:paraId="2A89845A" w14:textId="77777777" w:rsidR="00AD62CD" w:rsidRPr="00AD62CD" w:rsidRDefault="00AD62CD" w:rsidP="00AD62CD">
            <w:pPr>
              <w:spacing w:after="100" w:afterAutospacing="1" w:line="240" w:lineRule="auto"/>
              <w:rPr>
                <w:rFonts w:ascii="Times New Roman" w:eastAsia="Calibri" w:hAnsi="Times New Roman" w:cs="Times New Roman"/>
                <w:b/>
                <w:bCs/>
                <w:color w:val="FFFFFF"/>
                <w:kern w:val="0"/>
                <w:sz w:val="22"/>
                <w:szCs w:val="22"/>
                <w:lang w:eastAsia="sk-SK"/>
                <w14:ligatures w14:val="none"/>
              </w:rPr>
            </w:pPr>
          </w:p>
        </w:tc>
      </w:tr>
      <w:tr w:rsidR="00AD62CD" w:rsidRPr="00AD62CD" w14:paraId="5694879F"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41F4FD32"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Bežné výdavky (600)</w:t>
            </w:r>
          </w:p>
        </w:tc>
        <w:tc>
          <w:tcPr>
            <w:tcW w:w="1560" w:type="dxa"/>
            <w:tcBorders>
              <w:top w:val="nil"/>
              <w:left w:val="nil"/>
              <w:bottom w:val="single" w:sz="8" w:space="0" w:color="auto"/>
              <w:right w:val="single" w:sz="8" w:space="0" w:color="auto"/>
            </w:tcBorders>
            <w:shd w:val="clear" w:color="auto" w:fill="auto"/>
            <w:vAlign w:val="center"/>
          </w:tcPr>
          <w:p w14:paraId="6EA2420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61CCD33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09D01E2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1020AB7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505E8EAE"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46CC24C8"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1B23B382"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14:paraId="43AA4669"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765C0F38"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44C0D8D2"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354AC555"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10812DF1"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4C7720C5"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20ABE945"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14:paraId="7E20C305"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49E6978B"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2E508BBC"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630D75C6"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166C1BE7"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3983614F"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1130F3B8"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Tovary a služby (630)</w:t>
            </w:r>
            <w:r w:rsidRPr="00AD62CD">
              <w:rPr>
                <w:rFonts w:ascii="Times New Roman" w:eastAsia="Calibri" w:hAnsi="Times New Roman" w:cs="Times New Roman"/>
                <w:color w:val="000000"/>
                <w:kern w:val="0"/>
                <w:sz w:val="22"/>
                <w:szCs w:val="22"/>
                <w:vertAlign w:val="superscript"/>
                <w14:ligatures w14:val="none"/>
              </w:rPr>
              <w:t>2</w:t>
            </w:r>
          </w:p>
        </w:tc>
        <w:tc>
          <w:tcPr>
            <w:tcW w:w="1560" w:type="dxa"/>
            <w:tcBorders>
              <w:top w:val="nil"/>
              <w:left w:val="nil"/>
              <w:bottom w:val="single" w:sz="8" w:space="0" w:color="auto"/>
              <w:right w:val="single" w:sz="8" w:space="0" w:color="auto"/>
            </w:tcBorders>
            <w:shd w:val="clear" w:color="auto" w:fill="auto"/>
            <w:vAlign w:val="center"/>
          </w:tcPr>
          <w:p w14:paraId="1E029EA1"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658C5696"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53E29900"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37146D0B"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25A802E2"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172D7460"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038D8F0"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Bežné transfery (640)</w:t>
            </w:r>
            <w:r w:rsidRPr="00AD62CD">
              <w:rPr>
                <w:rFonts w:ascii="Times New Roman" w:eastAsia="Calibri" w:hAnsi="Times New Roman" w:cs="Times New Roman"/>
                <w:color w:val="000000"/>
                <w:kern w:val="0"/>
                <w:sz w:val="22"/>
                <w:szCs w:val="22"/>
                <w:vertAlign w:val="superscript"/>
                <w14:ligatures w14:val="none"/>
              </w:rPr>
              <w:t>2</w:t>
            </w:r>
          </w:p>
        </w:tc>
        <w:tc>
          <w:tcPr>
            <w:tcW w:w="1560" w:type="dxa"/>
            <w:tcBorders>
              <w:top w:val="nil"/>
              <w:left w:val="nil"/>
              <w:bottom w:val="single" w:sz="8" w:space="0" w:color="auto"/>
              <w:right w:val="single" w:sz="8" w:space="0" w:color="auto"/>
            </w:tcBorders>
            <w:shd w:val="clear" w:color="auto" w:fill="auto"/>
            <w:vAlign w:val="center"/>
          </w:tcPr>
          <w:p w14:paraId="1FE71C5F"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0038304C"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06A195ED"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00014F10"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4D42CFD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13CE2498"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45D649B6"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14:paraId="48D6A5DB"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6DA59B1F"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053CE8EE"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0CC09EE6"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549C8604"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2550C62D"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665E863A"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Kapitálové výdavky (700)</w:t>
            </w:r>
          </w:p>
        </w:tc>
        <w:tc>
          <w:tcPr>
            <w:tcW w:w="1560" w:type="dxa"/>
            <w:tcBorders>
              <w:top w:val="nil"/>
              <w:left w:val="nil"/>
              <w:bottom w:val="single" w:sz="8" w:space="0" w:color="auto"/>
              <w:right w:val="single" w:sz="8" w:space="0" w:color="auto"/>
            </w:tcBorders>
            <w:shd w:val="clear" w:color="auto" w:fill="auto"/>
            <w:vAlign w:val="center"/>
          </w:tcPr>
          <w:p w14:paraId="535042F3"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492542F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3587AE2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31315B5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4D893F5E"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22CA5695"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26CF7BB3"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Obstarávanie kapitálových aktív (710)</w:t>
            </w:r>
            <w:r w:rsidRPr="00AD62CD">
              <w:rPr>
                <w:rFonts w:ascii="Times New Roman" w:eastAsia="Calibri" w:hAnsi="Times New Roman" w:cs="Times New Roman"/>
                <w:color w:val="000000"/>
                <w:kern w:val="0"/>
                <w:sz w:val="22"/>
                <w:szCs w:val="22"/>
                <w:vertAlign w:val="superscript"/>
                <w14:ligatures w14:val="none"/>
              </w:rPr>
              <w:t>2</w:t>
            </w:r>
          </w:p>
        </w:tc>
        <w:tc>
          <w:tcPr>
            <w:tcW w:w="1560" w:type="dxa"/>
            <w:tcBorders>
              <w:top w:val="nil"/>
              <w:left w:val="nil"/>
              <w:bottom w:val="single" w:sz="8" w:space="0" w:color="auto"/>
              <w:right w:val="single" w:sz="8" w:space="0" w:color="auto"/>
            </w:tcBorders>
            <w:shd w:val="clear" w:color="auto" w:fill="auto"/>
            <w:vAlign w:val="center"/>
          </w:tcPr>
          <w:p w14:paraId="00C94338"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44246FDE" w14:textId="77777777" w:rsidR="00AD62CD" w:rsidRPr="00AD62CD" w:rsidRDefault="00AD62CD" w:rsidP="00AD62CD">
            <w:pPr>
              <w:spacing w:after="0" w:line="276" w:lineRule="auto"/>
              <w:jc w:val="right"/>
              <w:rPr>
                <w:rFonts w:ascii="Calibri" w:eastAsia="Calibri" w:hAnsi="Calibri" w:cs="Calibri"/>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44E47E2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0CC86FB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0071A4C2"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688B2755"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47685D22"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14:paraId="09C9BFE1" w14:textId="77777777" w:rsidR="00AD62CD" w:rsidRPr="00AD62CD" w:rsidRDefault="00AD62CD" w:rsidP="00AD62CD">
            <w:pPr>
              <w:spacing w:after="0" w:line="276" w:lineRule="auto"/>
              <w:jc w:val="right"/>
              <w:rPr>
                <w:rFonts w:ascii="Times New Roman" w:eastAsia="Calibri" w:hAnsi="Times New Roman" w:cs="Times New Roman"/>
                <w:bCs/>
                <w:color w:val="FF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1BD2C05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7F2A1D9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0DBD8B4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3B95452A"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2D7D429B"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3D70E83B"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Kapitálové transfery (720)</w:t>
            </w:r>
            <w:r w:rsidRPr="00AD62CD">
              <w:rPr>
                <w:rFonts w:ascii="Times New Roman" w:eastAsia="Calibri" w:hAnsi="Times New Roman" w:cs="Times New Roman"/>
                <w:color w:val="000000"/>
                <w:kern w:val="0"/>
                <w:sz w:val="22"/>
                <w:szCs w:val="22"/>
                <w:vertAlign w:val="superscript"/>
                <w14:ligatures w14:val="none"/>
              </w:rPr>
              <w:t>2</w:t>
            </w:r>
          </w:p>
        </w:tc>
        <w:tc>
          <w:tcPr>
            <w:tcW w:w="1560" w:type="dxa"/>
            <w:tcBorders>
              <w:top w:val="nil"/>
              <w:left w:val="nil"/>
              <w:bottom w:val="single" w:sz="8" w:space="0" w:color="auto"/>
              <w:right w:val="single" w:sz="8" w:space="0" w:color="auto"/>
            </w:tcBorders>
            <w:shd w:val="clear" w:color="auto" w:fill="auto"/>
            <w:vAlign w:val="center"/>
          </w:tcPr>
          <w:p w14:paraId="2F89FF0B" w14:textId="77777777" w:rsidR="00AD62CD" w:rsidRPr="00AD62CD" w:rsidRDefault="00AD62CD" w:rsidP="00AD62CD">
            <w:pPr>
              <w:spacing w:after="0" w:line="276" w:lineRule="auto"/>
              <w:jc w:val="right"/>
              <w:rPr>
                <w:rFonts w:ascii="Times New Roman" w:eastAsia="Calibri" w:hAnsi="Times New Roman" w:cs="Times New Roman"/>
                <w:color w:val="FF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5C0A1A24"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0A99CC6B"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4943E995"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4D64C242"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53C0857A" w14:textId="77777777" w:rsidTr="00AD62CD">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39710BFA"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Výdavky z transakcií s finančnými aktívami a finančnými pasívami (800)</w:t>
            </w:r>
          </w:p>
        </w:tc>
        <w:tc>
          <w:tcPr>
            <w:tcW w:w="1560" w:type="dxa"/>
            <w:tcBorders>
              <w:top w:val="single" w:sz="8" w:space="0" w:color="auto"/>
              <w:left w:val="nil"/>
              <w:bottom w:val="single" w:sz="8" w:space="0" w:color="auto"/>
              <w:right w:val="single" w:sz="8" w:space="0" w:color="auto"/>
            </w:tcBorders>
            <w:shd w:val="clear" w:color="000000" w:fill="FFFFFF"/>
            <w:vAlign w:val="center"/>
          </w:tcPr>
          <w:p w14:paraId="40E53D3A"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single" w:sz="8" w:space="0" w:color="auto"/>
              <w:left w:val="nil"/>
              <w:bottom w:val="single" w:sz="8" w:space="0" w:color="auto"/>
              <w:right w:val="single" w:sz="8" w:space="0" w:color="auto"/>
            </w:tcBorders>
            <w:shd w:val="clear" w:color="000000" w:fill="FFFFFF"/>
            <w:vAlign w:val="center"/>
          </w:tcPr>
          <w:p w14:paraId="356AB7E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30" w:type="dxa"/>
            <w:tcBorders>
              <w:top w:val="single" w:sz="8" w:space="0" w:color="auto"/>
              <w:left w:val="nil"/>
              <w:bottom w:val="single" w:sz="8" w:space="0" w:color="auto"/>
              <w:right w:val="single" w:sz="8" w:space="0" w:color="auto"/>
            </w:tcBorders>
            <w:shd w:val="clear" w:color="000000" w:fill="FFFFFF"/>
            <w:vAlign w:val="center"/>
          </w:tcPr>
          <w:p w14:paraId="5A1D1C7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40" w:type="dxa"/>
            <w:tcBorders>
              <w:top w:val="single" w:sz="8" w:space="0" w:color="auto"/>
              <w:left w:val="nil"/>
              <w:bottom w:val="single" w:sz="8" w:space="0" w:color="auto"/>
              <w:right w:val="single" w:sz="8" w:space="0" w:color="auto"/>
            </w:tcBorders>
            <w:shd w:val="clear" w:color="000000" w:fill="FFFFFF"/>
            <w:vAlign w:val="center"/>
          </w:tcPr>
          <w:p w14:paraId="29D9C00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21A861E6"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1FE3A4D8" w14:textId="77777777" w:rsidTr="00AD62CD">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14:paraId="1BCD79C1"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14:paraId="34C4B23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000000" w:fill="BFBFBF"/>
            <w:vAlign w:val="center"/>
          </w:tcPr>
          <w:p w14:paraId="78F4A37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0</w:t>
            </w:r>
          </w:p>
        </w:tc>
        <w:tc>
          <w:tcPr>
            <w:tcW w:w="1630" w:type="dxa"/>
            <w:tcBorders>
              <w:top w:val="nil"/>
              <w:left w:val="nil"/>
              <w:bottom w:val="single" w:sz="8" w:space="0" w:color="auto"/>
              <w:right w:val="single" w:sz="8" w:space="0" w:color="auto"/>
            </w:tcBorders>
            <w:shd w:val="clear" w:color="000000" w:fill="BFBFBF"/>
            <w:vAlign w:val="center"/>
          </w:tcPr>
          <w:p w14:paraId="5C2F153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0</w:t>
            </w:r>
          </w:p>
        </w:tc>
        <w:tc>
          <w:tcPr>
            <w:tcW w:w="1540" w:type="dxa"/>
            <w:tcBorders>
              <w:top w:val="nil"/>
              <w:left w:val="nil"/>
              <w:bottom w:val="single" w:sz="8" w:space="0" w:color="auto"/>
              <w:right w:val="single" w:sz="8" w:space="0" w:color="auto"/>
            </w:tcBorders>
            <w:shd w:val="clear" w:color="000000" w:fill="BFBFBF"/>
            <w:vAlign w:val="center"/>
          </w:tcPr>
          <w:p w14:paraId="154EDAA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14:paraId="0D26ADBB"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bl>
    <w:p w14:paraId="7B37B800"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239AC76C"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03E1319C"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7138EA10"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2F785117"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 w:val="20"/>
          <w:szCs w:val="20"/>
          <w:lang w:eastAsia="sk-SK"/>
          <w14:ligatures w14:val="none"/>
        </w:rPr>
      </w:pPr>
    </w:p>
    <w:p w14:paraId="35CB9AC6" w14:textId="77777777" w:rsidR="00AD62CD" w:rsidRPr="00AD62CD" w:rsidRDefault="00AD62CD" w:rsidP="00AD62CD">
      <w:pPr>
        <w:spacing w:after="20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br w:type="page"/>
      </w:r>
    </w:p>
    <w:p w14:paraId="5EFD7957"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 w:val="20"/>
          <w:szCs w:val="20"/>
          <w:lang w:eastAsia="sk-SK"/>
          <w14:ligatures w14:val="none"/>
        </w:rPr>
      </w:pPr>
    </w:p>
    <w:p w14:paraId="3D24EF86"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                Tabuľka č. 5 </w:t>
      </w:r>
    </w:p>
    <w:p w14:paraId="4D05B741"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AD62CD" w:rsidRPr="00AD62CD" w14:paraId="31F08DBB" w14:textId="77777777" w:rsidTr="00AD62CD">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F540EB4"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14:paraId="06C50448"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F41FF6B"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poznámka</w:t>
            </w:r>
          </w:p>
        </w:tc>
      </w:tr>
      <w:tr w:rsidR="00AD62CD" w:rsidRPr="00AD62CD" w14:paraId="0C7B961C" w14:textId="77777777" w:rsidTr="00AD62CD">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7479FAF3"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p>
        </w:tc>
        <w:tc>
          <w:tcPr>
            <w:tcW w:w="1698" w:type="dxa"/>
            <w:tcBorders>
              <w:top w:val="nil"/>
              <w:left w:val="nil"/>
              <w:bottom w:val="single" w:sz="4" w:space="0" w:color="auto"/>
              <w:right w:val="single" w:sz="4" w:space="0" w:color="auto"/>
            </w:tcBorders>
            <w:shd w:val="clear" w:color="auto" w:fill="BFBFBF"/>
            <w:vAlign w:val="center"/>
          </w:tcPr>
          <w:p w14:paraId="069D2914"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965" w:type="dxa"/>
            <w:tcBorders>
              <w:top w:val="nil"/>
              <w:left w:val="nil"/>
              <w:bottom w:val="single" w:sz="4" w:space="0" w:color="auto"/>
              <w:right w:val="single" w:sz="4" w:space="0" w:color="auto"/>
            </w:tcBorders>
            <w:shd w:val="clear" w:color="auto" w:fill="BFBFBF"/>
            <w:vAlign w:val="center"/>
          </w:tcPr>
          <w:p w14:paraId="563D8DDA"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985" w:type="dxa"/>
            <w:gridSpan w:val="2"/>
            <w:tcBorders>
              <w:top w:val="nil"/>
              <w:left w:val="nil"/>
              <w:bottom w:val="single" w:sz="4" w:space="0" w:color="auto"/>
              <w:right w:val="single" w:sz="4" w:space="0" w:color="auto"/>
            </w:tcBorders>
            <w:shd w:val="clear" w:color="auto" w:fill="BFBFBF"/>
            <w:vAlign w:val="center"/>
          </w:tcPr>
          <w:p w14:paraId="1277B6C5"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978" w:type="dxa"/>
            <w:tcBorders>
              <w:top w:val="nil"/>
              <w:left w:val="nil"/>
              <w:bottom w:val="single" w:sz="4" w:space="0" w:color="auto"/>
              <w:right w:val="single" w:sz="4" w:space="0" w:color="auto"/>
            </w:tcBorders>
            <w:shd w:val="clear" w:color="auto" w:fill="BFBFBF"/>
            <w:vAlign w:val="center"/>
          </w:tcPr>
          <w:p w14:paraId="15AB5D7D"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6A2E478B"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r>
      <w:tr w:rsidR="00AD62CD" w:rsidRPr="00AD62CD" w14:paraId="09A6E574"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7C3A7840"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Počet zamestnancov celkom</w:t>
            </w:r>
          </w:p>
        </w:tc>
        <w:tc>
          <w:tcPr>
            <w:tcW w:w="1698" w:type="dxa"/>
            <w:tcBorders>
              <w:top w:val="nil"/>
              <w:left w:val="nil"/>
              <w:bottom w:val="single" w:sz="8" w:space="0" w:color="auto"/>
              <w:right w:val="single" w:sz="8" w:space="0" w:color="auto"/>
            </w:tcBorders>
            <w:shd w:val="clear" w:color="auto" w:fill="auto"/>
            <w:vAlign w:val="center"/>
          </w:tcPr>
          <w:p w14:paraId="6A24256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07BC183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single" w:sz="8" w:space="0" w:color="auto"/>
              <w:left w:val="nil"/>
              <w:bottom w:val="single" w:sz="8" w:space="0" w:color="auto"/>
              <w:right w:val="nil"/>
            </w:tcBorders>
            <w:shd w:val="clear" w:color="auto" w:fill="auto"/>
            <w:vAlign w:val="center"/>
          </w:tcPr>
          <w:p w14:paraId="55F9E57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14:paraId="6EE5379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6A924D28"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1A24B298"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62BD5886"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14F9EE2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533280C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nil"/>
              <w:left w:val="nil"/>
              <w:bottom w:val="single" w:sz="8" w:space="0" w:color="auto"/>
              <w:right w:val="nil"/>
            </w:tcBorders>
            <w:shd w:val="clear" w:color="auto" w:fill="auto"/>
            <w:vAlign w:val="center"/>
          </w:tcPr>
          <w:p w14:paraId="5383ED2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072D98E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7B4ED3EA"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17372A7A"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0CE42AFE"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14:paraId="2852077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6DF5857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nil"/>
              <w:left w:val="nil"/>
              <w:bottom w:val="single" w:sz="8" w:space="0" w:color="auto"/>
              <w:right w:val="nil"/>
            </w:tcBorders>
            <w:shd w:val="clear" w:color="auto" w:fill="auto"/>
            <w:vAlign w:val="center"/>
          </w:tcPr>
          <w:p w14:paraId="7F0D541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3D608D0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620" w:type="dxa"/>
            <w:gridSpan w:val="2"/>
            <w:tcBorders>
              <w:top w:val="nil"/>
              <w:left w:val="nil"/>
              <w:bottom w:val="single" w:sz="4" w:space="0" w:color="auto"/>
              <w:right w:val="single" w:sz="4" w:space="0" w:color="auto"/>
            </w:tcBorders>
            <w:noWrap/>
            <w:vAlign w:val="bottom"/>
          </w:tcPr>
          <w:p w14:paraId="3C0E9A03"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33B934DB"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3A654570"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5A25BF97"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7533DEE4"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85" w:type="dxa"/>
            <w:gridSpan w:val="2"/>
            <w:tcBorders>
              <w:top w:val="nil"/>
              <w:left w:val="nil"/>
              <w:bottom w:val="single" w:sz="8" w:space="0" w:color="auto"/>
              <w:right w:val="nil"/>
            </w:tcBorders>
            <w:shd w:val="clear" w:color="auto" w:fill="auto"/>
            <w:vAlign w:val="center"/>
          </w:tcPr>
          <w:p w14:paraId="61FAC544"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6C6EA608"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6BE4630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441BBC1B" w14:textId="77777777" w:rsidTr="00AD62CD">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14:paraId="632D7984"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14:paraId="629BB37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000000" w:fill="BFBFBF"/>
            <w:vAlign w:val="center"/>
          </w:tcPr>
          <w:p w14:paraId="0A41A9E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14:paraId="141F3D6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78" w:type="dxa"/>
            <w:tcBorders>
              <w:top w:val="nil"/>
              <w:left w:val="nil"/>
              <w:bottom w:val="single" w:sz="8" w:space="0" w:color="auto"/>
              <w:right w:val="single" w:sz="8" w:space="0" w:color="auto"/>
            </w:tcBorders>
            <w:shd w:val="clear" w:color="000000" w:fill="BFBFBF"/>
            <w:vAlign w:val="center"/>
          </w:tcPr>
          <w:p w14:paraId="0D82C33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620" w:type="dxa"/>
            <w:gridSpan w:val="2"/>
            <w:tcBorders>
              <w:top w:val="nil"/>
              <w:left w:val="nil"/>
              <w:bottom w:val="single" w:sz="4" w:space="0" w:color="auto"/>
              <w:right w:val="single" w:sz="4" w:space="0" w:color="auto"/>
            </w:tcBorders>
            <w:shd w:val="clear" w:color="auto" w:fill="BFBFBF"/>
            <w:noWrap/>
            <w:vAlign w:val="bottom"/>
          </w:tcPr>
          <w:p w14:paraId="6C884DC0"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w:t>
            </w:r>
          </w:p>
        </w:tc>
      </w:tr>
      <w:tr w:rsidR="00AD62CD" w:rsidRPr="00AD62CD" w14:paraId="64E5387F"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770C2D4C"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14:paraId="2932C67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1BF5188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14:paraId="24BBB81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78" w:type="dxa"/>
            <w:tcBorders>
              <w:top w:val="nil"/>
              <w:left w:val="nil"/>
              <w:bottom w:val="single" w:sz="8" w:space="0" w:color="auto"/>
              <w:right w:val="single" w:sz="8" w:space="0" w:color="auto"/>
            </w:tcBorders>
            <w:shd w:val="clear" w:color="auto" w:fill="auto"/>
            <w:vAlign w:val="center"/>
          </w:tcPr>
          <w:p w14:paraId="5091D5D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05C4AB1D"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w:t>
            </w:r>
          </w:p>
        </w:tc>
      </w:tr>
      <w:tr w:rsidR="00AD62CD" w:rsidRPr="00AD62CD" w14:paraId="1C8837E3"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48B54C7C"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6E43FD8C"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4162CF28"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0   </w:t>
            </w:r>
          </w:p>
        </w:tc>
        <w:tc>
          <w:tcPr>
            <w:tcW w:w="1985" w:type="dxa"/>
            <w:gridSpan w:val="2"/>
            <w:tcBorders>
              <w:top w:val="nil"/>
              <w:left w:val="nil"/>
              <w:bottom w:val="single" w:sz="8" w:space="0" w:color="auto"/>
              <w:right w:val="nil"/>
            </w:tcBorders>
            <w:shd w:val="clear" w:color="auto" w:fill="auto"/>
            <w:vAlign w:val="center"/>
          </w:tcPr>
          <w:p w14:paraId="06B20F92"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780C05F0"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0   </w:t>
            </w:r>
          </w:p>
        </w:tc>
        <w:tc>
          <w:tcPr>
            <w:tcW w:w="1620" w:type="dxa"/>
            <w:gridSpan w:val="2"/>
            <w:tcBorders>
              <w:top w:val="nil"/>
              <w:left w:val="nil"/>
              <w:bottom w:val="single" w:sz="4" w:space="0" w:color="auto"/>
              <w:right w:val="single" w:sz="4" w:space="0" w:color="auto"/>
            </w:tcBorders>
            <w:noWrap/>
            <w:vAlign w:val="bottom"/>
          </w:tcPr>
          <w:p w14:paraId="004CC758"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77731582"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30D4CCCB"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14:paraId="6EC15AF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0ACC948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nil"/>
              <w:left w:val="nil"/>
              <w:bottom w:val="single" w:sz="8" w:space="0" w:color="auto"/>
              <w:right w:val="single" w:sz="8" w:space="0" w:color="auto"/>
            </w:tcBorders>
            <w:shd w:val="clear" w:color="auto" w:fill="auto"/>
            <w:vAlign w:val="center"/>
          </w:tcPr>
          <w:p w14:paraId="656B836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nil"/>
              <w:left w:val="nil"/>
              <w:bottom w:val="single" w:sz="8" w:space="0" w:color="auto"/>
              <w:right w:val="single" w:sz="8" w:space="0" w:color="auto"/>
            </w:tcBorders>
            <w:shd w:val="clear" w:color="auto" w:fill="auto"/>
            <w:vAlign w:val="center"/>
          </w:tcPr>
          <w:p w14:paraId="689D816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7D7B1F77"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w:t>
            </w:r>
          </w:p>
        </w:tc>
      </w:tr>
      <w:tr w:rsidR="00AD62CD" w:rsidRPr="00AD62CD" w14:paraId="70B4C44E"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150D110B"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31538D5E"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6D6315BA"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85" w:type="dxa"/>
            <w:gridSpan w:val="2"/>
            <w:tcBorders>
              <w:top w:val="nil"/>
              <w:left w:val="nil"/>
              <w:bottom w:val="single" w:sz="8" w:space="0" w:color="auto"/>
              <w:right w:val="nil"/>
            </w:tcBorders>
            <w:shd w:val="clear" w:color="auto" w:fill="auto"/>
            <w:vAlign w:val="center"/>
          </w:tcPr>
          <w:p w14:paraId="0D4584D2"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3F0536B1"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46100C4D"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406E26AB" w14:textId="77777777" w:rsidTr="003627DF">
        <w:trPr>
          <w:trHeight w:val="255"/>
        </w:trPr>
        <w:tc>
          <w:tcPr>
            <w:tcW w:w="6188" w:type="dxa"/>
            <w:tcBorders>
              <w:top w:val="nil"/>
              <w:left w:val="nil"/>
              <w:bottom w:val="nil"/>
              <w:right w:val="nil"/>
            </w:tcBorders>
            <w:noWrap/>
            <w:vAlign w:val="bottom"/>
          </w:tcPr>
          <w:p w14:paraId="61DBD879"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698" w:type="dxa"/>
            <w:tcBorders>
              <w:top w:val="nil"/>
              <w:left w:val="nil"/>
              <w:bottom w:val="nil"/>
              <w:right w:val="nil"/>
            </w:tcBorders>
            <w:noWrap/>
            <w:vAlign w:val="bottom"/>
          </w:tcPr>
          <w:p w14:paraId="4A0C88C7"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65" w:type="dxa"/>
            <w:tcBorders>
              <w:top w:val="nil"/>
              <w:left w:val="nil"/>
              <w:bottom w:val="nil"/>
              <w:right w:val="nil"/>
            </w:tcBorders>
            <w:noWrap/>
            <w:vAlign w:val="bottom"/>
          </w:tcPr>
          <w:p w14:paraId="5DE80692"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85" w:type="dxa"/>
            <w:gridSpan w:val="2"/>
            <w:tcBorders>
              <w:top w:val="nil"/>
              <w:left w:val="nil"/>
              <w:bottom w:val="nil"/>
              <w:right w:val="nil"/>
            </w:tcBorders>
            <w:noWrap/>
            <w:vAlign w:val="bottom"/>
          </w:tcPr>
          <w:p w14:paraId="2950E56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78" w:type="dxa"/>
            <w:tcBorders>
              <w:top w:val="nil"/>
              <w:left w:val="nil"/>
              <w:bottom w:val="nil"/>
              <w:right w:val="nil"/>
            </w:tcBorders>
            <w:noWrap/>
            <w:vAlign w:val="bottom"/>
          </w:tcPr>
          <w:p w14:paraId="1F7E975D"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620" w:type="dxa"/>
            <w:gridSpan w:val="2"/>
            <w:tcBorders>
              <w:top w:val="nil"/>
              <w:left w:val="nil"/>
              <w:bottom w:val="nil"/>
              <w:right w:val="nil"/>
            </w:tcBorders>
            <w:noWrap/>
            <w:vAlign w:val="bottom"/>
          </w:tcPr>
          <w:p w14:paraId="56817B9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308AB40C" w14:textId="77777777" w:rsidTr="003627DF">
        <w:trPr>
          <w:trHeight w:val="255"/>
        </w:trPr>
        <w:tc>
          <w:tcPr>
            <w:tcW w:w="6188" w:type="dxa"/>
            <w:tcBorders>
              <w:top w:val="nil"/>
              <w:left w:val="nil"/>
              <w:bottom w:val="nil"/>
              <w:right w:val="nil"/>
            </w:tcBorders>
          </w:tcPr>
          <w:p w14:paraId="5CCE426A"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Poznámky:</w:t>
            </w:r>
          </w:p>
        </w:tc>
        <w:tc>
          <w:tcPr>
            <w:tcW w:w="1698" w:type="dxa"/>
            <w:tcBorders>
              <w:top w:val="nil"/>
              <w:left w:val="nil"/>
              <w:bottom w:val="nil"/>
              <w:right w:val="nil"/>
            </w:tcBorders>
            <w:noWrap/>
            <w:vAlign w:val="bottom"/>
          </w:tcPr>
          <w:p w14:paraId="6FD6C39B"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65" w:type="dxa"/>
            <w:tcBorders>
              <w:top w:val="nil"/>
              <w:left w:val="nil"/>
              <w:bottom w:val="nil"/>
              <w:right w:val="nil"/>
            </w:tcBorders>
            <w:noWrap/>
            <w:vAlign w:val="bottom"/>
          </w:tcPr>
          <w:p w14:paraId="1D1B0F1E"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85" w:type="dxa"/>
            <w:gridSpan w:val="2"/>
            <w:tcBorders>
              <w:top w:val="nil"/>
              <w:left w:val="nil"/>
              <w:bottom w:val="nil"/>
              <w:right w:val="nil"/>
            </w:tcBorders>
            <w:noWrap/>
            <w:vAlign w:val="bottom"/>
          </w:tcPr>
          <w:p w14:paraId="321FA47A"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78" w:type="dxa"/>
            <w:tcBorders>
              <w:top w:val="nil"/>
              <w:left w:val="nil"/>
              <w:bottom w:val="nil"/>
              <w:right w:val="nil"/>
            </w:tcBorders>
            <w:noWrap/>
            <w:vAlign w:val="bottom"/>
          </w:tcPr>
          <w:p w14:paraId="02F5A71A"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620" w:type="dxa"/>
            <w:gridSpan w:val="2"/>
            <w:tcBorders>
              <w:top w:val="nil"/>
              <w:left w:val="nil"/>
              <w:bottom w:val="nil"/>
              <w:right w:val="nil"/>
            </w:tcBorders>
            <w:noWrap/>
            <w:vAlign w:val="bottom"/>
          </w:tcPr>
          <w:p w14:paraId="25184E9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3A597174" w14:textId="77777777" w:rsidTr="003627DF">
        <w:trPr>
          <w:trHeight w:val="255"/>
        </w:trPr>
        <w:tc>
          <w:tcPr>
            <w:tcW w:w="13814" w:type="dxa"/>
            <w:gridSpan w:val="6"/>
            <w:tcBorders>
              <w:top w:val="nil"/>
              <w:left w:val="nil"/>
              <w:bottom w:val="nil"/>
              <w:right w:val="nil"/>
            </w:tcBorders>
            <w:noWrap/>
          </w:tcPr>
          <w:p w14:paraId="5429F0A6"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2"/>
                <w:szCs w:val="22"/>
                <w:lang w:eastAsia="sk-SK"/>
                <w14:ligatures w14:val="none"/>
              </w:rPr>
            </w:pPr>
            <w:r w:rsidRPr="00AD62CD">
              <w:rPr>
                <w:rFonts w:ascii="Times New Roman" w:eastAsia="Calibri" w:hAnsi="Times New Roman" w:cs="Times New Roman"/>
                <w:bCs/>
                <w:kern w:val="0"/>
                <w:sz w:val="22"/>
                <w:szCs w:val="22"/>
                <w:lang w:eastAsia="sk-SK"/>
                <w14:ligatures w14:val="none"/>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6801E44C"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2BA02934"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1A131D71" w14:textId="77777777" w:rsidTr="003627DF">
        <w:trPr>
          <w:trHeight w:val="255"/>
        </w:trPr>
        <w:tc>
          <w:tcPr>
            <w:tcW w:w="10394" w:type="dxa"/>
            <w:gridSpan w:val="4"/>
            <w:tcBorders>
              <w:top w:val="nil"/>
              <w:left w:val="nil"/>
              <w:bottom w:val="nil"/>
              <w:right w:val="nil"/>
            </w:tcBorders>
            <w:noWrap/>
            <w:vAlign w:val="bottom"/>
          </w:tcPr>
          <w:p w14:paraId="14624683"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Kategórie 610 a 620 sú z tejto prílohy prenášané do príslušných kategórií prílohy „výdavky“.</w:t>
            </w:r>
          </w:p>
        </w:tc>
        <w:tc>
          <w:tcPr>
            <w:tcW w:w="1442" w:type="dxa"/>
            <w:tcBorders>
              <w:top w:val="nil"/>
              <w:left w:val="nil"/>
              <w:bottom w:val="nil"/>
              <w:right w:val="nil"/>
            </w:tcBorders>
            <w:noWrap/>
            <w:vAlign w:val="bottom"/>
          </w:tcPr>
          <w:p w14:paraId="1937BB2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2608" w:type="dxa"/>
            <w:gridSpan w:val="2"/>
            <w:tcBorders>
              <w:top w:val="nil"/>
              <w:left w:val="nil"/>
              <w:bottom w:val="nil"/>
              <w:right w:val="nil"/>
            </w:tcBorders>
            <w:noWrap/>
            <w:vAlign w:val="bottom"/>
          </w:tcPr>
          <w:p w14:paraId="0A12828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990" w:type="dxa"/>
            <w:tcBorders>
              <w:top w:val="nil"/>
              <w:left w:val="nil"/>
              <w:bottom w:val="nil"/>
              <w:right w:val="nil"/>
            </w:tcBorders>
            <w:noWrap/>
            <w:vAlign w:val="bottom"/>
          </w:tcPr>
          <w:p w14:paraId="032769D1"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bl>
    <w:p w14:paraId="6A5D3977"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15726AAB"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6172CCD4"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0C28CF63" w14:textId="77777777" w:rsidR="00AD62CD" w:rsidRPr="00AD62CD" w:rsidRDefault="00AD62CD" w:rsidP="00AD62CD">
      <w:pPr>
        <w:spacing w:after="0" w:line="240" w:lineRule="auto"/>
        <w:rPr>
          <w:rFonts w:ascii="Calibri" w:eastAsia="Calibri" w:hAnsi="Calibri" w:cs="Times New Roman"/>
          <w:kern w:val="0"/>
          <w:sz w:val="22"/>
          <w:szCs w:val="22"/>
          <w14:ligatures w14:val="none"/>
        </w:rPr>
        <w:sectPr w:rsidR="00AD62CD" w:rsidRPr="00AD62CD" w:rsidSect="00AD62CD">
          <w:pgSz w:w="16838" w:h="11906" w:orient="landscape"/>
          <w:pgMar w:top="1417" w:right="1417" w:bottom="1417" w:left="1276" w:header="708" w:footer="708" w:gutter="0"/>
          <w:cols w:space="708"/>
          <w:docGrid w:linePitch="360"/>
        </w:sectPr>
      </w:pPr>
    </w:p>
    <w:p w14:paraId="14A8D1CC"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2B8547DE" w14:textId="77777777" w:rsidR="00AD62CD" w:rsidRPr="00AD62CD" w:rsidRDefault="00AD62CD" w:rsidP="00AD62CD">
      <w:pPr>
        <w:tabs>
          <w:tab w:val="left" w:pos="4080"/>
        </w:tabs>
        <w:spacing w:after="200" w:line="276" w:lineRule="auto"/>
        <w:jc w:val="center"/>
        <w:rPr>
          <w:rFonts w:ascii="Times New Roman" w:eastAsia="Calibri" w:hAnsi="Times New Roman" w:cs="Times New Roman"/>
          <w:b/>
          <w:bCs/>
          <w:kern w:val="0"/>
          <w:sz w:val="28"/>
          <w:szCs w:val="28"/>
          <w:highlight w:val="yellow"/>
          <w:lang w:eastAsia="sk-SK"/>
          <w14:ligatures w14:val="none"/>
        </w:rPr>
      </w:pPr>
      <w:r w:rsidRPr="00AD62CD">
        <w:rPr>
          <w:rFonts w:ascii="Times New Roman" w:eastAsia="Calibri" w:hAnsi="Times New Roman" w:cs="Times New Roman"/>
          <w:b/>
          <w:bCs/>
          <w:kern w:val="0"/>
          <w:sz w:val="28"/>
          <w:szCs w:val="28"/>
          <w:lang w:eastAsia="sk-SK"/>
          <w14:ligatures w14:val="none"/>
        </w:rPr>
        <w:t>Analýza vplyvov na rozpočet verejnej správy, na zamestnanosť vo verejnej správe a financovanie návrhu (Zákonník práce)</w:t>
      </w:r>
    </w:p>
    <w:p w14:paraId="3322D170"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2.1 Zhrnutie vplyvov na rozpočet verejnej správy v návrhu</w:t>
      </w:r>
    </w:p>
    <w:p w14:paraId="59C97B98"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p>
    <w:p w14:paraId="2197621E"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D62CD" w:rsidRPr="00AD62CD" w14:paraId="7FE204C2" w14:textId="77777777" w:rsidTr="00AD62CD">
        <w:trPr>
          <w:cantSplit/>
          <w:trHeight w:val="194"/>
          <w:jc w:val="center"/>
        </w:trPr>
        <w:tc>
          <w:tcPr>
            <w:tcW w:w="4498" w:type="dxa"/>
            <w:vMerge w:val="restart"/>
            <w:shd w:val="clear" w:color="auto" w:fill="BFBFBF"/>
            <w:vAlign w:val="center"/>
          </w:tcPr>
          <w:p w14:paraId="479BE1F4"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Vplyvy na rozpočet verejnej správy</w:t>
            </w:r>
          </w:p>
        </w:tc>
        <w:tc>
          <w:tcPr>
            <w:tcW w:w="5523" w:type="dxa"/>
            <w:gridSpan w:val="4"/>
            <w:shd w:val="clear" w:color="auto" w:fill="BFBFBF"/>
            <w:vAlign w:val="center"/>
          </w:tcPr>
          <w:p w14:paraId="42382B4D"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Vplyv na rozpočet verejnej správy (v eurách)</w:t>
            </w:r>
          </w:p>
        </w:tc>
      </w:tr>
      <w:tr w:rsidR="00AD62CD" w:rsidRPr="00AD62CD" w14:paraId="5DE6A65B" w14:textId="77777777" w:rsidTr="00AD62CD">
        <w:trPr>
          <w:cantSplit/>
          <w:trHeight w:val="70"/>
          <w:jc w:val="center"/>
        </w:trPr>
        <w:tc>
          <w:tcPr>
            <w:tcW w:w="4498" w:type="dxa"/>
            <w:vMerge/>
            <w:vAlign w:val="center"/>
          </w:tcPr>
          <w:p w14:paraId="1CDD73E0"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p>
        </w:tc>
        <w:tc>
          <w:tcPr>
            <w:tcW w:w="1026" w:type="dxa"/>
            <w:tcBorders>
              <w:top w:val="nil"/>
              <w:left w:val="nil"/>
              <w:bottom w:val="single" w:sz="8" w:space="0" w:color="auto"/>
              <w:right w:val="single" w:sz="8" w:space="0" w:color="auto"/>
            </w:tcBorders>
            <w:shd w:val="clear" w:color="auto" w:fill="BFBFBF"/>
            <w:vAlign w:val="center"/>
          </w:tcPr>
          <w:p w14:paraId="76B31357"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559" w:type="dxa"/>
            <w:tcBorders>
              <w:top w:val="nil"/>
              <w:left w:val="nil"/>
              <w:bottom w:val="single" w:sz="8" w:space="0" w:color="auto"/>
              <w:right w:val="single" w:sz="8" w:space="0" w:color="auto"/>
            </w:tcBorders>
            <w:shd w:val="clear" w:color="auto" w:fill="BFBFBF"/>
            <w:vAlign w:val="center"/>
          </w:tcPr>
          <w:p w14:paraId="4EF9EEEF"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417" w:type="dxa"/>
            <w:tcBorders>
              <w:top w:val="nil"/>
              <w:left w:val="nil"/>
              <w:bottom w:val="single" w:sz="8" w:space="0" w:color="auto"/>
              <w:right w:val="single" w:sz="8" w:space="0" w:color="auto"/>
            </w:tcBorders>
            <w:shd w:val="clear" w:color="auto" w:fill="BFBFBF"/>
            <w:vAlign w:val="center"/>
          </w:tcPr>
          <w:p w14:paraId="65502A41"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521" w:type="dxa"/>
            <w:tcBorders>
              <w:top w:val="nil"/>
              <w:left w:val="nil"/>
              <w:bottom w:val="single" w:sz="8" w:space="0" w:color="auto"/>
              <w:right w:val="single" w:sz="8" w:space="0" w:color="auto"/>
            </w:tcBorders>
            <w:shd w:val="clear" w:color="auto" w:fill="BFBFBF"/>
            <w:vAlign w:val="center"/>
          </w:tcPr>
          <w:p w14:paraId="4F71DAE0"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r>
      <w:tr w:rsidR="00AD62CD" w:rsidRPr="00AD62CD" w14:paraId="63D7F5A9"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7488C8DF"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vAlign w:val="center"/>
          </w:tcPr>
          <w:p w14:paraId="3E8F0EB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single" w:sz="8" w:space="0" w:color="auto"/>
              <w:left w:val="nil"/>
              <w:bottom w:val="single" w:sz="8" w:space="0" w:color="auto"/>
              <w:right w:val="single" w:sz="8" w:space="0" w:color="auto"/>
            </w:tcBorders>
            <w:shd w:val="clear" w:color="auto" w:fill="C0C0C0"/>
            <w:vAlign w:val="center"/>
          </w:tcPr>
          <w:p w14:paraId="11347E7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230 000 000</w:t>
            </w:r>
          </w:p>
        </w:tc>
        <w:tc>
          <w:tcPr>
            <w:tcW w:w="1417" w:type="dxa"/>
            <w:tcBorders>
              <w:top w:val="single" w:sz="8" w:space="0" w:color="auto"/>
              <w:left w:val="nil"/>
              <w:bottom w:val="single" w:sz="8" w:space="0" w:color="auto"/>
              <w:right w:val="single" w:sz="8" w:space="0" w:color="auto"/>
            </w:tcBorders>
            <w:shd w:val="clear" w:color="auto" w:fill="C0C0C0"/>
            <w:vAlign w:val="center"/>
          </w:tcPr>
          <w:p w14:paraId="25E54C7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170 402 000</w:t>
            </w:r>
          </w:p>
        </w:tc>
        <w:tc>
          <w:tcPr>
            <w:tcW w:w="1521" w:type="dxa"/>
            <w:tcBorders>
              <w:top w:val="single" w:sz="8" w:space="0" w:color="auto"/>
              <w:left w:val="nil"/>
              <w:bottom w:val="single" w:sz="8" w:space="0" w:color="auto"/>
              <w:right w:val="single" w:sz="8" w:space="0" w:color="auto"/>
            </w:tcBorders>
            <w:shd w:val="clear" w:color="auto" w:fill="C0C0C0"/>
            <w:vAlign w:val="center"/>
          </w:tcPr>
          <w:p w14:paraId="68B4316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194 592 000</w:t>
            </w:r>
          </w:p>
        </w:tc>
      </w:tr>
      <w:tr w:rsidR="00AD62CD" w:rsidRPr="00AD62CD" w14:paraId="08A8B1A7"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EF84BE7"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14:paraId="4684D24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7082F2D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417" w:type="dxa"/>
            <w:tcBorders>
              <w:top w:val="nil"/>
              <w:left w:val="nil"/>
              <w:bottom w:val="single" w:sz="8" w:space="0" w:color="auto"/>
              <w:right w:val="single" w:sz="8" w:space="0" w:color="auto"/>
            </w:tcBorders>
            <w:shd w:val="clear" w:color="auto" w:fill="auto"/>
            <w:noWrap/>
            <w:vAlign w:val="center"/>
          </w:tcPr>
          <w:p w14:paraId="6AAAD2C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21" w:type="dxa"/>
            <w:tcBorders>
              <w:top w:val="nil"/>
              <w:left w:val="nil"/>
              <w:bottom w:val="single" w:sz="8" w:space="0" w:color="auto"/>
              <w:right w:val="single" w:sz="8" w:space="0" w:color="auto"/>
            </w:tcBorders>
            <w:shd w:val="clear" w:color="auto" w:fill="auto"/>
            <w:noWrap/>
            <w:vAlign w:val="center"/>
          </w:tcPr>
          <w:p w14:paraId="36662BB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r>
      <w:tr w:rsidR="00AD62CD" w:rsidRPr="00AD62CD" w14:paraId="72765C59"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AB40BCA"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7835201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291D1F2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111 434 000</w:t>
            </w:r>
          </w:p>
        </w:tc>
        <w:tc>
          <w:tcPr>
            <w:tcW w:w="1417" w:type="dxa"/>
            <w:tcBorders>
              <w:top w:val="nil"/>
              <w:left w:val="nil"/>
              <w:bottom w:val="single" w:sz="8" w:space="0" w:color="auto"/>
              <w:right w:val="single" w:sz="8" w:space="0" w:color="auto"/>
            </w:tcBorders>
            <w:shd w:val="clear" w:color="auto" w:fill="auto"/>
            <w:noWrap/>
            <w:vAlign w:val="center"/>
          </w:tcPr>
          <w:p w14:paraId="5D40B3F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61 659 000</w:t>
            </w:r>
          </w:p>
        </w:tc>
        <w:tc>
          <w:tcPr>
            <w:tcW w:w="1521" w:type="dxa"/>
            <w:tcBorders>
              <w:top w:val="nil"/>
              <w:left w:val="nil"/>
              <w:bottom w:val="single" w:sz="8" w:space="0" w:color="auto"/>
              <w:right w:val="single" w:sz="8" w:space="0" w:color="auto"/>
            </w:tcBorders>
            <w:shd w:val="clear" w:color="auto" w:fill="auto"/>
            <w:noWrap/>
            <w:vAlign w:val="center"/>
          </w:tcPr>
          <w:p w14:paraId="16450FA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66 139 000</w:t>
            </w:r>
          </w:p>
        </w:tc>
      </w:tr>
      <w:tr w:rsidR="00AD62CD" w:rsidRPr="00AD62CD" w14:paraId="3358420A" w14:textId="77777777" w:rsidTr="003627DF">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1C1A4A3"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3CD5E70B"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750D6510"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111 434 000</w:t>
            </w:r>
          </w:p>
        </w:tc>
        <w:tc>
          <w:tcPr>
            <w:tcW w:w="1417" w:type="dxa"/>
            <w:tcBorders>
              <w:top w:val="nil"/>
              <w:left w:val="nil"/>
              <w:bottom w:val="single" w:sz="8" w:space="0" w:color="auto"/>
              <w:right w:val="single" w:sz="8" w:space="0" w:color="auto"/>
            </w:tcBorders>
            <w:shd w:val="clear" w:color="auto" w:fill="auto"/>
            <w:noWrap/>
            <w:vAlign w:val="center"/>
          </w:tcPr>
          <w:p w14:paraId="1DEB0F60"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61 659 000</w:t>
            </w:r>
          </w:p>
        </w:tc>
        <w:tc>
          <w:tcPr>
            <w:tcW w:w="1521" w:type="dxa"/>
            <w:tcBorders>
              <w:top w:val="nil"/>
              <w:left w:val="nil"/>
              <w:bottom w:val="single" w:sz="8" w:space="0" w:color="auto"/>
              <w:right w:val="single" w:sz="8" w:space="0" w:color="auto"/>
            </w:tcBorders>
            <w:shd w:val="clear" w:color="auto" w:fill="auto"/>
            <w:noWrap/>
            <w:vAlign w:val="center"/>
          </w:tcPr>
          <w:p w14:paraId="5DB99364"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66 139 000</w:t>
            </w:r>
          </w:p>
        </w:tc>
      </w:tr>
      <w:tr w:rsidR="00AD62CD" w:rsidRPr="00AD62CD" w14:paraId="2CBFBB90"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BEA43E3"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 xml:space="preserve">v tom: (111) daň z príjmov fyzických osôb </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453B3587"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color w:val="000000"/>
                <w:kern w:val="0"/>
                <w:sz w:val="22"/>
                <w:szCs w:val="22"/>
                <w14:ligatures w14:val="none"/>
              </w:rPr>
              <w:t> </w:t>
            </w:r>
          </w:p>
        </w:tc>
        <w:tc>
          <w:tcPr>
            <w:tcW w:w="1559" w:type="dxa"/>
            <w:tcBorders>
              <w:top w:val="nil"/>
              <w:left w:val="nil"/>
              <w:bottom w:val="single" w:sz="8" w:space="0" w:color="auto"/>
              <w:right w:val="single" w:sz="8" w:space="0" w:color="auto"/>
            </w:tcBorders>
            <w:shd w:val="clear" w:color="auto" w:fill="auto"/>
            <w:noWrap/>
            <w:vAlign w:val="center"/>
          </w:tcPr>
          <w:p w14:paraId="0B8162A0"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8 019 000</w:t>
            </w:r>
          </w:p>
        </w:tc>
        <w:tc>
          <w:tcPr>
            <w:tcW w:w="1417" w:type="dxa"/>
            <w:tcBorders>
              <w:top w:val="nil"/>
              <w:left w:val="nil"/>
              <w:bottom w:val="single" w:sz="8" w:space="0" w:color="auto"/>
              <w:right w:val="single" w:sz="8" w:space="0" w:color="auto"/>
            </w:tcBorders>
            <w:shd w:val="clear" w:color="auto" w:fill="auto"/>
            <w:noWrap/>
            <w:vAlign w:val="center"/>
          </w:tcPr>
          <w:p w14:paraId="7DB13AC9"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4 273 000</w:t>
            </w:r>
          </w:p>
        </w:tc>
        <w:tc>
          <w:tcPr>
            <w:tcW w:w="1521" w:type="dxa"/>
            <w:tcBorders>
              <w:top w:val="nil"/>
              <w:left w:val="nil"/>
              <w:bottom w:val="single" w:sz="8" w:space="0" w:color="auto"/>
              <w:right w:val="single" w:sz="8" w:space="0" w:color="auto"/>
            </w:tcBorders>
            <w:shd w:val="clear" w:color="auto" w:fill="auto"/>
            <w:noWrap/>
            <w:vAlign w:val="center"/>
          </w:tcPr>
          <w:p w14:paraId="132926BC"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6 312 000</w:t>
            </w:r>
          </w:p>
        </w:tc>
      </w:tr>
      <w:tr w:rsidR="00AD62CD" w:rsidRPr="00AD62CD" w14:paraId="4E83FD00"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28B3ECE"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(112) daň z príjmov právnických osôb</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42F54738"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color w:val="000000"/>
                <w:kern w:val="0"/>
                <w:sz w:val="22"/>
                <w:szCs w:val="22"/>
                <w14:ligatures w14:val="none"/>
              </w:rPr>
              <w:t> </w:t>
            </w:r>
          </w:p>
        </w:tc>
        <w:tc>
          <w:tcPr>
            <w:tcW w:w="1559" w:type="dxa"/>
            <w:tcBorders>
              <w:top w:val="nil"/>
              <w:left w:val="nil"/>
              <w:bottom w:val="single" w:sz="8" w:space="0" w:color="auto"/>
              <w:right w:val="single" w:sz="8" w:space="0" w:color="auto"/>
            </w:tcBorders>
            <w:shd w:val="clear" w:color="auto" w:fill="auto"/>
            <w:noWrap/>
            <w:vAlign w:val="center"/>
          </w:tcPr>
          <w:p w14:paraId="56B9F5C6"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27 159 000</w:t>
            </w:r>
          </w:p>
        </w:tc>
        <w:tc>
          <w:tcPr>
            <w:tcW w:w="1417" w:type="dxa"/>
            <w:tcBorders>
              <w:top w:val="nil"/>
              <w:left w:val="nil"/>
              <w:bottom w:val="single" w:sz="8" w:space="0" w:color="auto"/>
              <w:right w:val="single" w:sz="8" w:space="0" w:color="auto"/>
            </w:tcBorders>
            <w:shd w:val="clear" w:color="auto" w:fill="auto"/>
            <w:noWrap/>
            <w:vAlign w:val="center"/>
          </w:tcPr>
          <w:p w14:paraId="3716A33E"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15 400 000</w:t>
            </w:r>
          </w:p>
        </w:tc>
        <w:tc>
          <w:tcPr>
            <w:tcW w:w="1521" w:type="dxa"/>
            <w:tcBorders>
              <w:top w:val="nil"/>
              <w:left w:val="nil"/>
              <w:bottom w:val="single" w:sz="8" w:space="0" w:color="auto"/>
              <w:right w:val="single" w:sz="8" w:space="0" w:color="auto"/>
            </w:tcBorders>
            <w:shd w:val="clear" w:color="auto" w:fill="auto"/>
            <w:noWrap/>
            <w:vAlign w:val="center"/>
          </w:tcPr>
          <w:p w14:paraId="7A815417"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16 248 000</w:t>
            </w:r>
          </w:p>
        </w:tc>
      </w:tr>
      <w:tr w:rsidR="00AD62CD" w:rsidRPr="00AD62CD" w14:paraId="3CB9DC24"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88DD293"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(131) daň z pridanej hodnoty</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33D4289F"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color w:val="000000"/>
                <w:kern w:val="0"/>
                <w:sz w:val="22"/>
                <w:szCs w:val="22"/>
                <w14:ligatures w14:val="none"/>
              </w:rPr>
              <w:t> </w:t>
            </w:r>
          </w:p>
        </w:tc>
        <w:tc>
          <w:tcPr>
            <w:tcW w:w="1559" w:type="dxa"/>
            <w:tcBorders>
              <w:top w:val="nil"/>
              <w:left w:val="nil"/>
              <w:bottom w:val="single" w:sz="8" w:space="0" w:color="auto"/>
              <w:right w:val="single" w:sz="8" w:space="0" w:color="auto"/>
            </w:tcBorders>
            <w:shd w:val="clear" w:color="auto" w:fill="auto"/>
            <w:noWrap/>
            <w:vAlign w:val="center"/>
          </w:tcPr>
          <w:p w14:paraId="6D271FB8"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61 467 000</w:t>
            </w:r>
          </w:p>
        </w:tc>
        <w:tc>
          <w:tcPr>
            <w:tcW w:w="1417" w:type="dxa"/>
            <w:tcBorders>
              <w:top w:val="nil"/>
              <w:left w:val="nil"/>
              <w:bottom w:val="single" w:sz="8" w:space="0" w:color="auto"/>
              <w:right w:val="single" w:sz="8" w:space="0" w:color="auto"/>
            </w:tcBorders>
            <w:shd w:val="clear" w:color="auto" w:fill="auto"/>
            <w:noWrap/>
            <w:vAlign w:val="center"/>
          </w:tcPr>
          <w:p w14:paraId="10F8CC62"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33 717 000</w:t>
            </w:r>
          </w:p>
        </w:tc>
        <w:tc>
          <w:tcPr>
            <w:tcW w:w="1521" w:type="dxa"/>
            <w:tcBorders>
              <w:top w:val="nil"/>
              <w:left w:val="nil"/>
              <w:bottom w:val="single" w:sz="8" w:space="0" w:color="auto"/>
              <w:right w:val="single" w:sz="8" w:space="0" w:color="auto"/>
            </w:tcBorders>
            <w:shd w:val="clear" w:color="auto" w:fill="auto"/>
            <w:noWrap/>
            <w:vAlign w:val="center"/>
          </w:tcPr>
          <w:p w14:paraId="33C58CDD"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34 955 000</w:t>
            </w:r>
          </w:p>
        </w:tc>
      </w:tr>
      <w:tr w:rsidR="00AD62CD" w:rsidRPr="00AD62CD" w14:paraId="3CA4CFA4"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13F3376"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(132) spotrebné dane</w:t>
            </w:r>
          </w:p>
        </w:tc>
        <w:tc>
          <w:tcPr>
            <w:tcW w:w="1026" w:type="dxa"/>
            <w:tcBorders>
              <w:top w:val="nil"/>
              <w:left w:val="single" w:sz="8" w:space="0" w:color="auto"/>
              <w:bottom w:val="single" w:sz="8" w:space="0" w:color="auto"/>
              <w:right w:val="single" w:sz="8" w:space="0" w:color="auto"/>
            </w:tcBorders>
            <w:shd w:val="clear" w:color="auto" w:fill="auto"/>
            <w:noWrap/>
            <w:vAlign w:val="center"/>
          </w:tcPr>
          <w:p w14:paraId="30A5FC4D"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color w:val="000000"/>
                <w:kern w:val="0"/>
                <w:sz w:val="22"/>
                <w:szCs w:val="22"/>
                <w14:ligatures w14:val="none"/>
              </w:rPr>
              <w:t> </w:t>
            </w:r>
          </w:p>
        </w:tc>
        <w:tc>
          <w:tcPr>
            <w:tcW w:w="1559" w:type="dxa"/>
            <w:tcBorders>
              <w:top w:val="nil"/>
              <w:left w:val="nil"/>
              <w:bottom w:val="single" w:sz="8" w:space="0" w:color="auto"/>
              <w:right w:val="single" w:sz="8" w:space="0" w:color="auto"/>
            </w:tcBorders>
            <w:shd w:val="clear" w:color="auto" w:fill="auto"/>
            <w:noWrap/>
            <w:vAlign w:val="center"/>
          </w:tcPr>
          <w:p w14:paraId="6ACCE5EB"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14 789 000</w:t>
            </w:r>
          </w:p>
        </w:tc>
        <w:tc>
          <w:tcPr>
            <w:tcW w:w="1417" w:type="dxa"/>
            <w:tcBorders>
              <w:top w:val="nil"/>
              <w:left w:val="nil"/>
              <w:bottom w:val="single" w:sz="8" w:space="0" w:color="auto"/>
              <w:right w:val="single" w:sz="8" w:space="0" w:color="auto"/>
            </w:tcBorders>
            <w:shd w:val="clear" w:color="auto" w:fill="auto"/>
            <w:noWrap/>
            <w:vAlign w:val="center"/>
          </w:tcPr>
          <w:p w14:paraId="519D614E"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8 269 000</w:t>
            </w:r>
          </w:p>
        </w:tc>
        <w:tc>
          <w:tcPr>
            <w:tcW w:w="1521" w:type="dxa"/>
            <w:tcBorders>
              <w:top w:val="nil"/>
              <w:left w:val="nil"/>
              <w:bottom w:val="single" w:sz="8" w:space="0" w:color="auto"/>
              <w:right w:val="single" w:sz="8" w:space="0" w:color="auto"/>
            </w:tcBorders>
            <w:shd w:val="clear" w:color="auto" w:fill="auto"/>
            <w:noWrap/>
            <w:vAlign w:val="center"/>
          </w:tcPr>
          <w:p w14:paraId="1DAACDC5"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8 624 000</w:t>
            </w:r>
          </w:p>
        </w:tc>
      </w:tr>
      <w:tr w:rsidR="00AD62CD" w:rsidRPr="00AD62CD" w14:paraId="154CD868"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9BE8E96"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EÚ zdroje</w:t>
            </w:r>
          </w:p>
        </w:tc>
        <w:tc>
          <w:tcPr>
            <w:tcW w:w="1026" w:type="dxa"/>
            <w:tcBorders>
              <w:top w:val="nil"/>
              <w:left w:val="nil"/>
              <w:bottom w:val="single" w:sz="8" w:space="0" w:color="auto"/>
              <w:right w:val="single" w:sz="8" w:space="0" w:color="auto"/>
            </w:tcBorders>
            <w:shd w:val="clear" w:color="auto" w:fill="auto"/>
            <w:noWrap/>
            <w:vAlign w:val="center"/>
          </w:tcPr>
          <w:p w14:paraId="3E70D953"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0A4E0DE9"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6F78656E"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78D8193B"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r>
      <w:tr w:rsidR="00AD62CD" w:rsidRPr="00AD62CD" w14:paraId="0DD2ED1C"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016DDE1"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484AE13F"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7BB005ED"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bCs/>
                <w:color w:val="000000"/>
                <w:kern w:val="0"/>
                <w:sz w:val="22"/>
                <w:szCs w:val="22"/>
                <w14:ligatures w14:val="none"/>
              </w:rPr>
              <w:t>12 482 000</w:t>
            </w:r>
          </w:p>
        </w:tc>
        <w:tc>
          <w:tcPr>
            <w:tcW w:w="1417" w:type="dxa"/>
            <w:tcBorders>
              <w:top w:val="nil"/>
              <w:left w:val="nil"/>
              <w:bottom w:val="single" w:sz="8" w:space="0" w:color="auto"/>
              <w:right w:val="single" w:sz="8" w:space="0" w:color="auto"/>
            </w:tcBorders>
            <w:shd w:val="clear" w:color="auto" w:fill="auto"/>
            <w:noWrap/>
            <w:vAlign w:val="center"/>
          </w:tcPr>
          <w:p w14:paraId="2AE03F59"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bCs/>
                <w:color w:val="000000"/>
                <w:kern w:val="0"/>
                <w:sz w:val="22"/>
                <w:szCs w:val="22"/>
                <w14:ligatures w14:val="none"/>
              </w:rPr>
              <w:t>15 556 000</w:t>
            </w:r>
          </w:p>
        </w:tc>
        <w:tc>
          <w:tcPr>
            <w:tcW w:w="1521" w:type="dxa"/>
            <w:tcBorders>
              <w:top w:val="nil"/>
              <w:left w:val="nil"/>
              <w:bottom w:val="single" w:sz="8" w:space="0" w:color="auto"/>
              <w:right w:val="single" w:sz="8" w:space="0" w:color="auto"/>
            </w:tcBorders>
            <w:shd w:val="clear" w:color="auto" w:fill="auto"/>
            <w:noWrap/>
            <w:vAlign w:val="center"/>
          </w:tcPr>
          <w:p w14:paraId="77EB02AF"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bCs/>
                <w:color w:val="000000"/>
                <w:kern w:val="0"/>
                <w:sz w:val="22"/>
                <w:szCs w:val="22"/>
                <w14:ligatures w14:val="none"/>
              </w:rPr>
              <w:t>18 853 000</w:t>
            </w:r>
          </w:p>
        </w:tc>
      </w:tr>
      <w:tr w:rsidR="00AD62CD" w:rsidRPr="00AD62CD" w14:paraId="730FDF26"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FDF169F"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(112) daň z príjmov fyzických osôb</w:t>
            </w:r>
          </w:p>
        </w:tc>
        <w:tc>
          <w:tcPr>
            <w:tcW w:w="1026" w:type="dxa"/>
            <w:tcBorders>
              <w:top w:val="nil"/>
              <w:left w:val="nil"/>
              <w:bottom w:val="single" w:sz="8" w:space="0" w:color="auto"/>
              <w:right w:val="single" w:sz="8" w:space="0" w:color="auto"/>
            </w:tcBorders>
            <w:shd w:val="clear" w:color="auto" w:fill="auto"/>
            <w:noWrap/>
            <w:vAlign w:val="center"/>
          </w:tcPr>
          <w:p w14:paraId="5C73CE97"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61C9685F"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color w:val="000000"/>
                <w:kern w:val="0"/>
                <w:sz w:val="22"/>
                <w:szCs w:val="22"/>
                <w14:ligatures w14:val="none"/>
              </w:rPr>
              <w:t>12 482 000</w:t>
            </w:r>
          </w:p>
        </w:tc>
        <w:tc>
          <w:tcPr>
            <w:tcW w:w="1417" w:type="dxa"/>
            <w:tcBorders>
              <w:top w:val="nil"/>
              <w:left w:val="nil"/>
              <w:bottom w:val="single" w:sz="8" w:space="0" w:color="auto"/>
              <w:right w:val="single" w:sz="8" w:space="0" w:color="auto"/>
            </w:tcBorders>
            <w:shd w:val="clear" w:color="auto" w:fill="auto"/>
            <w:noWrap/>
            <w:vAlign w:val="center"/>
          </w:tcPr>
          <w:p w14:paraId="06B5E57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color w:val="000000"/>
                <w:kern w:val="0"/>
                <w:sz w:val="22"/>
                <w:szCs w:val="22"/>
                <w14:ligatures w14:val="none"/>
              </w:rPr>
              <w:t>15 556 000</w:t>
            </w:r>
          </w:p>
        </w:tc>
        <w:tc>
          <w:tcPr>
            <w:tcW w:w="1521" w:type="dxa"/>
            <w:tcBorders>
              <w:top w:val="nil"/>
              <w:left w:val="nil"/>
              <w:bottom w:val="single" w:sz="8" w:space="0" w:color="auto"/>
              <w:right w:val="single" w:sz="8" w:space="0" w:color="auto"/>
            </w:tcBorders>
            <w:shd w:val="clear" w:color="auto" w:fill="auto"/>
            <w:noWrap/>
            <w:vAlign w:val="center"/>
          </w:tcPr>
          <w:p w14:paraId="0B31081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color w:val="000000"/>
                <w:kern w:val="0"/>
                <w:sz w:val="22"/>
                <w:szCs w:val="22"/>
                <w14:ligatures w14:val="none"/>
              </w:rPr>
              <w:t>18 853 000</w:t>
            </w:r>
          </w:p>
        </w:tc>
      </w:tr>
      <w:tr w:rsidR="00AD62CD" w:rsidRPr="00AD62CD" w14:paraId="5E6E8922"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2F0A69F"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2534F84E"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7C269A4E"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bCs/>
                <w:color w:val="000000"/>
                <w:kern w:val="0"/>
                <w:sz w:val="22"/>
                <w:szCs w:val="22"/>
                <w14:ligatures w14:val="none"/>
              </w:rPr>
              <w:t>6 683 000</w:t>
            </w:r>
          </w:p>
        </w:tc>
        <w:tc>
          <w:tcPr>
            <w:tcW w:w="1417" w:type="dxa"/>
            <w:tcBorders>
              <w:top w:val="nil"/>
              <w:left w:val="nil"/>
              <w:bottom w:val="single" w:sz="8" w:space="0" w:color="auto"/>
              <w:right w:val="single" w:sz="8" w:space="0" w:color="auto"/>
            </w:tcBorders>
            <w:shd w:val="clear" w:color="auto" w:fill="auto"/>
            <w:noWrap/>
            <w:vAlign w:val="center"/>
          </w:tcPr>
          <w:p w14:paraId="6FFA9799"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bCs/>
                <w:color w:val="000000"/>
                <w:kern w:val="0"/>
                <w:sz w:val="22"/>
                <w:szCs w:val="22"/>
                <w14:ligatures w14:val="none"/>
              </w:rPr>
              <w:t>8 328 000</w:t>
            </w:r>
          </w:p>
        </w:tc>
        <w:tc>
          <w:tcPr>
            <w:tcW w:w="1521" w:type="dxa"/>
            <w:tcBorders>
              <w:top w:val="nil"/>
              <w:left w:val="nil"/>
              <w:bottom w:val="single" w:sz="8" w:space="0" w:color="auto"/>
              <w:right w:val="single" w:sz="8" w:space="0" w:color="auto"/>
            </w:tcBorders>
            <w:shd w:val="clear" w:color="auto" w:fill="auto"/>
            <w:noWrap/>
            <w:vAlign w:val="center"/>
          </w:tcPr>
          <w:p w14:paraId="7B96ACC2"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bCs/>
                <w:color w:val="000000"/>
                <w:kern w:val="0"/>
                <w:sz w:val="22"/>
                <w:szCs w:val="22"/>
                <w14:ligatures w14:val="none"/>
              </w:rPr>
              <w:t>10 094 000</w:t>
            </w:r>
          </w:p>
        </w:tc>
      </w:tr>
      <w:tr w:rsidR="00AD62CD" w:rsidRPr="00AD62CD" w14:paraId="35590EB7"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18FC487"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(112) daň z príjmov fyzických osôb</w:t>
            </w:r>
          </w:p>
        </w:tc>
        <w:tc>
          <w:tcPr>
            <w:tcW w:w="1026" w:type="dxa"/>
            <w:tcBorders>
              <w:top w:val="nil"/>
              <w:left w:val="nil"/>
              <w:bottom w:val="single" w:sz="8" w:space="0" w:color="auto"/>
              <w:right w:val="single" w:sz="8" w:space="0" w:color="auto"/>
            </w:tcBorders>
            <w:shd w:val="clear" w:color="auto" w:fill="auto"/>
            <w:noWrap/>
            <w:vAlign w:val="center"/>
          </w:tcPr>
          <w:p w14:paraId="13734D7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496F2FE2" w14:textId="77777777" w:rsidR="00AD62CD" w:rsidRPr="00AD62CD" w:rsidRDefault="00AD62CD" w:rsidP="00AD62CD">
            <w:pPr>
              <w:spacing w:after="0" w:line="276" w:lineRule="auto"/>
              <w:jc w:val="right"/>
              <w:rPr>
                <w:rFonts w:ascii="Times New Roman" w:eastAsia="Calibri" w:hAnsi="Times New Roman" w:cs="Times New Roman"/>
                <w:b/>
                <w:bCs/>
                <w:i/>
                <w:iCs/>
                <w:kern w:val="0"/>
                <w:sz w:val="22"/>
                <w:szCs w:val="22"/>
                <w14:ligatures w14:val="none"/>
              </w:rPr>
            </w:pPr>
            <w:r w:rsidRPr="00AD62CD">
              <w:rPr>
                <w:rFonts w:ascii="Times New Roman" w:eastAsia="Calibri" w:hAnsi="Times New Roman" w:cs="Times New Roman"/>
                <w:color w:val="000000"/>
                <w:kern w:val="0"/>
                <w:sz w:val="22"/>
                <w:szCs w:val="22"/>
                <w14:ligatures w14:val="none"/>
              </w:rPr>
              <w:t>6 683 000</w:t>
            </w:r>
          </w:p>
        </w:tc>
        <w:tc>
          <w:tcPr>
            <w:tcW w:w="1417" w:type="dxa"/>
            <w:tcBorders>
              <w:top w:val="nil"/>
              <w:left w:val="nil"/>
              <w:bottom w:val="single" w:sz="8" w:space="0" w:color="auto"/>
              <w:right w:val="single" w:sz="8" w:space="0" w:color="auto"/>
            </w:tcBorders>
            <w:shd w:val="clear" w:color="auto" w:fill="auto"/>
            <w:noWrap/>
            <w:vAlign w:val="center"/>
          </w:tcPr>
          <w:p w14:paraId="498CDBA6" w14:textId="77777777" w:rsidR="00AD62CD" w:rsidRPr="00AD62CD" w:rsidRDefault="00AD62CD" w:rsidP="00AD62CD">
            <w:pPr>
              <w:spacing w:after="0" w:line="276" w:lineRule="auto"/>
              <w:jc w:val="right"/>
              <w:rPr>
                <w:rFonts w:ascii="Times New Roman" w:eastAsia="Calibri" w:hAnsi="Times New Roman" w:cs="Times New Roman"/>
                <w:b/>
                <w:bCs/>
                <w:i/>
                <w:iCs/>
                <w:kern w:val="0"/>
                <w:sz w:val="22"/>
                <w:szCs w:val="22"/>
                <w14:ligatures w14:val="none"/>
              </w:rPr>
            </w:pPr>
            <w:r w:rsidRPr="00AD62CD">
              <w:rPr>
                <w:rFonts w:ascii="Times New Roman" w:eastAsia="Calibri" w:hAnsi="Times New Roman" w:cs="Times New Roman"/>
                <w:color w:val="000000"/>
                <w:kern w:val="0"/>
                <w:sz w:val="22"/>
                <w:szCs w:val="22"/>
                <w14:ligatures w14:val="none"/>
              </w:rPr>
              <w:t>8 328 000</w:t>
            </w:r>
          </w:p>
        </w:tc>
        <w:tc>
          <w:tcPr>
            <w:tcW w:w="1521" w:type="dxa"/>
            <w:tcBorders>
              <w:top w:val="nil"/>
              <w:left w:val="nil"/>
              <w:bottom w:val="single" w:sz="8" w:space="0" w:color="auto"/>
              <w:right w:val="single" w:sz="8" w:space="0" w:color="auto"/>
            </w:tcBorders>
            <w:shd w:val="clear" w:color="auto" w:fill="auto"/>
            <w:noWrap/>
            <w:vAlign w:val="center"/>
          </w:tcPr>
          <w:p w14:paraId="3BD35462" w14:textId="77777777" w:rsidR="00AD62CD" w:rsidRPr="00AD62CD" w:rsidRDefault="00AD62CD" w:rsidP="00AD62CD">
            <w:pPr>
              <w:spacing w:after="0" w:line="276" w:lineRule="auto"/>
              <w:jc w:val="right"/>
              <w:rPr>
                <w:rFonts w:ascii="Times New Roman" w:eastAsia="Calibri" w:hAnsi="Times New Roman" w:cs="Times New Roman"/>
                <w:b/>
                <w:bCs/>
                <w:i/>
                <w:iCs/>
                <w:kern w:val="0"/>
                <w:sz w:val="22"/>
                <w:szCs w:val="22"/>
                <w14:ligatures w14:val="none"/>
              </w:rPr>
            </w:pPr>
            <w:r w:rsidRPr="00AD62CD">
              <w:rPr>
                <w:rFonts w:ascii="Times New Roman" w:eastAsia="Calibri" w:hAnsi="Times New Roman" w:cs="Times New Roman"/>
                <w:color w:val="000000"/>
                <w:kern w:val="0"/>
                <w:sz w:val="22"/>
                <w:szCs w:val="22"/>
                <w14:ligatures w14:val="none"/>
              </w:rPr>
              <w:t>10 094 000</w:t>
            </w:r>
          </w:p>
        </w:tc>
      </w:tr>
      <w:tr w:rsidR="00AD62CD" w:rsidRPr="00AD62CD" w14:paraId="7086EAFB"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4965786"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 - vplyv na Sociálnu poisťovňu</w:t>
            </w:r>
          </w:p>
        </w:tc>
        <w:tc>
          <w:tcPr>
            <w:tcW w:w="1026" w:type="dxa"/>
            <w:tcBorders>
              <w:top w:val="nil"/>
              <w:left w:val="nil"/>
              <w:bottom w:val="single" w:sz="8" w:space="0" w:color="auto"/>
              <w:right w:val="single" w:sz="8" w:space="0" w:color="auto"/>
            </w:tcBorders>
            <w:shd w:val="clear" w:color="auto" w:fill="auto"/>
            <w:noWrap/>
            <w:vAlign w:val="center"/>
          </w:tcPr>
          <w:p w14:paraId="06A88FB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0B9F1A42"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64 656 000</w:t>
            </w:r>
          </w:p>
        </w:tc>
        <w:tc>
          <w:tcPr>
            <w:tcW w:w="1417" w:type="dxa"/>
            <w:tcBorders>
              <w:top w:val="nil"/>
              <w:left w:val="nil"/>
              <w:bottom w:val="single" w:sz="8" w:space="0" w:color="auto"/>
              <w:right w:val="single" w:sz="8" w:space="0" w:color="auto"/>
            </w:tcBorders>
            <w:shd w:val="clear" w:color="auto" w:fill="auto"/>
            <w:noWrap/>
            <w:vAlign w:val="center"/>
          </w:tcPr>
          <w:p w14:paraId="71BF0C3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56 205 000</w:t>
            </w:r>
          </w:p>
        </w:tc>
        <w:tc>
          <w:tcPr>
            <w:tcW w:w="1521" w:type="dxa"/>
            <w:tcBorders>
              <w:top w:val="nil"/>
              <w:left w:val="nil"/>
              <w:bottom w:val="single" w:sz="8" w:space="0" w:color="auto"/>
              <w:right w:val="single" w:sz="8" w:space="0" w:color="auto"/>
            </w:tcBorders>
            <w:shd w:val="clear" w:color="auto" w:fill="auto"/>
            <w:noWrap/>
            <w:vAlign w:val="center"/>
          </w:tcPr>
          <w:p w14:paraId="4944D407"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color w:val="000000"/>
                <w:kern w:val="0"/>
                <w:sz w:val="22"/>
                <w:szCs w:val="22"/>
                <w14:ligatures w14:val="none"/>
              </w:rPr>
              <w:t>67 233 000</w:t>
            </w:r>
          </w:p>
        </w:tc>
      </w:tr>
      <w:tr w:rsidR="00AD62CD" w:rsidRPr="00AD62CD" w14:paraId="3AE85709"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2F1823E"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(150 okrem 154) poistné</w:t>
            </w:r>
          </w:p>
        </w:tc>
        <w:tc>
          <w:tcPr>
            <w:tcW w:w="1026" w:type="dxa"/>
            <w:tcBorders>
              <w:top w:val="nil"/>
              <w:left w:val="nil"/>
              <w:bottom w:val="single" w:sz="8" w:space="0" w:color="auto"/>
              <w:right w:val="single" w:sz="8" w:space="0" w:color="auto"/>
            </w:tcBorders>
            <w:shd w:val="clear" w:color="auto" w:fill="auto"/>
            <w:noWrap/>
            <w:vAlign w:val="center"/>
          </w:tcPr>
          <w:p w14:paraId="061E3D1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511AA0E1"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64 656 000</w:t>
            </w:r>
          </w:p>
        </w:tc>
        <w:tc>
          <w:tcPr>
            <w:tcW w:w="1417" w:type="dxa"/>
            <w:tcBorders>
              <w:top w:val="nil"/>
              <w:left w:val="nil"/>
              <w:bottom w:val="single" w:sz="8" w:space="0" w:color="auto"/>
              <w:right w:val="single" w:sz="8" w:space="0" w:color="auto"/>
            </w:tcBorders>
            <w:shd w:val="clear" w:color="auto" w:fill="auto"/>
            <w:noWrap/>
            <w:vAlign w:val="center"/>
          </w:tcPr>
          <w:p w14:paraId="059ABC7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color w:val="000000"/>
                <w:kern w:val="0"/>
                <w:sz w:val="22"/>
                <w:szCs w:val="22"/>
                <w14:ligatures w14:val="none"/>
              </w:rPr>
              <w:t>56 205 000</w:t>
            </w:r>
          </w:p>
        </w:tc>
        <w:tc>
          <w:tcPr>
            <w:tcW w:w="1521" w:type="dxa"/>
            <w:tcBorders>
              <w:top w:val="nil"/>
              <w:left w:val="nil"/>
              <w:bottom w:val="single" w:sz="8" w:space="0" w:color="auto"/>
              <w:right w:val="single" w:sz="8" w:space="0" w:color="auto"/>
            </w:tcBorders>
            <w:shd w:val="clear" w:color="auto" w:fill="auto"/>
            <w:noWrap/>
            <w:vAlign w:val="center"/>
          </w:tcPr>
          <w:p w14:paraId="1C3BBDA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color w:val="000000"/>
                <w:kern w:val="0"/>
                <w:sz w:val="22"/>
                <w:szCs w:val="22"/>
                <w14:ligatures w14:val="none"/>
              </w:rPr>
              <w:t>67 233 000</w:t>
            </w:r>
          </w:p>
        </w:tc>
      </w:tr>
      <w:tr w:rsidR="00AD62CD" w:rsidRPr="00AD62CD" w14:paraId="6009FD9D"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E5FCF27"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 - vplyv na zdravotné poisťovne</w:t>
            </w:r>
          </w:p>
        </w:tc>
        <w:tc>
          <w:tcPr>
            <w:tcW w:w="1026" w:type="dxa"/>
            <w:tcBorders>
              <w:top w:val="nil"/>
              <w:left w:val="nil"/>
              <w:bottom w:val="single" w:sz="8" w:space="0" w:color="auto"/>
              <w:right w:val="single" w:sz="8" w:space="0" w:color="auto"/>
            </w:tcBorders>
            <w:shd w:val="clear" w:color="auto" w:fill="auto"/>
            <w:noWrap/>
            <w:vAlign w:val="center"/>
          </w:tcPr>
          <w:p w14:paraId="3C9B180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24F5D754"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b/>
                <w:bCs/>
                <w:color w:val="000000"/>
                <w:kern w:val="0"/>
                <w:sz w:val="22"/>
                <w:szCs w:val="22"/>
                <w14:ligatures w14:val="none"/>
              </w:rPr>
              <w:t>34 745 000</w:t>
            </w:r>
          </w:p>
        </w:tc>
        <w:tc>
          <w:tcPr>
            <w:tcW w:w="1417" w:type="dxa"/>
            <w:tcBorders>
              <w:top w:val="nil"/>
              <w:left w:val="nil"/>
              <w:bottom w:val="single" w:sz="8" w:space="0" w:color="auto"/>
              <w:right w:val="single" w:sz="8" w:space="0" w:color="auto"/>
            </w:tcBorders>
            <w:shd w:val="clear" w:color="auto" w:fill="auto"/>
            <w:noWrap/>
            <w:vAlign w:val="center"/>
          </w:tcPr>
          <w:p w14:paraId="065284FD"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b/>
                <w:bCs/>
                <w:color w:val="000000"/>
                <w:kern w:val="0"/>
                <w:sz w:val="22"/>
                <w:szCs w:val="22"/>
                <w14:ligatures w14:val="none"/>
              </w:rPr>
              <w:t>28 654 000</w:t>
            </w:r>
          </w:p>
        </w:tc>
        <w:tc>
          <w:tcPr>
            <w:tcW w:w="1521" w:type="dxa"/>
            <w:tcBorders>
              <w:top w:val="nil"/>
              <w:left w:val="nil"/>
              <w:bottom w:val="single" w:sz="8" w:space="0" w:color="auto"/>
              <w:right w:val="single" w:sz="8" w:space="0" w:color="auto"/>
            </w:tcBorders>
            <w:shd w:val="clear" w:color="auto" w:fill="auto"/>
            <w:noWrap/>
            <w:vAlign w:val="center"/>
          </w:tcPr>
          <w:p w14:paraId="26C49EBA"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b/>
                <w:bCs/>
                <w:color w:val="000000"/>
                <w:kern w:val="0"/>
                <w:sz w:val="22"/>
                <w:szCs w:val="22"/>
                <w14:ligatures w14:val="none"/>
              </w:rPr>
              <w:t>32 273 000</w:t>
            </w:r>
          </w:p>
        </w:tc>
      </w:tr>
      <w:tr w:rsidR="00AD62CD" w:rsidRPr="00AD62CD" w14:paraId="6332EE22"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A536B24"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(154) poistné</w:t>
            </w:r>
          </w:p>
        </w:tc>
        <w:tc>
          <w:tcPr>
            <w:tcW w:w="1026" w:type="dxa"/>
            <w:tcBorders>
              <w:top w:val="nil"/>
              <w:left w:val="nil"/>
              <w:bottom w:val="single" w:sz="8" w:space="0" w:color="auto"/>
              <w:right w:val="single" w:sz="8" w:space="0" w:color="auto"/>
            </w:tcBorders>
            <w:shd w:val="clear" w:color="auto" w:fill="auto"/>
            <w:noWrap/>
            <w:vAlign w:val="center"/>
          </w:tcPr>
          <w:p w14:paraId="6D422EA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vAlign w:val="center"/>
          </w:tcPr>
          <w:p w14:paraId="1F03955B" w14:textId="77777777" w:rsidR="00AD62CD" w:rsidRPr="00AD62CD" w:rsidRDefault="00AD62CD" w:rsidP="00AD62CD">
            <w:pPr>
              <w:spacing w:after="0" w:line="276" w:lineRule="auto"/>
              <w:jc w:val="right"/>
              <w:rPr>
                <w:rFonts w:ascii="Times New Roman" w:eastAsia="Calibri" w:hAnsi="Times New Roman" w:cs="Times New Roman"/>
                <w:i/>
                <w:iCs/>
                <w:kern w:val="0"/>
                <w:sz w:val="22"/>
                <w:szCs w:val="22"/>
                <w14:ligatures w14:val="none"/>
              </w:rPr>
            </w:pPr>
            <w:r w:rsidRPr="00AD62CD">
              <w:rPr>
                <w:rFonts w:ascii="Times New Roman" w:eastAsia="Calibri" w:hAnsi="Times New Roman" w:cs="Times New Roman"/>
                <w:color w:val="000000"/>
                <w:kern w:val="0"/>
                <w:sz w:val="22"/>
                <w:szCs w:val="22"/>
                <w14:ligatures w14:val="none"/>
              </w:rPr>
              <w:t>34 745 000</w:t>
            </w:r>
          </w:p>
        </w:tc>
        <w:tc>
          <w:tcPr>
            <w:tcW w:w="1417" w:type="dxa"/>
            <w:tcBorders>
              <w:top w:val="nil"/>
              <w:left w:val="nil"/>
              <w:bottom w:val="single" w:sz="8" w:space="0" w:color="auto"/>
              <w:right w:val="single" w:sz="8" w:space="0" w:color="auto"/>
            </w:tcBorders>
            <w:shd w:val="clear" w:color="auto" w:fill="auto"/>
            <w:noWrap/>
            <w:vAlign w:val="center"/>
          </w:tcPr>
          <w:p w14:paraId="678586D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color w:val="000000"/>
                <w:kern w:val="0"/>
                <w:sz w:val="22"/>
                <w:szCs w:val="22"/>
                <w14:ligatures w14:val="none"/>
              </w:rPr>
              <w:t>28 654 000</w:t>
            </w:r>
          </w:p>
        </w:tc>
        <w:tc>
          <w:tcPr>
            <w:tcW w:w="1521" w:type="dxa"/>
            <w:tcBorders>
              <w:top w:val="nil"/>
              <w:left w:val="nil"/>
              <w:bottom w:val="single" w:sz="8" w:space="0" w:color="auto"/>
              <w:right w:val="single" w:sz="8" w:space="0" w:color="auto"/>
            </w:tcBorders>
            <w:shd w:val="clear" w:color="auto" w:fill="auto"/>
            <w:noWrap/>
            <w:vAlign w:val="center"/>
          </w:tcPr>
          <w:p w14:paraId="0891FA1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color w:val="000000"/>
                <w:kern w:val="0"/>
                <w:sz w:val="22"/>
                <w:szCs w:val="22"/>
                <w14:ligatures w14:val="none"/>
              </w:rPr>
              <w:t>32 273 000</w:t>
            </w:r>
          </w:p>
        </w:tc>
      </w:tr>
      <w:tr w:rsidR="00AD62CD" w:rsidRPr="00AD62CD" w14:paraId="35818837"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33E682A4"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Výdavky verejnej správy celkom</w:t>
            </w:r>
          </w:p>
        </w:tc>
        <w:tc>
          <w:tcPr>
            <w:tcW w:w="1026" w:type="dxa"/>
            <w:tcBorders>
              <w:top w:val="nil"/>
              <w:left w:val="nil"/>
              <w:bottom w:val="single" w:sz="8" w:space="0" w:color="auto"/>
              <w:right w:val="single" w:sz="8" w:space="0" w:color="auto"/>
            </w:tcBorders>
            <w:shd w:val="clear" w:color="auto" w:fill="C0C0C0"/>
            <w:noWrap/>
            <w:vAlign w:val="center"/>
          </w:tcPr>
          <w:p w14:paraId="2D2EA3D2"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C0C0C0"/>
            <w:noWrap/>
            <w:vAlign w:val="center"/>
          </w:tcPr>
          <w:p w14:paraId="714F8BB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C0C0C0"/>
            <w:noWrap/>
            <w:vAlign w:val="center"/>
          </w:tcPr>
          <w:p w14:paraId="13B1242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C0C0C0"/>
            <w:noWrap/>
            <w:vAlign w:val="center"/>
          </w:tcPr>
          <w:p w14:paraId="0DC40F0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03A7835B"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5536572"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vAlign w:val="center"/>
          </w:tcPr>
          <w:p w14:paraId="2B679A7C"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 </w:t>
            </w:r>
          </w:p>
        </w:tc>
        <w:tc>
          <w:tcPr>
            <w:tcW w:w="1559" w:type="dxa"/>
            <w:tcBorders>
              <w:top w:val="nil"/>
              <w:left w:val="nil"/>
              <w:bottom w:val="single" w:sz="8" w:space="0" w:color="auto"/>
              <w:right w:val="single" w:sz="8" w:space="0" w:color="auto"/>
            </w:tcBorders>
            <w:shd w:val="clear" w:color="auto" w:fill="auto"/>
            <w:noWrap/>
            <w:vAlign w:val="center"/>
          </w:tcPr>
          <w:p w14:paraId="409E593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417" w:type="dxa"/>
            <w:tcBorders>
              <w:top w:val="nil"/>
              <w:left w:val="nil"/>
              <w:bottom w:val="single" w:sz="8" w:space="0" w:color="auto"/>
              <w:right w:val="single" w:sz="8" w:space="0" w:color="auto"/>
            </w:tcBorders>
            <w:shd w:val="clear" w:color="auto" w:fill="auto"/>
            <w:noWrap/>
            <w:vAlign w:val="center"/>
          </w:tcPr>
          <w:p w14:paraId="15D2835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c>
          <w:tcPr>
            <w:tcW w:w="1521" w:type="dxa"/>
            <w:tcBorders>
              <w:top w:val="nil"/>
              <w:left w:val="nil"/>
              <w:bottom w:val="single" w:sz="8" w:space="0" w:color="auto"/>
              <w:right w:val="single" w:sz="8" w:space="0" w:color="auto"/>
            </w:tcBorders>
            <w:shd w:val="clear" w:color="auto" w:fill="auto"/>
            <w:noWrap/>
            <w:vAlign w:val="center"/>
          </w:tcPr>
          <w:p w14:paraId="4805054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w:t>
            </w:r>
          </w:p>
        </w:tc>
      </w:tr>
      <w:tr w:rsidR="00AD62CD" w:rsidRPr="00AD62CD" w14:paraId="5A67F319"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C66ED62"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vAlign w:val="center"/>
          </w:tcPr>
          <w:p w14:paraId="23ADB2B4"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59AD5EA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6B1546D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2A4CABCF"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color w:val="000000"/>
                <w:kern w:val="0"/>
                <w:sz w:val="22"/>
                <w:szCs w:val="22"/>
                <w14:ligatures w14:val="none"/>
              </w:rPr>
              <w:t>0</w:t>
            </w:r>
          </w:p>
        </w:tc>
      </w:tr>
      <w:tr w:rsidR="00AD62CD" w:rsidRPr="00AD62CD" w14:paraId="1C4C3475"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0E5EA2F"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6F5600B0"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5165443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34F5E72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58B113A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4FB88485"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2851BDC"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378A98F8"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5B1B37F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3E3EB85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0733225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2A507B75"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4C0CF42"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14:paraId="23DC1B3A"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4E0D4A7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6EEEEBF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5EDEF45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084B19DF"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6C9D06C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Vplyv na počet zamestnancov </w:t>
            </w:r>
          </w:p>
        </w:tc>
        <w:tc>
          <w:tcPr>
            <w:tcW w:w="1026" w:type="dxa"/>
            <w:tcBorders>
              <w:top w:val="nil"/>
              <w:left w:val="nil"/>
              <w:bottom w:val="single" w:sz="8" w:space="0" w:color="auto"/>
              <w:right w:val="single" w:sz="8" w:space="0" w:color="auto"/>
            </w:tcBorders>
            <w:shd w:val="clear" w:color="auto" w:fill="BFBFBF"/>
            <w:noWrap/>
            <w:vAlign w:val="center"/>
          </w:tcPr>
          <w:p w14:paraId="5F19E0E0"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vAlign w:val="center"/>
          </w:tcPr>
          <w:p w14:paraId="7ED4D07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vAlign w:val="center"/>
          </w:tcPr>
          <w:p w14:paraId="454E059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vAlign w:val="center"/>
          </w:tcPr>
          <w:p w14:paraId="5D39AA6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14ABA0B5"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42C3B6E"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vAlign w:val="center"/>
          </w:tcPr>
          <w:p w14:paraId="6FF0C65F"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02F71B6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5CE41A9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35DDAFB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1F603C44"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740F854"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32836750"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761F35C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265E618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0DD0D3F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6A984573"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9F4C383"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4DFD4504"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084D8EC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226B70D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0ED3B37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7FC9E842"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EAD4496"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14:paraId="082D1958"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4531F95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29377D8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50D7BF1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3FA9119E"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7FE01A31"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Vplyv na mzdové výdavky</w:t>
            </w:r>
          </w:p>
        </w:tc>
        <w:tc>
          <w:tcPr>
            <w:tcW w:w="1026" w:type="dxa"/>
            <w:tcBorders>
              <w:top w:val="nil"/>
              <w:left w:val="nil"/>
              <w:bottom w:val="single" w:sz="8" w:space="0" w:color="auto"/>
              <w:right w:val="single" w:sz="8" w:space="0" w:color="auto"/>
            </w:tcBorders>
            <w:shd w:val="clear" w:color="auto" w:fill="BFBFBF"/>
            <w:noWrap/>
            <w:vAlign w:val="center"/>
          </w:tcPr>
          <w:p w14:paraId="5359D17F"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vAlign w:val="center"/>
          </w:tcPr>
          <w:p w14:paraId="37C6CD2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vAlign w:val="center"/>
          </w:tcPr>
          <w:p w14:paraId="60BA219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vAlign w:val="center"/>
          </w:tcPr>
          <w:p w14:paraId="5FA7B3C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62B8A956"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415ADF1"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vAlign w:val="center"/>
          </w:tcPr>
          <w:p w14:paraId="5EBEE4B2"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5C585AF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44A617C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32EA548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0F70E885"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145253A"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vAlign w:val="center"/>
          </w:tcPr>
          <w:p w14:paraId="34B20BDF"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2D7E2FC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5CFB768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35FEEA5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316B771E"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994F2C8"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vAlign w:val="center"/>
          </w:tcPr>
          <w:p w14:paraId="6232D2E6"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52D19F4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4ED8BCA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6BC9A27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4FE8B24C"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2C58E59"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vAlign w:val="center"/>
          </w:tcPr>
          <w:p w14:paraId="6FF294A4"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vAlign w:val="center"/>
          </w:tcPr>
          <w:p w14:paraId="483D4D2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vAlign w:val="center"/>
          </w:tcPr>
          <w:p w14:paraId="72C54EB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vAlign w:val="center"/>
          </w:tcPr>
          <w:p w14:paraId="1668DCB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4D6E9A11"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2D0CE893"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Financovanie zabezpečené v rozpočte</w:t>
            </w:r>
          </w:p>
        </w:tc>
        <w:tc>
          <w:tcPr>
            <w:tcW w:w="1026" w:type="dxa"/>
            <w:tcBorders>
              <w:top w:val="nil"/>
              <w:left w:val="nil"/>
              <w:bottom w:val="single" w:sz="8" w:space="0" w:color="auto"/>
              <w:right w:val="single" w:sz="8" w:space="0" w:color="auto"/>
            </w:tcBorders>
            <w:shd w:val="clear" w:color="auto" w:fill="C0C0C0"/>
            <w:noWrap/>
            <w:vAlign w:val="bottom"/>
          </w:tcPr>
          <w:p w14:paraId="63431682"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C0C0C0"/>
            <w:noWrap/>
            <w:vAlign w:val="bottom"/>
          </w:tcPr>
          <w:p w14:paraId="1FC3618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C0C0C0"/>
            <w:noWrap/>
            <w:vAlign w:val="bottom"/>
          </w:tcPr>
          <w:p w14:paraId="25814BE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C0C0C0"/>
            <w:noWrap/>
            <w:vAlign w:val="bottom"/>
          </w:tcPr>
          <w:p w14:paraId="6C49271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226666A4"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271954DF"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Iné ako rozpočtové zdroje</w:t>
            </w:r>
          </w:p>
        </w:tc>
        <w:tc>
          <w:tcPr>
            <w:tcW w:w="1026" w:type="dxa"/>
            <w:tcBorders>
              <w:top w:val="nil"/>
              <w:left w:val="nil"/>
              <w:bottom w:val="single" w:sz="8" w:space="0" w:color="auto"/>
              <w:right w:val="single" w:sz="8" w:space="0" w:color="auto"/>
            </w:tcBorders>
            <w:shd w:val="clear" w:color="auto" w:fill="BFBFBF"/>
            <w:noWrap/>
            <w:vAlign w:val="center"/>
          </w:tcPr>
          <w:p w14:paraId="11D9A88F"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vAlign w:val="center"/>
          </w:tcPr>
          <w:p w14:paraId="66243C9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vAlign w:val="center"/>
          </w:tcPr>
          <w:p w14:paraId="1735EB2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vAlign w:val="center"/>
          </w:tcPr>
          <w:p w14:paraId="0A8B707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009AC09C"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A6A6A6"/>
            <w:noWrap/>
            <w:vAlign w:val="center"/>
          </w:tcPr>
          <w:p w14:paraId="4D7C5A26"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Rozpočtovo nekrytý vplyv / úspora</w:t>
            </w:r>
          </w:p>
        </w:tc>
        <w:tc>
          <w:tcPr>
            <w:tcW w:w="1026" w:type="dxa"/>
            <w:tcBorders>
              <w:top w:val="nil"/>
              <w:left w:val="nil"/>
              <w:bottom w:val="single" w:sz="8" w:space="0" w:color="auto"/>
              <w:right w:val="single" w:sz="8" w:space="0" w:color="auto"/>
            </w:tcBorders>
            <w:shd w:val="clear" w:color="auto" w:fill="A6A6A6"/>
            <w:noWrap/>
            <w:vAlign w:val="center"/>
          </w:tcPr>
          <w:p w14:paraId="369B42F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6A6A6"/>
            <w:noWrap/>
            <w:vAlign w:val="center"/>
          </w:tcPr>
          <w:p w14:paraId="7D64CB6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-230 </w:t>
            </w:r>
            <w:r w:rsidRPr="00AD62CD">
              <w:rPr>
                <w:rFonts w:ascii="Times New Roman" w:eastAsia="Calibri" w:hAnsi="Times New Roman" w:cs="Times New Roman"/>
                <w:color w:val="000000"/>
                <w:kern w:val="0"/>
                <w:sz w:val="22"/>
                <w:szCs w:val="22"/>
                <w14:ligatures w14:val="none"/>
              </w:rPr>
              <w:t>000</w:t>
            </w:r>
            <w:r w:rsidRPr="00AD62CD">
              <w:rPr>
                <w:rFonts w:ascii="Times New Roman" w:eastAsia="Calibri" w:hAnsi="Times New Roman" w:cs="Times New Roman"/>
                <w:b/>
                <w:bCs/>
                <w:color w:val="000000"/>
                <w:kern w:val="0"/>
                <w:sz w:val="22"/>
                <w:szCs w:val="22"/>
                <w14:ligatures w14:val="none"/>
              </w:rPr>
              <w:t xml:space="preserve"> 000</w:t>
            </w:r>
          </w:p>
        </w:tc>
        <w:tc>
          <w:tcPr>
            <w:tcW w:w="1417" w:type="dxa"/>
            <w:tcBorders>
              <w:top w:val="nil"/>
              <w:left w:val="nil"/>
              <w:bottom w:val="single" w:sz="8" w:space="0" w:color="auto"/>
              <w:right w:val="single" w:sz="8" w:space="0" w:color="auto"/>
            </w:tcBorders>
            <w:shd w:val="clear" w:color="auto" w:fill="A6A6A6"/>
            <w:noWrap/>
            <w:vAlign w:val="center"/>
          </w:tcPr>
          <w:p w14:paraId="1EDD22A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-170 402 000</w:t>
            </w:r>
          </w:p>
        </w:tc>
        <w:tc>
          <w:tcPr>
            <w:tcW w:w="1521" w:type="dxa"/>
            <w:tcBorders>
              <w:top w:val="nil"/>
              <w:left w:val="nil"/>
              <w:bottom w:val="single" w:sz="8" w:space="0" w:color="auto"/>
              <w:right w:val="single" w:sz="8" w:space="0" w:color="auto"/>
            </w:tcBorders>
            <w:shd w:val="clear" w:color="auto" w:fill="A6A6A6"/>
            <w:noWrap/>
            <w:vAlign w:val="center"/>
          </w:tcPr>
          <w:p w14:paraId="2487963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-194 592 000</w:t>
            </w:r>
          </w:p>
        </w:tc>
      </w:tr>
    </w:tbl>
    <w:p w14:paraId="4BDBC11E" w14:textId="77777777" w:rsidR="00AD62CD" w:rsidRPr="00AD62CD" w:rsidRDefault="00AD62CD" w:rsidP="00AD62CD">
      <w:pPr>
        <w:spacing w:after="200" w:line="276" w:lineRule="auto"/>
        <w:rPr>
          <w:rFonts w:ascii="Times New Roman" w:eastAsia="Calibri" w:hAnsi="Times New Roman" w:cs="Times New Roman"/>
          <w:b/>
          <w:bCs/>
          <w:kern w:val="0"/>
          <w:lang w:eastAsia="sk-SK"/>
          <w14:ligatures w14:val="none"/>
        </w:rPr>
      </w:pPr>
    </w:p>
    <w:p w14:paraId="488C6854" w14:textId="77777777" w:rsidR="00AD62CD" w:rsidRPr="00AD62CD" w:rsidRDefault="00AD62CD" w:rsidP="00AD62CD">
      <w:pPr>
        <w:spacing w:after="200" w:line="276"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2.1.1. Financovanie návrhu - Návrh na riešenie úbytku príjmov alebo zvýšených výdavkov podľa § 33 ods. 1 zákona č. 523/2004 Z. z. o rozpočtových pravidlách verejnej správy:</w:t>
      </w:r>
    </w:p>
    <w:p w14:paraId="4D8B27F2" w14:textId="77777777" w:rsidR="00AD62CD" w:rsidRPr="00AD62CD" w:rsidRDefault="00AD62CD" w:rsidP="00AD62CD">
      <w:pPr>
        <w:spacing w:after="0" w:line="240" w:lineRule="auto"/>
        <w:jc w:val="both"/>
        <w:rPr>
          <w:rFonts w:ascii="Times New Roman" w:eastAsia="Calibri" w:hAnsi="Times New Roman" w:cs="Times New Roman"/>
          <w:b/>
          <w:bCs/>
          <w:kern w:val="0"/>
          <w:sz w:val="12"/>
          <w:lang w:eastAsia="sk-SK"/>
          <w14:ligatures w14:val="none"/>
        </w:rPr>
      </w:pPr>
    </w:p>
    <w:p w14:paraId="6E88490D"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7D676544"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 Popis a charakteristika návrhu</w:t>
      </w:r>
    </w:p>
    <w:p w14:paraId="02A4D120"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07F77000"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2.2.1. Popis návrhu:</w:t>
      </w:r>
    </w:p>
    <w:p w14:paraId="3A906C65"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519B3898"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Akú problematiku návrh rieši? Kto bude návrh implementovať? Kde sa budú služby poskytovať?</w:t>
      </w:r>
    </w:p>
    <w:p w14:paraId="4AD70EF0"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p>
    <w:p w14:paraId="3764E05C"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Úprava dní pracovného pokoja a rušenie zákazu predaja počas dní pracovného pokoja</w:t>
      </w:r>
    </w:p>
    <w:p w14:paraId="33FFF4BA"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Navrhuje sa zrušenie 3 dní pracovného pokoja - dočasne pre rok 2026 (6.1. a 8.5.) a trvalo (17.11.), ako aj zrušenie zákazu predaja počas sviatkov. Skúsenosti zo zahraničia a odhady vplyvu zo znižovania počtu dní pracovného pokoja ukazujú na vyšší počet odpracovaných hodín v ekonomike a teda aj vyššie HDP.</w:t>
      </w:r>
    </w:p>
    <w:p w14:paraId="7D5C4C19"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58E054B1"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Zákonná reforma proti využívaniu falošných živností</w:t>
      </w:r>
    </w:p>
    <w:p w14:paraId="311DDCA6"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Zmena a doplnenie Zákonníka práce s cieľom spresniť definíciu závislej práce. Očakáva sa, že táto úprava zníži mieru jeho obchádzania. Druhým krokom je navýšenie dolnej hranice pokuty za porušenie zákazu nelegálneho zamestnávania 2 na 4 tisíce eur, resp. z 5 na 7 tisíc eur v prípade nelegálneho zamestnávania dvoch a viac fyzických osôb súčasne. Zvýšenie dolnej hranice pokuty má zároveň reagovať aj na problém fiktívnych živností. Zároveň sa zavádza aj motivačný mechanizmus, ktorý pri včasnej a riadnej úhrade umožní zaplatiť iba dve tretiny z uloženej pokuty.</w:t>
      </w:r>
    </w:p>
    <w:p w14:paraId="61A697AE"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4F15E413"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2.2.2. Charakteristika návrhu:</w:t>
      </w:r>
    </w:p>
    <w:p w14:paraId="15DB7C08"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2031EB31"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kern w:val="0"/>
          <w:bdr w:val="single" w:sz="4" w:space="0" w:color="auto"/>
          <w:lang w:eastAsia="sk-SK"/>
          <w14:ligatures w14:val="none"/>
        </w:rPr>
        <w:t xml:space="preserve">     </w:t>
      </w:r>
      <w:r w:rsidRPr="00AD62CD">
        <w:rPr>
          <w:rFonts w:ascii="Times New Roman" w:eastAsia="Calibri" w:hAnsi="Times New Roman" w:cs="Times New Roman"/>
          <w:b/>
          <w:kern w:val="0"/>
          <w:lang w:eastAsia="sk-SK"/>
          <w14:ligatures w14:val="none"/>
        </w:rPr>
        <w:t xml:space="preserve">  </w:t>
      </w:r>
      <w:r w:rsidRPr="00AD62CD">
        <w:rPr>
          <w:rFonts w:ascii="Times New Roman" w:eastAsia="Calibri" w:hAnsi="Times New Roman" w:cs="Times New Roman"/>
          <w:kern w:val="0"/>
          <w:lang w:eastAsia="sk-SK"/>
          <w14:ligatures w14:val="none"/>
        </w:rPr>
        <w:t>zmena sadzby</w:t>
      </w:r>
    </w:p>
    <w:p w14:paraId="361877B1"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zmena v nároku</w:t>
      </w:r>
    </w:p>
    <w:p w14:paraId="63B48050"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nová služba alebo nariadenie (alebo ich zrušenie)</w:t>
      </w:r>
    </w:p>
    <w:p w14:paraId="1EAB740D"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kombinovaný návrh</w:t>
      </w:r>
    </w:p>
    <w:p w14:paraId="328FDB48"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x  </w:t>
      </w:r>
      <w:r w:rsidRPr="00AD62CD">
        <w:rPr>
          <w:rFonts w:ascii="Times New Roman" w:eastAsia="Calibri" w:hAnsi="Times New Roman" w:cs="Times New Roman"/>
          <w:kern w:val="0"/>
          <w:lang w:eastAsia="sk-SK"/>
          <w14:ligatures w14:val="none"/>
        </w:rPr>
        <w:t xml:space="preserve">  iné </w:t>
      </w:r>
    </w:p>
    <w:p w14:paraId="53DC3AB6"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42C544FD"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2.2.3. Predpoklady vývoja objemu aktivít:</w:t>
      </w:r>
    </w:p>
    <w:p w14:paraId="24F474D4"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5132B777"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2.2.4. Výpočty vplyvov na verejné financie</w:t>
      </w:r>
    </w:p>
    <w:p w14:paraId="21B530E4"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tbl>
      <w:tblPr>
        <w:tblW w:w="6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63"/>
        <w:gridCol w:w="962"/>
        <w:gridCol w:w="962"/>
        <w:gridCol w:w="962"/>
      </w:tblGrid>
      <w:tr w:rsidR="00AD62CD" w:rsidRPr="00AD62CD" w14:paraId="0391C808" w14:textId="77777777" w:rsidTr="003627DF">
        <w:trPr>
          <w:trHeight w:val="510"/>
        </w:trPr>
        <w:tc>
          <w:tcPr>
            <w:tcW w:w="4063" w:type="dxa"/>
            <w:shd w:val="clear" w:color="auto" w:fill="DBDBDB"/>
            <w:tcMar>
              <w:top w:w="15" w:type="dxa"/>
              <w:left w:w="70" w:type="dxa"/>
              <w:bottom w:w="0" w:type="dxa"/>
              <w:right w:w="70" w:type="dxa"/>
            </w:tcMar>
            <w:vAlign w:val="center"/>
            <w:hideMark/>
          </w:tcPr>
          <w:p w14:paraId="3F215A71"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Vplyv opatrenia (v mil. eur)</w:t>
            </w:r>
          </w:p>
        </w:tc>
        <w:tc>
          <w:tcPr>
            <w:tcW w:w="962" w:type="dxa"/>
            <w:shd w:val="clear" w:color="auto" w:fill="DBDBDB"/>
            <w:tcMar>
              <w:top w:w="15" w:type="dxa"/>
              <w:left w:w="70" w:type="dxa"/>
              <w:bottom w:w="0" w:type="dxa"/>
              <w:right w:w="70" w:type="dxa"/>
            </w:tcMar>
            <w:vAlign w:val="center"/>
            <w:hideMark/>
          </w:tcPr>
          <w:p w14:paraId="7D97830E"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2026</w:t>
            </w:r>
          </w:p>
        </w:tc>
        <w:tc>
          <w:tcPr>
            <w:tcW w:w="962" w:type="dxa"/>
            <w:shd w:val="clear" w:color="auto" w:fill="DBDBDB"/>
            <w:tcMar>
              <w:top w:w="15" w:type="dxa"/>
              <w:left w:w="70" w:type="dxa"/>
              <w:bottom w:w="0" w:type="dxa"/>
              <w:right w:w="70" w:type="dxa"/>
            </w:tcMar>
            <w:vAlign w:val="center"/>
            <w:hideMark/>
          </w:tcPr>
          <w:p w14:paraId="388BA067"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2027</w:t>
            </w:r>
          </w:p>
        </w:tc>
        <w:tc>
          <w:tcPr>
            <w:tcW w:w="962" w:type="dxa"/>
            <w:shd w:val="clear" w:color="auto" w:fill="DBDBDB"/>
            <w:tcMar>
              <w:top w:w="15" w:type="dxa"/>
              <w:left w:w="70" w:type="dxa"/>
              <w:bottom w:w="0" w:type="dxa"/>
              <w:right w:w="70" w:type="dxa"/>
            </w:tcMar>
            <w:vAlign w:val="center"/>
            <w:hideMark/>
          </w:tcPr>
          <w:p w14:paraId="5F95740C"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2028</w:t>
            </w:r>
          </w:p>
        </w:tc>
      </w:tr>
      <w:tr w:rsidR="00AD62CD" w:rsidRPr="00AD62CD" w14:paraId="69E60615" w14:textId="77777777" w:rsidTr="003627DF">
        <w:trPr>
          <w:trHeight w:val="356"/>
        </w:trPr>
        <w:tc>
          <w:tcPr>
            <w:tcW w:w="4063" w:type="dxa"/>
            <w:shd w:val="clear" w:color="auto" w:fill="auto"/>
            <w:tcMar>
              <w:top w:w="15" w:type="dxa"/>
              <w:left w:w="70" w:type="dxa"/>
              <w:bottom w:w="0" w:type="dxa"/>
              <w:right w:w="70" w:type="dxa"/>
            </w:tcMar>
            <w:vAlign w:val="center"/>
            <w:hideMark/>
          </w:tcPr>
          <w:p w14:paraId="0AB37BF4"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Zrušenie 3 dní pracovného pokoja</w:t>
            </w:r>
          </w:p>
        </w:tc>
        <w:tc>
          <w:tcPr>
            <w:tcW w:w="962" w:type="dxa"/>
            <w:shd w:val="clear" w:color="auto" w:fill="auto"/>
            <w:tcMar>
              <w:top w:w="15" w:type="dxa"/>
              <w:left w:w="70" w:type="dxa"/>
              <w:bottom w:w="0" w:type="dxa"/>
              <w:right w:w="70" w:type="dxa"/>
            </w:tcMar>
            <w:vAlign w:val="center"/>
            <w:hideMark/>
          </w:tcPr>
          <w:p w14:paraId="22A6F717"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188</w:t>
            </w:r>
          </w:p>
        </w:tc>
        <w:tc>
          <w:tcPr>
            <w:tcW w:w="962" w:type="dxa"/>
            <w:shd w:val="clear" w:color="auto" w:fill="auto"/>
            <w:tcMar>
              <w:top w:w="15" w:type="dxa"/>
              <w:left w:w="70" w:type="dxa"/>
              <w:bottom w:w="0" w:type="dxa"/>
              <w:right w:w="70" w:type="dxa"/>
            </w:tcMar>
            <w:vAlign w:val="center"/>
            <w:hideMark/>
          </w:tcPr>
          <w:p w14:paraId="7A61F0B6"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107</w:t>
            </w:r>
          </w:p>
        </w:tc>
        <w:tc>
          <w:tcPr>
            <w:tcW w:w="962" w:type="dxa"/>
            <w:shd w:val="clear" w:color="auto" w:fill="auto"/>
            <w:tcMar>
              <w:top w:w="15" w:type="dxa"/>
              <w:left w:w="70" w:type="dxa"/>
              <w:bottom w:w="0" w:type="dxa"/>
              <w:right w:w="70" w:type="dxa"/>
            </w:tcMar>
            <w:vAlign w:val="center"/>
            <w:hideMark/>
          </w:tcPr>
          <w:p w14:paraId="1A5C81A3"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110</w:t>
            </w:r>
          </w:p>
        </w:tc>
      </w:tr>
      <w:tr w:rsidR="00AD62CD" w:rsidRPr="00AD62CD" w14:paraId="59A11377" w14:textId="77777777" w:rsidTr="003627DF">
        <w:trPr>
          <w:trHeight w:val="393"/>
        </w:trPr>
        <w:tc>
          <w:tcPr>
            <w:tcW w:w="4063" w:type="dxa"/>
            <w:shd w:val="clear" w:color="auto" w:fill="auto"/>
            <w:tcMar>
              <w:top w:w="15" w:type="dxa"/>
              <w:left w:w="70" w:type="dxa"/>
              <w:bottom w:w="0" w:type="dxa"/>
              <w:right w:w="70" w:type="dxa"/>
            </w:tcMar>
            <w:vAlign w:val="center"/>
            <w:hideMark/>
          </w:tcPr>
          <w:p w14:paraId="3884327D"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Zrušenie zákazu predaja počas sviatkov</w:t>
            </w:r>
          </w:p>
        </w:tc>
        <w:tc>
          <w:tcPr>
            <w:tcW w:w="962" w:type="dxa"/>
            <w:shd w:val="clear" w:color="auto" w:fill="auto"/>
            <w:tcMar>
              <w:top w:w="15" w:type="dxa"/>
              <w:left w:w="70" w:type="dxa"/>
              <w:bottom w:w="0" w:type="dxa"/>
              <w:right w:w="70" w:type="dxa"/>
            </w:tcMar>
            <w:vAlign w:val="center"/>
            <w:hideMark/>
          </w:tcPr>
          <w:p w14:paraId="4291BD9A"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22</w:t>
            </w:r>
          </w:p>
        </w:tc>
        <w:tc>
          <w:tcPr>
            <w:tcW w:w="962" w:type="dxa"/>
            <w:shd w:val="clear" w:color="auto" w:fill="auto"/>
            <w:tcMar>
              <w:top w:w="15" w:type="dxa"/>
              <w:left w:w="70" w:type="dxa"/>
              <w:bottom w:w="0" w:type="dxa"/>
              <w:right w:w="70" w:type="dxa"/>
            </w:tcMar>
            <w:vAlign w:val="center"/>
            <w:hideMark/>
          </w:tcPr>
          <w:p w14:paraId="6C238EC4"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23</w:t>
            </w:r>
          </w:p>
        </w:tc>
        <w:tc>
          <w:tcPr>
            <w:tcW w:w="962" w:type="dxa"/>
            <w:shd w:val="clear" w:color="auto" w:fill="auto"/>
            <w:tcMar>
              <w:top w:w="15" w:type="dxa"/>
              <w:left w:w="70" w:type="dxa"/>
              <w:bottom w:w="0" w:type="dxa"/>
              <w:right w:w="70" w:type="dxa"/>
            </w:tcMar>
            <w:vAlign w:val="center"/>
            <w:hideMark/>
          </w:tcPr>
          <w:p w14:paraId="2B28DC88"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24</w:t>
            </w:r>
          </w:p>
        </w:tc>
      </w:tr>
      <w:tr w:rsidR="00AD62CD" w:rsidRPr="00AD62CD" w14:paraId="32BC8F08" w14:textId="77777777" w:rsidTr="003627DF">
        <w:trPr>
          <w:trHeight w:val="393"/>
        </w:trPr>
        <w:tc>
          <w:tcPr>
            <w:tcW w:w="4063" w:type="dxa"/>
            <w:shd w:val="clear" w:color="auto" w:fill="auto"/>
            <w:tcMar>
              <w:top w:w="15" w:type="dxa"/>
              <w:left w:w="70" w:type="dxa"/>
              <w:bottom w:w="0" w:type="dxa"/>
              <w:right w:w="70" w:type="dxa"/>
            </w:tcMar>
            <w:vAlign w:val="center"/>
          </w:tcPr>
          <w:p w14:paraId="13748FB4"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Boj proti falošným živnostiam</w:t>
            </w:r>
          </w:p>
        </w:tc>
        <w:tc>
          <w:tcPr>
            <w:tcW w:w="962" w:type="dxa"/>
            <w:shd w:val="clear" w:color="auto" w:fill="auto"/>
            <w:tcMar>
              <w:top w:w="15" w:type="dxa"/>
              <w:left w:w="70" w:type="dxa"/>
              <w:bottom w:w="0" w:type="dxa"/>
              <w:right w:w="70" w:type="dxa"/>
            </w:tcMar>
            <w:vAlign w:val="center"/>
          </w:tcPr>
          <w:p w14:paraId="79B9AD33"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0</w:t>
            </w:r>
          </w:p>
        </w:tc>
        <w:tc>
          <w:tcPr>
            <w:tcW w:w="962" w:type="dxa"/>
            <w:shd w:val="clear" w:color="auto" w:fill="auto"/>
            <w:tcMar>
              <w:top w:w="15" w:type="dxa"/>
              <w:left w:w="70" w:type="dxa"/>
              <w:bottom w:w="0" w:type="dxa"/>
              <w:right w:w="70" w:type="dxa"/>
            </w:tcMar>
            <w:vAlign w:val="center"/>
          </w:tcPr>
          <w:p w14:paraId="6336824C"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40</w:t>
            </w:r>
          </w:p>
        </w:tc>
        <w:tc>
          <w:tcPr>
            <w:tcW w:w="962" w:type="dxa"/>
            <w:shd w:val="clear" w:color="auto" w:fill="auto"/>
            <w:tcMar>
              <w:top w:w="15" w:type="dxa"/>
              <w:left w:w="70" w:type="dxa"/>
              <w:bottom w:w="0" w:type="dxa"/>
              <w:right w:w="70" w:type="dxa"/>
            </w:tcMar>
            <w:vAlign w:val="center"/>
          </w:tcPr>
          <w:p w14:paraId="3D3198B8"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61</w:t>
            </w:r>
          </w:p>
        </w:tc>
      </w:tr>
      <w:tr w:rsidR="00AD62CD" w:rsidRPr="00AD62CD" w14:paraId="01716735" w14:textId="77777777" w:rsidTr="003627DF">
        <w:trPr>
          <w:trHeight w:val="55"/>
        </w:trPr>
        <w:tc>
          <w:tcPr>
            <w:tcW w:w="4063" w:type="dxa"/>
            <w:shd w:val="clear" w:color="auto" w:fill="auto"/>
            <w:tcMar>
              <w:top w:w="15" w:type="dxa"/>
              <w:left w:w="70" w:type="dxa"/>
              <w:bottom w:w="0" w:type="dxa"/>
              <w:right w:w="70" w:type="dxa"/>
            </w:tcMar>
            <w:vAlign w:val="center"/>
            <w:hideMark/>
          </w:tcPr>
          <w:p w14:paraId="06C7E4A0"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Spolu</w:t>
            </w:r>
          </w:p>
        </w:tc>
        <w:tc>
          <w:tcPr>
            <w:tcW w:w="962" w:type="dxa"/>
            <w:shd w:val="clear" w:color="auto" w:fill="auto"/>
            <w:tcMar>
              <w:top w:w="15" w:type="dxa"/>
              <w:left w:w="70" w:type="dxa"/>
              <w:bottom w:w="0" w:type="dxa"/>
              <w:right w:w="70" w:type="dxa"/>
            </w:tcMar>
            <w:vAlign w:val="center"/>
            <w:hideMark/>
          </w:tcPr>
          <w:p w14:paraId="3D9A82E0"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210</w:t>
            </w:r>
          </w:p>
        </w:tc>
        <w:tc>
          <w:tcPr>
            <w:tcW w:w="962" w:type="dxa"/>
            <w:shd w:val="clear" w:color="auto" w:fill="auto"/>
            <w:tcMar>
              <w:top w:w="15" w:type="dxa"/>
              <w:left w:w="70" w:type="dxa"/>
              <w:bottom w:w="0" w:type="dxa"/>
              <w:right w:w="70" w:type="dxa"/>
            </w:tcMar>
            <w:vAlign w:val="center"/>
            <w:hideMark/>
          </w:tcPr>
          <w:p w14:paraId="6B9BA06B"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170</w:t>
            </w:r>
          </w:p>
        </w:tc>
        <w:tc>
          <w:tcPr>
            <w:tcW w:w="962" w:type="dxa"/>
            <w:shd w:val="clear" w:color="auto" w:fill="auto"/>
            <w:tcMar>
              <w:top w:w="15" w:type="dxa"/>
              <w:left w:w="70" w:type="dxa"/>
              <w:bottom w:w="0" w:type="dxa"/>
              <w:right w:w="70" w:type="dxa"/>
            </w:tcMar>
            <w:vAlign w:val="center"/>
            <w:hideMark/>
          </w:tcPr>
          <w:p w14:paraId="4C6608EE"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195</w:t>
            </w:r>
          </w:p>
        </w:tc>
      </w:tr>
    </w:tbl>
    <w:p w14:paraId="76912070"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38964DC5"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lang w:eastAsia="sk-SK"/>
          <w14:ligatures w14:val="none"/>
        </w:rPr>
      </w:pPr>
    </w:p>
    <w:p w14:paraId="79323EED"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Úprava dní pracovného pokoja a rušenie zákazu predaja počas dní pracovného pokoja</w:t>
      </w:r>
    </w:p>
    <w:p w14:paraId="17A50B6D"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lang w:eastAsia="sk-SK"/>
          <w14:ligatures w14:val="none"/>
        </w:rPr>
      </w:pPr>
    </w:p>
    <w:p w14:paraId="31B41BDB"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 xml:space="preserve">Celkový efekt na HDP pri trvalom zrušení sa v dlhom horizonte odhaduje od 0 až do 0,23 percenta pri jednom sviatku. </w:t>
      </w:r>
    </w:p>
    <w:p w14:paraId="659D706E" w14:textId="77777777" w:rsidR="00AD62CD" w:rsidRPr="00AD62CD" w:rsidRDefault="00AD62CD" w:rsidP="00AD62CD">
      <w:pPr>
        <w:numPr>
          <w:ilvl w:val="0"/>
          <w:numId w:val="13"/>
        </w:numPr>
        <w:tabs>
          <w:tab w:val="num" w:pos="1080"/>
        </w:tabs>
        <w:spacing w:after="0" w:line="240" w:lineRule="auto"/>
        <w:contextualSpacing/>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V prvom roku je vplyv nižší ako v ďalších rokoch</w:t>
      </w:r>
      <w:r w:rsidRPr="00AD62CD">
        <w:rPr>
          <w:rFonts w:ascii="Times New Roman" w:eastAsia="Calibri" w:hAnsi="Times New Roman" w:cs="Times New Roman"/>
          <w:kern w:val="0"/>
          <w:lang w:eastAsia="sk-SK"/>
          <w14:ligatures w14:val="none"/>
        </w:rPr>
        <w:t xml:space="preserve">. kolektívne vyjednávania si dohodli mzdy na dlhšie obdobie a mzdy nestihnú okamžite zareagovať na zrušenie sviatku v prvom roku. </w:t>
      </w:r>
    </w:p>
    <w:p w14:paraId="63EF1DED" w14:textId="77777777" w:rsidR="00AD62CD" w:rsidRPr="00AD62CD" w:rsidRDefault="00AD62CD" w:rsidP="00AD62CD">
      <w:pPr>
        <w:numPr>
          <w:ilvl w:val="0"/>
          <w:numId w:val="13"/>
        </w:numPr>
        <w:tabs>
          <w:tab w:val="num" w:pos="1080"/>
        </w:tabs>
        <w:spacing w:after="0" w:line="240" w:lineRule="auto"/>
        <w:contextualSpacing/>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Vplyv zrušenia každého ďalšieho sviatku je nižší</w:t>
      </w:r>
      <w:r w:rsidRPr="00AD62CD">
        <w:rPr>
          <w:rFonts w:ascii="Times New Roman" w:eastAsia="Calibri" w:hAnsi="Times New Roman" w:cs="Times New Roman"/>
          <w:kern w:val="0"/>
          <w:lang w:eastAsia="sk-SK"/>
          <w14:ligatures w14:val="none"/>
        </w:rPr>
        <w:t>, keďže pri vyššom počte zrušených sviatkov zamestnanci zareagujú zvýšením čerpaním dovolenky, navyše rozhoduje aj aktuálny ekonomický cyklus (keď nie je dopyt, nie je pre koho vyrábať navyše)</w:t>
      </w:r>
    </w:p>
    <w:p w14:paraId="675BF180" w14:textId="77777777" w:rsidR="00AD62CD" w:rsidRPr="00AD62CD" w:rsidRDefault="00AD62CD" w:rsidP="00AD62CD">
      <w:pPr>
        <w:numPr>
          <w:ilvl w:val="0"/>
          <w:numId w:val="13"/>
        </w:numPr>
        <w:tabs>
          <w:tab w:val="num" w:pos="1080"/>
        </w:tabs>
        <w:spacing w:after="0" w:line="240" w:lineRule="auto"/>
        <w:contextualSpacing/>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Vplyv dočasného zrušenia sviatku je nižší</w:t>
      </w:r>
      <w:r w:rsidRPr="00AD62CD">
        <w:rPr>
          <w:rFonts w:ascii="Times New Roman" w:eastAsia="Calibri" w:hAnsi="Times New Roman" w:cs="Times New Roman"/>
          <w:kern w:val="0"/>
          <w:lang w:eastAsia="sk-SK"/>
          <w14:ligatures w14:val="none"/>
        </w:rPr>
        <w:t>, lebo firmy nevytvoria kvôli dočasnému zvýšeniu sviatku toľko investícií a zamestnanci si nevybojujú také zvýšenie miezd aké by si vybojovali pri trvalom zrušení.</w:t>
      </w:r>
    </w:p>
    <w:p w14:paraId="4D4CA4A0"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lang w:eastAsia="sk-SK"/>
          <w14:ligatures w14:val="none"/>
        </w:rPr>
      </w:pPr>
    </w:p>
    <w:p w14:paraId="105461E6"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Pozitívny vplyv z dodatočne odpracovaného dňa sa na strednodobom horizonte prejaví vo zvýšených príjmoch VS do 110 mil. eur ročne</w:t>
      </w:r>
      <w:r w:rsidRPr="00AD62CD">
        <w:rPr>
          <w:rFonts w:ascii="Times New Roman" w:eastAsia="Calibri" w:hAnsi="Times New Roman" w:cs="Times New Roman"/>
          <w:kern w:val="0"/>
          <w:lang w:eastAsia="sk-SK"/>
          <w14:ligatures w14:val="none"/>
        </w:rPr>
        <w:t>. Ak sa navýšenie odpracovaných hodín nepretaví do vyšších miezd vplyv zrušenia štátneho sviatku nedosiahne plný efekt.</w:t>
      </w:r>
    </w:p>
    <w:p w14:paraId="103C6AE2"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lang w:eastAsia="sk-SK"/>
          <w14:ligatures w14:val="none"/>
        </w:rPr>
      </w:pPr>
    </w:p>
    <w:p w14:paraId="78DD07A9"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Zrušenie zákazu predaja počas sviatkov</w:t>
      </w:r>
      <w:r w:rsidRPr="00AD62CD">
        <w:rPr>
          <w:rFonts w:ascii="Times New Roman" w:eastAsia="Calibri" w:hAnsi="Times New Roman" w:cs="Times New Roman"/>
          <w:kern w:val="0"/>
          <w:lang w:eastAsia="sk-SK"/>
          <w14:ligatures w14:val="none"/>
        </w:rPr>
        <w:t xml:space="preserve"> (11 dní navyše) </w:t>
      </w:r>
      <w:r w:rsidRPr="00AD62CD">
        <w:rPr>
          <w:rFonts w:ascii="Times New Roman" w:eastAsia="Calibri" w:hAnsi="Times New Roman" w:cs="Times New Roman"/>
          <w:b/>
          <w:bCs/>
          <w:kern w:val="0"/>
          <w:lang w:eastAsia="sk-SK"/>
          <w14:ligatures w14:val="none"/>
        </w:rPr>
        <w:t>má len zanedbateľný potenciál</w:t>
      </w:r>
      <w:r w:rsidRPr="00AD62CD">
        <w:rPr>
          <w:rFonts w:ascii="Times New Roman" w:eastAsia="Calibri" w:hAnsi="Times New Roman" w:cs="Times New Roman"/>
          <w:kern w:val="0"/>
          <w:lang w:eastAsia="sk-SK"/>
          <w14:ligatures w14:val="none"/>
        </w:rPr>
        <w:t xml:space="preserve">, keď spotrebitelia už dnes prispôsobujú svoju spotrebu okolo sviatkov (až 85-90 % nákupov sa udeje vo forme predzásobenia v iný deň okolo sviatku) </w:t>
      </w:r>
    </w:p>
    <w:p w14:paraId="527BDB00"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Opatrenie trvalo zlepšuje hospodárenie VS, avšak podľa metodiky EK ide o opatrenie, neumožňuje zvyšovať povolený limit výdavkov.</w:t>
      </w:r>
    </w:p>
    <w:p w14:paraId="748D6B89"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70634D1E"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Zákonná reforma proti využívaniu falošných živností</w:t>
      </w:r>
    </w:p>
    <w:p w14:paraId="2C927CE6"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Odhadovaný počet fiktívnych živnostníkov, ktorí budú pre potreby opatrenia reklasifikovaní na zamestnancov je 35 000, čo predstavuje strednú hodnotu z analýzy MF SR (Hľadáme spoľahlivého zamestnanca. Podmienka: na živnosť). Celkový vplyv reklasifikácie sa odhaduje na 202 mil. eur. Opatrenie predpokladá s postupným prechodom týchto živnostníkov na TPP: 0 % v roku 2026, 20 % v roku 2027 (t. j. 7 000 osôb s vplyvom 40,4 mil. eur), 30 % v roku 2028 (t. j. 10 500 osôb s vplyvom 60,6 mil. eur). Podrobné výpočty jednotlivých daňových a odvodových vplyvov boli vykonané na modelovom príklade fiktívneho živnostníka, s príjmom na úrovni priemernej superhrubej mzdy TPP daného roka, ktorý po reklasifikácii bude poberať rovnakú superhrubú mzdu ako zamestnanec.</w:t>
      </w:r>
    </w:p>
    <w:p w14:paraId="0ACE46EB"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2683642A"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sectPr w:rsidR="00AD62CD" w:rsidRPr="00AD62CD" w:rsidSect="00AD62CD">
          <w:pgSz w:w="11906" w:h="16838"/>
          <w:pgMar w:top="1417" w:right="1417" w:bottom="1276" w:left="1417" w:header="708" w:footer="708" w:gutter="0"/>
          <w:cols w:space="708"/>
          <w:docGrid w:linePitch="360"/>
        </w:sectPr>
      </w:pPr>
    </w:p>
    <w:p w14:paraId="19A65AFA"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 </w:t>
      </w:r>
    </w:p>
    <w:p w14:paraId="1DFCF9BF"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0D05CE76"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D62CD" w:rsidRPr="00AD62CD" w14:paraId="7EE06D97" w14:textId="77777777" w:rsidTr="00AD62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2CE2F94"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Príjmy štátneho rozpočtu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2B0408C6"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 xml:space="preserve">Vplyv na štátny rozpočet </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4D15CC2"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poznámka</w:t>
            </w:r>
          </w:p>
        </w:tc>
      </w:tr>
      <w:tr w:rsidR="00AD62CD" w:rsidRPr="00AD62CD" w14:paraId="69CFD524" w14:textId="77777777" w:rsidTr="00AD62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02D94860" w14:textId="77777777" w:rsidR="00AD62CD" w:rsidRPr="00AD62CD" w:rsidRDefault="00AD62CD" w:rsidP="00AD62CD">
            <w:pPr>
              <w:spacing w:after="0" w:line="240" w:lineRule="auto"/>
              <w:rPr>
                <w:rFonts w:ascii="Times New Roman" w:eastAsia="Calibri" w:hAnsi="Times New Roman" w:cs="Times New Roman"/>
                <w:b/>
                <w:bCs/>
                <w:color w:val="FFFFFF"/>
                <w:kern w:val="0"/>
                <w:lang w:eastAsia="sk-SK"/>
                <w14:ligatures w14:val="none"/>
              </w:rPr>
            </w:pPr>
          </w:p>
        </w:tc>
        <w:tc>
          <w:tcPr>
            <w:tcW w:w="1500" w:type="dxa"/>
            <w:tcBorders>
              <w:top w:val="nil"/>
              <w:left w:val="nil"/>
              <w:bottom w:val="single" w:sz="4" w:space="0" w:color="auto"/>
              <w:right w:val="single" w:sz="4" w:space="0" w:color="auto"/>
            </w:tcBorders>
            <w:shd w:val="clear" w:color="auto" w:fill="BFBFBF"/>
            <w:vAlign w:val="center"/>
          </w:tcPr>
          <w:p w14:paraId="64BA2A91"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2025</w:t>
            </w:r>
          </w:p>
        </w:tc>
        <w:tc>
          <w:tcPr>
            <w:tcW w:w="1500" w:type="dxa"/>
            <w:tcBorders>
              <w:top w:val="nil"/>
              <w:left w:val="nil"/>
              <w:bottom w:val="single" w:sz="4" w:space="0" w:color="auto"/>
              <w:right w:val="single" w:sz="4" w:space="0" w:color="auto"/>
            </w:tcBorders>
            <w:shd w:val="clear" w:color="auto" w:fill="BFBFBF"/>
            <w:vAlign w:val="center"/>
          </w:tcPr>
          <w:p w14:paraId="54FFF683"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2026</w:t>
            </w:r>
          </w:p>
        </w:tc>
        <w:tc>
          <w:tcPr>
            <w:tcW w:w="1500" w:type="dxa"/>
            <w:tcBorders>
              <w:top w:val="nil"/>
              <w:left w:val="nil"/>
              <w:bottom w:val="single" w:sz="4" w:space="0" w:color="auto"/>
              <w:right w:val="single" w:sz="4" w:space="0" w:color="auto"/>
            </w:tcBorders>
            <w:shd w:val="clear" w:color="auto" w:fill="BFBFBF"/>
            <w:vAlign w:val="center"/>
          </w:tcPr>
          <w:p w14:paraId="7AA0D767"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2027</w:t>
            </w:r>
          </w:p>
        </w:tc>
        <w:tc>
          <w:tcPr>
            <w:tcW w:w="1500" w:type="dxa"/>
            <w:tcBorders>
              <w:top w:val="nil"/>
              <w:left w:val="nil"/>
              <w:bottom w:val="single" w:sz="4" w:space="0" w:color="auto"/>
              <w:right w:val="single" w:sz="4" w:space="0" w:color="auto"/>
            </w:tcBorders>
            <w:shd w:val="clear" w:color="auto" w:fill="BFBFBF"/>
            <w:vAlign w:val="center"/>
          </w:tcPr>
          <w:p w14:paraId="07748621" w14:textId="77777777" w:rsidR="00AD62CD" w:rsidRPr="00AD62CD" w:rsidRDefault="00AD62CD" w:rsidP="00AD62CD">
            <w:pPr>
              <w:spacing w:after="0" w:line="240" w:lineRule="auto"/>
              <w:jc w:val="center"/>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1C4A4F45" w14:textId="77777777" w:rsidR="00AD62CD" w:rsidRPr="00AD62CD" w:rsidRDefault="00AD62CD" w:rsidP="00AD62CD">
            <w:pPr>
              <w:spacing w:after="0" w:line="240" w:lineRule="auto"/>
              <w:rPr>
                <w:rFonts w:ascii="Times New Roman" w:eastAsia="Calibri" w:hAnsi="Times New Roman" w:cs="Times New Roman"/>
                <w:b/>
                <w:bCs/>
                <w:color w:val="FFFFFF"/>
                <w:kern w:val="0"/>
                <w:lang w:eastAsia="sk-SK"/>
                <w14:ligatures w14:val="none"/>
              </w:rPr>
            </w:pPr>
          </w:p>
        </w:tc>
      </w:tr>
      <w:tr w:rsidR="00AD62CD" w:rsidRPr="00AD62CD" w14:paraId="64CF395D"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6530C66E" w14:textId="77777777" w:rsidR="00AD62CD" w:rsidRPr="00AD62CD" w:rsidRDefault="00AD62CD" w:rsidP="00AD62CD">
            <w:pPr>
              <w:spacing w:after="0" w:line="276" w:lineRule="auto"/>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b/>
                <w:bCs/>
                <w:color w:val="000000"/>
                <w:kern w:val="0"/>
                <w14:ligatures w14:val="none"/>
              </w:rPr>
              <w:t>Daňové príjmy (100)</w:t>
            </w:r>
            <w:r w:rsidRPr="00AD62CD">
              <w:rPr>
                <w:rFonts w:ascii="Times New Roman" w:eastAsia="Calibri" w:hAnsi="Times New Roman" w:cs="Times New Roman"/>
                <w:b/>
                <w:bCs/>
                <w:color w:val="000000"/>
                <w:kern w:val="0"/>
                <w:vertAlign w:val="superscript"/>
                <w14:ligatures w14:val="none"/>
              </w:rPr>
              <w:t>1</w:t>
            </w:r>
          </w:p>
        </w:tc>
        <w:tc>
          <w:tcPr>
            <w:tcW w:w="1500" w:type="dxa"/>
            <w:tcBorders>
              <w:top w:val="nil"/>
              <w:left w:val="nil"/>
              <w:bottom w:val="single" w:sz="8" w:space="0" w:color="auto"/>
              <w:right w:val="single" w:sz="8" w:space="0" w:color="auto"/>
            </w:tcBorders>
            <w:shd w:val="clear" w:color="auto" w:fill="auto"/>
            <w:vAlign w:val="center"/>
          </w:tcPr>
          <w:p w14:paraId="1B39499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b/>
                <w:bCs/>
                <w:color w:val="000000"/>
                <w:kern w:val="0"/>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7FC8372F"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111 434 000</w:t>
            </w:r>
          </w:p>
        </w:tc>
        <w:tc>
          <w:tcPr>
            <w:tcW w:w="1500" w:type="dxa"/>
            <w:tcBorders>
              <w:top w:val="nil"/>
              <w:left w:val="nil"/>
              <w:bottom w:val="single" w:sz="8" w:space="0" w:color="auto"/>
              <w:right w:val="single" w:sz="8" w:space="0" w:color="auto"/>
            </w:tcBorders>
            <w:shd w:val="clear" w:color="auto" w:fill="auto"/>
            <w:vAlign w:val="center"/>
          </w:tcPr>
          <w:p w14:paraId="3EF9FB6A"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61 659 000</w:t>
            </w:r>
          </w:p>
        </w:tc>
        <w:tc>
          <w:tcPr>
            <w:tcW w:w="1500" w:type="dxa"/>
            <w:tcBorders>
              <w:top w:val="nil"/>
              <w:left w:val="nil"/>
              <w:bottom w:val="single" w:sz="8" w:space="0" w:color="auto"/>
              <w:right w:val="single" w:sz="8" w:space="0" w:color="auto"/>
            </w:tcBorders>
            <w:shd w:val="clear" w:color="auto" w:fill="auto"/>
            <w:vAlign w:val="center"/>
          </w:tcPr>
          <w:p w14:paraId="172ED65F"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66 139 000</w:t>
            </w:r>
          </w:p>
        </w:tc>
        <w:tc>
          <w:tcPr>
            <w:tcW w:w="3000" w:type="dxa"/>
            <w:tcBorders>
              <w:top w:val="nil"/>
              <w:left w:val="nil"/>
              <w:bottom w:val="single" w:sz="4" w:space="0" w:color="auto"/>
              <w:right w:val="single" w:sz="4" w:space="0" w:color="auto"/>
            </w:tcBorders>
            <w:noWrap/>
            <w:vAlign w:val="bottom"/>
          </w:tcPr>
          <w:p w14:paraId="7AE2AB36"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w:t>
            </w:r>
          </w:p>
        </w:tc>
      </w:tr>
      <w:tr w:rsidR="00AD62CD" w:rsidRPr="00AD62CD" w14:paraId="0F04322D"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7CD8A3A3" w14:textId="77777777" w:rsidR="00AD62CD" w:rsidRPr="00AD62CD" w:rsidRDefault="00AD62CD" w:rsidP="00AD62CD">
            <w:pPr>
              <w:spacing w:after="0" w:line="276" w:lineRule="auto"/>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i/>
                <w:iCs/>
                <w:color w:val="000000"/>
                <w:kern w:val="0"/>
                <w14:ligatures w14:val="none"/>
              </w:rPr>
              <w:t xml:space="preserve">v tom: (111) daň z príjmov fyzických osôb </w:t>
            </w:r>
          </w:p>
        </w:tc>
        <w:tc>
          <w:tcPr>
            <w:tcW w:w="1500" w:type="dxa"/>
            <w:tcBorders>
              <w:top w:val="nil"/>
              <w:left w:val="nil"/>
              <w:bottom w:val="single" w:sz="8" w:space="0" w:color="auto"/>
              <w:right w:val="single" w:sz="8" w:space="0" w:color="auto"/>
            </w:tcBorders>
            <w:shd w:val="clear" w:color="auto" w:fill="auto"/>
            <w:vAlign w:val="center"/>
          </w:tcPr>
          <w:p w14:paraId="1E0A91E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color w:val="000000"/>
                <w:kern w:val="0"/>
                <w:lang w:eastAsia="sk-SK"/>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168C6E7D"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8 019 000</w:t>
            </w:r>
          </w:p>
        </w:tc>
        <w:tc>
          <w:tcPr>
            <w:tcW w:w="1500" w:type="dxa"/>
            <w:tcBorders>
              <w:top w:val="nil"/>
              <w:left w:val="nil"/>
              <w:bottom w:val="single" w:sz="8" w:space="0" w:color="auto"/>
              <w:right w:val="single" w:sz="8" w:space="0" w:color="auto"/>
            </w:tcBorders>
            <w:shd w:val="clear" w:color="auto" w:fill="auto"/>
            <w:vAlign w:val="center"/>
          </w:tcPr>
          <w:p w14:paraId="247778E5"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4 273 000</w:t>
            </w:r>
          </w:p>
        </w:tc>
        <w:tc>
          <w:tcPr>
            <w:tcW w:w="1500" w:type="dxa"/>
            <w:tcBorders>
              <w:top w:val="nil"/>
              <w:left w:val="nil"/>
              <w:bottom w:val="single" w:sz="8" w:space="0" w:color="auto"/>
              <w:right w:val="single" w:sz="8" w:space="0" w:color="auto"/>
            </w:tcBorders>
            <w:shd w:val="clear" w:color="auto" w:fill="auto"/>
            <w:vAlign w:val="center"/>
          </w:tcPr>
          <w:p w14:paraId="1665A79C"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6 312 000</w:t>
            </w:r>
          </w:p>
        </w:tc>
        <w:tc>
          <w:tcPr>
            <w:tcW w:w="3000" w:type="dxa"/>
            <w:tcBorders>
              <w:top w:val="nil"/>
              <w:left w:val="nil"/>
              <w:bottom w:val="single" w:sz="4" w:space="0" w:color="auto"/>
              <w:right w:val="single" w:sz="4" w:space="0" w:color="auto"/>
            </w:tcBorders>
            <w:noWrap/>
            <w:vAlign w:val="bottom"/>
          </w:tcPr>
          <w:p w14:paraId="54DBCAE9"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tc>
      </w:tr>
      <w:tr w:rsidR="00AD62CD" w:rsidRPr="00AD62CD" w14:paraId="34B4F995"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2F05A08C" w14:textId="77777777" w:rsidR="00AD62CD" w:rsidRPr="00AD62CD" w:rsidRDefault="00AD62CD" w:rsidP="00AD62CD">
            <w:pPr>
              <w:spacing w:after="0" w:line="276" w:lineRule="auto"/>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i/>
                <w:iCs/>
                <w:color w:val="000000"/>
                <w:kern w:val="0"/>
                <w14:ligatures w14:val="none"/>
              </w:rPr>
              <w:t>v tom: (112) daň z príjmov právnických osôb</w:t>
            </w:r>
          </w:p>
        </w:tc>
        <w:tc>
          <w:tcPr>
            <w:tcW w:w="1500" w:type="dxa"/>
            <w:tcBorders>
              <w:top w:val="nil"/>
              <w:left w:val="nil"/>
              <w:bottom w:val="single" w:sz="8" w:space="0" w:color="auto"/>
              <w:right w:val="single" w:sz="8" w:space="0" w:color="auto"/>
            </w:tcBorders>
            <w:shd w:val="clear" w:color="auto" w:fill="auto"/>
            <w:vAlign w:val="center"/>
          </w:tcPr>
          <w:p w14:paraId="05ECD72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color w:val="000000"/>
                <w:kern w:val="0"/>
                <w:lang w:eastAsia="sk-SK"/>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6A07BBA7"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27 159 000</w:t>
            </w:r>
          </w:p>
        </w:tc>
        <w:tc>
          <w:tcPr>
            <w:tcW w:w="1500" w:type="dxa"/>
            <w:tcBorders>
              <w:top w:val="nil"/>
              <w:left w:val="nil"/>
              <w:bottom w:val="single" w:sz="8" w:space="0" w:color="auto"/>
              <w:right w:val="single" w:sz="8" w:space="0" w:color="auto"/>
            </w:tcBorders>
            <w:shd w:val="clear" w:color="auto" w:fill="auto"/>
            <w:vAlign w:val="center"/>
          </w:tcPr>
          <w:p w14:paraId="45B6DB7F"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15 400 000</w:t>
            </w:r>
          </w:p>
        </w:tc>
        <w:tc>
          <w:tcPr>
            <w:tcW w:w="1500" w:type="dxa"/>
            <w:tcBorders>
              <w:top w:val="nil"/>
              <w:left w:val="nil"/>
              <w:bottom w:val="single" w:sz="8" w:space="0" w:color="auto"/>
              <w:right w:val="single" w:sz="8" w:space="0" w:color="auto"/>
            </w:tcBorders>
            <w:shd w:val="clear" w:color="auto" w:fill="auto"/>
            <w:vAlign w:val="center"/>
          </w:tcPr>
          <w:p w14:paraId="130F6B36"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16 248 000</w:t>
            </w:r>
          </w:p>
        </w:tc>
        <w:tc>
          <w:tcPr>
            <w:tcW w:w="3000" w:type="dxa"/>
            <w:tcBorders>
              <w:top w:val="nil"/>
              <w:left w:val="nil"/>
              <w:bottom w:val="single" w:sz="4" w:space="0" w:color="auto"/>
              <w:right w:val="single" w:sz="4" w:space="0" w:color="auto"/>
            </w:tcBorders>
            <w:noWrap/>
            <w:vAlign w:val="bottom"/>
          </w:tcPr>
          <w:p w14:paraId="5190A273"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tc>
      </w:tr>
      <w:tr w:rsidR="00AD62CD" w:rsidRPr="00AD62CD" w14:paraId="222ABE58"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1DD7A0DF" w14:textId="77777777" w:rsidR="00AD62CD" w:rsidRPr="00AD62CD" w:rsidRDefault="00AD62CD" w:rsidP="00AD62CD">
            <w:pPr>
              <w:spacing w:after="0" w:line="276" w:lineRule="auto"/>
              <w:rPr>
                <w:rFonts w:ascii="Times New Roman" w:eastAsia="Calibri" w:hAnsi="Times New Roman" w:cs="Times New Roman"/>
                <w:i/>
                <w:iCs/>
                <w:color w:val="000000"/>
                <w:kern w:val="0"/>
                <w:lang w:eastAsia="sk-SK"/>
                <w14:ligatures w14:val="none"/>
              </w:rPr>
            </w:pPr>
            <w:r w:rsidRPr="00AD62CD">
              <w:rPr>
                <w:rFonts w:ascii="Times New Roman" w:eastAsia="Calibri" w:hAnsi="Times New Roman" w:cs="Times New Roman"/>
                <w:i/>
                <w:iCs/>
                <w:color w:val="000000"/>
                <w:kern w:val="0"/>
                <w14:ligatures w14:val="none"/>
              </w:rPr>
              <w:t>v tom: (131) daň z pridanej hodnoty</w:t>
            </w:r>
          </w:p>
        </w:tc>
        <w:tc>
          <w:tcPr>
            <w:tcW w:w="1500" w:type="dxa"/>
            <w:tcBorders>
              <w:top w:val="nil"/>
              <w:left w:val="nil"/>
              <w:bottom w:val="single" w:sz="8" w:space="0" w:color="auto"/>
              <w:right w:val="single" w:sz="8" w:space="0" w:color="auto"/>
            </w:tcBorders>
            <w:shd w:val="clear" w:color="auto" w:fill="auto"/>
            <w:vAlign w:val="center"/>
          </w:tcPr>
          <w:p w14:paraId="74435962" w14:textId="77777777" w:rsidR="00AD62CD" w:rsidRPr="00AD62CD" w:rsidRDefault="00AD62CD" w:rsidP="00AD62CD">
            <w:pPr>
              <w:spacing w:after="0" w:line="276" w:lineRule="auto"/>
              <w:jc w:val="right"/>
              <w:rPr>
                <w:rFonts w:ascii="Times New Roman" w:eastAsia="Calibri" w:hAnsi="Times New Roman" w:cs="Times New Roman"/>
                <w:color w:val="000000"/>
                <w:kern w:val="0"/>
                <w:lang w:eastAsia="sk-SK"/>
                <w14:ligatures w14:val="none"/>
              </w:rPr>
            </w:pPr>
          </w:p>
        </w:tc>
        <w:tc>
          <w:tcPr>
            <w:tcW w:w="1500" w:type="dxa"/>
            <w:tcBorders>
              <w:top w:val="nil"/>
              <w:left w:val="nil"/>
              <w:bottom w:val="single" w:sz="8" w:space="0" w:color="auto"/>
              <w:right w:val="single" w:sz="8" w:space="0" w:color="auto"/>
            </w:tcBorders>
            <w:shd w:val="clear" w:color="auto" w:fill="auto"/>
            <w:vAlign w:val="center"/>
          </w:tcPr>
          <w:p w14:paraId="56C904A7" w14:textId="77777777" w:rsidR="00AD62CD" w:rsidRPr="00AD62CD" w:rsidRDefault="00AD62CD" w:rsidP="00AD62CD">
            <w:pPr>
              <w:spacing w:after="0" w:line="276" w:lineRule="auto"/>
              <w:ind w:hanging="143"/>
              <w:jc w:val="right"/>
              <w:rPr>
                <w:rFonts w:ascii="Times New Roman" w:eastAsia="Calibri" w:hAnsi="Times New Roman" w:cs="Times New Roman"/>
                <w:kern w:val="0"/>
                <w14:ligatures w14:val="none"/>
              </w:rPr>
            </w:pPr>
            <w:r w:rsidRPr="00AD62CD">
              <w:rPr>
                <w:rFonts w:ascii="Times New Roman" w:eastAsia="Calibri" w:hAnsi="Times New Roman" w:cs="Times New Roman"/>
                <w:color w:val="000000"/>
                <w:kern w:val="0"/>
                <w:sz w:val="22"/>
                <w:szCs w:val="22"/>
                <w14:ligatures w14:val="none"/>
              </w:rPr>
              <w:t>61 467 000</w:t>
            </w:r>
          </w:p>
        </w:tc>
        <w:tc>
          <w:tcPr>
            <w:tcW w:w="1500" w:type="dxa"/>
            <w:tcBorders>
              <w:top w:val="nil"/>
              <w:left w:val="nil"/>
              <w:bottom w:val="single" w:sz="8" w:space="0" w:color="auto"/>
              <w:right w:val="single" w:sz="8" w:space="0" w:color="auto"/>
            </w:tcBorders>
            <w:shd w:val="clear" w:color="auto" w:fill="auto"/>
            <w:vAlign w:val="center"/>
          </w:tcPr>
          <w:p w14:paraId="78C464D7" w14:textId="77777777" w:rsidR="00AD62CD" w:rsidRPr="00AD62CD" w:rsidRDefault="00AD62CD" w:rsidP="00AD62CD">
            <w:pPr>
              <w:spacing w:after="0" w:line="276" w:lineRule="auto"/>
              <w:ind w:hanging="143"/>
              <w:jc w:val="right"/>
              <w:rPr>
                <w:rFonts w:ascii="Times New Roman" w:eastAsia="Calibri" w:hAnsi="Times New Roman" w:cs="Times New Roman"/>
                <w:kern w:val="0"/>
                <w14:ligatures w14:val="none"/>
              </w:rPr>
            </w:pPr>
            <w:r w:rsidRPr="00AD62CD">
              <w:rPr>
                <w:rFonts w:ascii="Times New Roman" w:eastAsia="Calibri" w:hAnsi="Times New Roman" w:cs="Times New Roman"/>
                <w:color w:val="000000"/>
                <w:kern w:val="0"/>
                <w:sz w:val="22"/>
                <w:szCs w:val="22"/>
                <w14:ligatures w14:val="none"/>
              </w:rPr>
              <w:t>33 717 000</w:t>
            </w:r>
          </w:p>
        </w:tc>
        <w:tc>
          <w:tcPr>
            <w:tcW w:w="1500" w:type="dxa"/>
            <w:tcBorders>
              <w:top w:val="nil"/>
              <w:left w:val="nil"/>
              <w:bottom w:val="single" w:sz="8" w:space="0" w:color="auto"/>
              <w:right w:val="single" w:sz="8" w:space="0" w:color="auto"/>
            </w:tcBorders>
            <w:shd w:val="clear" w:color="auto" w:fill="auto"/>
            <w:vAlign w:val="center"/>
          </w:tcPr>
          <w:p w14:paraId="215D74B5" w14:textId="77777777" w:rsidR="00AD62CD" w:rsidRPr="00AD62CD" w:rsidRDefault="00AD62CD" w:rsidP="00AD62CD">
            <w:pPr>
              <w:spacing w:after="0" w:line="276" w:lineRule="auto"/>
              <w:ind w:hanging="143"/>
              <w:jc w:val="right"/>
              <w:rPr>
                <w:rFonts w:ascii="Times New Roman" w:eastAsia="Calibri" w:hAnsi="Times New Roman" w:cs="Times New Roman"/>
                <w:kern w:val="0"/>
                <w14:ligatures w14:val="none"/>
              </w:rPr>
            </w:pPr>
            <w:r w:rsidRPr="00AD62CD">
              <w:rPr>
                <w:rFonts w:ascii="Times New Roman" w:eastAsia="Calibri" w:hAnsi="Times New Roman" w:cs="Times New Roman"/>
                <w:color w:val="000000"/>
                <w:kern w:val="0"/>
                <w:sz w:val="22"/>
                <w:szCs w:val="22"/>
                <w14:ligatures w14:val="none"/>
              </w:rPr>
              <w:t>34 955 000</w:t>
            </w:r>
          </w:p>
        </w:tc>
        <w:tc>
          <w:tcPr>
            <w:tcW w:w="3000" w:type="dxa"/>
            <w:tcBorders>
              <w:top w:val="nil"/>
              <w:left w:val="nil"/>
              <w:bottom w:val="single" w:sz="4" w:space="0" w:color="auto"/>
              <w:right w:val="single" w:sz="4" w:space="0" w:color="auto"/>
            </w:tcBorders>
            <w:noWrap/>
            <w:vAlign w:val="bottom"/>
          </w:tcPr>
          <w:p w14:paraId="19530D1D"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tc>
      </w:tr>
      <w:tr w:rsidR="00AD62CD" w:rsidRPr="00AD62CD" w14:paraId="419775B3"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5CD50145" w14:textId="77777777" w:rsidR="00AD62CD" w:rsidRPr="00AD62CD" w:rsidRDefault="00AD62CD" w:rsidP="00AD62CD">
            <w:pPr>
              <w:spacing w:after="0" w:line="276" w:lineRule="auto"/>
              <w:rPr>
                <w:rFonts w:ascii="Times New Roman" w:eastAsia="Calibri" w:hAnsi="Times New Roman" w:cs="Times New Roman"/>
                <w:i/>
                <w:iCs/>
                <w:color w:val="000000"/>
                <w:kern w:val="0"/>
                <w:lang w:eastAsia="sk-SK"/>
                <w14:ligatures w14:val="none"/>
              </w:rPr>
            </w:pPr>
            <w:r w:rsidRPr="00AD62CD">
              <w:rPr>
                <w:rFonts w:ascii="Times New Roman" w:eastAsia="Calibri" w:hAnsi="Times New Roman" w:cs="Times New Roman"/>
                <w:i/>
                <w:iCs/>
                <w:color w:val="000000"/>
                <w:kern w:val="0"/>
                <w14:ligatures w14:val="none"/>
              </w:rPr>
              <w:t>v tom: (132) spotrebné dane</w:t>
            </w:r>
          </w:p>
        </w:tc>
        <w:tc>
          <w:tcPr>
            <w:tcW w:w="1500" w:type="dxa"/>
            <w:tcBorders>
              <w:top w:val="nil"/>
              <w:left w:val="nil"/>
              <w:bottom w:val="single" w:sz="8" w:space="0" w:color="auto"/>
              <w:right w:val="single" w:sz="8" w:space="0" w:color="auto"/>
            </w:tcBorders>
            <w:shd w:val="clear" w:color="auto" w:fill="auto"/>
            <w:vAlign w:val="center"/>
          </w:tcPr>
          <w:p w14:paraId="729EA2F5" w14:textId="77777777" w:rsidR="00AD62CD" w:rsidRPr="00AD62CD" w:rsidRDefault="00AD62CD" w:rsidP="00AD62CD">
            <w:pPr>
              <w:spacing w:after="0" w:line="276" w:lineRule="auto"/>
              <w:jc w:val="right"/>
              <w:rPr>
                <w:rFonts w:ascii="Times New Roman" w:eastAsia="Calibri" w:hAnsi="Times New Roman" w:cs="Times New Roman"/>
                <w:color w:val="000000"/>
                <w:kern w:val="0"/>
                <w:lang w:eastAsia="sk-SK"/>
                <w14:ligatures w14:val="none"/>
              </w:rPr>
            </w:pPr>
          </w:p>
        </w:tc>
        <w:tc>
          <w:tcPr>
            <w:tcW w:w="1500" w:type="dxa"/>
            <w:tcBorders>
              <w:top w:val="nil"/>
              <w:left w:val="nil"/>
              <w:bottom w:val="single" w:sz="8" w:space="0" w:color="auto"/>
              <w:right w:val="single" w:sz="8" w:space="0" w:color="auto"/>
            </w:tcBorders>
            <w:shd w:val="clear" w:color="auto" w:fill="auto"/>
            <w:vAlign w:val="center"/>
          </w:tcPr>
          <w:p w14:paraId="4ADE8A9D" w14:textId="77777777" w:rsidR="00AD62CD" w:rsidRPr="00AD62CD" w:rsidRDefault="00AD62CD" w:rsidP="00AD62CD">
            <w:pPr>
              <w:spacing w:after="0" w:line="276" w:lineRule="auto"/>
              <w:ind w:hanging="143"/>
              <w:jc w:val="right"/>
              <w:rPr>
                <w:rFonts w:ascii="Times New Roman" w:eastAsia="Calibri" w:hAnsi="Times New Roman" w:cs="Times New Roman"/>
                <w:kern w:val="0"/>
                <w14:ligatures w14:val="none"/>
              </w:rPr>
            </w:pPr>
            <w:r w:rsidRPr="00AD62CD">
              <w:rPr>
                <w:rFonts w:ascii="Times New Roman" w:eastAsia="Calibri" w:hAnsi="Times New Roman" w:cs="Times New Roman"/>
                <w:color w:val="000000"/>
                <w:kern w:val="0"/>
                <w:sz w:val="22"/>
                <w:szCs w:val="22"/>
                <w14:ligatures w14:val="none"/>
              </w:rPr>
              <w:t>14 789 000</w:t>
            </w:r>
          </w:p>
        </w:tc>
        <w:tc>
          <w:tcPr>
            <w:tcW w:w="1500" w:type="dxa"/>
            <w:tcBorders>
              <w:top w:val="nil"/>
              <w:left w:val="nil"/>
              <w:bottom w:val="single" w:sz="8" w:space="0" w:color="auto"/>
              <w:right w:val="single" w:sz="8" w:space="0" w:color="auto"/>
            </w:tcBorders>
            <w:shd w:val="clear" w:color="auto" w:fill="auto"/>
            <w:vAlign w:val="center"/>
          </w:tcPr>
          <w:p w14:paraId="56787B61" w14:textId="77777777" w:rsidR="00AD62CD" w:rsidRPr="00AD62CD" w:rsidRDefault="00AD62CD" w:rsidP="00AD62CD">
            <w:pPr>
              <w:spacing w:after="0" w:line="276" w:lineRule="auto"/>
              <w:ind w:hanging="143"/>
              <w:jc w:val="right"/>
              <w:rPr>
                <w:rFonts w:ascii="Times New Roman" w:eastAsia="Calibri" w:hAnsi="Times New Roman" w:cs="Times New Roman"/>
                <w:kern w:val="0"/>
                <w14:ligatures w14:val="none"/>
              </w:rPr>
            </w:pPr>
            <w:r w:rsidRPr="00AD62CD">
              <w:rPr>
                <w:rFonts w:ascii="Times New Roman" w:eastAsia="Calibri" w:hAnsi="Times New Roman" w:cs="Times New Roman"/>
                <w:color w:val="000000"/>
                <w:kern w:val="0"/>
                <w:sz w:val="22"/>
                <w:szCs w:val="22"/>
                <w14:ligatures w14:val="none"/>
              </w:rPr>
              <w:t>8 269 000</w:t>
            </w:r>
          </w:p>
        </w:tc>
        <w:tc>
          <w:tcPr>
            <w:tcW w:w="1500" w:type="dxa"/>
            <w:tcBorders>
              <w:top w:val="nil"/>
              <w:left w:val="nil"/>
              <w:bottom w:val="single" w:sz="8" w:space="0" w:color="auto"/>
              <w:right w:val="single" w:sz="8" w:space="0" w:color="auto"/>
            </w:tcBorders>
            <w:shd w:val="clear" w:color="auto" w:fill="auto"/>
            <w:vAlign w:val="center"/>
          </w:tcPr>
          <w:p w14:paraId="672229FA" w14:textId="77777777" w:rsidR="00AD62CD" w:rsidRPr="00AD62CD" w:rsidRDefault="00AD62CD" w:rsidP="00AD62CD">
            <w:pPr>
              <w:spacing w:after="0" w:line="276" w:lineRule="auto"/>
              <w:ind w:hanging="143"/>
              <w:jc w:val="right"/>
              <w:rPr>
                <w:rFonts w:ascii="Times New Roman" w:eastAsia="Calibri" w:hAnsi="Times New Roman" w:cs="Times New Roman"/>
                <w:kern w:val="0"/>
                <w14:ligatures w14:val="none"/>
              </w:rPr>
            </w:pPr>
            <w:r w:rsidRPr="00AD62CD">
              <w:rPr>
                <w:rFonts w:ascii="Times New Roman" w:eastAsia="Calibri" w:hAnsi="Times New Roman" w:cs="Times New Roman"/>
                <w:color w:val="000000"/>
                <w:kern w:val="0"/>
                <w:sz w:val="22"/>
                <w:szCs w:val="22"/>
                <w14:ligatures w14:val="none"/>
              </w:rPr>
              <w:t>8 624 000</w:t>
            </w:r>
          </w:p>
        </w:tc>
        <w:tc>
          <w:tcPr>
            <w:tcW w:w="3000" w:type="dxa"/>
            <w:tcBorders>
              <w:top w:val="nil"/>
              <w:left w:val="nil"/>
              <w:bottom w:val="single" w:sz="4" w:space="0" w:color="auto"/>
              <w:right w:val="single" w:sz="4" w:space="0" w:color="auto"/>
            </w:tcBorders>
            <w:noWrap/>
            <w:vAlign w:val="bottom"/>
          </w:tcPr>
          <w:p w14:paraId="24B151AF"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tc>
      </w:tr>
      <w:tr w:rsidR="00AD62CD" w:rsidRPr="00AD62CD" w14:paraId="2ECF8E31"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6A8B26AC" w14:textId="77777777" w:rsidR="00AD62CD" w:rsidRPr="00AD62CD" w:rsidRDefault="00AD62CD" w:rsidP="00AD62CD">
            <w:pPr>
              <w:spacing w:after="0" w:line="276" w:lineRule="auto"/>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b/>
                <w:bCs/>
                <w:color w:val="000000"/>
                <w:kern w:val="0"/>
                <w14:ligatures w14:val="none"/>
              </w:rPr>
              <w:t>Nedaňové príjmy (200)</w:t>
            </w:r>
            <w:r w:rsidRPr="00AD62CD">
              <w:rPr>
                <w:rFonts w:ascii="Times New Roman" w:eastAsia="Calibri" w:hAnsi="Times New Roman" w:cs="Times New Roman"/>
                <w:b/>
                <w:bCs/>
                <w:color w:val="000000"/>
                <w:kern w:val="0"/>
                <w:vertAlign w:val="superscript"/>
                <w14:ligatures w14:val="none"/>
              </w:rPr>
              <w:t>1</w:t>
            </w:r>
          </w:p>
        </w:tc>
        <w:tc>
          <w:tcPr>
            <w:tcW w:w="1500" w:type="dxa"/>
            <w:tcBorders>
              <w:top w:val="nil"/>
              <w:left w:val="nil"/>
              <w:bottom w:val="single" w:sz="8" w:space="0" w:color="auto"/>
              <w:right w:val="single" w:sz="8" w:space="0" w:color="auto"/>
            </w:tcBorders>
            <w:shd w:val="clear" w:color="auto" w:fill="auto"/>
            <w:vAlign w:val="center"/>
          </w:tcPr>
          <w:p w14:paraId="77577BB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p>
        </w:tc>
        <w:tc>
          <w:tcPr>
            <w:tcW w:w="1500" w:type="dxa"/>
            <w:tcBorders>
              <w:top w:val="nil"/>
              <w:left w:val="nil"/>
              <w:bottom w:val="single" w:sz="8" w:space="0" w:color="auto"/>
              <w:right w:val="single" w:sz="8" w:space="0" w:color="auto"/>
            </w:tcBorders>
            <w:shd w:val="clear" w:color="auto" w:fill="auto"/>
            <w:vAlign w:val="center"/>
          </w:tcPr>
          <w:p w14:paraId="7232C0A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p>
        </w:tc>
        <w:tc>
          <w:tcPr>
            <w:tcW w:w="1500" w:type="dxa"/>
            <w:tcBorders>
              <w:top w:val="nil"/>
              <w:left w:val="nil"/>
              <w:bottom w:val="single" w:sz="8" w:space="0" w:color="auto"/>
              <w:right w:val="single" w:sz="8" w:space="0" w:color="auto"/>
            </w:tcBorders>
            <w:shd w:val="clear" w:color="auto" w:fill="auto"/>
            <w:vAlign w:val="center"/>
          </w:tcPr>
          <w:p w14:paraId="20167D8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p>
        </w:tc>
        <w:tc>
          <w:tcPr>
            <w:tcW w:w="1500" w:type="dxa"/>
            <w:tcBorders>
              <w:top w:val="nil"/>
              <w:left w:val="nil"/>
              <w:bottom w:val="single" w:sz="8" w:space="0" w:color="auto"/>
              <w:right w:val="single" w:sz="8" w:space="0" w:color="auto"/>
            </w:tcBorders>
            <w:shd w:val="clear" w:color="auto" w:fill="auto"/>
            <w:vAlign w:val="center"/>
          </w:tcPr>
          <w:p w14:paraId="19DB2F7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p>
        </w:tc>
        <w:tc>
          <w:tcPr>
            <w:tcW w:w="3000" w:type="dxa"/>
            <w:tcBorders>
              <w:top w:val="nil"/>
              <w:left w:val="nil"/>
              <w:bottom w:val="single" w:sz="4" w:space="0" w:color="auto"/>
              <w:right w:val="single" w:sz="4" w:space="0" w:color="auto"/>
            </w:tcBorders>
            <w:noWrap/>
            <w:vAlign w:val="bottom"/>
          </w:tcPr>
          <w:p w14:paraId="08B8A646"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w:t>
            </w:r>
          </w:p>
        </w:tc>
      </w:tr>
      <w:tr w:rsidR="00AD62CD" w:rsidRPr="00AD62CD" w14:paraId="2C3DD21F"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6B8EC191" w14:textId="77777777" w:rsidR="00AD62CD" w:rsidRPr="00AD62CD" w:rsidRDefault="00AD62CD" w:rsidP="00AD62CD">
            <w:pPr>
              <w:spacing w:after="0" w:line="276" w:lineRule="auto"/>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b/>
                <w:bCs/>
                <w:color w:val="000000"/>
                <w:kern w:val="0"/>
                <w14:ligatures w14:val="none"/>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14:paraId="5EA4DAB9"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b/>
                <w:bCs/>
                <w:color w:val="000000"/>
                <w:kern w:val="0"/>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7567DF9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2CF8C14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5E1A8C9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p>
        </w:tc>
        <w:tc>
          <w:tcPr>
            <w:tcW w:w="3000" w:type="dxa"/>
            <w:tcBorders>
              <w:top w:val="nil"/>
              <w:left w:val="nil"/>
              <w:bottom w:val="single" w:sz="4" w:space="0" w:color="auto"/>
              <w:right w:val="single" w:sz="4" w:space="0" w:color="auto"/>
            </w:tcBorders>
            <w:noWrap/>
            <w:vAlign w:val="bottom"/>
          </w:tcPr>
          <w:p w14:paraId="3B905C9D"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w:t>
            </w:r>
          </w:p>
        </w:tc>
      </w:tr>
      <w:tr w:rsidR="00AD62CD" w:rsidRPr="00AD62CD" w14:paraId="63846465"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5AB2B5FE" w14:textId="77777777" w:rsidR="00AD62CD" w:rsidRPr="00AD62CD" w:rsidRDefault="00AD62CD" w:rsidP="00AD62CD">
            <w:pPr>
              <w:spacing w:after="0" w:line="276" w:lineRule="auto"/>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b/>
                <w:bCs/>
                <w:color w:val="000000"/>
                <w:kern w:val="0"/>
                <w14:ligatures w14:val="none"/>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14:paraId="14FCBD19"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b/>
                <w:bCs/>
                <w:color w:val="000000"/>
                <w:kern w:val="0"/>
                <w14:ligatures w14:val="none"/>
              </w:rPr>
              <w:t> </w:t>
            </w:r>
          </w:p>
        </w:tc>
        <w:tc>
          <w:tcPr>
            <w:tcW w:w="1500" w:type="dxa"/>
            <w:tcBorders>
              <w:top w:val="nil"/>
              <w:left w:val="nil"/>
              <w:bottom w:val="single" w:sz="8" w:space="0" w:color="auto"/>
              <w:right w:val="single" w:sz="8" w:space="0" w:color="auto"/>
            </w:tcBorders>
            <w:shd w:val="clear" w:color="000000" w:fill="FFFF99"/>
            <w:vAlign w:val="center"/>
          </w:tcPr>
          <w:p w14:paraId="3EEF2A2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7831956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213D6BD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14:ligatures w14:val="none"/>
              </w:rPr>
            </w:pPr>
          </w:p>
        </w:tc>
        <w:tc>
          <w:tcPr>
            <w:tcW w:w="3000" w:type="dxa"/>
            <w:tcBorders>
              <w:top w:val="nil"/>
              <w:left w:val="nil"/>
              <w:bottom w:val="single" w:sz="4" w:space="0" w:color="auto"/>
              <w:right w:val="single" w:sz="4" w:space="0" w:color="auto"/>
            </w:tcBorders>
            <w:noWrap/>
            <w:vAlign w:val="bottom"/>
          </w:tcPr>
          <w:p w14:paraId="4C5E94EF"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w:t>
            </w:r>
          </w:p>
        </w:tc>
      </w:tr>
      <w:tr w:rsidR="00AD62CD" w:rsidRPr="00AD62CD" w14:paraId="45902CE3" w14:textId="77777777" w:rsidTr="003627DF">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14:paraId="690C7325" w14:textId="77777777" w:rsidR="00AD62CD" w:rsidRPr="00AD62CD" w:rsidRDefault="00AD62CD" w:rsidP="00AD62CD">
            <w:pPr>
              <w:spacing w:after="0" w:line="276" w:lineRule="auto"/>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b/>
                <w:bCs/>
                <w:color w:val="000000"/>
                <w:kern w:val="0"/>
                <w14:ligatures w14:val="none"/>
              </w:rPr>
              <w:t>Dopad na príjmy štátneho rozpočtu celkom</w:t>
            </w:r>
          </w:p>
        </w:tc>
        <w:tc>
          <w:tcPr>
            <w:tcW w:w="1500" w:type="dxa"/>
            <w:tcBorders>
              <w:top w:val="nil"/>
              <w:left w:val="nil"/>
              <w:bottom w:val="single" w:sz="8" w:space="0" w:color="auto"/>
              <w:right w:val="single" w:sz="8" w:space="0" w:color="auto"/>
            </w:tcBorders>
            <w:shd w:val="clear" w:color="000000" w:fill="BFBFBF"/>
            <w:vAlign w:val="center"/>
          </w:tcPr>
          <w:p w14:paraId="1DAA4755"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14:ligatures w14:val="none"/>
              </w:rPr>
            </w:pPr>
            <w:r w:rsidRPr="00AD62CD">
              <w:rPr>
                <w:rFonts w:ascii="Times New Roman" w:eastAsia="Calibri" w:hAnsi="Times New Roman" w:cs="Times New Roman"/>
                <w:b/>
                <w:bCs/>
                <w:color w:val="000000"/>
                <w:kern w:val="0"/>
                <w14:ligatures w14:val="none"/>
              </w:rPr>
              <w:t>0</w:t>
            </w:r>
          </w:p>
        </w:tc>
        <w:tc>
          <w:tcPr>
            <w:tcW w:w="1500" w:type="dxa"/>
            <w:tcBorders>
              <w:top w:val="nil"/>
              <w:left w:val="nil"/>
              <w:bottom w:val="single" w:sz="8" w:space="0" w:color="auto"/>
              <w:right w:val="single" w:sz="8" w:space="0" w:color="auto"/>
            </w:tcBorders>
            <w:shd w:val="clear" w:color="000000" w:fill="BFBFBF"/>
            <w:vAlign w:val="center"/>
          </w:tcPr>
          <w:p w14:paraId="287F4925"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14:ligatures w14:val="none"/>
              </w:rPr>
            </w:pPr>
            <w:r w:rsidRPr="00AD62CD">
              <w:rPr>
                <w:rFonts w:ascii="Times New Roman" w:eastAsia="Calibri" w:hAnsi="Times New Roman" w:cs="Times New Roman"/>
                <w:b/>
                <w:bCs/>
                <w:color w:val="000000"/>
                <w:kern w:val="0"/>
                <w:sz w:val="22"/>
                <w:szCs w:val="22"/>
                <w14:ligatures w14:val="none"/>
              </w:rPr>
              <w:t>111 434 000</w:t>
            </w:r>
          </w:p>
        </w:tc>
        <w:tc>
          <w:tcPr>
            <w:tcW w:w="1500" w:type="dxa"/>
            <w:tcBorders>
              <w:top w:val="nil"/>
              <w:left w:val="nil"/>
              <w:bottom w:val="single" w:sz="8" w:space="0" w:color="auto"/>
              <w:right w:val="single" w:sz="8" w:space="0" w:color="auto"/>
            </w:tcBorders>
            <w:shd w:val="clear" w:color="000000" w:fill="BFBFBF"/>
            <w:vAlign w:val="center"/>
          </w:tcPr>
          <w:p w14:paraId="3625CBEF"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14:ligatures w14:val="none"/>
              </w:rPr>
            </w:pPr>
            <w:r w:rsidRPr="00AD62CD">
              <w:rPr>
                <w:rFonts w:ascii="Times New Roman" w:eastAsia="Calibri" w:hAnsi="Times New Roman" w:cs="Times New Roman"/>
                <w:b/>
                <w:bCs/>
                <w:color w:val="000000"/>
                <w:kern w:val="0"/>
                <w:sz w:val="22"/>
                <w:szCs w:val="22"/>
                <w14:ligatures w14:val="none"/>
              </w:rPr>
              <w:t>61 659 000</w:t>
            </w:r>
          </w:p>
        </w:tc>
        <w:tc>
          <w:tcPr>
            <w:tcW w:w="1500" w:type="dxa"/>
            <w:tcBorders>
              <w:top w:val="nil"/>
              <w:left w:val="nil"/>
              <w:bottom w:val="single" w:sz="8" w:space="0" w:color="auto"/>
              <w:right w:val="single" w:sz="8" w:space="0" w:color="auto"/>
            </w:tcBorders>
            <w:shd w:val="clear" w:color="000000" w:fill="BFBFBF"/>
            <w:vAlign w:val="center"/>
          </w:tcPr>
          <w:p w14:paraId="630D7234"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14:ligatures w14:val="none"/>
              </w:rPr>
            </w:pPr>
            <w:r w:rsidRPr="00AD62CD">
              <w:rPr>
                <w:rFonts w:ascii="Times New Roman" w:eastAsia="Calibri" w:hAnsi="Times New Roman" w:cs="Times New Roman"/>
                <w:b/>
                <w:bCs/>
                <w:color w:val="000000"/>
                <w:kern w:val="0"/>
                <w:sz w:val="22"/>
                <w:szCs w:val="22"/>
                <w14:ligatures w14:val="none"/>
              </w:rPr>
              <w:t>66 139 000</w:t>
            </w:r>
          </w:p>
        </w:tc>
        <w:tc>
          <w:tcPr>
            <w:tcW w:w="3000" w:type="dxa"/>
            <w:tcBorders>
              <w:top w:val="nil"/>
              <w:left w:val="nil"/>
              <w:bottom w:val="single" w:sz="4" w:space="0" w:color="auto"/>
              <w:right w:val="single" w:sz="4" w:space="0" w:color="auto"/>
            </w:tcBorders>
            <w:noWrap/>
            <w:vAlign w:val="bottom"/>
          </w:tcPr>
          <w:p w14:paraId="15E321B0"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w:t>
            </w:r>
          </w:p>
        </w:tc>
      </w:tr>
    </w:tbl>
    <w:p w14:paraId="4716D309"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 xml:space="preserve"> –  príjmy rozpísať až do položiek platnej ekonomickej klasifikácie</w:t>
      </w:r>
    </w:p>
    <w:p w14:paraId="51AAE08D"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p>
    <w:p w14:paraId="23756AB9"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6A8C0B74"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19A04F96" w14:textId="77777777" w:rsidR="00AD62CD" w:rsidRPr="00AD62CD" w:rsidRDefault="00AD62CD" w:rsidP="00AD62CD">
      <w:pPr>
        <w:spacing w:after="200" w:line="276" w:lineRule="auto"/>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br w:type="page"/>
      </w:r>
    </w:p>
    <w:tbl>
      <w:tblPr>
        <w:tblW w:w="13180" w:type="dxa"/>
        <w:tblCellMar>
          <w:left w:w="70" w:type="dxa"/>
          <w:right w:w="70" w:type="dxa"/>
        </w:tblCellMar>
        <w:tblLook w:val="04A0" w:firstRow="1" w:lastRow="0" w:firstColumn="1" w:lastColumn="0" w:noHBand="0" w:noVBand="1"/>
      </w:tblPr>
      <w:tblGrid>
        <w:gridCol w:w="4700"/>
        <w:gridCol w:w="1540"/>
        <w:gridCol w:w="1740"/>
        <w:gridCol w:w="1740"/>
        <w:gridCol w:w="1740"/>
        <w:gridCol w:w="1720"/>
      </w:tblGrid>
      <w:tr w:rsidR="00AD62CD" w:rsidRPr="00AD62CD" w14:paraId="0786CD18" w14:textId="77777777" w:rsidTr="003627DF">
        <w:trPr>
          <w:trHeight w:val="330"/>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619FD4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Príjmy obcí (v eurách)</w:t>
            </w:r>
          </w:p>
        </w:tc>
        <w:tc>
          <w:tcPr>
            <w:tcW w:w="6760" w:type="dxa"/>
            <w:gridSpan w:val="4"/>
            <w:tcBorders>
              <w:top w:val="single" w:sz="8" w:space="0" w:color="auto"/>
              <w:left w:val="nil"/>
              <w:bottom w:val="single" w:sz="8" w:space="0" w:color="auto"/>
              <w:right w:val="single" w:sz="8" w:space="0" w:color="000000"/>
            </w:tcBorders>
            <w:shd w:val="clear" w:color="000000" w:fill="BFBFBF"/>
            <w:vAlign w:val="center"/>
            <w:hideMark/>
          </w:tcPr>
          <w:p w14:paraId="1E16EAE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Vplyv na rozpočet obcí</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703DA24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poznámka</w:t>
            </w:r>
          </w:p>
        </w:tc>
      </w:tr>
      <w:tr w:rsidR="00AD62CD" w:rsidRPr="00AD62CD" w14:paraId="5106E52F" w14:textId="77777777" w:rsidTr="003627DF">
        <w:trPr>
          <w:trHeight w:val="330"/>
        </w:trPr>
        <w:tc>
          <w:tcPr>
            <w:tcW w:w="4700" w:type="dxa"/>
            <w:vMerge/>
            <w:tcBorders>
              <w:top w:val="single" w:sz="8" w:space="0" w:color="auto"/>
              <w:left w:val="single" w:sz="8" w:space="0" w:color="auto"/>
              <w:bottom w:val="single" w:sz="8" w:space="0" w:color="000000"/>
              <w:right w:val="single" w:sz="8" w:space="0" w:color="auto"/>
            </w:tcBorders>
            <w:vAlign w:val="center"/>
            <w:hideMark/>
          </w:tcPr>
          <w:p w14:paraId="5976C2CC"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p>
        </w:tc>
        <w:tc>
          <w:tcPr>
            <w:tcW w:w="1540" w:type="dxa"/>
            <w:tcBorders>
              <w:top w:val="nil"/>
              <w:left w:val="nil"/>
              <w:bottom w:val="single" w:sz="8" w:space="0" w:color="auto"/>
              <w:right w:val="single" w:sz="8" w:space="0" w:color="auto"/>
            </w:tcBorders>
            <w:shd w:val="clear" w:color="000000" w:fill="BFBFBF"/>
            <w:vAlign w:val="center"/>
            <w:hideMark/>
          </w:tcPr>
          <w:p w14:paraId="3C1BE4F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2025</w:t>
            </w:r>
          </w:p>
        </w:tc>
        <w:tc>
          <w:tcPr>
            <w:tcW w:w="1740" w:type="dxa"/>
            <w:tcBorders>
              <w:top w:val="nil"/>
              <w:left w:val="nil"/>
              <w:bottom w:val="single" w:sz="8" w:space="0" w:color="auto"/>
              <w:right w:val="single" w:sz="8" w:space="0" w:color="auto"/>
            </w:tcBorders>
            <w:shd w:val="clear" w:color="000000" w:fill="BFBFBF"/>
            <w:vAlign w:val="center"/>
            <w:hideMark/>
          </w:tcPr>
          <w:p w14:paraId="152C0EA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2026</w:t>
            </w:r>
          </w:p>
        </w:tc>
        <w:tc>
          <w:tcPr>
            <w:tcW w:w="1740" w:type="dxa"/>
            <w:tcBorders>
              <w:top w:val="nil"/>
              <w:left w:val="nil"/>
              <w:bottom w:val="single" w:sz="8" w:space="0" w:color="auto"/>
              <w:right w:val="single" w:sz="8" w:space="0" w:color="auto"/>
            </w:tcBorders>
            <w:shd w:val="clear" w:color="000000" w:fill="BFBFBF"/>
            <w:vAlign w:val="center"/>
            <w:hideMark/>
          </w:tcPr>
          <w:p w14:paraId="563A1F1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2027</w:t>
            </w:r>
          </w:p>
        </w:tc>
        <w:tc>
          <w:tcPr>
            <w:tcW w:w="1740" w:type="dxa"/>
            <w:tcBorders>
              <w:top w:val="nil"/>
              <w:left w:val="nil"/>
              <w:bottom w:val="single" w:sz="8" w:space="0" w:color="auto"/>
              <w:right w:val="single" w:sz="8" w:space="0" w:color="auto"/>
            </w:tcBorders>
            <w:shd w:val="clear" w:color="000000" w:fill="BFBFBF"/>
            <w:vAlign w:val="center"/>
            <w:hideMark/>
          </w:tcPr>
          <w:p w14:paraId="0EC77EB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2028</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1654DF4A"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p>
        </w:tc>
      </w:tr>
      <w:tr w:rsidR="00AD62CD" w:rsidRPr="00AD62CD" w14:paraId="46EFD7E8" w14:textId="77777777" w:rsidTr="003627DF">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10932AF9"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Daňové príjmy (100)</w:t>
            </w:r>
            <w:r w:rsidRPr="00AD62CD">
              <w:rPr>
                <w:rFonts w:ascii="Times New Roman" w:eastAsia="Calibri" w:hAnsi="Times New Roman" w:cs="Times New Roman"/>
                <w:b/>
                <w:bCs/>
                <w:color w:val="000000"/>
                <w:kern w:val="0"/>
                <w:vertAlign w:val="superscript"/>
                <w:lang w:eastAsia="sk-SK"/>
                <w14:ligatures w14:val="none"/>
              </w:rPr>
              <w:t>1</w:t>
            </w:r>
          </w:p>
        </w:tc>
        <w:tc>
          <w:tcPr>
            <w:tcW w:w="1540" w:type="dxa"/>
            <w:tcBorders>
              <w:top w:val="nil"/>
              <w:left w:val="nil"/>
              <w:bottom w:val="single" w:sz="8" w:space="0" w:color="auto"/>
              <w:right w:val="single" w:sz="8" w:space="0" w:color="auto"/>
            </w:tcBorders>
            <w:shd w:val="clear" w:color="auto" w:fill="auto"/>
            <w:vAlign w:val="center"/>
            <w:hideMark/>
          </w:tcPr>
          <w:p w14:paraId="78E43F56"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0</w:t>
            </w:r>
          </w:p>
        </w:tc>
        <w:tc>
          <w:tcPr>
            <w:tcW w:w="1740" w:type="dxa"/>
            <w:tcBorders>
              <w:top w:val="nil"/>
              <w:left w:val="nil"/>
              <w:bottom w:val="single" w:sz="8" w:space="0" w:color="auto"/>
              <w:right w:val="single" w:sz="8" w:space="0" w:color="auto"/>
            </w:tcBorders>
            <w:shd w:val="clear" w:color="auto" w:fill="auto"/>
            <w:vAlign w:val="center"/>
            <w:hideMark/>
          </w:tcPr>
          <w:p w14:paraId="675EBEE0"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12 482 000</w:t>
            </w:r>
          </w:p>
        </w:tc>
        <w:tc>
          <w:tcPr>
            <w:tcW w:w="1740" w:type="dxa"/>
            <w:tcBorders>
              <w:top w:val="nil"/>
              <w:left w:val="nil"/>
              <w:bottom w:val="single" w:sz="8" w:space="0" w:color="auto"/>
              <w:right w:val="single" w:sz="8" w:space="0" w:color="auto"/>
            </w:tcBorders>
            <w:shd w:val="clear" w:color="auto" w:fill="auto"/>
            <w:vAlign w:val="center"/>
            <w:hideMark/>
          </w:tcPr>
          <w:p w14:paraId="38CD824C"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15 556 000</w:t>
            </w:r>
          </w:p>
        </w:tc>
        <w:tc>
          <w:tcPr>
            <w:tcW w:w="1740" w:type="dxa"/>
            <w:tcBorders>
              <w:top w:val="nil"/>
              <w:left w:val="nil"/>
              <w:bottom w:val="single" w:sz="8" w:space="0" w:color="auto"/>
              <w:right w:val="single" w:sz="8" w:space="0" w:color="auto"/>
            </w:tcBorders>
            <w:shd w:val="clear" w:color="auto" w:fill="auto"/>
            <w:vAlign w:val="center"/>
            <w:hideMark/>
          </w:tcPr>
          <w:p w14:paraId="3F0C7F2B"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18 853 000</w:t>
            </w:r>
          </w:p>
        </w:tc>
        <w:tc>
          <w:tcPr>
            <w:tcW w:w="1720" w:type="dxa"/>
            <w:tcBorders>
              <w:top w:val="nil"/>
              <w:left w:val="nil"/>
              <w:bottom w:val="single" w:sz="8" w:space="0" w:color="auto"/>
              <w:right w:val="single" w:sz="8" w:space="0" w:color="auto"/>
            </w:tcBorders>
            <w:shd w:val="clear" w:color="auto" w:fill="auto"/>
            <w:noWrap/>
            <w:vAlign w:val="center"/>
            <w:hideMark/>
          </w:tcPr>
          <w:p w14:paraId="5D775B21"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2C02E389" w14:textId="77777777" w:rsidTr="003627DF">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14:paraId="7A3AADBA" w14:textId="77777777" w:rsidR="00AD62CD" w:rsidRPr="00AD62CD" w:rsidRDefault="00AD62CD" w:rsidP="00AD62CD">
            <w:pPr>
              <w:spacing w:after="0" w:line="240" w:lineRule="auto"/>
              <w:ind w:firstLineChars="100" w:firstLine="240"/>
              <w:rPr>
                <w:rFonts w:ascii="Times New Roman" w:eastAsia="Calibri" w:hAnsi="Times New Roman" w:cs="Times New Roman"/>
                <w:i/>
                <w:iCs/>
                <w:color w:val="000000"/>
                <w:kern w:val="0"/>
                <w:lang w:eastAsia="sk-SK"/>
                <w14:ligatures w14:val="none"/>
              </w:rPr>
            </w:pPr>
            <w:r w:rsidRPr="00AD62CD">
              <w:rPr>
                <w:rFonts w:ascii="Times New Roman" w:eastAsia="Calibri" w:hAnsi="Times New Roman" w:cs="Times New Roman"/>
                <w:i/>
                <w:iCs/>
                <w:color w:val="000000"/>
                <w:kern w:val="0"/>
                <w:lang w:eastAsia="sk-SK"/>
                <w14:ligatures w14:val="none"/>
              </w:rPr>
              <w:t xml:space="preserve">v tom: (111) daň z príjmov fyzických osôb </w:t>
            </w:r>
          </w:p>
        </w:tc>
        <w:tc>
          <w:tcPr>
            <w:tcW w:w="1540" w:type="dxa"/>
            <w:tcBorders>
              <w:top w:val="nil"/>
              <w:left w:val="nil"/>
              <w:bottom w:val="single" w:sz="8" w:space="0" w:color="auto"/>
              <w:right w:val="single" w:sz="8" w:space="0" w:color="auto"/>
            </w:tcBorders>
            <w:shd w:val="clear" w:color="auto" w:fill="auto"/>
            <w:vAlign w:val="center"/>
            <w:hideMark/>
          </w:tcPr>
          <w:p w14:paraId="3827BF98" w14:textId="77777777" w:rsidR="00AD62CD" w:rsidRPr="00AD62CD" w:rsidRDefault="00AD62CD" w:rsidP="00AD62CD">
            <w:pPr>
              <w:spacing w:after="0" w:line="240" w:lineRule="auto"/>
              <w:jc w:val="right"/>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0</w:t>
            </w:r>
          </w:p>
        </w:tc>
        <w:tc>
          <w:tcPr>
            <w:tcW w:w="1740" w:type="dxa"/>
            <w:tcBorders>
              <w:top w:val="nil"/>
              <w:left w:val="nil"/>
              <w:bottom w:val="single" w:sz="8" w:space="0" w:color="auto"/>
              <w:right w:val="single" w:sz="8" w:space="0" w:color="auto"/>
            </w:tcBorders>
            <w:shd w:val="clear" w:color="auto" w:fill="auto"/>
            <w:vAlign w:val="center"/>
            <w:hideMark/>
          </w:tcPr>
          <w:p w14:paraId="67EDE9FB" w14:textId="77777777" w:rsidR="00AD62CD" w:rsidRPr="00AD62CD" w:rsidRDefault="00AD62CD" w:rsidP="00AD62CD">
            <w:pPr>
              <w:spacing w:after="0" w:line="240" w:lineRule="auto"/>
              <w:jc w:val="right"/>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12 482 000</w:t>
            </w:r>
          </w:p>
        </w:tc>
        <w:tc>
          <w:tcPr>
            <w:tcW w:w="1740" w:type="dxa"/>
            <w:tcBorders>
              <w:top w:val="nil"/>
              <w:left w:val="nil"/>
              <w:bottom w:val="single" w:sz="8" w:space="0" w:color="auto"/>
              <w:right w:val="single" w:sz="8" w:space="0" w:color="auto"/>
            </w:tcBorders>
            <w:shd w:val="clear" w:color="auto" w:fill="auto"/>
            <w:vAlign w:val="center"/>
            <w:hideMark/>
          </w:tcPr>
          <w:p w14:paraId="2D363221" w14:textId="77777777" w:rsidR="00AD62CD" w:rsidRPr="00AD62CD" w:rsidRDefault="00AD62CD" w:rsidP="00AD62CD">
            <w:pPr>
              <w:spacing w:after="0" w:line="240" w:lineRule="auto"/>
              <w:jc w:val="right"/>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15 556 000</w:t>
            </w:r>
          </w:p>
        </w:tc>
        <w:tc>
          <w:tcPr>
            <w:tcW w:w="1740" w:type="dxa"/>
            <w:tcBorders>
              <w:top w:val="nil"/>
              <w:left w:val="nil"/>
              <w:bottom w:val="single" w:sz="8" w:space="0" w:color="auto"/>
              <w:right w:val="single" w:sz="8" w:space="0" w:color="auto"/>
            </w:tcBorders>
            <w:shd w:val="clear" w:color="auto" w:fill="auto"/>
            <w:vAlign w:val="center"/>
            <w:hideMark/>
          </w:tcPr>
          <w:p w14:paraId="132DDDB4" w14:textId="77777777" w:rsidR="00AD62CD" w:rsidRPr="00AD62CD" w:rsidRDefault="00AD62CD" w:rsidP="00AD62CD">
            <w:pPr>
              <w:spacing w:after="0" w:line="240" w:lineRule="auto"/>
              <w:jc w:val="right"/>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18 853 000</w:t>
            </w:r>
          </w:p>
        </w:tc>
        <w:tc>
          <w:tcPr>
            <w:tcW w:w="1720" w:type="dxa"/>
            <w:tcBorders>
              <w:top w:val="nil"/>
              <w:left w:val="nil"/>
              <w:bottom w:val="single" w:sz="8" w:space="0" w:color="auto"/>
              <w:right w:val="single" w:sz="8" w:space="0" w:color="auto"/>
            </w:tcBorders>
            <w:shd w:val="clear" w:color="auto" w:fill="auto"/>
            <w:noWrap/>
            <w:vAlign w:val="center"/>
            <w:hideMark/>
          </w:tcPr>
          <w:p w14:paraId="619F0154"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5E2A0C1C" w14:textId="77777777" w:rsidTr="003627DF">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05DFC774"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Nedaňové príjmy (200)</w:t>
            </w:r>
            <w:r w:rsidRPr="00AD62CD">
              <w:rPr>
                <w:rFonts w:ascii="Times New Roman" w:eastAsia="Calibri" w:hAnsi="Times New Roman" w:cs="Times New Roman"/>
                <w:b/>
                <w:bCs/>
                <w:color w:val="000000"/>
                <w:kern w:val="0"/>
                <w:vertAlign w:val="superscript"/>
                <w:lang w:eastAsia="sk-SK"/>
                <w14:ligatures w14:val="none"/>
              </w:rPr>
              <w:t>1</w:t>
            </w:r>
          </w:p>
        </w:tc>
        <w:tc>
          <w:tcPr>
            <w:tcW w:w="1540" w:type="dxa"/>
            <w:tcBorders>
              <w:top w:val="nil"/>
              <w:left w:val="nil"/>
              <w:bottom w:val="single" w:sz="8" w:space="0" w:color="auto"/>
              <w:right w:val="single" w:sz="8" w:space="0" w:color="auto"/>
            </w:tcBorders>
            <w:shd w:val="clear" w:color="auto" w:fill="auto"/>
            <w:vAlign w:val="center"/>
            <w:hideMark/>
          </w:tcPr>
          <w:p w14:paraId="74F367F5"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0</w:t>
            </w:r>
          </w:p>
        </w:tc>
        <w:tc>
          <w:tcPr>
            <w:tcW w:w="1740" w:type="dxa"/>
            <w:tcBorders>
              <w:top w:val="nil"/>
              <w:left w:val="nil"/>
              <w:bottom w:val="single" w:sz="8" w:space="0" w:color="auto"/>
              <w:right w:val="single" w:sz="8" w:space="0" w:color="auto"/>
            </w:tcBorders>
            <w:shd w:val="clear" w:color="auto" w:fill="auto"/>
            <w:vAlign w:val="center"/>
            <w:hideMark/>
          </w:tcPr>
          <w:p w14:paraId="38E81266"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kern w:val="0"/>
                <w14:ligatures w14:val="none"/>
              </w:rPr>
              <w:t>0</w:t>
            </w:r>
          </w:p>
        </w:tc>
        <w:tc>
          <w:tcPr>
            <w:tcW w:w="1740" w:type="dxa"/>
            <w:tcBorders>
              <w:top w:val="nil"/>
              <w:left w:val="nil"/>
              <w:bottom w:val="single" w:sz="8" w:space="0" w:color="auto"/>
              <w:right w:val="single" w:sz="8" w:space="0" w:color="auto"/>
            </w:tcBorders>
            <w:shd w:val="clear" w:color="auto" w:fill="auto"/>
            <w:vAlign w:val="center"/>
            <w:hideMark/>
          </w:tcPr>
          <w:p w14:paraId="3A169837"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kern w:val="0"/>
                <w14:ligatures w14:val="none"/>
              </w:rPr>
              <w:t>0</w:t>
            </w:r>
          </w:p>
        </w:tc>
        <w:tc>
          <w:tcPr>
            <w:tcW w:w="1740" w:type="dxa"/>
            <w:tcBorders>
              <w:top w:val="nil"/>
              <w:left w:val="nil"/>
              <w:bottom w:val="single" w:sz="8" w:space="0" w:color="auto"/>
              <w:right w:val="single" w:sz="8" w:space="0" w:color="auto"/>
            </w:tcBorders>
            <w:shd w:val="clear" w:color="auto" w:fill="auto"/>
            <w:vAlign w:val="center"/>
            <w:hideMark/>
          </w:tcPr>
          <w:p w14:paraId="0FDA428F"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kern w:val="0"/>
                <w14:ligatures w14:val="none"/>
              </w:rPr>
              <w:t>0</w:t>
            </w:r>
          </w:p>
        </w:tc>
        <w:tc>
          <w:tcPr>
            <w:tcW w:w="1720" w:type="dxa"/>
            <w:tcBorders>
              <w:top w:val="nil"/>
              <w:left w:val="nil"/>
              <w:bottom w:val="single" w:sz="8" w:space="0" w:color="auto"/>
              <w:right w:val="single" w:sz="8" w:space="0" w:color="auto"/>
            </w:tcBorders>
            <w:shd w:val="clear" w:color="auto" w:fill="auto"/>
            <w:noWrap/>
            <w:vAlign w:val="center"/>
            <w:hideMark/>
          </w:tcPr>
          <w:p w14:paraId="433833DA"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4DA99E11" w14:textId="77777777" w:rsidTr="003627DF">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0E1F66D1"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Príjmy z transakcií s finančnými aktívami a finančnými pasívami (400)</w:t>
            </w:r>
          </w:p>
        </w:tc>
        <w:tc>
          <w:tcPr>
            <w:tcW w:w="1540" w:type="dxa"/>
            <w:tcBorders>
              <w:top w:val="nil"/>
              <w:left w:val="nil"/>
              <w:bottom w:val="single" w:sz="8" w:space="0" w:color="auto"/>
              <w:right w:val="single" w:sz="8" w:space="0" w:color="auto"/>
            </w:tcBorders>
            <w:shd w:val="clear" w:color="auto" w:fill="auto"/>
            <w:vAlign w:val="center"/>
            <w:hideMark/>
          </w:tcPr>
          <w:p w14:paraId="65B80ED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14:ligatures w14:val="none"/>
              </w:rPr>
              <w:t> </w:t>
            </w:r>
          </w:p>
        </w:tc>
        <w:tc>
          <w:tcPr>
            <w:tcW w:w="1740" w:type="dxa"/>
            <w:tcBorders>
              <w:top w:val="nil"/>
              <w:left w:val="nil"/>
              <w:bottom w:val="single" w:sz="8" w:space="0" w:color="auto"/>
              <w:right w:val="single" w:sz="8" w:space="0" w:color="auto"/>
            </w:tcBorders>
            <w:shd w:val="clear" w:color="auto" w:fill="auto"/>
            <w:vAlign w:val="center"/>
            <w:hideMark/>
          </w:tcPr>
          <w:p w14:paraId="611DCFF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p>
        </w:tc>
        <w:tc>
          <w:tcPr>
            <w:tcW w:w="1740" w:type="dxa"/>
            <w:tcBorders>
              <w:top w:val="nil"/>
              <w:left w:val="nil"/>
              <w:bottom w:val="single" w:sz="8" w:space="0" w:color="auto"/>
              <w:right w:val="single" w:sz="8" w:space="0" w:color="auto"/>
            </w:tcBorders>
            <w:shd w:val="clear" w:color="auto" w:fill="auto"/>
            <w:vAlign w:val="center"/>
            <w:hideMark/>
          </w:tcPr>
          <w:p w14:paraId="4FC0986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p>
        </w:tc>
        <w:tc>
          <w:tcPr>
            <w:tcW w:w="1740" w:type="dxa"/>
            <w:tcBorders>
              <w:top w:val="nil"/>
              <w:left w:val="nil"/>
              <w:bottom w:val="single" w:sz="8" w:space="0" w:color="auto"/>
              <w:right w:val="single" w:sz="8" w:space="0" w:color="auto"/>
            </w:tcBorders>
            <w:shd w:val="clear" w:color="auto" w:fill="auto"/>
            <w:vAlign w:val="center"/>
            <w:hideMark/>
          </w:tcPr>
          <w:p w14:paraId="2AA3F83F"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p>
        </w:tc>
        <w:tc>
          <w:tcPr>
            <w:tcW w:w="1720" w:type="dxa"/>
            <w:tcBorders>
              <w:top w:val="nil"/>
              <w:left w:val="nil"/>
              <w:bottom w:val="single" w:sz="8" w:space="0" w:color="auto"/>
              <w:right w:val="single" w:sz="8" w:space="0" w:color="auto"/>
            </w:tcBorders>
            <w:shd w:val="clear" w:color="auto" w:fill="auto"/>
            <w:noWrap/>
            <w:vAlign w:val="center"/>
            <w:hideMark/>
          </w:tcPr>
          <w:p w14:paraId="6F774547"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3091A4E1" w14:textId="77777777" w:rsidTr="003627DF">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7F21D3F4"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Prijaté úvery, pôžičky a návratné finančné výpomoci (500)</w:t>
            </w:r>
          </w:p>
        </w:tc>
        <w:tc>
          <w:tcPr>
            <w:tcW w:w="1540" w:type="dxa"/>
            <w:tcBorders>
              <w:top w:val="nil"/>
              <w:left w:val="nil"/>
              <w:bottom w:val="single" w:sz="8" w:space="0" w:color="auto"/>
              <w:right w:val="single" w:sz="8" w:space="0" w:color="auto"/>
            </w:tcBorders>
            <w:shd w:val="clear" w:color="auto" w:fill="auto"/>
            <w:vAlign w:val="center"/>
            <w:hideMark/>
          </w:tcPr>
          <w:p w14:paraId="4FCD396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14:ligatures w14:val="none"/>
              </w:rPr>
              <w:t> </w:t>
            </w:r>
          </w:p>
        </w:tc>
        <w:tc>
          <w:tcPr>
            <w:tcW w:w="1740" w:type="dxa"/>
            <w:tcBorders>
              <w:top w:val="nil"/>
              <w:left w:val="nil"/>
              <w:bottom w:val="single" w:sz="8" w:space="0" w:color="auto"/>
              <w:right w:val="single" w:sz="8" w:space="0" w:color="auto"/>
            </w:tcBorders>
            <w:shd w:val="clear" w:color="auto" w:fill="auto"/>
            <w:vAlign w:val="center"/>
            <w:hideMark/>
          </w:tcPr>
          <w:p w14:paraId="0F20886E"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p>
        </w:tc>
        <w:tc>
          <w:tcPr>
            <w:tcW w:w="1740" w:type="dxa"/>
            <w:tcBorders>
              <w:top w:val="nil"/>
              <w:left w:val="nil"/>
              <w:bottom w:val="single" w:sz="8" w:space="0" w:color="auto"/>
              <w:right w:val="single" w:sz="8" w:space="0" w:color="auto"/>
            </w:tcBorders>
            <w:shd w:val="clear" w:color="auto" w:fill="auto"/>
            <w:vAlign w:val="center"/>
            <w:hideMark/>
          </w:tcPr>
          <w:p w14:paraId="6E1E8D2B"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p>
        </w:tc>
        <w:tc>
          <w:tcPr>
            <w:tcW w:w="1740" w:type="dxa"/>
            <w:tcBorders>
              <w:top w:val="nil"/>
              <w:left w:val="nil"/>
              <w:bottom w:val="single" w:sz="8" w:space="0" w:color="auto"/>
              <w:right w:val="single" w:sz="8" w:space="0" w:color="auto"/>
            </w:tcBorders>
            <w:shd w:val="clear" w:color="auto" w:fill="auto"/>
            <w:vAlign w:val="center"/>
            <w:hideMark/>
          </w:tcPr>
          <w:p w14:paraId="251AA714"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p>
        </w:tc>
        <w:tc>
          <w:tcPr>
            <w:tcW w:w="1720" w:type="dxa"/>
            <w:tcBorders>
              <w:top w:val="nil"/>
              <w:left w:val="nil"/>
              <w:bottom w:val="single" w:sz="8" w:space="0" w:color="auto"/>
              <w:right w:val="single" w:sz="8" w:space="0" w:color="auto"/>
            </w:tcBorders>
            <w:shd w:val="clear" w:color="auto" w:fill="auto"/>
            <w:noWrap/>
            <w:vAlign w:val="center"/>
            <w:hideMark/>
          </w:tcPr>
          <w:p w14:paraId="0A8878DE"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2950FBBB" w14:textId="77777777" w:rsidTr="003627DF">
        <w:trPr>
          <w:trHeight w:val="330"/>
        </w:trPr>
        <w:tc>
          <w:tcPr>
            <w:tcW w:w="4700" w:type="dxa"/>
            <w:tcBorders>
              <w:top w:val="nil"/>
              <w:left w:val="single" w:sz="8" w:space="0" w:color="auto"/>
              <w:bottom w:val="single" w:sz="8" w:space="0" w:color="auto"/>
              <w:right w:val="single" w:sz="8" w:space="0" w:color="auto"/>
            </w:tcBorders>
            <w:shd w:val="clear" w:color="000000" w:fill="BFBFBF"/>
            <w:vAlign w:val="center"/>
            <w:hideMark/>
          </w:tcPr>
          <w:p w14:paraId="5E6F2979"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Dopad na príjmy obcí</w:t>
            </w:r>
          </w:p>
        </w:tc>
        <w:tc>
          <w:tcPr>
            <w:tcW w:w="1540" w:type="dxa"/>
            <w:tcBorders>
              <w:top w:val="nil"/>
              <w:left w:val="nil"/>
              <w:bottom w:val="single" w:sz="8" w:space="0" w:color="auto"/>
              <w:right w:val="single" w:sz="8" w:space="0" w:color="auto"/>
            </w:tcBorders>
            <w:shd w:val="clear" w:color="000000" w:fill="BFBFBF"/>
            <w:vAlign w:val="center"/>
          </w:tcPr>
          <w:p w14:paraId="6996E9B6"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0</w:t>
            </w:r>
          </w:p>
        </w:tc>
        <w:tc>
          <w:tcPr>
            <w:tcW w:w="1740" w:type="dxa"/>
            <w:tcBorders>
              <w:top w:val="nil"/>
              <w:left w:val="nil"/>
              <w:bottom w:val="single" w:sz="8" w:space="0" w:color="auto"/>
              <w:right w:val="single" w:sz="8" w:space="0" w:color="auto"/>
            </w:tcBorders>
            <w:shd w:val="clear" w:color="000000" w:fill="BFBFBF"/>
            <w:vAlign w:val="center"/>
          </w:tcPr>
          <w:p w14:paraId="5D90D464"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12 482 000</w:t>
            </w:r>
          </w:p>
        </w:tc>
        <w:tc>
          <w:tcPr>
            <w:tcW w:w="1740" w:type="dxa"/>
            <w:tcBorders>
              <w:top w:val="nil"/>
              <w:left w:val="nil"/>
              <w:bottom w:val="single" w:sz="8" w:space="0" w:color="auto"/>
              <w:right w:val="single" w:sz="8" w:space="0" w:color="auto"/>
            </w:tcBorders>
            <w:shd w:val="clear" w:color="000000" w:fill="BFBFBF"/>
            <w:vAlign w:val="center"/>
            <w:hideMark/>
          </w:tcPr>
          <w:p w14:paraId="1830E20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15 556 000</w:t>
            </w:r>
          </w:p>
        </w:tc>
        <w:tc>
          <w:tcPr>
            <w:tcW w:w="1740" w:type="dxa"/>
            <w:tcBorders>
              <w:top w:val="nil"/>
              <w:left w:val="nil"/>
              <w:bottom w:val="single" w:sz="8" w:space="0" w:color="auto"/>
              <w:right w:val="single" w:sz="8" w:space="0" w:color="auto"/>
            </w:tcBorders>
            <w:shd w:val="clear" w:color="000000" w:fill="BFBFBF"/>
            <w:vAlign w:val="center"/>
            <w:hideMark/>
          </w:tcPr>
          <w:p w14:paraId="265C47B7"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18 853 000</w:t>
            </w:r>
          </w:p>
        </w:tc>
        <w:tc>
          <w:tcPr>
            <w:tcW w:w="1720" w:type="dxa"/>
            <w:tcBorders>
              <w:top w:val="nil"/>
              <w:left w:val="nil"/>
              <w:bottom w:val="single" w:sz="8" w:space="0" w:color="auto"/>
              <w:right w:val="single" w:sz="8" w:space="0" w:color="auto"/>
            </w:tcBorders>
            <w:shd w:val="clear" w:color="000000" w:fill="BFBFBF"/>
            <w:noWrap/>
            <w:vAlign w:val="center"/>
            <w:hideMark/>
          </w:tcPr>
          <w:p w14:paraId="3D380628"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bl>
    <w:p w14:paraId="22D60E8D" w14:textId="77777777" w:rsidR="00AD62CD" w:rsidRPr="00AD62CD" w:rsidRDefault="00AD62CD" w:rsidP="00AD62CD">
      <w:pPr>
        <w:spacing w:after="200" w:line="276" w:lineRule="auto"/>
        <w:rPr>
          <w:rFonts w:ascii="Times New Roman" w:eastAsia="Calibri" w:hAnsi="Times New Roman" w:cs="Times New Roman"/>
          <w:bCs/>
          <w:kern w:val="0"/>
          <w:szCs w:val="20"/>
          <w:lang w:eastAsia="sk-SK"/>
          <w14:ligatures w14:val="none"/>
        </w:rPr>
      </w:pPr>
    </w:p>
    <w:p w14:paraId="08F8F3FE" w14:textId="77777777" w:rsidR="00AD62CD" w:rsidRPr="00AD62CD" w:rsidRDefault="00AD62CD" w:rsidP="00AD62CD">
      <w:pPr>
        <w:spacing w:after="200" w:line="276" w:lineRule="auto"/>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br w:type="page"/>
      </w:r>
    </w:p>
    <w:p w14:paraId="51B516A9" w14:textId="77777777" w:rsidR="00AD62CD" w:rsidRPr="00AD62CD" w:rsidRDefault="00AD62CD" w:rsidP="00AD62CD">
      <w:pPr>
        <w:spacing w:after="200" w:line="276" w:lineRule="auto"/>
        <w:rPr>
          <w:rFonts w:ascii="Times New Roman" w:eastAsia="Calibri" w:hAnsi="Times New Roman" w:cs="Times New Roman"/>
          <w:bCs/>
          <w:kern w:val="0"/>
          <w:szCs w:val="20"/>
          <w:lang w:eastAsia="sk-SK"/>
          <w14:ligatures w14:val="none"/>
        </w:rPr>
      </w:pPr>
    </w:p>
    <w:tbl>
      <w:tblPr>
        <w:tblW w:w="13180" w:type="dxa"/>
        <w:tblCellMar>
          <w:left w:w="70" w:type="dxa"/>
          <w:right w:w="70" w:type="dxa"/>
        </w:tblCellMar>
        <w:tblLook w:val="04A0" w:firstRow="1" w:lastRow="0" w:firstColumn="1" w:lastColumn="0" w:noHBand="0" w:noVBand="1"/>
      </w:tblPr>
      <w:tblGrid>
        <w:gridCol w:w="4700"/>
        <w:gridCol w:w="1540"/>
        <w:gridCol w:w="1740"/>
        <w:gridCol w:w="1740"/>
        <w:gridCol w:w="1740"/>
        <w:gridCol w:w="1720"/>
      </w:tblGrid>
      <w:tr w:rsidR="00AD62CD" w:rsidRPr="00AD62CD" w14:paraId="025B191F" w14:textId="77777777" w:rsidTr="003627DF">
        <w:trPr>
          <w:trHeight w:val="330"/>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B3344D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Príjmy vyšších územných celkov (v eurách)</w:t>
            </w:r>
          </w:p>
        </w:tc>
        <w:tc>
          <w:tcPr>
            <w:tcW w:w="6760" w:type="dxa"/>
            <w:gridSpan w:val="4"/>
            <w:tcBorders>
              <w:top w:val="single" w:sz="8" w:space="0" w:color="auto"/>
              <w:left w:val="nil"/>
              <w:bottom w:val="single" w:sz="8" w:space="0" w:color="auto"/>
              <w:right w:val="single" w:sz="8" w:space="0" w:color="000000"/>
            </w:tcBorders>
            <w:shd w:val="clear" w:color="000000" w:fill="BFBFBF"/>
            <w:vAlign w:val="center"/>
            <w:hideMark/>
          </w:tcPr>
          <w:p w14:paraId="68E5823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Vplyv na rozpočet vyšších územných celkov</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47C2419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poznámka</w:t>
            </w:r>
          </w:p>
        </w:tc>
      </w:tr>
      <w:tr w:rsidR="00AD62CD" w:rsidRPr="00AD62CD" w14:paraId="0E660033" w14:textId="77777777" w:rsidTr="003627DF">
        <w:trPr>
          <w:trHeight w:val="330"/>
        </w:trPr>
        <w:tc>
          <w:tcPr>
            <w:tcW w:w="4700" w:type="dxa"/>
            <w:vMerge/>
            <w:tcBorders>
              <w:top w:val="single" w:sz="8" w:space="0" w:color="auto"/>
              <w:left w:val="single" w:sz="8" w:space="0" w:color="auto"/>
              <w:bottom w:val="single" w:sz="8" w:space="0" w:color="000000"/>
              <w:right w:val="single" w:sz="8" w:space="0" w:color="auto"/>
            </w:tcBorders>
            <w:vAlign w:val="center"/>
            <w:hideMark/>
          </w:tcPr>
          <w:p w14:paraId="7BDF76E0"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p>
        </w:tc>
        <w:tc>
          <w:tcPr>
            <w:tcW w:w="1540" w:type="dxa"/>
            <w:tcBorders>
              <w:top w:val="nil"/>
              <w:left w:val="nil"/>
              <w:bottom w:val="single" w:sz="8" w:space="0" w:color="auto"/>
              <w:right w:val="single" w:sz="8" w:space="0" w:color="auto"/>
            </w:tcBorders>
            <w:shd w:val="clear" w:color="000000" w:fill="BFBFBF"/>
            <w:vAlign w:val="center"/>
            <w:hideMark/>
          </w:tcPr>
          <w:p w14:paraId="46E06D8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2025</w:t>
            </w:r>
          </w:p>
        </w:tc>
        <w:tc>
          <w:tcPr>
            <w:tcW w:w="1740" w:type="dxa"/>
            <w:tcBorders>
              <w:top w:val="nil"/>
              <w:left w:val="nil"/>
              <w:bottom w:val="single" w:sz="8" w:space="0" w:color="auto"/>
              <w:right w:val="single" w:sz="8" w:space="0" w:color="auto"/>
            </w:tcBorders>
            <w:shd w:val="clear" w:color="000000" w:fill="BFBFBF"/>
            <w:vAlign w:val="center"/>
            <w:hideMark/>
          </w:tcPr>
          <w:p w14:paraId="2AD7CD0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2026</w:t>
            </w:r>
          </w:p>
        </w:tc>
        <w:tc>
          <w:tcPr>
            <w:tcW w:w="1740" w:type="dxa"/>
            <w:tcBorders>
              <w:top w:val="nil"/>
              <w:left w:val="nil"/>
              <w:bottom w:val="single" w:sz="8" w:space="0" w:color="auto"/>
              <w:right w:val="single" w:sz="8" w:space="0" w:color="auto"/>
            </w:tcBorders>
            <w:shd w:val="clear" w:color="000000" w:fill="BFBFBF"/>
            <w:vAlign w:val="center"/>
            <w:hideMark/>
          </w:tcPr>
          <w:p w14:paraId="33E0993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2027</w:t>
            </w:r>
          </w:p>
        </w:tc>
        <w:tc>
          <w:tcPr>
            <w:tcW w:w="1740" w:type="dxa"/>
            <w:tcBorders>
              <w:top w:val="nil"/>
              <w:left w:val="nil"/>
              <w:bottom w:val="single" w:sz="8" w:space="0" w:color="auto"/>
              <w:right w:val="single" w:sz="8" w:space="0" w:color="auto"/>
            </w:tcBorders>
            <w:shd w:val="clear" w:color="000000" w:fill="BFBFBF"/>
            <w:vAlign w:val="center"/>
            <w:hideMark/>
          </w:tcPr>
          <w:p w14:paraId="4A61FA5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2028</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2BCDBA04"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p>
        </w:tc>
      </w:tr>
      <w:tr w:rsidR="00AD62CD" w:rsidRPr="00AD62CD" w14:paraId="42E7C13C" w14:textId="77777777" w:rsidTr="003627DF">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7A2268B5"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Daňové príjmy (100)</w:t>
            </w:r>
            <w:r w:rsidRPr="00AD62CD">
              <w:rPr>
                <w:rFonts w:ascii="Times New Roman" w:eastAsia="Calibri" w:hAnsi="Times New Roman" w:cs="Times New Roman"/>
                <w:b/>
                <w:bCs/>
                <w:color w:val="000000"/>
                <w:kern w:val="0"/>
                <w:vertAlign w:val="superscript"/>
                <w:lang w:eastAsia="sk-SK"/>
                <w14:ligatures w14:val="none"/>
              </w:rPr>
              <w:t>1</w:t>
            </w:r>
          </w:p>
        </w:tc>
        <w:tc>
          <w:tcPr>
            <w:tcW w:w="1540" w:type="dxa"/>
            <w:tcBorders>
              <w:top w:val="nil"/>
              <w:left w:val="nil"/>
              <w:bottom w:val="single" w:sz="8" w:space="0" w:color="auto"/>
              <w:right w:val="single" w:sz="8" w:space="0" w:color="auto"/>
            </w:tcBorders>
            <w:shd w:val="clear" w:color="auto" w:fill="auto"/>
            <w:vAlign w:val="center"/>
            <w:hideMark/>
          </w:tcPr>
          <w:p w14:paraId="1517F333"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0</w:t>
            </w:r>
          </w:p>
        </w:tc>
        <w:tc>
          <w:tcPr>
            <w:tcW w:w="1740" w:type="dxa"/>
            <w:tcBorders>
              <w:top w:val="nil"/>
              <w:left w:val="nil"/>
              <w:bottom w:val="single" w:sz="8" w:space="0" w:color="auto"/>
              <w:right w:val="single" w:sz="8" w:space="0" w:color="auto"/>
            </w:tcBorders>
            <w:shd w:val="clear" w:color="auto" w:fill="auto"/>
            <w:vAlign w:val="center"/>
            <w:hideMark/>
          </w:tcPr>
          <w:p w14:paraId="52D9A05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highlight w:val="yellow"/>
                <w:lang w:eastAsia="sk-SK"/>
                <w14:ligatures w14:val="none"/>
              </w:rPr>
            </w:pPr>
            <w:r w:rsidRPr="00AD62CD">
              <w:rPr>
                <w:rFonts w:ascii="Times New Roman" w:eastAsia="Calibri" w:hAnsi="Times New Roman" w:cs="Times New Roman"/>
                <w:b/>
                <w:bCs/>
                <w:color w:val="000000"/>
                <w:kern w:val="0"/>
                <w:sz w:val="22"/>
                <w:szCs w:val="22"/>
                <w14:ligatures w14:val="none"/>
              </w:rPr>
              <w:t>6 683 000</w:t>
            </w:r>
          </w:p>
        </w:tc>
        <w:tc>
          <w:tcPr>
            <w:tcW w:w="1740" w:type="dxa"/>
            <w:tcBorders>
              <w:top w:val="nil"/>
              <w:left w:val="nil"/>
              <w:bottom w:val="single" w:sz="8" w:space="0" w:color="auto"/>
              <w:right w:val="single" w:sz="8" w:space="0" w:color="auto"/>
            </w:tcBorders>
            <w:shd w:val="clear" w:color="auto" w:fill="auto"/>
            <w:vAlign w:val="center"/>
            <w:hideMark/>
          </w:tcPr>
          <w:p w14:paraId="01E978B6" w14:textId="77777777" w:rsidR="00AD62CD" w:rsidRPr="00AD62CD" w:rsidRDefault="00AD62CD" w:rsidP="00AD62CD">
            <w:pPr>
              <w:spacing w:after="0" w:line="240" w:lineRule="auto"/>
              <w:jc w:val="right"/>
              <w:rPr>
                <w:rFonts w:ascii="Times New Roman" w:eastAsia="Calibri" w:hAnsi="Times New Roman" w:cs="Times New Roman"/>
                <w:b/>
                <w:bCs/>
                <w:color w:val="000000"/>
                <w:kern w:val="0"/>
                <w:highlight w:val="yellow"/>
                <w:lang w:eastAsia="sk-SK"/>
                <w14:ligatures w14:val="none"/>
              </w:rPr>
            </w:pPr>
            <w:r w:rsidRPr="00AD62CD">
              <w:rPr>
                <w:rFonts w:ascii="Times New Roman" w:eastAsia="Calibri" w:hAnsi="Times New Roman" w:cs="Times New Roman"/>
                <w:b/>
                <w:bCs/>
                <w:color w:val="000000"/>
                <w:kern w:val="0"/>
                <w:sz w:val="22"/>
                <w:szCs w:val="22"/>
                <w14:ligatures w14:val="none"/>
              </w:rPr>
              <w:t>8 328 000</w:t>
            </w:r>
          </w:p>
        </w:tc>
        <w:tc>
          <w:tcPr>
            <w:tcW w:w="1740" w:type="dxa"/>
            <w:tcBorders>
              <w:top w:val="nil"/>
              <w:left w:val="nil"/>
              <w:bottom w:val="single" w:sz="8" w:space="0" w:color="auto"/>
              <w:right w:val="single" w:sz="8" w:space="0" w:color="auto"/>
            </w:tcBorders>
            <w:shd w:val="clear" w:color="auto" w:fill="auto"/>
            <w:vAlign w:val="center"/>
            <w:hideMark/>
          </w:tcPr>
          <w:p w14:paraId="74C893B0" w14:textId="77777777" w:rsidR="00AD62CD" w:rsidRPr="00AD62CD" w:rsidRDefault="00AD62CD" w:rsidP="00AD62CD">
            <w:pPr>
              <w:spacing w:after="0" w:line="240" w:lineRule="auto"/>
              <w:jc w:val="right"/>
              <w:rPr>
                <w:rFonts w:ascii="Times New Roman" w:eastAsia="Calibri" w:hAnsi="Times New Roman" w:cs="Times New Roman"/>
                <w:b/>
                <w:bCs/>
                <w:color w:val="000000"/>
                <w:kern w:val="0"/>
                <w:highlight w:val="yellow"/>
                <w:lang w:eastAsia="sk-SK"/>
                <w14:ligatures w14:val="none"/>
              </w:rPr>
            </w:pPr>
            <w:r w:rsidRPr="00AD62CD">
              <w:rPr>
                <w:rFonts w:ascii="Times New Roman" w:eastAsia="Calibri" w:hAnsi="Times New Roman" w:cs="Times New Roman"/>
                <w:b/>
                <w:bCs/>
                <w:color w:val="000000"/>
                <w:kern w:val="0"/>
                <w:sz w:val="22"/>
                <w:szCs w:val="22"/>
                <w14:ligatures w14:val="none"/>
              </w:rPr>
              <w:t>10 094 000</w:t>
            </w:r>
          </w:p>
        </w:tc>
        <w:tc>
          <w:tcPr>
            <w:tcW w:w="1720" w:type="dxa"/>
            <w:tcBorders>
              <w:top w:val="nil"/>
              <w:left w:val="nil"/>
              <w:bottom w:val="single" w:sz="8" w:space="0" w:color="auto"/>
              <w:right w:val="single" w:sz="8" w:space="0" w:color="auto"/>
            </w:tcBorders>
            <w:shd w:val="clear" w:color="auto" w:fill="auto"/>
            <w:noWrap/>
            <w:vAlign w:val="center"/>
            <w:hideMark/>
          </w:tcPr>
          <w:p w14:paraId="4DD6C245"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50EE1585" w14:textId="77777777" w:rsidTr="003627DF">
        <w:trPr>
          <w:trHeight w:val="330"/>
        </w:trPr>
        <w:tc>
          <w:tcPr>
            <w:tcW w:w="4700" w:type="dxa"/>
            <w:tcBorders>
              <w:top w:val="nil"/>
              <w:left w:val="single" w:sz="8" w:space="0" w:color="auto"/>
              <w:bottom w:val="single" w:sz="8" w:space="0" w:color="auto"/>
              <w:right w:val="single" w:sz="8" w:space="0" w:color="auto"/>
            </w:tcBorders>
            <w:shd w:val="clear" w:color="auto" w:fill="auto"/>
            <w:noWrap/>
            <w:vAlign w:val="center"/>
            <w:hideMark/>
          </w:tcPr>
          <w:p w14:paraId="4FECF16A" w14:textId="77777777" w:rsidR="00AD62CD" w:rsidRPr="00AD62CD" w:rsidRDefault="00AD62CD" w:rsidP="00AD62CD">
            <w:pPr>
              <w:spacing w:after="0" w:line="240" w:lineRule="auto"/>
              <w:ind w:firstLineChars="100" w:firstLine="240"/>
              <w:rPr>
                <w:rFonts w:ascii="Times New Roman" w:eastAsia="Calibri" w:hAnsi="Times New Roman" w:cs="Times New Roman"/>
                <w:i/>
                <w:iCs/>
                <w:color w:val="000000"/>
                <w:kern w:val="0"/>
                <w:lang w:eastAsia="sk-SK"/>
                <w14:ligatures w14:val="none"/>
              </w:rPr>
            </w:pPr>
            <w:r w:rsidRPr="00AD62CD">
              <w:rPr>
                <w:rFonts w:ascii="Times New Roman" w:eastAsia="Calibri" w:hAnsi="Times New Roman" w:cs="Times New Roman"/>
                <w:i/>
                <w:iCs/>
                <w:color w:val="000000"/>
                <w:kern w:val="0"/>
                <w:lang w:eastAsia="sk-SK"/>
                <w14:ligatures w14:val="none"/>
              </w:rPr>
              <w:t xml:space="preserve">v tom: (111) daň z príjmov fyzických osôb </w:t>
            </w:r>
          </w:p>
        </w:tc>
        <w:tc>
          <w:tcPr>
            <w:tcW w:w="1540" w:type="dxa"/>
            <w:tcBorders>
              <w:top w:val="nil"/>
              <w:left w:val="nil"/>
              <w:bottom w:val="single" w:sz="8" w:space="0" w:color="auto"/>
              <w:right w:val="single" w:sz="8" w:space="0" w:color="auto"/>
            </w:tcBorders>
            <w:shd w:val="clear" w:color="auto" w:fill="auto"/>
            <w:vAlign w:val="center"/>
            <w:hideMark/>
          </w:tcPr>
          <w:p w14:paraId="4FF64872" w14:textId="77777777" w:rsidR="00AD62CD" w:rsidRPr="00AD62CD" w:rsidRDefault="00AD62CD" w:rsidP="00AD62CD">
            <w:pPr>
              <w:spacing w:after="0" w:line="240" w:lineRule="auto"/>
              <w:jc w:val="right"/>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0</w:t>
            </w:r>
          </w:p>
        </w:tc>
        <w:tc>
          <w:tcPr>
            <w:tcW w:w="1740" w:type="dxa"/>
            <w:tcBorders>
              <w:top w:val="nil"/>
              <w:left w:val="nil"/>
              <w:bottom w:val="single" w:sz="8" w:space="0" w:color="auto"/>
              <w:right w:val="single" w:sz="8" w:space="0" w:color="auto"/>
            </w:tcBorders>
            <w:shd w:val="clear" w:color="auto" w:fill="auto"/>
            <w:vAlign w:val="center"/>
            <w:hideMark/>
          </w:tcPr>
          <w:p w14:paraId="36462E8F" w14:textId="77777777" w:rsidR="00AD62CD" w:rsidRPr="00AD62CD" w:rsidRDefault="00AD62CD" w:rsidP="00AD62CD">
            <w:pPr>
              <w:spacing w:after="0" w:line="240" w:lineRule="auto"/>
              <w:jc w:val="right"/>
              <w:rPr>
                <w:rFonts w:ascii="Times New Roman" w:eastAsia="Calibri" w:hAnsi="Times New Roman" w:cs="Times New Roman"/>
                <w:color w:val="000000"/>
                <w:kern w:val="0"/>
                <w:highlight w:val="yellow"/>
                <w:lang w:eastAsia="sk-SK"/>
                <w14:ligatures w14:val="none"/>
              </w:rPr>
            </w:pPr>
            <w:r w:rsidRPr="00AD62CD">
              <w:rPr>
                <w:rFonts w:ascii="Times New Roman" w:eastAsia="Calibri" w:hAnsi="Times New Roman" w:cs="Times New Roman"/>
                <w:color w:val="000000"/>
                <w:kern w:val="0"/>
                <w:sz w:val="22"/>
                <w:szCs w:val="22"/>
                <w14:ligatures w14:val="none"/>
              </w:rPr>
              <w:t>6 683 000</w:t>
            </w:r>
          </w:p>
        </w:tc>
        <w:tc>
          <w:tcPr>
            <w:tcW w:w="1740" w:type="dxa"/>
            <w:tcBorders>
              <w:top w:val="nil"/>
              <w:left w:val="nil"/>
              <w:bottom w:val="single" w:sz="8" w:space="0" w:color="auto"/>
              <w:right w:val="single" w:sz="8" w:space="0" w:color="auto"/>
            </w:tcBorders>
            <w:shd w:val="clear" w:color="auto" w:fill="auto"/>
            <w:vAlign w:val="center"/>
            <w:hideMark/>
          </w:tcPr>
          <w:p w14:paraId="3D74E211" w14:textId="77777777" w:rsidR="00AD62CD" w:rsidRPr="00AD62CD" w:rsidRDefault="00AD62CD" w:rsidP="00AD62CD">
            <w:pPr>
              <w:spacing w:after="0" w:line="240" w:lineRule="auto"/>
              <w:jc w:val="right"/>
              <w:rPr>
                <w:rFonts w:ascii="Times New Roman" w:eastAsia="Calibri" w:hAnsi="Times New Roman" w:cs="Times New Roman"/>
                <w:color w:val="000000"/>
                <w:kern w:val="0"/>
                <w:highlight w:val="yellow"/>
                <w:lang w:eastAsia="sk-SK"/>
                <w14:ligatures w14:val="none"/>
              </w:rPr>
            </w:pPr>
            <w:r w:rsidRPr="00AD62CD">
              <w:rPr>
                <w:rFonts w:ascii="Times New Roman" w:eastAsia="Calibri" w:hAnsi="Times New Roman" w:cs="Times New Roman"/>
                <w:color w:val="000000"/>
                <w:kern w:val="0"/>
                <w:sz w:val="22"/>
                <w:szCs w:val="22"/>
                <w14:ligatures w14:val="none"/>
              </w:rPr>
              <w:t>8 328 000</w:t>
            </w:r>
          </w:p>
        </w:tc>
        <w:tc>
          <w:tcPr>
            <w:tcW w:w="1740" w:type="dxa"/>
            <w:tcBorders>
              <w:top w:val="nil"/>
              <w:left w:val="nil"/>
              <w:bottom w:val="single" w:sz="8" w:space="0" w:color="auto"/>
              <w:right w:val="single" w:sz="8" w:space="0" w:color="auto"/>
            </w:tcBorders>
            <w:shd w:val="clear" w:color="auto" w:fill="auto"/>
            <w:vAlign w:val="center"/>
            <w:hideMark/>
          </w:tcPr>
          <w:p w14:paraId="48116FE8" w14:textId="77777777" w:rsidR="00AD62CD" w:rsidRPr="00AD62CD" w:rsidRDefault="00AD62CD" w:rsidP="00AD62CD">
            <w:pPr>
              <w:spacing w:after="0" w:line="240" w:lineRule="auto"/>
              <w:jc w:val="right"/>
              <w:rPr>
                <w:rFonts w:ascii="Times New Roman" w:eastAsia="Calibri" w:hAnsi="Times New Roman" w:cs="Times New Roman"/>
                <w:color w:val="000000"/>
                <w:kern w:val="0"/>
                <w:highlight w:val="yellow"/>
                <w:lang w:eastAsia="sk-SK"/>
                <w14:ligatures w14:val="none"/>
              </w:rPr>
            </w:pPr>
            <w:r w:rsidRPr="00AD62CD">
              <w:rPr>
                <w:rFonts w:ascii="Times New Roman" w:eastAsia="Calibri" w:hAnsi="Times New Roman" w:cs="Times New Roman"/>
                <w:color w:val="000000"/>
                <w:kern w:val="0"/>
                <w:sz w:val="22"/>
                <w:szCs w:val="22"/>
                <w14:ligatures w14:val="none"/>
              </w:rPr>
              <w:t>10 094 000</w:t>
            </w:r>
          </w:p>
        </w:tc>
        <w:tc>
          <w:tcPr>
            <w:tcW w:w="1720" w:type="dxa"/>
            <w:tcBorders>
              <w:top w:val="nil"/>
              <w:left w:val="nil"/>
              <w:bottom w:val="single" w:sz="8" w:space="0" w:color="auto"/>
              <w:right w:val="single" w:sz="8" w:space="0" w:color="auto"/>
            </w:tcBorders>
            <w:shd w:val="clear" w:color="auto" w:fill="auto"/>
            <w:noWrap/>
            <w:vAlign w:val="center"/>
            <w:hideMark/>
          </w:tcPr>
          <w:p w14:paraId="5FFEE6EE"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0C3F7C6B" w14:textId="77777777" w:rsidTr="003627DF">
        <w:trPr>
          <w:trHeight w:val="390"/>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58BC8015"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Nedaňové príjmy (200)</w:t>
            </w:r>
            <w:r w:rsidRPr="00AD62CD">
              <w:rPr>
                <w:rFonts w:ascii="Times New Roman" w:eastAsia="Calibri" w:hAnsi="Times New Roman" w:cs="Times New Roman"/>
                <w:b/>
                <w:bCs/>
                <w:color w:val="000000"/>
                <w:kern w:val="0"/>
                <w:vertAlign w:val="superscript"/>
                <w:lang w:eastAsia="sk-SK"/>
                <w14:ligatures w14:val="none"/>
              </w:rPr>
              <w:t>1</w:t>
            </w:r>
          </w:p>
        </w:tc>
        <w:tc>
          <w:tcPr>
            <w:tcW w:w="1540" w:type="dxa"/>
            <w:tcBorders>
              <w:top w:val="nil"/>
              <w:left w:val="nil"/>
              <w:bottom w:val="single" w:sz="8" w:space="0" w:color="auto"/>
              <w:right w:val="single" w:sz="8" w:space="0" w:color="auto"/>
            </w:tcBorders>
            <w:shd w:val="clear" w:color="auto" w:fill="auto"/>
            <w:vAlign w:val="center"/>
            <w:hideMark/>
          </w:tcPr>
          <w:p w14:paraId="528A8DA1"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0</w:t>
            </w:r>
          </w:p>
        </w:tc>
        <w:tc>
          <w:tcPr>
            <w:tcW w:w="1740" w:type="dxa"/>
            <w:tcBorders>
              <w:top w:val="nil"/>
              <w:left w:val="nil"/>
              <w:bottom w:val="single" w:sz="8" w:space="0" w:color="auto"/>
              <w:right w:val="single" w:sz="8" w:space="0" w:color="auto"/>
            </w:tcBorders>
            <w:shd w:val="clear" w:color="auto" w:fill="auto"/>
            <w:vAlign w:val="center"/>
            <w:hideMark/>
          </w:tcPr>
          <w:p w14:paraId="286837D3"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kern w:val="0"/>
                <w14:ligatures w14:val="none"/>
              </w:rPr>
              <w:t>0</w:t>
            </w:r>
          </w:p>
        </w:tc>
        <w:tc>
          <w:tcPr>
            <w:tcW w:w="1740" w:type="dxa"/>
            <w:tcBorders>
              <w:top w:val="nil"/>
              <w:left w:val="nil"/>
              <w:bottom w:val="single" w:sz="8" w:space="0" w:color="auto"/>
              <w:right w:val="single" w:sz="8" w:space="0" w:color="auto"/>
            </w:tcBorders>
            <w:shd w:val="clear" w:color="auto" w:fill="auto"/>
            <w:vAlign w:val="center"/>
            <w:hideMark/>
          </w:tcPr>
          <w:p w14:paraId="4132676E"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kern w:val="0"/>
                <w14:ligatures w14:val="none"/>
              </w:rPr>
              <w:t>0</w:t>
            </w:r>
          </w:p>
        </w:tc>
        <w:tc>
          <w:tcPr>
            <w:tcW w:w="1740" w:type="dxa"/>
            <w:tcBorders>
              <w:top w:val="nil"/>
              <w:left w:val="nil"/>
              <w:bottom w:val="single" w:sz="8" w:space="0" w:color="auto"/>
              <w:right w:val="single" w:sz="8" w:space="0" w:color="auto"/>
            </w:tcBorders>
            <w:shd w:val="clear" w:color="auto" w:fill="auto"/>
            <w:vAlign w:val="center"/>
            <w:hideMark/>
          </w:tcPr>
          <w:p w14:paraId="45B6AF44"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kern w:val="0"/>
                <w14:ligatures w14:val="none"/>
              </w:rPr>
              <w:t>0</w:t>
            </w:r>
          </w:p>
        </w:tc>
        <w:tc>
          <w:tcPr>
            <w:tcW w:w="1720" w:type="dxa"/>
            <w:tcBorders>
              <w:top w:val="nil"/>
              <w:left w:val="nil"/>
              <w:bottom w:val="single" w:sz="8" w:space="0" w:color="auto"/>
              <w:right w:val="single" w:sz="8" w:space="0" w:color="auto"/>
            </w:tcBorders>
            <w:shd w:val="clear" w:color="auto" w:fill="auto"/>
            <w:noWrap/>
            <w:vAlign w:val="center"/>
            <w:hideMark/>
          </w:tcPr>
          <w:p w14:paraId="0C6EA869"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021E00C5" w14:textId="77777777" w:rsidTr="003627DF">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7A94D827"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Príjmy z transakcií s finančnými aktívami a finančnými pasívami (400)</w:t>
            </w:r>
          </w:p>
        </w:tc>
        <w:tc>
          <w:tcPr>
            <w:tcW w:w="1540" w:type="dxa"/>
            <w:tcBorders>
              <w:top w:val="nil"/>
              <w:left w:val="nil"/>
              <w:bottom w:val="single" w:sz="8" w:space="0" w:color="auto"/>
              <w:right w:val="single" w:sz="8" w:space="0" w:color="auto"/>
            </w:tcBorders>
            <w:shd w:val="clear" w:color="auto" w:fill="auto"/>
            <w:vAlign w:val="center"/>
            <w:hideMark/>
          </w:tcPr>
          <w:p w14:paraId="3B3554B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 </w:t>
            </w:r>
          </w:p>
        </w:tc>
        <w:tc>
          <w:tcPr>
            <w:tcW w:w="1740" w:type="dxa"/>
            <w:tcBorders>
              <w:top w:val="nil"/>
              <w:left w:val="nil"/>
              <w:bottom w:val="single" w:sz="8" w:space="0" w:color="auto"/>
              <w:right w:val="single" w:sz="8" w:space="0" w:color="auto"/>
            </w:tcBorders>
            <w:shd w:val="clear" w:color="auto" w:fill="auto"/>
            <w:vAlign w:val="center"/>
            <w:hideMark/>
          </w:tcPr>
          <w:p w14:paraId="07FFD6C3"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p>
        </w:tc>
        <w:tc>
          <w:tcPr>
            <w:tcW w:w="1740" w:type="dxa"/>
            <w:tcBorders>
              <w:top w:val="nil"/>
              <w:left w:val="nil"/>
              <w:bottom w:val="single" w:sz="8" w:space="0" w:color="auto"/>
              <w:right w:val="single" w:sz="8" w:space="0" w:color="auto"/>
            </w:tcBorders>
            <w:shd w:val="clear" w:color="auto" w:fill="auto"/>
            <w:vAlign w:val="center"/>
            <w:hideMark/>
          </w:tcPr>
          <w:p w14:paraId="7CDEA7F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p>
        </w:tc>
        <w:tc>
          <w:tcPr>
            <w:tcW w:w="1740" w:type="dxa"/>
            <w:tcBorders>
              <w:top w:val="nil"/>
              <w:left w:val="nil"/>
              <w:bottom w:val="single" w:sz="8" w:space="0" w:color="auto"/>
              <w:right w:val="single" w:sz="8" w:space="0" w:color="auto"/>
            </w:tcBorders>
            <w:shd w:val="clear" w:color="auto" w:fill="auto"/>
            <w:vAlign w:val="center"/>
            <w:hideMark/>
          </w:tcPr>
          <w:p w14:paraId="04DF9B1C"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p>
        </w:tc>
        <w:tc>
          <w:tcPr>
            <w:tcW w:w="1720" w:type="dxa"/>
            <w:tcBorders>
              <w:top w:val="nil"/>
              <w:left w:val="nil"/>
              <w:bottom w:val="single" w:sz="8" w:space="0" w:color="auto"/>
              <w:right w:val="single" w:sz="8" w:space="0" w:color="auto"/>
            </w:tcBorders>
            <w:shd w:val="clear" w:color="auto" w:fill="auto"/>
            <w:noWrap/>
            <w:vAlign w:val="center"/>
            <w:hideMark/>
          </w:tcPr>
          <w:p w14:paraId="114E40F0"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3107D7D7" w14:textId="77777777" w:rsidTr="003627DF">
        <w:trPr>
          <w:trHeight w:val="645"/>
        </w:trPr>
        <w:tc>
          <w:tcPr>
            <w:tcW w:w="4700" w:type="dxa"/>
            <w:tcBorders>
              <w:top w:val="nil"/>
              <w:left w:val="single" w:sz="8" w:space="0" w:color="auto"/>
              <w:bottom w:val="single" w:sz="8" w:space="0" w:color="auto"/>
              <w:right w:val="single" w:sz="8" w:space="0" w:color="auto"/>
            </w:tcBorders>
            <w:shd w:val="clear" w:color="auto" w:fill="auto"/>
            <w:vAlign w:val="center"/>
            <w:hideMark/>
          </w:tcPr>
          <w:p w14:paraId="54104747"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Prijaté úvery, pôžičky a návratné finančné výpomoci (500)</w:t>
            </w:r>
          </w:p>
        </w:tc>
        <w:tc>
          <w:tcPr>
            <w:tcW w:w="1540" w:type="dxa"/>
            <w:tcBorders>
              <w:top w:val="nil"/>
              <w:left w:val="nil"/>
              <w:bottom w:val="single" w:sz="8" w:space="0" w:color="auto"/>
              <w:right w:val="single" w:sz="8" w:space="0" w:color="auto"/>
            </w:tcBorders>
            <w:shd w:val="clear" w:color="auto" w:fill="auto"/>
            <w:vAlign w:val="center"/>
            <w:hideMark/>
          </w:tcPr>
          <w:p w14:paraId="0F8B541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 </w:t>
            </w:r>
          </w:p>
        </w:tc>
        <w:tc>
          <w:tcPr>
            <w:tcW w:w="1740" w:type="dxa"/>
            <w:tcBorders>
              <w:top w:val="nil"/>
              <w:left w:val="nil"/>
              <w:bottom w:val="single" w:sz="8" w:space="0" w:color="auto"/>
              <w:right w:val="single" w:sz="8" w:space="0" w:color="auto"/>
            </w:tcBorders>
            <w:shd w:val="clear" w:color="auto" w:fill="auto"/>
            <w:vAlign w:val="center"/>
            <w:hideMark/>
          </w:tcPr>
          <w:p w14:paraId="6F2623B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p>
        </w:tc>
        <w:tc>
          <w:tcPr>
            <w:tcW w:w="1740" w:type="dxa"/>
            <w:tcBorders>
              <w:top w:val="nil"/>
              <w:left w:val="nil"/>
              <w:bottom w:val="single" w:sz="8" w:space="0" w:color="auto"/>
              <w:right w:val="single" w:sz="8" w:space="0" w:color="auto"/>
            </w:tcBorders>
            <w:shd w:val="clear" w:color="auto" w:fill="auto"/>
            <w:vAlign w:val="center"/>
            <w:hideMark/>
          </w:tcPr>
          <w:p w14:paraId="2535EFA4"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p>
        </w:tc>
        <w:tc>
          <w:tcPr>
            <w:tcW w:w="1740" w:type="dxa"/>
            <w:tcBorders>
              <w:top w:val="nil"/>
              <w:left w:val="nil"/>
              <w:bottom w:val="single" w:sz="8" w:space="0" w:color="auto"/>
              <w:right w:val="single" w:sz="8" w:space="0" w:color="auto"/>
            </w:tcBorders>
            <w:shd w:val="clear" w:color="auto" w:fill="auto"/>
            <w:vAlign w:val="center"/>
            <w:hideMark/>
          </w:tcPr>
          <w:p w14:paraId="2137224C"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p>
        </w:tc>
        <w:tc>
          <w:tcPr>
            <w:tcW w:w="1720" w:type="dxa"/>
            <w:tcBorders>
              <w:top w:val="nil"/>
              <w:left w:val="nil"/>
              <w:bottom w:val="single" w:sz="8" w:space="0" w:color="auto"/>
              <w:right w:val="single" w:sz="8" w:space="0" w:color="auto"/>
            </w:tcBorders>
            <w:shd w:val="clear" w:color="auto" w:fill="auto"/>
            <w:noWrap/>
            <w:vAlign w:val="center"/>
            <w:hideMark/>
          </w:tcPr>
          <w:p w14:paraId="5B2B8E88"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3B50A3B3" w14:textId="77777777" w:rsidTr="003627DF">
        <w:trPr>
          <w:trHeight w:val="330"/>
        </w:trPr>
        <w:tc>
          <w:tcPr>
            <w:tcW w:w="4700" w:type="dxa"/>
            <w:tcBorders>
              <w:top w:val="nil"/>
              <w:left w:val="single" w:sz="8" w:space="0" w:color="auto"/>
              <w:bottom w:val="single" w:sz="8" w:space="0" w:color="auto"/>
              <w:right w:val="single" w:sz="8" w:space="0" w:color="auto"/>
            </w:tcBorders>
            <w:shd w:val="clear" w:color="000000" w:fill="BFBFBF"/>
            <w:vAlign w:val="center"/>
            <w:hideMark/>
          </w:tcPr>
          <w:p w14:paraId="14F0242E"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Dopad na príjmy vyšších územných celkov</w:t>
            </w:r>
          </w:p>
        </w:tc>
        <w:tc>
          <w:tcPr>
            <w:tcW w:w="1540" w:type="dxa"/>
            <w:tcBorders>
              <w:top w:val="nil"/>
              <w:left w:val="nil"/>
              <w:bottom w:val="single" w:sz="8" w:space="0" w:color="auto"/>
              <w:right w:val="single" w:sz="8" w:space="0" w:color="auto"/>
            </w:tcBorders>
            <w:shd w:val="clear" w:color="000000" w:fill="BFBFBF"/>
            <w:vAlign w:val="center"/>
            <w:hideMark/>
          </w:tcPr>
          <w:p w14:paraId="5BA8C0B7"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0</w:t>
            </w:r>
          </w:p>
        </w:tc>
        <w:tc>
          <w:tcPr>
            <w:tcW w:w="1740" w:type="dxa"/>
            <w:tcBorders>
              <w:top w:val="nil"/>
              <w:left w:val="nil"/>
              <w:bottom w:val="single" w:sz="8" w:space="0" w:color="auto"/>
              <w:right w:val="single" w:sz="8" w:space="0" w:color="auto"/>
            </w:tcBorders>
            <w:shd w:val="clear" w:color="000000" w:fill="BFBFBF"/>
            <w:vAlign w:val="center"/>
            <w:hideMark/>
          </w:tcPr>
          <w:p w14:paraId="73F61BAC"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6 683 000</w:t>
            </w:r>
          </w:p>
        </w:tc>
        <w:tc>
          <w:tcPr>
            <w:tcW w:w="1740" w:type="dxa"/>
            <w:tcBorders>
              <w:top w:val="nil"/>
              <w:left w:val="nil"/>
              <w:bottom w:val="single" w:sz="8" w:space="0" w:color="auto"/>
              <w:right w:val="single" w:sz="8" w:space="0" w:color="auto"/>
            </w:tcBorders>
            <w:shd w:val="clear" w:color="000000" w:fill="BFBFBF"/>
            <w:vAlign w:val="center"/>
            <w:hideMark/>
          </w:tcPr>
          <w:p w14:paraId="4390849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8 328 000</w:t>
            </w:r>
          </w:p>
        </w:tc>
        <w:tc>
          <w:tcPr>
            <w:tcW w:w="1740" w:type="dxa"/>
            <w:tcBorders>
              <w:top w:val="nil"/>
              <w:left w:val="nil"/>
              <w:bottom w:val="single" w:sz="8" w:space="0" w:color="auto"/>
              <w:right w:val="single" w:sz="8" w:space="0" w:color="auto"/>
            </w:tcBorders>
            <w:shd w:val="clear" w:color="000000" w:fill="BFBFBF"/>
            <w:vAlign w:val="center"/>
            <w:hideMark/>
          </w:tcPr>
          <w:p w14:paraId="1A3BF02C" w14:textId="77777777" w:rsidR="00AD62CD" w:rsidRPr="00AD62CD" w:rsidRDefault="00AD62CD" w:rsidP="00AD62CD">
            <w:pPr>
              <w:spacing w:after="0" w:line="240" w:lineRule="auto"/>
              <w:jc w:val="right"/>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10 094 000</w:t>
            </w:r>
          </w:p>
        </w:tc>
        <w:tc>
          <w:tcPr>
            <w:tcW w:w="1720" w:type="dxa"/>
            <w:tcBorders>
              <w:top w:val="nil"/>
              <w:left w:val="nil"/>
              <w:bottom w:val="single" w:sz="8" w:space="0" w:color="auto"/>
              <w:right w:val="single" w:sz="8" w:space="0" w:color="auto"/>
            </w:tcBorders>
            <w:shd w:val="clear" w:color="000000" w:fill="BFBFBF"/>
            <w:noWrap/>
            <w:vAlign w:val="center"/>
            <w:hideMark/>
          </w:tcPr>
          <w:p w14:paraId="087994DD"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bl>
    <w:p w14:paraId="1FA4D376"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115109A5" w14:textId="77777777" w:rsidR="00AD62CD" w:rsidRPr="00AD62CD" w:rsidRDefault="00AD62CD" w:rsidP="00AD62CD">
      <w:pPr>
        <w:spacing w:after="200" w:line="276" w:lineRule="auto"/>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br w:type="page"/>
      </w:r>
    </w:p>
    <w:tbl>
      <w:tblPr>
        <w:tblW w:w="12762" w:type="dxa"/>
        <w:tblCellMar>
          <w:left w:w="70" w:type="dxa"/>
          <w:right w:w="70" w:type="dxa"/>
        </w:tblCellMar>
        <w:tblLook w:val="04A0" w:firstRow="1" w:lastRow="0" w:firstColumn="1" w:lastColumn="0" w:noHBand="0" w:noVBand="1"/>
      </w:tblPr>
      <w:tblGrid>
        <w:gridCol w:w="5734"/>
        <w:gridCol w:w="2080"/>
        <w:gridCol w:w="1649"/>
        <w:gridCol w:w="1649"/>
        <w:gridCol w:w="1650"/>
      </w:tblGrid>
      <w:tr w:rsidR="00AD62CD" w:rsidRPr="00AD62CD" w14:paraId="5CC86B34" w14:textId="77777777" w:rsidTr="003627DF">
        <w:trPr>
          <w:trHeight w:val="306"/>
        </w:trPr>
        <w:tc>
          <w:tcPr>
            <w:tcW w:w="573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CEBC61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Príjmy Sociálnej poisťovne (v eurách)</w:t>
            </w:r>
          </w:p>
        </w:tc>
        <w:tc>
          <w:tcPr>
            <w:tcW w:w="7028" w:type="dxa"/>
            <w:gridSpan w:val="4"/>
            <w:tcBorders>
              <w:top w:val="single" w:sz="8" w:space="0" w:color="auto"/>
              <w:left w:val="nil"/>
              <w:bottom w:val="single" w:sz="8" w:space="0" w:color="auto"/>
              <w:right w:val="single" w:sz="8" w:space="0" w:color="000000"/>
            </w:tcBorders>
            <w:shd w:val="clear" w:color="000000" w:fill="BFBFBF"/>
            <w:vAlign w:val="center"/>
            <w:hideMark/>
          </w:tcPr>
          <w:p w14:paraId="2C1C828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Vplyv na rozpočet zdravotných poisťovní</w:t>
            </w:r>
          </w:p>
        </w:tc>
      </w:tr>
      <w:tr w:rsidR="00AD62CD" w:rsidRPr="00AD62CD" w14:paraId="4B8816B3" w14:textId="77777777" w:rsidTr="003627DF">
        <w:trPr>
          <w:trHeight w:val="306"/>
        </w:trPr>
        <w:tc>
          <w:tcPr>
            <w:tcW w:w="5734" w:type="dxa"/>
            <w:vMerge/>
            <w:tcBorders>
              <w:top w:val="single" w:sz="8" w:space="0" w:color="auto"/>
              <w:left w:val="single" w:sz="8" w:space="0" w:color="auto"/>
              <w:bottom w:val="single" w:sz="8" w:space="0" w:color="000000"/>
              <w:right w:val="single" w:sz="8" w:space="0" w:color="auto"/>
            </w:tcBorders>
            <w:vAlign w:val="center"/>
            <w:hideMark/>
          </w:tcPr>
          <w:p w14:paraId="0FC594E4"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p>
        </w:tc>
        <w:tc>
          <w:tcPr>
            <w:tcW w:w="2080" w:type="dxa"/>
            <w:tcBorders>
              <w:top w:val="nil"/>
              <w:left w:val="nil"/>
              <w:bottom w:val="single" w:sz="8" w:space="0" w:color="auto"/>
              <w:right w:val="single" w:sz="8" w:space="0" w:color="auto"/>
            </w:tcBorders>
            <w:shd w:val="clear" w:color="000000" w:fill="BFBFBF"/>
            <w:vAlign w:val="center"/>
            <w:hideMark/>
          </w:tcPr>
          <w:p w14:paraId="29EDB0F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2024</w:t>
            </w:r>
          </w:p>
        </w:tc>
        <w:tc>
          <w:tcPr>
            <w:tcW w:w="1649" w:type="dxa"/>
            <w:tcBorders>
              <w:top w:val="nil"/>
              <w:left w:val="nil"/>
              <w:bottom w:val="single" w:sz="8" w:space="0" w:color="auto"/>
              <w:right w:val="single" w:sz="8" w:space="0" w:color="auto"/>
            </w:tcBorders>
            <w:shd w:val="clear" w:color="000000" w:fill="BFBFBF"/>
            <w:vAlign w:val="center"/>
            <w:hideMark/>
          </w:tcPr>
          <w:p w14:paraId="1EABC2AA"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2025</w:t>
            </w:r>
          </w:p>
        </w:tc>
        <w:tc>
          <w:tcPr>
            <w:tcW w:w="1649" w:type="dxa"/>
            <w:tcBorders>
              <w:top w:val="nil"/>
              <w:left w:val="nil"/>
              <w:bottom w:val="single" w:sz="8" w:space="0" w:color="auto"/>
              <w:right w:val="single" w:sz="8" w:space="0" w:color="auto"/>
            </w:tcBorders>
            <w:shd w:val="clear" w:color="000000" w:fill="BFBFBF"/>
            <w:vAlign w:val="center"/>
            <w:hideMark/>
          </w:tcPr>
          <w:p w14:paraId="3E57A4B0"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2026</w:t>
            </w:r>
          </w:p>
        </w:tc>
        <w:tc>
          <w:tcPr>
            <w:tcW w:w="1650" w:type="dxa"/>
            <w:tcBorders>
              <w:top w:val="nil"/>
              <w:left w:val="nil"/>
              <w:bottom w:val="single" w:sz="8" w:space="0" w:color="auto"/>
              <w:right w:val="single" w:sz="8" w:space="0" w:color="auto"/>
            </w:tcBorders>
            <w:shd w:val="clear" w:color="000000" w:fill="BFBFBF"/>
            <w:vAlign w:val="center"/>
            <w:hideMark/>
          </w:tcPr>
          <w:p w14:paraId="4355BED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2027</w:t>
            </w:r>
          </w:p>
        </w:tc>
      </w:tr>
      <w:tr w:rsidR="00AD62CD" w:rsidRPr="00AD62CD" w14:paraId="43CB0C08" w14:textId="77777777" w:rsidTr="003627DF">
        <w:trPr>
          <w:trHeight w:val="362"/>
        </w:trPr>
        <w:tc>
          <w:tcPr>
            <w:tcW w:w="5734" w:type="dxa"/>
            <w:tcBorders>
              <w:top w:val="nil"/>
              <w:left w:val="single" w:sz="8" w:space="0" w:color="auto"/>
              <w:bottom w:val="single" w:sz="8" w:space="0" w:color="auto"/>
              <w:right w:val="single" w:sz="8" w:space="0" w:color="auto"/>
            </w:tcBorders>
            <w:shd w:val="clear" w:color="auto" w:fill="auto"/>
            <w:vAlign w:val="center"/>
            <w:hideMark/>
          </w:tcPr>
          <w:p w14:paraId="3EDBB8E1"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Daňové príjmy (100)</w:t>
            </w:r>
            <w:r w:rsidRPr="00AD62CD">
              <w:rPr>
                <w:rFonts w:ascii="Times New Roman" w:eastAsia="Times New Roman" w:hAnsi="Times New Roman" w:cs="Times New Roman"/>
                <w:b/>
                <w:bCs/>
                <w:color w:val="000000"/>
                <w:kern w:val="0"/>
                <w:vertAlign w:val="superscript"/>
                <w:lang w:eastAsia="sk-SK"/>
                <w14:ligatures w14:val="none"/>
              </w:rPr>
              <w:t>1</w:t>
            </w:r>
          </w:p>
        </w:tc>
        <w:tc>
          <w:tcPr>
            <w:tcW w:w="2080" w:type="dxa"/>
            <w:tcBorders>
              <w:top w:val="nil"/>
              <w:left w:val="nil"/>
              <w:bottom w:val="single" w:sz="8" w:space="0" w:color="auto"/>
              <w:right w:val="single" w:sz="8" w:space="0" w:color="auto"/>
            </w:tcBorders>
            <w:shd w:val="clear" w:color="auto" w:fill="auto"/>
            <w:vAlign w:val="center"/>
            <w:hideMark/>
          </w:tcPr>
          <w:p w14:paraId="0E506024"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0</w:t>
            </w:r>
          </w:p>
        </w:tc>
        <w:tc>
          <w:tcPr>
            <w:tcW w:w="1649" w:type="dxa"/>
            <w:tcBorders>
              <w:top w:val="nil"/>
              <w:left w:val="nil"/>
              <w:bottom w:val="single" w:sz="8" w:space="0" w:color="auto"/>
              <w:right w:val="single" w:sz="8" w:space="0" w:color="auto"/>
            </w:tcBorders>
            <w:shd w:val="clear" w:color="auto" w:fill="auto"/>
            <w:vAlign w:val="center"/>
            <w:hideMark/>
          </w:tcPr>
          <w:p w14:paraId="3C84F4BC"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64 656 000</w:t>
            </w:r>
          </w:p>
        </w:tc>
        <w:tc>
          <w:tcPr>
            <w:tcW w:w="1649" w:type="dxa"/>
            <w:tcBorders>
              <w:top w:val="nil"/>
              <w:left w:val="nil"/>
              <w:bottom w:val="single" w:sz="8" w:space="0" w:color="auto"/>
              <w:right w:val="single" w:sz="8" w:space="0" w:color="auto"/>
            </w:tcBorders>
            <w:shd w:val="clear" w:color="auto" w:fill="auto"/>
            <w:vAlign w:val="center"/>
            <w:hideMark/>
          </w:tcPr>
          <w:p w14:paraId="53AD97DA"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56 205 000</w:t>
            </w:r>
          </w:p>
        </w:tc>
        <w:tc>
          <w:tcPr>
            <w:tcW w:w="1650" w:type="dxa"/>
            <w:tcBorders>
              <w:top w:val="nil"/>
              <w:left w:val="nil"/>
              <w:bottom w:val="single" w:sz="8" w:space="0" w:color="auto"/>
              <w:right w:val="single" w:sz="8" w:space="0" w:color="auto"/>
            </w:tcBorders>
            <w:shd w:val="clear" w:color="auto" w:fill="auto"/>
            <w:vAlign w:val="center"/>
            <w:hideMark/>
          </w:tcPr>
          <w:p w14:paraId="45A771F1"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67 233 000</w:t>
            </w:r>
          </w:p>
        </w:tc>
      </w:tr>
      <w:tr w:rsidR="00AD62CD" w:rsidRPr="00AD62CD" w14:paraId="407045C4" w14:textId="77777777" w:rsidTr="003627DF">
        <w:trPr>
          <w:trHeight w:val="306"/>
        </w:trPr>
        <w:tc>
          <w:tcPr>
            <w:tcW w:w="5734" w:type="dxa"/>
            <w:tcBorders>
              <w:top w:val="nil"/>
              <w:left w:val="single" w:sz="8" w:space="0" w:color="auto"/>
              <w:bottom w:val="single" w:sz="8" w:space="0" w:color="auto"/>
              <w:right w:val="single" w:sz="8" w:space="0" w:color="auto"/>
            </w:tcBorders>
            <w:shd w:val="clear" w:color="auto" w:fill="auto"/>
            <w:noWrap/>
            <w:vAlign w:val="center"/>
            <w:hideMark/>
          </w:tcPr>
          <w:p w14:paraId="5F9974CF" w14:textId="77777777" w:rsidR="00AD62CD" w:rsidRPr="00AD62CD" w:rsidRDefault="00AD62CD" w:rsidP="00AD62CD">
            <w:pPr>
              <w:spacing w:after="0" w:line="240" w:lineRule="auto"/>
              <w:ind w:firstLineChars="100" w:firstLine="240"/>
              <w:rPr>
                <w:rFonts w:ascii="Times New Roman" w:eastAsia="Times New Roman" w:hAnsi="Times New Roman" w:cs="Times New Roman"/>
                <w:i/>
                <w:iCs/>
                <w:color w:val="000000"/>
                <w:kern w:val="0"/>
                <w:lang w:eastAsia="sk-SK"/>
                <w14:ligatures w14:val="none"/>
              </w:rPr>
            </w:pPr>
            <w:r w:rsidRPr="00AD62CD">
              <w:rPr>
                <w:rFonts w:ascii="Times New Roman" w:eastAsia="Times New Roman" w:hAnsi="Times New Roman" w:cs="Times New Roman"/>
                <w:i/>
                <w:iCs/>
                <w:color w:val="000000"/>
                <w:kern w:val="0"/>
                <w:lang w:eastAsia="sk-SK"/>
                <w14:ligatures w14:val="none"/>
              </w:rPr>
              <w:t>v tom: (150 okrem 154) poistné</w:t>
            </w:r>
          </w:p>
        </w:tc>
        <w:tc>
          <w:tcPr>
            <w:tcW w:w="2080" w:type="dxa"/>
            <w:tcBorders>
              <w:top w:val="nil"/>
              <w:left w:val="nil"/>
              <w:bottom w:val="single" w:sz="8" w:space="0" w:color="auto"/>
              <w:right w:val="single" w:sz="8" w:space="0" w:color="auto"/>
            </w:tcBorders>
            <w:shd w:val="clear" w:color="auto" w:fill="auto"/>
            <w:vAlign w:val="center"/>
            <w:hideMark/>
          </w:tcPr>
          <w:p w14:paraId="1D23043D" w14:textId="77777777" w:rsidR="00AD62CD" w:rsidRPr="00AD62CD" w:rsidRDefault="00AD62CD" w:rsidP="00AD62CD">
            <w:pPr>
              <w:spacing w:after="0" w:line="240" w:lineRule="auto"/>
              <w:jc w:val="right"/>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0</w:t>
            </w:r>
          </w:p>
        </w:tc>
        <w:tc>
          <w:tcPr>
            <w:tcW w:w="1649" w:type="dxa"/>
            <w:tcBorders>
              <w:top w:val="nil"/>
              <w:left w:val="nil"/>
              <w:bottom w:val="single" w:sz="8" w:space="0" w:color="auto"/>
              <w:right w:val="single" w:sz="8" w:space="0" w:color="auto"/>
            </w:tcBorders>
            <w:shd w:val="clear" w:color="auto" w:fill="auto"/>
            <w:vAlign w:val="center"/>
            <w:hideMark/>
          </w:tcPr>
          <w:p w14:paraId="6366663C" w14:textId="77777777" w:rsidR="00AD62CD" w:rsidRPr="00AD62CD" w:rsidRDefault="00AD62CD" w:rsidP="00AD62CD">
            <w:pPr>
              <w:spacing w:after="0" w:line="240" w:lineRule="auto"/>
              <w:jc w:val="right"/>
              <w:rPr>
                <w:rFonts w:ascii="Times New Roman" w:eastAsia="Times New Roman"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64 656 000</w:t>
            </w:r>
          </w:p>
        </w:tc>
        <w:tc>
          <w:tcPr>
            <w:tcW w:w="1649" w:type="dxa"/>
            <w:tcBorders>
              <w:top w:val="nil"/>
              <w:left w:val="nil"/>
              <w:bottom w:val="single" w:sz="8" w:space="0" w:color="auto"/>
              <w:right w:val="single" w:sz="8" w:space="0" w:color="auto"/>
            </w:tcBorders>
            <w:shd w:val="clear" w:color="auto" w:fill="auto"/>
            <w:vAlign w:val="center"/>
            <w:hideMark/>
          </w:tcPr>
          <w:p w14:paraId="6A6CEFF9" w14:textId="77777777" w:rsidR="00AD62CD" w:rsidRPr="00AD62CD" w:rsidRDefault="00AD62CD" w:rsidP="00AD62CD">
            <w:pPr>
              <w:spacing w:after="0" w:line="240" w:lineRule="auto"/>
              <w:jc w:val="right"/>
              <w:rPr>
                <w:rFonts w:ascii="Times New Roman" w:eastAsia="Times New Roman"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56 205 000</w:t>
            </w:r>
          </w:p>
        </w:tc>
        <w:tc>
          <w:tcPr>
            <w:tcW w:w="1650" w:type="dxa"/>
            <w:tcBorders>
              <w:top w:val="nil"/>
              <w:left w:val="nil"/>
              <w:bottom w:val="single" w:sz="8" w:space="0" w:color="auto"/>
              <w:right w:val="single" w:sz="8" w:space="0" w:color="auto"/>
            </w:tcBorders>
            <w:shd w:val="clear" w:color="auto" w:fill="auto"/>
            <w:vAlign w:val="center"/>
            <w:hideMark/>
          </w:tcPr>
          <w:p w14:paraId="703F1E09" w14:textId="77777777" w:rsidR="00AD62CD" w:rsidRPr="00AD62CD" w:rsidRDefault="00AD62CD" w:rsidP="00AD62CD">
            <w:pPr>
              <w:spacing w:after="0" w:line="240" w:lineRule="auto"/>
              <w:jc w:val="right"/>
              <w:rPr>
                <w:rFonts w:ascii="Times New Roman" w:eastAsia="Times New Roman"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67 233 000</w:t>
            </w:r>
          </w:p>
        </w:tc>
      </w:tr>
      <w:tr w:rsidR="00AD62CD" w:rsidRPr="00AD62CD" w14:paraId="3B6DDAF2" w14:textId="77777777" w:rsidTr="003627DF">
        <w:trPr>
          <w:trHeight w:val="362"/>
        </w:trPr>
        <w:tc>
          <w:tcPr>
            <w:tcW w:w="5734" w:type="dxa"/>
            <w:tcBorders>
              <w:top w:val="nil"/>
              <w:left w:val="single" w:sz="8" w:space="0" w:color="auto"/>
              <w:bottom w:val="single" w:sz="8" w:space="0" w:color="auto"/>
              <w:right w:val="single" w:sz="8" w:space="0" w:color="auto"/>
            </w:tcBorders>
            <w:shd w:val="clear" w:color="auto" w:fill="auto"/>
            <w:vAlign w:val="center"/>
            <w:hideMark/>
          </w:tcPr>
          <w:p w14:paraId="2E314BD8"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Nedaňové príjmy (200)</w:t>
            </w:r>
            <w:r w:rsidRPr="00AD62CD">
              <w:rPr>
                <w:rFonts w:ascii="Times New Roman" w:eastAsia="Times New Roman" w:hAnsi="Times New Roman" w:cs="Times New Roman"/>
                <w:b/>
                <w:bCs/>
                <w:color w:val="000000"/>
                <w:kern w:val="0"/>
                <w:vertAlign w:val="superscript"/>
                <w:lang w:eastAsia="sk-SK"/>
                <w14:ligatures w14:val="none"/>
              </w:rPr>
              <w:t>1</w:t>
            </w:r>
          </w:p>
        </w:tc>
        <w:tc>
          <w:tcPr>
            <w:tcW w:w="2080" w:type="dxa"/>
            <w:tcBorders>
              <w:top w:val="nil"/>
              <w:left w:val="nil"/>
              <w:bottom w:val="single" w:sz="8" w:space="0" w:color="auto"/>
              <w:right w:val="single" w:sz="8" w:space="0" w:color="auto"/>
            </w:tcBorders>
            <w:shd w:val="clear" w:color="auto" w:fill="auto"/>
            <w:vAlign w:val="center"/>
            <w:hideMark/>
          </w:tcPr>
          <w:p w14:paraId="34375691"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0</w:t>
            </w:r>
          </w:p>
        </w:tc>
        <w:tc>
          <w:tcPr>
            <w:tcW w:w="1649" w:type="dxa"/>
            <w:tcBorders>
              <w:top w:val="nil"/>
              <w:left w:val="nil"/>
              <w:bottom w:val="single" w:sz="8" w:space="0" w:color="auto"/>
              <w:right w:val="single" w:sz="8" w:space="0" w:color="auto"/>
            </w:tcBorders>
            <w:shd w:val="clear" w:color="auto" w:fill="auto"/>
            <w:vAlign w:val="center"/>
            <w:hideMark/>
          </w:tcPr>
          <w:p w14:paraId="4A00BBE3"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0</w:t>
            </w:r>
          </w:p>
        </w:tc>
        <w:tc>
          <w:tcPr>
            <w:tcW w:w="1649" w:type="dxa"/>
            <w:tcBorders>
              <w:top w:val="nil"/>
              <w:left w:val="nil"/>
              <w:bottom w:val="single" w:sz="8" w:space="0" w:color="auto"/>
              <w:right w:val="single" w:sz="8" w:space="0" w:color="auto"/>
            </w:tcBorders>
            <w:shd w:val="clear" w:color="auto" w:fill="auto"/>
            <w:vAlign w:val="center"/>
            <w:hideMark/>
          </w:tcPr>
          <w:p w14:paraId="1934CAAF"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0</w:t>
            </w:r>
          </w:p>
        </w:tc>
        <w:tc>
          <w:tcPr>
            <w:tcW w:w="1650" w:type="dxa"/>
            <w:tcBorders>
              <w:top w:val="nil"/>
              <w:left w:val="nil"/>
              <w:bottom w:val="single" w:sz="8" w:space="0" w:color="auto"/>
              <w:right w:val="single" w:sz="8" w:space="0" w:color="auto"/>
            </w:tcBorders>
            <w:shd w:val="clear" w:color="auto" w:fill="auto"/>
            <w:vAlign w:val="center"/>
            <w:hideMark/>
          </w:tcPr>
          <w:p w14:paraId="19505F89"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0</w:t>
            </w:r>
          </w:p>
        </w:tc>
      </w:tr>
      <w:tr w:rsidR="00AD62CD" w:rsidRPr="00AD62CD" w14:paraId="721E35B4" w14:textId="77777777" w:rsidTr="003627DF">
        <w:trPr>
          <w:trHeight w:val="598"/>
        </w:trPr>
        <w:tc>
          <w:tcPr>
            <w:tcW w:w="5734" w:type="dxa"/>
            <w:tcBorders>
              <w:top w:val="nil"/>
              <w:left w:val="single" w:sz="8" w:space="0" w:color="auto"/>
              <w:bottom w:val="single" w:sz="8" w:space="0" w:color="auto"/>
              <w:right w:val="single" w:sz="8" w:space="0" w:color="auto"/>
            </w:tcBorders>
            <w:shd w:val="clear" w:color="auto" w:fill="auto"/>
            <w:vAlign w:val="center"/>
            <w:hideMark/>
          </w:tcPr>
          <w:p w14:paraId="00753708"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Príjmy z transakcií s finančnými aktívami a finančnými pasívami (400)</w:t>
            </w:r>
          </w:p>
        </w:tc>
        <w:tc>
          <w:tcPr>
            <w:tcW w:w="2080" w:type="dxa"/>
            <w:tcBorders>
              <w:top w:val="nil"/>
              <w:left w:val="nil"/>
              <w:bottom w:val="single" w:sz="8" w:space="0" w:color="auto"/>
              <w:right w:val="single" w:sz="8" w:space="0" w:color="auto"/>
            </w:tcBorders>
            <w:shd w:val="clear" w:color="auto" w:fill="auto"/>
            <w:vAlign w:val="center"/>
            <w:hideMark/>
          </w:tcPr>
          <w:p w14:paraId="2BCCDB7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c>
          <w:tcPr>
            <w:tcW w:w="1649" w:type="dxa"/>
            <w:tcBorders>
              <w:top w:val="nil"/>
              <w:left w:val="nil"/>
              <w:bottom w:val="single" w:sz="8" w:space="0" w:color="auto"/>
              <w:right w:val="single" w:sz="8" w:space="0" w:color="auto"/>
            </w:tcBorders>
            <w:shd w:val="clear" w:color="auto" w:fill="auto"/>
            <w:vAlign w:val="center"/>
            <w:hideMark/>
          </w:tcPr>
          <w:p w14:paraId="6D0C287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c>
          <w:tcPr>
            <w:tcW w:w="1649" w:type="dxa"/>
            <w:tcBorders>
              <w:top w:val="nil"/>
              <w:left w:val="nil"/>
              <w:bottom w:val="single" w:sz="8" w:space="0" w:color="auto"/>
              <w:right w:val="single" w:sz="8" w:space="0" w:color="auto"/>
            </w:tcBorders>
            <w:shd w:val="clear" w:color="auto" w:fill="auto"/>
            <w:vAlign w:val="center"/>
            <w:hideMark/>
          </w:tcPr>
          <w:p w14:paraId="067A3AF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c>
          <w:tcPr>
            <w:tcW w:w="1650" w:type="dxa"/>
            <w:tcBorders>
              <w:top w:val="nil"/>
              <w:left w:val="nil"/>
              <w:bottom w:val="single" w:sz="8" w:space="0" w:color="auto"/>
              <w:right w:val="single" w:sz="8" w:space="0" w:color="auto"/>
            </w:tcBorders>
            <w:shd w:val="clear" w:color="auto" w:fill="auto"/>
            <w:vAlign w:val="center"/>
            <w:hideMark/>
          </w:tcPr>
          <w:p w14:paraId="1A34AEA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r>
      <w:tr w:rsidR="00AD62CD" w:rsidRPr="00AD62CD" w14:paraId="1CCFC259" w14:textId="77777777" w:rsidTr="003627DF">
        <w:trPr>
          <w:trHeight w:val="598"/>
        </w:trPr>
        <w:tc>
          <w:tcPr>
            <w:tcW w:w="5734" w:type="dxa"/>
            <w:tcBorders>
              <w:top w:val="nil"/>
              <w:left w:val="single" w:sz="8" w:space="0" w:color="auto"/>
              <w:bottom w:val="single" w:sz="8" w:space="0" w:color="auto"/>
              <w:right w:val="single" w:sz="8" w:space="0" w:color="auto"/>
            </w:tcBorders>
            <w:shd w:val="clear" w:color="auto" w:fill="auto"/>
            <w:vAlign w:val="center"/>
            <w:hideMark/>
          </w:tcPr>
          <w:p w14:paraId="0BFF3B32"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Prijaté úvery, pôžičky a návratné finančné výpomoci (500)</w:t>
            </w:r>
          </w:p>
        </w:tc>
        <w:tc>
          <w:tcPr>
            <w:tcW w:w="2080" w:type="dxa"/>
            <w:tcBorders>
              <w:top w:val="nil"/>
              <w:left w:val="nil"/>
              <w:bottom w:val="single" w:sz="8" w:space="0" w:color="auto"/>
              <w:right w:val="single" w:sz="8" w:space="0" w:color="auto"/>
            </w:tcBorders>
            <w:shd w:val="clear" w:color="auto" w:fill="auto"/>
            <w:vAlign w:val="center"/>
            <w:hideMark/>
          </w:tcPr>
          <w:p w14:paraId="598EA9E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c>
          <w:tcPr>
            <w:tcW w:w="1649" w:type="dxa"/>
            <w:tcBorders>
              <w:top w:val="nil"/>
              <w:left w:val="nil"/>
              <w:bottom w:val="single" w:sz="8" w:space="0" w:color="auto"/>
              <w:right w:val="single" w:sz="8" w:space="0" w:color="auto"/>
            </w:tcBorders>
            <w:shd w:val="clear" w:color="auto" w:fill="auto"/>
            <w:vAlign w:val="center"/>
            <w:hideMark/>
          </w:tcPr>
          <w:p w14:paraId="5119F53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c>
          <w:tcPr>
            <w:tcW w:w="1649" w:type="dxa"/>
            <w:tcBorders>
              <w:top w:val="nil"/>
              <w:left w:val="nil"/>
              <w:bottom w:val="single" w:sz="8" w:space="0" w:color="auto"/>
              <w:right w:val="single" w:sz="8" w:space="0" w:color="auto"/>
            </w:tcBorders>
            <w:shd w:val="clear" w:color="auto" w:fill="auto"/>
            <w:vAlign w:val="center"/>
            <w:hideMark/>
          </w:tcPr>
          <w:p w14:paraId="6BE10C1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c>
          <w:tcPr>
            <w:tcW w:w="1650" w:type="dxa"/>
            <w:tcBorders>
              <w:top w:val="nil"/>
              <w:left w:val="nil"/>
              <w:bottom w:val="single" w:sz="8" w:space="0" w:color="auto"/>
              <w:right w:val="single" w:sz="8" w:space="0" w:color="auto"/>
            </w:tcBorders>
            <w:shd w:val="clear" w:color="auto" w:fill="auto"/>
            <w:vAlign w:val="center"/>
            <w:hideMark/>
          </w:tcPr>
          <w:p w14:paraId="339957F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r>
      <w:tr w:rsidR="00AD62CD" w:rsidRPr="00AD62CD" w14:paraId="14DDF6DE" w14:textId="77777777" w:rsidTr="003627DF">
        <w:trPr>
          <w:trHeight w:val="306"/>
        </w:trPr>
        <w:tc>
          <w:tcPr>
            <w:tcW w:w="5734" w:type="dxa"/>
            <w:tcBorders>
              <w:top w:val="nil"/>
              <w:left w:val="single" w:sz="8" w:space="0" w:color="auto"/>
              <w:bottom w:val="single" w:sz="8" w:space="0" w:color="auto"/>
              <w:right w:val="single" w:sz="8" w:space="0" w:color="auto"/>
            </w:tcBorders>
            <w:shd w:val="clear" w:color="000000" w:fill="BFBFBF"/>
            <w:vAlign w:val="center"/>
            <w:hideMark/>
          </w:tcPr>
          <w:p w14:paraId="695F853B"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Dopad na príjmy Sociálnej poisťovne</w:t>
            </w:r>
          </w:p>
        </w:tc>
        <w:tc>
          <w:tcPr>
            <w:tcW w:w="2080" w:type="dxa"/>
            <w:tcBorders>
              <w:top w:val="nil"/>
              <w:left w:val="nil"/>
              <w:bottom w:val="single" w:sz="8" w:space="0" w:color="auto"/>
              <w:right w:val="single" w:sz="8" w:space="0" w:color="auto"/>
            </w:tcBorders>
            <w:shd w:val="clear" w:color="000000" w:fill="BFBFBF"/>
            <w:vAlign w:val="center"/>
            <w:hideMark/>
          </w:tcPr>
          <w:p w14:paraId="10870B6B"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0</w:t>
            </w:r>
          </w:p>
        </w:tc>
        <w:tc>
          <w:tcPr>
            <w:tcW w:w="1649" w:type="dxa"/>
            <w:tcBorders>
              <w:top w:val="nil"/>
              <w:left w:val="nil"/>
              <w:bottom w:val="single" w:sz="8" w:space="0" w:color="auto"/>
              <w:right w:val="single" w:sz="8" w:space="0" w:color="auto"/>
            </w:tcBorders>
            <w:shd w:val="clear" w:color="000000" w:fill="BFBFBF"/>
            <w:vAlign w:val="center"/>
            <w:hideMark/>
          </w:tcPr>
          <w:p w14:paraId="27CDB95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64 656 000</w:t>
            </w:r>
          </w:p>
        </w:tc>
        <w:tc>
          <w:tcPr>
            <w:tcW w:w="1649" w:type="dxa"/>
            <w:tcBorders>
              <w:top w:val="nil"/>
              <w:left w:val="nil"/>
              <w:bottom w:val="single" w:sz="8" w:space="0" w:color="auto"/>
              <w:right w:val="single" w:sz="8" w:space="0" w:color="auto"/>
            </w:tcBorders>
            <w:shd w:val="clear" w:color="000000" w:fill="BFBFBF"/>
            <w:vAlign w:val="center"/>
            <w:hideMark/>
          </w:tcPr>
          <w:p w14:paraId="1A4B7A80"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56 205 000</w:t>
            </w:r>
          </w:p>
        </w:tc>
        <w:tc>
          <w:tcPr>
            <w:tcW w:w="1650" w:type="dxa"/>
            <w:tcBorders>
              <w:top w:val="nil"/>
              <w:left w:val="nil"/>
              <w:bottom w:val="single" w:sz="8" w:space="0" w:color="auto"/>
              <w:right w:val="single" w:sz="8" w:space="0" w:color="auto"/>
            </w:tcBorders>
            <w:shd w:val="clear" w:color="000000" w:fill="BFBFBF"/>
            <w:vAlign w:val="center"/>
            <w:hideMark/>
          </w:tcPr>
          <w:p w14:paraId="5CA72FB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67 233 000</w:t>
            </w:r>
          </w:p>
        </w:tc>
      </w:tr>
    </w:tbl>
    <w:p w14:paraId="22545A66"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191CB3EE" w14:textId="77777777" w:rsidR="00AD62CD" w:rsidRPr="00AD62CD" w:rsidRDefault="00AD62CD" w:rsidP="00AD62CD">
      <w:pPr>
        <w:spacing w:after="200" w:line="276" w:lineRule="auto"/>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br w:type="page"/>
      </w:r>
    </w:p>
    <w:tbl>
      <w:tblPr>
        <w:tblW w:w="11921" w:type="dxa"/>
        <w:tblCellMar>
          <w:left w:w="70" w:type="dxa"/>
          <w:right w:w="70" w:type="dxa"/>
        </w:tblCellMar>
        <w:tblLook w:val="04A0" w:firstRow="1" w:lastRow="0" w:firstColumn="1" w:lastColumn="0" w:noHBand="0" w:noVBand="1"/>
      </w:tblPr>
      <w:tblGrid>
        <w:gridCol w:w="5356"/>
        <w:gridCol w:w="1943"/>
        <w:gridCol w:w="1540"/>
        <w:gridCol w:w="1540"/>
        <w:gridCol w:w="1542"/>
      </w:tblGrid>
      <w:tr w:rsidR="00AD62CD" w:rsidRPr="00AD62CD" w14:paraId="63A572EE" w14:textId="77777777" w:rsidTr="003627DF">
        <w:trPr>
          <w:trHeight w:val="318"/>
        </w:trPr>
        <w:tc>
          <w:tcPr>
            <w:tcW w:w="535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D2F5FC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Príjmy zdravotných poisťovní (v eurách)</w:t>
            </w:r>
          </w:p>
        </w:tc>
        <w:tc>
          <w:tcPr>
            <w:tcW w:w="6565" w:type="dxa"/>
            <w:gridSpan w:val="4"/>
            <w:tcBorders>
              <w:top w:val="single" w:sz="8" w:space="0" w:color="auto"/>
              <w:left w:val="nil"/>
              <w:bottom w:val="single" w:sz="8" w:space="0" w:color="auto"/>
              <w:right w:val="single" w:sz="8" w:space="0" w:color="000000"/>
            </w:tcBorders>
            <w:shd w:val="clear" w:color="000000" w:fill="BFBFBF"/>
            <w:vAlign w:val="center"/>
            <w:hideMark/>
          </w:tcPr>
          <w:p w14:paraId="1D79C5C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Vplyv na rozpočet zdravotných poisťovní</w:t>
            </w:r>
          </w:p>
        </w:tc>
      </w:tr>
      <w:tr w:rsidR="00AD62CD" w:rsidRPr="00AD62CD" w14:paraId="377E8F78" w14:textId="77777777" w:rsidTr="003627DF">
        <w:trPr>
          <w:trHeight w:val="318"/>
        </w:trPr>
        <w:tc>
          <w:tcPr>
            <w:tcW w:w="5356" w:type="dxa"/>
            <w:vMerge/>
            <w:tcBorders>
              <w:top w:val="single" w:sz="8" w:space="0" w:color="auto"/>
              <w:left w:val="single" w:sz="8" w:space="0" w:color="auto"/>
              <w:bottom w:val="single" w:sz="8" w:space="0" w:color="000000"/>
              <w:right w:val="single" w:sz="8" w:space="0" w:color="auto"/>
            </w:tcBorders>
            <w:vAlign w:val="center"/>
            <w:hideMark/>
          </w:tcPr>
          <w:p w14:paraId="5D36F62A"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p>
        </w:tc>
        <w:tc>
          <w:tcPr>
            <w:tcW w:w="1943" w:type="dxa"/>
            <w:tcBorders>
              <w:top w:val="nil"/>
              <w:left w:val="nil"/>
              <w:bottom w:val="single" w:sz="8" w:space="0" w:color="auto"/>
              <w:right w:val="single" w:sz="8" w:space="0" w:color="auto"/>
            </w:tcBorders>
            <w:shd w:val="clear" w:color="000000" w:fill="BFBFBF"/>
            <w:vAlign w:val="center"/>
            <w:hideMark/>
          </w:tcPr>
          <w:p w14:paraId="208EA41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2024</w:t>
            </w:r>
          </w:p>
        </w:tc>
        <w:tc>
          <w:tcPr>
            <w:tcW w:w="1540" w:type="dxa"/>
            <w:tcBorders>
              <w:top w:val="nil"/>
              <w:left w:val="nil"/>
              <w:bottom w:val="single" w:sz="8" w:space="0" w:color="auto"/>
              <w:right w:val="single" w:sz="8" w:space="0" w:color="auto"/>
            </w:tcBorders>
            <w:shd w:val="clear" w:color="000000" w:fill="BFBFBF"/>
            <w:vAlign w:val="center"/>
            <w:hideMark/>
          </w:tcPr>
          <w:p w14:paraId="1B38EEDA"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2025</w:t>
            </w:r>
          </w:p>
        </w:tc>
        <w:tc>
          <w:tcPr>
            <w:tcW w:w="1540" w:type="dxa"/>
            <w:tcBorders>
              <w:top w:val="nil"/>
              <w:left w:val="nil"/>
              <w:bottom w:val="single" w:sz="8" w:space="0" w:color="auto"/>
              <w:right w:val="single" w:sz="8" w:space="0" w:color="auto"/>
            </w:tcBorders>
            <w:shd w:val="clear" w:color="000000" w:fill="BFBFBF"/>
            <w:vAlign w:val="center"/>
            <w:hideMark/>
          </w:tcPr>
          <w:p w14:paraId="722FF06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2026</w:t>
            </w:r>
          </w:p>
        </w:tc>
        <w:tc>
          <w:tcPr>
            <w:tcW w:w="1542" w:type="dxa"/>
            <w:tcBorders>
              <w:top w:val="nil"/>
              <w:left w:val="nil"/>
              <w:bottom w:val="single" w:sz="8" w:space="0" w:color="auto"/>
              <w:right w:val="single" w:sz="8" w:space="0" w:color="auto"/>
            </w:tcBorders>
            <w:shd w:val="clear" w:color="000000" w:fill="BFBFBF"/>
            <w:vAlign w:val="center"/>
            <w:hideMark/>
          </w:tcPr>
          <w:p w14:paraId="34262C4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2027</w:t>
            </w:r>
          </w:p>
        </w:tc>
      </w:tr>
      <w:tr w:rsidR="00AD62CD" w:rsidRPr="00AD62CD" w14:paraId="13A0C5CC" w14:textId="77777777" w:rsidTr="003627DF">
        <w:trPr>
          <w:trHeight w:val="376"/>
        </w:trPr>
        <w:tc>
          <w:tcPr>
            <w:tcW w:w="5356" w:type="dxa"/>
            <w:tcBorders>
              <w:top w:val="nil"/>
              <w:left w:val="single" w:sz="8" w:space="0" w:color="auto"/>
              <w:bottom w:val="single" w:sz="8" w:space="0" w:color="auto"/>
              <w:right w:val="single" w:sz="8" w:space="0" w:color="auto"/>
            </w:tcBorders>
            <w:shd w:val="clear" w:color="auto" w:fill="auto"/>
            <w:vAlign w:val="center"/>
            <w:hideMark/>
          </w:tcPr>
          <w:p w14:paraId="0D52ADFD"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Daňové príjmy (100)</w:t>
            </w:r>
            <w:r w:rsidRPr="00AD62CD">
              <w:rPr>
                <w:rFonts w:ascii="Times New Roman" w:eastAsia="Times New Roman" w:hAnsi="Times New Roman" w:cs="Times New Roman"/>
                <w:b/>
                <w:bCs/>
                <w:color w:val="000000"/>
                <w:kern w:val="0"/>
                <w:vertAlign w:val="superscript"/>
                <w:lang w:eastAsia="sk-SK"/>
                <w14:ligatures w14:val="none"/>
              </w:rPr>
              <w:t>1</w:t>
            </w:r>
          </w:p>
        </w:tc>
        <w:tc>
          <w:tcPr>
            <w:tcW w:w="1943" w:type="dxa"/>
            <w:tcBorders>
              <w:top w:val="nil"/>
              <w:left w:val="nil"/>
              <w:bottom w:val="single" w:sz="8" w:space="0" w:color="auto"/>
              <w:right w:val="single" w:sz="8" w:space="0" w:color="auto"/>
            </w:tcBorders>
            <w:shd w:val="clear" w:color="auto" w:fill="auto"/>
            <w:vAlign w:val="center"/>
            <w:hideMark/>
          </w:tcPr>
          <w:p w14:paraId="37E969A6"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0</w:t>
            </w:r>
          </w:p>
        </w:tc>
        <w:tc>
          <w:tcPr>
            <w:tcW w:w="1540" w:type="dxa"/>
            <w:tcBorders>
              <w:top w:val="nil"/>
              <w:left w:val="nil"/>
              <w:bottom w:val="single" w:sz="8" w:space="0" w:color="auto"/>
              <w:right w:val="single" w:sz="8" w:space="0" w:color="auto"/>
            </w:tcBorders>
            <w:shd w:val="clear" w:color="auto" w:fill="auto"/>
            <w:vAlign w:val="center"/>
            <w:hideMark/>
          </w:tcPr>
          <w:p w14:paraId="1086DBA0"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34 745 000</w:t>
            </w:r>
          </w:p>
        </w:tc>
        <w:tc>
          <w:tcPr>
            <w:tcW w:w="1540" w:type="dxa"/>
            <w:tcBorders>
              <w:top w:val="nil"/>
              <w:left w:val="nil"/>
              <w:bottom w:val="single" w:sz="8" w:space="0" w:color="auto"/>
              <w:right w:val="single" w:sz="8" w:space="0" w:color="auto"/>
            </w:tcBorders>
            <w:shd w:val="clear" w:color="auto" w:fill="auto"/>
            <w:vAlign w:val="center"/>
            <w:hideMark/>
          </w:tcPr>
          <w:p w14:paraId="20A44632"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28 654 000</w:t>
            </w:r>
          </w:p>
        </w:tc>
        <w:tc>
          <w:tcPr>
            <w:tcW w:w="1542" w:type="dxa"/>
            <w:tcBorders>
              <w:top w:val="nil"/>
              <w:left w:val="nil"/>
              <w:bottom w:val="single" w:sz="8" w:space="0" w:color="auto"/>
              <w:right w:val="single" w:sz="8" w:space="0" w:color="auto"/>
            </w:tcBorders>
            <w:shd w:val="clear" w:color="auto" w:fill="auto"/>
            <w:vAlign w:val="center"/>
            <w:hideMark/>
          </w:tcPr>
          <w:p w14:paraId="5925A110"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32 273 000</w:t>
            </w:r>
          </w:p>
        </w:tc>
      </w:tr>
      <w:tr w:rsidR="00AD62CD" w:rsidRPr="00AD62CD" w14:paraId="4B008B2E" w14:textId="77777777" w:rsidTr="003627DF">
        <w:trPr>
          <w:trHeight w:val="318"/>
        </w:trPr>
        <w:tc>
          <w:tcPr>
            <w:tcW w:w="5356" w:type="dxa"/>
            <w:tcBorders>
              <w:top w:val="nil"/>
              <w:left w:val="single" w:sz="8" w:space="0" w:color="auto"/>
              <w:bottom w:val="single" w:sz="8" w:space="0" w:color="auto"/>
              <w:right w:val="single" w:sz="8" w:space="0" w:color="auto"/>
            </w:tcBorders>
            <w:shd w:val="clear" w:color="auto" w:fill="auto"/>
            <w:noWrap/>
            <w:vAlign w:val="center"/>
            <w:hideMark/>
          </w:tcPr>
          <w:p w14:paraId="19D0D491" w14:textId="77777777" w:rsidR="00AD62CD" w:rsidRPr="00AD62CD" w:rsidRDefault="00AD62CD" w:rsidP="00AD62CD">
            <w:pPr>
              <w:spacing w:after="0" w:line="240" w:lineRule="auto"/>
              <w:ind w:firstLineChars="100" w:firstLine="240"/>
              <w:rPr>
                <w:rFonts w:ascii="Times New Roman" w:eastAsia="Times New Roman" w:hAnsi="Times New Roman" w:cs="Times New Roman"/>
                <w:i/>
                <w:iCs/>
                <w:color w:val="000000"/>
                <w:kern w:val="0"/>
                <w:lang w:eastAsia="sk-SK"/>
                <w14:ligatures w14:val="none"/>
              </w:rPr>
            </w:pPr>
            <w:r w:rsidRPr="00AD62CD">
              <w:rPr>
                <w:rFonts w:ascii="Times New Roman" w:eastAsia="Times New Roman" w:hAnsi="Times New Roman" w:cs="Times New Roman"/>
                <w:i/>
                <w:iCs/>
                <w:color w:val="000000"/>
                <w:kern w:val="0"/>
                <w:lang w:eastAsia="sk-SK"/>
                <w14:ligatures w14:val="none"/>
              </w:rPr>
              <w:t>v tom: (154) poistné na zdravotné odvody</w:t>
            </w:r>
          </w:p>
        </w:tc>
        <w:tc>
          <w:tcPr>
            <w:tcW w:w="1943" w:type="dxa"/>
            <w:tcBorders>
              <w:top w:val="nil"/>
              <w:left w:val="nil"/>
              <w:bottom w:val="single" w:sz="8" w:space="0" w:color="auto"/>
              <w:right w:val="single" w:sz="8" w:space="0" w:color="auto"/>
            </w:tcBorders>
            <w:shd w:val="clear" w:color="auto" w:fill="auto"/>
            <w:vAlign w:val="center"/>
            <w:hideMark/>
          </w:tcPr>
          <w:p w14:paraId="7B776DA7" w14:textId="77777777" w:rsidR="00AD62CD" w:rsidRPr="00AD62CD" w:rsidRDefault="00AD62CD" w:rsidP="00AD62CD">
            <w:pPr>
              <w:spacing w:after="0" w:line="240" w:lineRule="auto"/>
              <w:jc w:val="right"/>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0</w:t>
            </w:r>
          </w:p>
        </w:tc>
        <w:tc>
          <w:tcPr>
            <w:tcW w:w="1540" w:type="dxa"/>
            <w:tcBorders>
              <w:top w:val="nil"/>
              <w:left w:val="nil"/>
              <w:bottom w:val="single" w:sz="8" w:space="0" w:color="auto"/>
              <w:right w:val="single" w:sz="8" w:space="0" w:color="auto"/>
            </w:tcBorders>
            <w:shd w:val="clear" w:color="auto" w:fill="auto"/>
            <w:vAlign w:val="center"/>
            <w:hideMark/>
          </w:tcPr>
          <w:p w14:paraId="2FB69B9A" w14:textId="77777777" w:rsidR="00AD62CD" w:rsidRPr="00AD62CD" w:rsidRDefault="00AD62CD" w:rsidP="00AD62CD">
            <w:pPr>
              <w:spacing w:after="0" w:line="240" w:lineRule="auto"/>
              <w:jc w:val="right"/>
              <w:rPr>
                <w:rFonts w:ascii="Times New Roman" w:eastAsia="Times New Roman"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34 745 000</w:t>
            </w:r>
          </w:p>
        </w:tc>
        <w:tc>
          <w:tcPr>
            <w:tcW w:w="1540" w:type="dxa"/>
            <w:tcBorders>
              <w:top w:val="nil"/>
              <w:left w:val="nil"/>
              <w:bottom w:val="single" w:sz="8" w:space="0" w:color="auto"/>
              <w:right w:val="single" w:sz="8" w:space="0" w:color="auto"/>
            </w:tcBorders>
            <w:shd w:val="clear" w:color="auto" w:fill="auto"/>
            <w:vAlign w:val="center"/>
            <w:hideMark/>
          </w:tcPr>
          <w:p w14:paraId="0B7C2735" w14:textId="77777777" w:rsidR="00AD62CD" w:rsidRPr="00AD62CD" w:rsidRDefault="00AD62CD" w:rsidP="00AD62CD">
            <w:pPr>
              <w:spacing w:after="0" w:line="240" w:lineRule="auto"/>
              <w:jc w:val="right"/>
              <w:rPr>
                <w:rFonts w:ascii="Times New Roman" w:eastAsia="Times New Roman"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28 654 000</w:t>
            </w:r>
          </w:p>
        </w:tc>
        <w:tc>
          <w:tcPr>
            <w:tcW w:w="1542" w:type="dxa"/>
            <w:tcBorders>
              <w:top w:val="nil"/>
              <w:left w:val="nil"/>
              <w:bottom w:val="single" w:sz="8" w:space="0" w:color="auto"/>
              <w:right w:val="single" w:sz="8" w:space="0" w:color="auto"/>
            </w:tcBorders>
            <w:shd w:val="clear" w:color="auto" w:fill="auto"/>
            <w:vAlign w:val="center"/>
            <w:hideMark/>
          </w:tcPr>
          <w:p w14:paraId="34F8E1F0" w14:textId="77777777" w:rsidR="00AD62CD" w:rsidRPr="00AD62CD" w:rsidRDefault="00AD62CD" w:rsidP="00AD62CD">
            <w:pPr>
              <w:spacing w:after="0" w:line="240" w:lineRule="auto"/>
              <w:jc w:val="right"/>
              <w:rPr>
                <w:rFonts w:ascii="Times New Roman" w:eastAsia="Times New Roman" w:hAnsi="Times New Roman" w:cs="Times New Roman"/>
                <w:color w:val="000000"/>
                <w:kern w:val="0"/>
                <w:lang w:eastAsia="sk-SK"/>
                <w14:ligatures w14:val="none"/>
              </w:rPr>
            </w:pPr>
            <w:r w:rsidRPr="00AD62CD">
              <w:rPr>
                <w:rFonts w:ascii="Times New Roman" w:eastAsia="Calibri" w:hAnsi="Times New Roman" w:cs="Times New Roman"/>
                <w:color w:val="000000"/>
                <w:kern w:val="0"/>
                <w:sz w:val="22"/>
                <w:szCs w:val="22"/>
                <w14:ligatures w14:val="none"/>
              </w:rPr>
              <w:t>32 273 000</w:t>
            </w:r>
          </w:p>
        </w:tc>
      </w:tr>
      <w:tr w:rsidR="00AD62CD" w:rsidRPr="00AD62CD" w14:paraId="0E216144" w14:textId="77777777" w:rsidTr="003627DF">
        <w:trPr>
          <w:trHeight w:val="376"/>
        </w:trPr>
        <w:tc>
          <w:tcPr>
            <w:tcW w:w="5356" w:type="dxa"/>
            <w:tcBorders>
              <w:top w:val="nil"/>
              <w:left w:val="single" w:sz="8" w:space="0" w:color="auto"/>
              <w:bottom w:val="single" w:sz="8" w:space="0" w:color="auto"/>
              <w:right w:val="single" w:sz="8" w:space="0" w:color="auto"/>
            </w:tcBorders>
            <w:shd w:val="clear" w:color="auto" w:fill="auto"/>
            <w:vAlign w:val="center"/>
            <w:hideMark/>
          </w:tcPr>
          <w:p w14:paraId="6EE83920"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Nedaňové príjmy (200)</w:t>
            </w:r>
            <w:r w:rsidRPr="00AD62CD">
              <w:rPr>
                <w:rFonts w:ascii="Times New Roman" w:eastAsia="Times New Roman" w:hAnsi="Times New Roman" w:cs="Times New Roman"/>
                <w:b/>
                <w:bCs/>
                <w:color w:val="000000"/>
                <w:kern w:val="0"/>
                <w:vertAlign w:val="superscript"/>
                <w:lang w:eastAsia="sk-SK"/>
                <w14:ligatures w14:val="none"/>
              </w:rPr>
              <w:t>1</w:t>
            </w:r>
          </w:p>
        </w:tc>
        <w:tc>
          <w:tcPr>
            <w:tcW w:w="1943" w:type="dxa"/>
            <w:tcBorders>
              <w:top w:val="nil"/>
              <w:left w:val="nil"/>
              <w:bottom w:val="single" w:sz="8" w:space="0" w:color="auto"/>
              <w:right w:val="single" w:sz="8" w:space="0" w:color="auto"/>
            </w:tcBorders>
            <w:shd w:val="clear" w:color="auto" w:fill="auto"/>
            <w:vAlign w:val="center"/>
            <w:hideMark/>
          </w:tcPr>
          <w:p w14:paraId="5DE48386"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0</w:t>
            </w:r>
          </w:p>
        </w:tc>
        <w:tc>
          <w:tcPr>
            <w:tcW w:w="1540" w:type="dxa"/>
            <w:tcBorders>
              <w:top w:val="nil"/>
              <w:left w:val="nil"/>
              <w:bottom w:val="single" w:sz="8" w:space="0" w:color="auto"/>
              <w:right w:val="single" w:sz="8" w:space="0" w:color="auto"/>
            </w:tcBorders>
            <w:shd w:val="clear" w:color="auto" w:fill="auto"/>
            <w:vAlign w:val="center"/>
            <w:hideMark/>
          </w:tcPr>
          <w:p w14:paraId="2296921C"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0</w:t>
            </w:r>
          </w:p>
        </w:tc>
        <w:tc>
          <w:tcPr>
            <w:tcW w:w="1540" w:type="dxa"/>
            <w:tcBorders>
              <w:top w:val="nil"/>
              <w:left w:val="nil"/>
              <w:bottom w:val="single" w:sz="8" w:space="0" w:color="auto"/>
              <w:right w:val="single" w:sz="8" w:space="0" w:color="auto"/>
            </w:tcBorders>
            <w:shd w:val="clear" w:color="auto" w:fill="auto"/>
            <w:vAlign w:val="center"/>
            <w:hideMark/>
          </w:tcPr>
          <w:p w14:paraId="056FFB44"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0</w:t>
            </w:r>
          </w:p>
        </w:tc>
        <w:tc>
          <w:tcPr>
            <w:tcW w:w="1542" w:type="dxa"/>
            <w:tcBorders>
              <w:top w:val="nil"/>
              <w:left w:val="nil"/>
              <w:bottom w:val="single" w:sz="8" w:space="0" w:color="auto"/>
              <w:right w:val="single" w:sz="8" w:space="0" w:color="auto"/>
            </w:tcBorders>
            <w:shd w:val="clear" w:color="auto" w:fill="auto"/>
            <w:vAlign w:val="center"/>
            <w:hideMark/>
          </w:tcPr>
          <w:p w14:paraId="340710EF"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0</w:t>
            </w:r>
          </w:p>
        </w:tc>
      </w:tr>
      <w:tr w:rsidR="00AD62CD" w:rsidRPr="00AD62CD" w14:paraId="64E2F852" w14:textId="77777777" w:rsidTr="003627DF">
        <w:trPr>
          <w:trHeight w:val="623"/>
        </w:trPr>
        <w:tc>
          <w:tcPr>
            <w:tcW w:w="5356" w:type="dxa"/>
            <w:tcBorders>
              <w:top w:val="nil"/>
              <w:left w:val="single" w:sz="8" w:space="0" w:color="auto"/>
              <w:bottom w:val="single" w:sz="8" w:space="0" w:color="auto"/>
              <w:right w:val="single" w:sz="8" w:space="0" w:color="auto"/>
            </w:tcBorders>
            <w:shd w:val="clear" w:color="auto" w:fill="auto"/>
            <w:vAlign w:val="center"/>
            <w:hideMark/>
          </w:tcPr>
          <w:p w14:paraId="319D2946"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Príjmy z transakcií s finančnými aktívami a finančnými pasívami (400)</w:t>
            </w:r>
          </w:p>
        </w:tc>
        <w:tc>
          <w:tcPr>
            <w:tcW w:w="1943" w:type="dxa"/>
            <w:tcBorders>
              <w:top w:val="nil"/>
              <w:left w:val="nil"/>
              <w:bottom w:val="single" w:sz="8" w:space="0" w:color="auto"/>
              <w:right w:val="single" w:sz="8" w:space="0" w:color="auto"/>
            </w:tcBorders>
            <w:shd w:val="clear" w:color="auto" w:fill="auto"/>
            <w:vAlign w:val="center"/>
            <w:hideMark/>
          </w:tcPr>
          <w:p w14:paraId="7545256A"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c>
          <w:tcPr>
            <w:tcW w:w="1540" w:type="dxa"/>
            <w:tcBorders>
              <w:top w:val="nil"/>
              <w:left w:val="nil"/>
              <w:bottom w:val="single" w:sz="8" w:space="0" w:color="auto"/>
              <w:right w:val="single" w:sz="8" w:space="0" w:color="auto"/>
            </w:tcBorders>
            <w:shd w:val="clear" w:color="auto" w:fill="auto"/>
            <w:vAlign w:val="center"/>
            <w:hideMark/>
          </w:tcPr>
          <w:p w14:paraId="78B93C2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c>
          <w:tcPr>
            <w:tcW w:w="1540" w:type="dxa"/>
            <w:tcBorders>
              <w:top w:val="nil"/>
              <w:left w:val="nil"/>
              <w:bottom w:val="single" w:sz="8" w:space="0" w:color="auto"/>
              <w:right w:val="single" w:sz="8" w:space="0" w:color="auto"/>
            </w:tcBorders>
            <w:shd w:val="clear" w:color="auto" w:fill="auto"/>
            <w:vAlign w:val="center"/>
            <w:hideMark/>
          </w:tcPr>
          <w:p w14:paraId="7546A77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c>
          <w:tcPr>
            <w:tcW w:w="1542" w:type="dxa"/>
            <w:tcBorders>
              <w:top w:val="nil"/>
              <w:left w:val="nil"/>
              <w:bottom w:val="single" w:sz="8" w:space="0" w:color="auto"/>
              <w:right w:val="single" w:sz="8" w:space="0" w:color="auto"/>
            </w:tcBorders>
            <w:shd w:val="clear" w:color="auto" w:fill="auto"/>
            <w:vAlign w:val="center"/>
            <w:hideMark/>
          </w:tcPr>
          <w:p w14:paraId="3293A30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r>
      <w:tr w:rsidR="00AD62CD" w:rsidRPr="00AD62CD" w14:paraId="798EE68D" w14:textId="77777777" w:rsidTr="003627DF">
        <w:trPr>
          <w:trHeight w:val="623"/>
        </w:trPr>
        <w:tc>
          <w:tcPr>
            <w:tcW w:w="5356" w:type="dxa"/>
            <w:tcBorders>
              <w:top w:val="nil"/>
              <w:left w:val="single" w:sz="8" w:space="0" w:color="auto"/>
              <w:bottom w:val="single" w:sz="8" w:space="0" w:color="auto"/>
              <w:right w:val="single" w:sz="8" w:space="0" w:color="auto"/>
            </w:tcBorders>
            <w:shd w:val="clear" w:color="auto" w:fill="auto"/>
            <w:vAlign w:val="center"/>
            <w:hideMark/>
          </w:tcPr>
          <w:p w14:paraId="725D5061"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Prijaté úvery, pôžičky a návratné finančné výpomoci (500)</w:t>
            </w:r>
          </w:p>
        </w:tc>
        <w:tc>
          <w:tcPr>
            <w:tcW w:w="1943" w:type="dxa"/>
            <w:tcBorders>
              <w:top w:val="nil"/>
              <w:left w:val="nil"/>
              <w:bottom w:val="single" w:sz="8" w:space="0" w:color="auto"/>
              <w:right w:val="single" w:sz="8" w:space="0" w:color="auto"/>
            </w:tcBorders>
            <w:shd w:val="clear" w:color="auto" w:fill="auto"/>
            <w:vAlign w:val="center"/>
            <w:hideMark/>
          </w:tcPr>
          <w:p w14:paraId="00E19D5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c>
          <w:tcPr>
            <w:tcW w:w="1540" w:type="dxa"/>
            <w:tcBorders>
              <w:top w:val="nil"/>
              <w:left w:val="nil"/>
              <w:bottom w:val="single" w:sz="8" w:space="0" w:color="auto"/>
              <w:right w:val="single" w:sz="8" w:space="0" w:color="auto"/>
            </w:tcBorders>
            <w:shd w:val="clear" w:color="auto" w:fill="auto"/>
            <w:vAlign w:val="center"/>
            <w:hideMark/>
          </w:tcPr>
          <w:p w14:paraId="6A5DCF1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c>
          <w:tcPr>
            <w:tcW w:w="1540" w:type="dxa"/>
            <w:tcBorders>
              <w:top w:val="nil"/>
              <w:left w:val="nil"/>
              <w:bottom w:val="single" w:sz="8" w:space="0" w:color="auto"/>
              <w:right w:val="single" w:sz="8" w:space="0" w:color="auto"/>
            </w:tcBorders>
            <w:shd w:val="clear" w:color="auto" w:fill="auto"/>
            <w:vAlign w:val="center"/>
            <w:hideMark/>
          </w:tcPr>
          <w:p w14:paraId="2BDDD5C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c>
          <w:tcPr>
            <w:tcW w:w="1542" w:type="dxa"/>
            <w:tcBorders>
              <w:top w:val="nil"/>
              <w:left w:val="nil"/>
              <w:bottom w:val="single" w:sz="8" w:space="0" w:color="auto"/>
              <w:right w:val="single" w:sz="8" w:space="0" w:color="auto"/>
            </w:tcBorders>
            <w:shd w:val="clear" w:color="auto" w:fill="auto"/>
            <w:vAlign w:val="center"/>
            <w:hideMark/>
          </w:tcPr>
          <w:p w14:paraId="785F42B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 </w:t>
            </w:r>
          </w:p>
        </w:tc>
      </w:tr>
      <w:tr w:rsidR="00AD62CD" w:rsidRPr="00AD62CD" w14:paraId="08E521B2" w14:textId="77777777" w:rsidTr="003627DF">
        <w:trPr>
          <w:trHeight w:val="318"/>
        </w:trPr>
        <w:tc>
          <w:tcPr>
            <w:tcW w:w="5356" w:type="dxa"/>
            <w:tcBorders>
              <w:top w:val="nil"/>
              <w:left w:val="single" w:sz="8" w:space="0" w:color="auto"/>
              <w:bottom w:val="single" w:sz="8" w:space="0" w:color="auto"/>
              <w:right w:val="single" w:sz="8" w:space="0" w:color="auto"/>
            </w:tcBorders>
            <w:shd w:val="clear" w:color="000000" w:fill="BFBFBF"/>
            <w:vAlign w:val="center"/>
            <w:hideMark/>
          </w:tcPr>
          <w:p w14:paraId="7A2FB677"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Dopad na príjmy zdravotných poisťovní</w:t>
            </w:r>
          </w:p>
        </w:tc>
        <w:tc>
          <w:tcPr>
            <w:tcW w:w="1943" w:type="dxa"/>
            <w:tcBorders>
              <w:top w:val="nil"/>
              <w:left w:val="nil"/>
              <w:bottom w:val="single" w:sz="8" w:space="0" w:color="auto"/>
              <w:right w:val="single" w:sz="8" w:space="0" w:color="auto"/>
            </w:tcBorders>
            <w:shd w:val="clear" w:color="000000" w:fill="BFBFBF"/>
            <w:vAlign w:val="center"/>
            <w:hideMark/>
          </w:tcPr>
          <w:p w14:paraId="1377EE3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0</w:t>
            </w:r>
          </w:p>
        </w:tc>
        <w:tc>
          <w:tcPr>
            <w:tcW w:w="1540" w:type="dxa"/>
            <w:tcBorders>
              <w:top w:val="nil"/>
              <w:left w:val="nil"/>
              <w:bottom w:val="single" w:sz="8" w:space="0" w:color="auto"/>
              <w:right w:val="single" w:sz="8" w:space="0" w:color="auto"/>
            </w:tcBorders>
            <w:shd w:val="clear" w:color="000000" w:fill="BFBFBF"/>
            <w:vAlign w:val="center"/>
            <w:hideMark/>
          </w:tcPr>
          <w:p w14:paraId="7AF9841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34 745 000</w:t>
            </w:r>
          </w:p>
        </w:tc>
        <w:tc>
          <w:tcPr>
            <w:tcW w:w="1540" w:type="dxa"/>
            <w:tcBorders>
              <w:top w:val="nil"/>
              <w:left w:val="nil"/>
              <w:bottom w:val="single" w:sz="8" w:space="0" w:color="auto"/>
              <w:right w:val="single" w:sz="8" w:space="0" w:color="auto"/>
            </w:tcBorders>
            <w:shd w:val="clear" w:color="000000" w:fill="BFBFBF"/>
            <w:vAlign w:val="center"/>
            <w:hideMark/>
          </w:tcPr>
          <w:p w14:paraId="514E8D8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28 654 000</w:t>
            </w:r>
          </w:p>
        </w:tc>
        <w:tc>
          <w:tcPr>
            <w:tcW w:w="1542" w:type="dxa"/>
            <w:tcBorders>
              <w:top w:val="nil"/>
              <w:left w:val="nil"/>
              <w:bottom w:val="single" w:sz="8" w:space="0" w:color="auto"/>
              <w:right w:val="single" w:sz="8" w:space="0" w:color="auto"/>
            </w:tcBorders>
            <w:shd w:val="clear" w:color="000000" w:fill="BFBFBF"/>
            <w:vAlign w:val="center"/>
            <w:hideMark/>
          </w:tcPr>
          <w:p w14:paraId="4D99307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2"/>
                <w:szCs w:val="22"/>
                <w14:ligatures w14:val="none"/>
              </w:rPr>
              <w:t>32 273 000</w:t>
            </w:r>
          </w:p>
        </w:tc>
      </w:tr>
    </w:tbl>
    <w:p w14:paraId="594A62AF"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15B8B62F" w14:textId="77777777" w:rsidR="00AD62CD" w:rsidRPr="00AD62CD" w:rsidRDefault="00AD62CD" w:rsidP="00AD62CD">
      <w:pPr>
        <w:spacing w:after="200" w:line="276" w:lineRule="auto"/>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br w:type="page"/>
      </w:r>
    </w:p>
    <w:p w14:paraId="6A31DE0C"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p>
    <w:p w14:paraId="16205C50"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4 </w:t>
      </w:r>
    </w:p>
    <w:p w14:paraId="72821664"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799"/>
        <w:gridCol w:w="1560"/>
        <w:gridCol w:w="1701"/>
        <w:gridCol w:w="1630"/>
        <w:gridCol w:w="1540"/>
        <w:gridCol w:w="2220"/>
      </w:tblGrid>
      <w:tr w:rsidR="00AD62CD" w:rsidRPr="00AD62CD" w14:paraId="1CC42542" w14:textId="77777777" w:rsidTr="00AD62CD">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03A1F66A"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Výdavky (v eurách)</w:t>
            </w:r>
          </w:p>
        </w:tc>
        <w:tc>
          <w:tcPr>
            <w:tcW w:w="6431" w:type="dxa"/>
            <w:gridSpan w:val="4"/>
            <w:tcBorders>
              <w:top w:val="single" w:sz="4" w:space="0" w:color="auto"/>
              <w:left w:val="nil"/>
              <w:bottom w:val="single" w:sz="4" w:space="0" w:color="auto"/>
              <w:right w:val="single" w:sz="4" w:space="0" w:color="auto"/>
            </w:tcBorders>
            <w:shd w:val="clear" w:color="auto" w:fill="BFBFBF"/>
          </w:tcPr>
          <w:p w14:paraId="7776EC30"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284FE9AC"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poznámka</w:t>
            </w:r>
          </w:p>
        </w:tc>
      </w:tr>
      <w:tr w:rsidR="00AD62CD" w:rsidRPr="00AD62CD" w14:paraId="3DB95F20" w14:textId="77777777" w:rsidTr="003627DF">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14:paraId="2BD60A2D"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c>
          <w:tcPr>
            <w:tcW w:w="1560" w:type="dxa"/>
            <w:tcBorders>
              <w:top w:val="single" w:sz="8" w:space="0" w:color="auto"/>
              <w:left w:val="single" w:sz="8" w:space="0" w:color="auto"/>
              <w:bottom w:val="single" w:sz="8" w:space="0" w:color="auto"/>
              <w:right w:val="single" w:sz="8" w:space="0" w:color="auto"/>
            </w:tcBorders>
            <w:shd w:val="clear" w:color="000000" w:fill="BFBFBF"/>
            <w:vAlign w:val="center"/>
          </w:tcPr>
          <w:p w14:paraId="4D5138D6" w14:textId="77777777" w:rsidR="00AD62CD" w:rsidRPr="00AD62CD" w:rsidRDefault="00AD62CD" w:rsidP="00AD62CD">
            <w:pPr>
              <w:spacing w:after="100" w:afterAutospacing="1"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701" w:type="dxa"/>
            <w:tcBorders>
              <w:top w:val="single" w:sz="8" w:space="0" w:color="auto"/>
              <w:left w:val="nil"/>
              <w:bottom w:val="single" w:sz="8" w:space="0" w:color="auto"/>
              <w:right w:val="single" w:sz="8" w:space="0" w:color="auto"/>
            </w:tcBorders>
            <w:shd w:val="clear" w:color="000000" w:fill="BFBFBF"/>
            <w:vAlign w:val="center"/>
          </w:tcPr>
          <w:p w14:paraId="3FFE5770" w14:textId="77777777" w:rsidR="00AD62CD" w:rsidRPr="00AD62CD" w:rsidRDefault="00AD62CD" w:rsidP="00AD62CD">
            <w:pPr>
              <w:spacing w:after="100" w:afterAutospacing="1"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630" w:type="dxa"/>
            <w:tcBorders>
              <w:top w:val="single" w:sz="8" w:space="0" w:color="auto"/>
              <w:left w:val="nil"/>
              <w:bottom w:val="single" w:sz="8" w:space="0" w:color="auto"/>
              <w:right w:val="single" w:sz="8" w:space="0" w:color="auto"/>
            </w:tcBorders>
            <w:shd w:val="clear" w:color="000000" w:fill="BFBFBF"/>
            <w:vAlign w:val="center"/>
          </w:tcPr>
          <w:p w14:paraId="1B6D3A88" w14:textId="77777777" w:rsidR="00AD62CD" w:rsidRPr="00AD62CD" w:rsidRDefault="00AD62CD" w:rsidP="00AD62CD">
            <w:pPr>
              <w:spacing w:after="100" w:afterAutospacing="1"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540" w:type="dxa"/>
            <w:tcBorders>
              <w:top w:val="single" w:sz="8" w:space="0" w:color="auto"/>
              <w:left w:val="nil"/>
              <w:bottom w:val="single" w:sz="8" w:space="0" w:color="auto"/>
              <w:right w:val="single" w:sz="8" w:space="0" w:color="auto"/>
            </w:tcBorders>
            <w:shd w:val="clear" w:color="000000" w:fill="BFBFBF"/>
            <w:vAlign w:val="center"/>
          </w:tcPr>
          <w:p w14:paraId="486B3AE3" w14:textId="77777777" w:rsidR="00AD62CD" w:rsidRPr="00AD62CD" w:rsidRDefault="00AD62CD" w:rsidP="00AD62CD">
            <w:pPr>
              <w:spacing w:after="100" w:afterAutospacing="1"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c>
          <w:tcPr>
            <w:tcW w:w="2220" w:type="dxa"/>
            <w:vMerge/>
            <w:tcBorders>
              <w:top w:val="single" w:sz="8" w:space="0" w:color="auto"/>
              <w:left w:val="single" w:sz="8" w:space="0" w:color="auto"/>
              <w:bottom w:val="single" w:sz="8" w:space="0" w:color="auto"/>
              <w:right w:val="single" w:sz="8" w:space="0" w:color="auto"/>
            </w:tcBorders>
            <w:shd w:val="clear" w:color="000000" w:fill="BFBFBF"/>
            <w:vAlign w:val="center"/>
          </w:tcPr>
          <w:p w14:paraId="54BEFB3E" w14:textId="77777777" w:rsidR="00AD62CD" w:rsidRPr="00AD62CD" w:rsidRDefault="00AD62CD" w:rsidP="00AD62CD">
            <w:pPr>
              <w:spacing w:after="100" w:afterAutospacing="1" w:line="240" w:lineRule="auto"/>
              <w:rPr>
                <w:rFonts w:ascii="Times New Roman" w:eastAsia="Calibri" w:hAnsi="Times New Roman" w:cs="Times New Roman"/>
                <w:b/>
                <w:bCs/>
                <w:color w:val="FFFFFF"/>
                <w:kern w:val="0"/>
                <w:sz w:val="22"/>
                <w:szCs w:val="22"/>
                <w:lang w:eastAsia="sk-SK"/>
                <w14:ligatures w14:val="none"/>
              </w:rPr>
            </w:pPr>
          </w:p>
        </w:tc>
      </w:tr>
      <w:tr w:rsidR="00AD62CD" w:rsidRPr="00AD62CD" w14:paraId="36FDA3D5"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B833428"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Bežné výdavky (600)</w:t>
            </w:r>
          </w:p>
        </w:tc>
        <w:tc>
          <w:tcPr>
            <w:tcW w:w="1560" w:type="dxa"/>
            <w:tcBorders>
              <w:top w:val="nil"/>
              <w:left w:val="nil"/>
              <w:bottom w:val="single" w:sz="8" w:space="0" w:color="auto"/>
              <w:right w:val="single" w:sz="8" w:space="0" w:color="auto"/>
            </w:tcBorders>
            <w:shd w:val="clear" w:color="auto" w:fill="auto"/>
            <w:vAlign w:val="center"/>
          </w:tcPr>
          <w:p w14:paraId="43749AB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6B60B44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77EFDD8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4813766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2DB294A7"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11F5B5C4"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3B830210"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Mzdy, platy, služobné príjmy a ostatné osobné vyrovnania (610)</w:t>
            </w:r>
          </w:p>
        </w:tc>
        <w:tc>
          <w:tcPr>
            <w:tcW w:w="1560" w:type="dxa"/>
            <w:tcBorders>
              <w:top w:val="nil"/>
              <w:left w:val="nil"/>
              <w:bottom w:val="single" w:sz="8" w:space="0" w:color="auto"/>
              <w:right w:val="single" w:sz="8" w:space="0" w:color="auto"/>
            </w:tcBorders>
            <w:shd w:val="clear" w:color="auto" w:fill="auto"/>
            <w:vAlign w:val="center"/>
          </w:tcPr>
          <w:p w14:paraId="2BF2F7EE"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231E3051"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58305882"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51C05F33"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5C10F78D"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12085907"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1A4AD601"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Poistné a príspevok do poisťovní (620)</w:t>
            </w:r>
          </w:p>
        </w:tc>
        <w:tc>
          <w:tcPr>
            <w:tcW w:w="1560" w:type="dxa"/>
            <w:tcBorders>
              <w:top w:val="nil"/>
              <w:left w:val="nil"/>
              <w:bottom w:val="single" w:sz="8" w:space="0" w:color="auto"/>
              <w:right w:val="single" w:sz="8" w:space="0" w:color="auto"/>
            </w:tcBorders>
            <w:shd w:val="clear" w:color="auto" w:fill="auto"/>
            <w:vAlign w:val="center"/>
          </w:tcPr>
          <w:p w14:paraId="4400A7E0"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68350919"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55AB0449"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1CD03632"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7ABBCF3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0F3437BA"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654C2D4B"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Tovary a služby (630)</w:t>
            </w:r>
            <w:r w:rsidRPr="00AD62CD">
              <w:rPr>
                <w:rFonts w:ascii="Times New Roman" w:eastAsia="Calibri" w:hAnsi="Times New Roman" w:cs="Times New Roman"/>
                <w:color w:val="000000"/>
                <w:kern w:val="0"/>
                <w:sz w:val="22"/>
                <w:szCs w:val="22"/>
                <w:vertAlign w:val="superscript"/>
                <w14:ligatures w14:val="none"/>
              </w:rPr>
              <w:t>2</w:t>
            </w:r>
          </w:p>
        </w:tc>
        <w:tc>
          <w:tcPr>
            <w:tcW w:w="1560" w:type="dxa"/>
            <w:tcBorders>
              <w:top w:val="nil"/>
              <w:left w:val="nil"/>
              <w:bottom w:val="single" w:sz="8" w:space="0" w:color="auto"/>
              <w:right w:val="single" w:sz="8" w:space="0" w:color="auto"/>
            </w:tcBorders>
            <w:shd w:val="clear" w:color="auto" w:fill="auto"/>
            <w:vAlign w:val="center"/>
          </w:tcPr>
          <w:p w14:paraId="36728896"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62EEC35F"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7CCA0E64"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6E970E55"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340DC465"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6612F941"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614A96A9"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Bežné transfery (640)</w:t>
            </w:r>
            <w:r w:rsidRPr="00AD62CD">
              <w:rPr>
                <w:rFonts w:ascii="Times New Roman" w:eastAsia="Calibri" w:hAnsi="Times New Roman" w:cs="Times New Roman"/>
                <w:color w:val="000000"/>
                <w:kern w:val="0"/>
                <w:sz w:val="22"/>
                <w:szCs w:val="22"/>
                <w:vertAlign w:val="superscript"/>
                <w14:ligatures w14:val="none"/>
              </w:rPr>
              <w:t>2</w:t>
            </w:r>
          </w:p>
        </w:tc>
        <w:tc>
          <w:tcPr>
            <w:tcW w:w="1560" w:type="dxa"/>
            <w:tcBorders>
              <w:top w:val="nil"/>
              <w:left w:val="nil"/>
              <w:bottom w:val="single" w:sz="8" w:space="0" w:color="auto"/>
              <w:right w:val="single" w:sz="8" w:space="0" w:color="auto"/>
            </w:tcBorders>
            <w:shd w:val="clear" w:color="auto" w:fill="auto"/>
            <w:vAlign w:val="center"/>
          </w:tcPr>
          <w:p w14:paraId="0582C52A"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04D281BA"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1AC76928"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6F19D9ED"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4DCA545B"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70234323"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0F1166C"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Transfery jednotlivcom a neziskovým právnickým osobám (642)</w:t>
            </w:r>
          </w:p>
        </w:tc>
        <w:tc>
          <w:tcPr>
            <w:tcW w:w="1560" w:type="dxa"/>
            <w:tcBorders>
              <w:top w:val="nil"/>
              <w:left w:val="nil"/>
              <w:bottom w:val="single" w:sz="8" w:space="0" w:color="auto"/>
              <w:right w:val="single" w:sz="8" w:space="0" w:color="auto"/>
            </w:tcBorders>
            <w:shd w:val="clear" w:color="auto" w:fill="auto"/>
            <w:vAlign w:val="center"/>
          </w:tcPr>
          <w:p w14:paraId="3BF5DE9D"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6269FB69"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16DED04D"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7CE9D5B0"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31B7B839"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7CB34FEF"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13D38D2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Kapitálové výdavky (700)</w:t>
            </w:r>
          </w:p>
        </w:tc>
        <w:tc>
          <w:tcPr>
            <w:tcW w:w="1560" w:type="dxa"/>
            <w:tcBorders>
              <w:top w:val="nil"/>
              <w:left w:val="nil"/>
              <w:bottom w:val="single" w:sz="8" w:space="0" w:color="auto"/>
              <w:right w:val="single" w:sz="8" w:space="0" w:color="auto"/>
            </w:tcBorders>
            <w:shd w:val="clear" w:color="auto" w:fill="auto"/>
            <w:vAlign w:val="center"/>
          </w:tcPr>
          <w:p w14:paraId="35DAD953"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27D01BE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75CBED3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2B5972C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21956E4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48B8AEDA"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060E76FE"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Obstarávanie kapitálových aktív (710)</w:t>
            </w:r>
            <w:r w:rsidRPr="00AD62CD">
              <w:rPr>
                <w:rFonts w:ascii="Times New Roman" w:eastAsia="Calibri" w:hAnsi="Times New Roman" w:cs="Times New Roman"/>
                <w:color w:val="000000"/>
                <w:kern w:val="0"/>
                <w:sz w:val="22"/>
                <w:szCs w:val="22"/>
                <w:vertAlign w:val="superscript"/>
                <w14:ligatures w14:val="none"/>
              </w:rPr>
              <w:t>2</w:t>
            </w:r>
          </w:p>
        </w:tc>
        <w:tc>
          <w:tcPr>
            <w:tcW w:w="1560" w:type="dxa"/>
            <w:tcBorders>
              <w:top w:val="nil"/>
              <w:left w:val="nil"/>
              <w:bottom w:val="single" w:sz="8" w:space="0" w:color="auto"/>
              <w:right w:val="single" w:sz="8" w:space="0" w:color="auto"/>
            </w:tcBorders>
            <w:shd w:val="clear" w:color="auto" w:fill="auto"/>
            <w:vAlign w:val="center"/>
          </w:tcPr>
          <w:p w14:paraId="73F7A8CA"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7F134843" w14:textId="77777777" w:rsidR="00AD62CD" w:rsidRPr="00AD62CD" w:rsidRDefault="00AD62CD" w:rsidP="00AD62CD">
            <w:pPr>
              <w:spacing w:after="0" w:line="276" w:lineRule="auto"/>
              <w:jc w:val="right"/>
              <w:rPr>
                <w:rFonts w:ascii="Calibri" w:eastAsia="Calibri" w:hAnsi="Calibri" w:cs="Calibri"/>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21C82E5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17A6D77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76A5910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1C89DC4F"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7018B2CA"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zmeny v informačných systémoch FR SR</w:t>
            </w:r>
          </w:p>
        </w:tc>
        <w:tc>
          <w:tcPr>
            <w:tcW w:w="1560" w:type="dxa"/>
            <w:tcBorders>
              <w:top w:val="nil"/>
              <w:left w:val="nil"/>
              <w:bottom w:val="single" w:sz="8" w:space="0" w:color="auto"/>
              <w:right w:val="single" w:sz="8" w:space="0" w:color="auto"/>
            </w:tcBorders>
            <w:shd w:val="clear" w:color="auto" w:fill="auto"/>
            <w:vAlign w:val="center"/>
          </w:tcPr>
          <w:p w14:paraId="7E8FE82A" w14:textId="77777777" w:rsidR="00AD62CD" w:rsidRPr="00AD62CD" w:rsidRDefault="00AD62CD" w:rsidP="00AD62CD">
            <w:pPr>
              <w:spacing w:after="0" w:line="276" w:lineRule="auto"/>
              <w:jc w:val="right"/>
              <w:rPr>
                <w:rFonts w:ascii="Times New Roman" w:eastAsia="Calibri" w:hAnsi="Times New Roman" w:cs="Times New Roman"/>
                <w:bCs/>
                <w:color w:val="FF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71CA8BF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0268748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7C4BF56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09124265"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3AD41B0C" w14:textId="77777777" w:rsidTr="003627DF">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6FD57E57" w14:textId="77777777" w:rsidR="00AD62CD" w:rsidRPr="00AD62CD" w:rsidRDefault="00AD62CD" w:rsidP="00AD62CD">
            <w:pPr>
              <w:spacing w:after="0" w:line="276" w:lineRule="auto"/>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Kapitálové transfery (720)</w:t>
            </w:r>
            <w:r w:rsidRPr="00AD62CD">
              <w:rPr>
                <w:rFonts w:ascii="Times New Roman" w:eastAsia="Calibri" w:hAnsi="Times New Roman" w:cs="Times New Roman"/>
                <w:color w:val="000000"/>
                <w:kern w:val="0"/>
                <w:sz w:val="22"/>
                <w:szCs w:val="22"/>
                <w:vertAlign w:val="superscript"/>
                <w14:ligatures w14:val="none"/>
              </w:rPr>
              <w:t>2</w:t>
            </w:r>
          </w:p>
        </w:tc>
        <w:tc>
          <w:tcPr>
            <w:tcW w:w="1560" w:type="dxa"/>
            <w:tcBorders>
              <w:top w:val="nil"/>
              <w:left w:val="nil"/>
              <w:bottom w:val="single" w:sz="8" w:space="0" w:color="auto"/>
              <w:right w:val="single" w:sz="8" w:space="0" w:color="auto"/>
            </w:tcBorders>
            <w:shd w:val="clear" w:color="auto" w:fill="auto"/>
            <w:vAlign w:val="center"/>
          </w:tcPr>
          <w:p w14:paraId="6C5CBFEC" w14:textId="77777777" w:rsidR="00AD62CD" w:rsidRPr="00AD62CD" w:rsidRDefault="00AD62CD" w:rsidP="00AD62CD">
            <w:pPr>
              <w:spacing w:after="0" w:line="276" w:lineRule="auto"/>
              <w:jc w:val="right"/>
              <w:rPr>
                <w:rFonts w:ascii="Times New Roman" w:eastAsia="Calibri" w:hAnsi="Times New Roman" w:cs="Times New Roman"/>
                <w:color w:val="FF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auto" w:fill="auto"/>
            <w:vAlign w:val="center"/>
          </w:tcPr>
          <w:p w14:paraId="3D3BA55D"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30" w:type="dxa"/>
            <w:tcBorders>
              <w:top w:val="nil"/>
              <w:left w:val="nil"/>
              <w:bottom w:val="single" w:sz="8" w:space="0" w:color="auto"/>
              <w:right w:val="single" w:sz="8" w:space="0" w:color="auto"/>
            </w:tcBorders>
            <w:shd w:val="clear" w:color="auto" w:fill="auto"/>
            <w:vAlign w:val="center"/>
          </w:tcPr>
          <w:p w14:paraId="3443B887"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40" w:type="dxa"/>
            <w:tcBorders>
              <w:top w:val="nil"/>
              <w:left w:val="nil"/>
              <w:bottom w:val="single" w:sz="8" w:space="0" w:color="auto"/>
              <w:right w:val="single" w:sz="8" w:space="0" w:color="auto"/>
            </w:tcBorders>
            <w:shd w:val="clear" w:color="auto" w:fill="auto"/>
            <w:vAlign w:val="center"/>
          </w:tcPr>
          <w:p w14:paraId="250AE16C"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2D769F9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0934A908" w14:textId="77777777" w:rsidTr="00AD62CD">
        <w:trPr>
          <w:trHeight w:val="255"/>
        </w:trPr>
        <w:tc>
          <w:tcPr>
            <w:tcW w:w="6799" w:type="dxa"/>
            <w:tcBorders>
              <w:top w:val="nil"/>
              <w:left w:val="single" w:sz="8" w:space="0" w:color="auto"/>
              <w:bottom w:val="single" w:sz="8" w:space="0" w:color="auto"/>
              <w:right w:val="single" w:sz="8" w:space="0" w:color="auto"/>
            </w:tcBorders>
            <w:shd w:val="clear" w:color="auto" w:fill="auto"/>
            <w:vAlign w:val="center"/>
          </w:tcPr>
          <w:p w14:paraId="761E7CFD"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Výdavky z transakcií s finančnými aktívami a finančnými pasívami (800)</w:t>
            </w:r>
          </w:p>
        </w:tc>
        <w:tc>
          <w:tcPr>
            <w:tcW w:w="1560" w:type="dxa"/>
            <w:tcBorders>
              <w:top w:val="single" w:sz="8" w:space="0" w:color="auto"/>
              <w:left w:val="nil"/>
              <w:bottom w:val="single" w:sz="8" w:space="0" w:color="auto"/>
              <w:right w:val="single" w:sz="8" w:space="0" w:color="auto"/>
            </w:tcBorders>
            <w:shd w:val="clear" w:color="000000" w:fill="FFFFFF"/>
            <w:vAlign w:val="center"/>
          </w:tcPr>
          <w:p w14:paraId="0AADE9C1" w14:textId="77777777" w:rsidR="00AD62CD" w:rsidRPr="00AD62CD" w:rsidRDefault="00AD62CD" w:rsidP="00AD62CD">
            <w:pPr>
              <w:spacing w:after="0" w:line="276" w:lineRule="auto"/>
              <w:jc w:val="right"/>
              <w:rPr>
                <w:rFonts w:ascii="Times New Roman" w:eastAsia="Calibri" w:hAnsi="Times New Roman" w:cs="Times New Roman"/>
                <w:b/>
                <w:bCs/>
                <w:color w:val="FF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single" w:sz="8" w:space="0" w:color="auto"/>
              <w:left w:val="nil"/>
              <w:bottom w:val="single" w:sz="8" w:space="0" w:color="auto"/>
              <w:right w:val="single" w:sz="8" w:space="0" w:color="auto"/>
            </w:tcBorders>
            <w:shd w:val="clear" w:color="000000" w:fill="FFFFFF"/>
            <w:vAlign w:val="center"/>
          </w:tcPr>
          <w:p w14:paraId="4CED3DB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30" w:type="dxa"/>
            <w:tcBorders>
              <w:top w:val="single" w:sz="8" w:space="0" w:color="auto"/>
              <w:left w:val="nil"/>
              <w:bottom w:val="single" w:sz="8" w:space="0" w:color="auto"/>
              <w:right w:val="single" w:sz="8" w:space="0" w:color="auto"/>
            </w:tcBorders>
            <w:shd w:val="clear" w:color="000000" w:fill="FFFFFF"/>
            <w:vAlign w:val="center"/>
          </w:tcPr>
          <w:p w14:paraId="4464B26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40" w:type="dxa"/>
            <w:tcBorders>
              <w:top w:val="single" w:sz="8" w:space="0" w:color="auto"/>
              <w:left w:val="nil"/>
              <w:bottom w:val="single" w:sz="8" w:space="0" w:color="auto"/>
              <w:right w:val="single" w:sz="8" w:space="0" w:color="auto"/>
            </w:tcBorders>
            <w:shd w:val="clear" w:color="000000" w:fill="FFFFFF"/>
            <w:vAlign w:val="center"/>
          </w:tcPr>
          <w:p w14:paraId="661DD47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2220" w:type="dxa"/>
            <w:tcBorders>
              <w:top w:val="nil"/>
              <w:left w:val="nil"/>
              <w:bottom w:val="single" w:sz="4" w:space="0" w:color="auto"/>
              <w:right w:val="single" w:sz="4" w:space="0" w:color="auto"/>
            </w:tcBorders>
            <w:noWrap/>
            <w:vAlign w:val="bottom"/>
          </w:tcPr>
          <w:p w14:paraId="216DB7E6"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60F148FC" w14:textId="77777777" w:rsidTr="00AD62CD">
        <w:trPr>
          <w:trHeight w:val="255"/>
        </w:trPr>
        <w:tc>
          <w:tcPr>
            <w:tcW w:w="6799" w:type="dxa"/>
            <w:tcBorders>
              <w:top w:val="nil"/>
              <w:left w:val="single" w:sz="8" w:space="0" w:color="auto"/>
              <w:bottom w:val="single" w:sz="8" w:space="0" w:color="auto"/>
              <w:right w:val="single" w:sz="8" w:space="0" w:color="auto"/>
            </w:tcBorders>
            <w:shd w:val="clear" w:color="000000" w:fill="BFBFBF"/>
            <w:vAlign w:val="center"/>
          </w:tcPr>
          <w:p w14:paraId="44454D68"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Dopad na výdavky verejnej správy celkom</w:t>
            </w:r>
          </w:p>
        </w:tc>
        <w:tc>
          <w:tcPr>
            <w:tcW w:w="1560" w:type="dxa"/>
            <w:tcBorders>
              <w:top w:val="nil"/>
              <w:left w:val="nil"/>
              <w:bottom w:val="single" w:sz="8" w:space="0" w:color="auto"/>
              <w:right w:val="single" w:sz="8" w:space="0" w:color="auto"/>
            </w:tcBorders>
            <w:shd w:val="clear" w:color="000000" w:fill="BFBFBF"/>
            <w:vAlign w:val="center"/>
          </w:tcPr>
          <w:p w14:paraId="31B75CC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701" w:type="dxa"/>
            <w:tcBorders>
              <w:top w:val="nil"/>
              <w:left w:val="nil"/>
              <w:bottom w:val="single" w:sz="8" w:space="0" w:color="auto"/>
              <w:right w:val="single" w:sz="8" w:space="0" w:color="auto"/>
            </w:tcBorders>
            <w:shd w:val="clear" w:color="000000" w:fill="BFBFBF"/>
            <w:vAlign w:val="center"/>
          </w:tcPr>
          <w:p w14:paraId="626F41D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0</w:t>
            </w:r>
          </w:p>
        </w:tc>
        <w:tc>
          <w:tcPr>
            <w:tcW w:w="1630" w:type="dxa"/>
            <w:tcBorders>
              <w:top w:val="nil"/>
              <w:left w:val="nil"/>
              <w:bottom w:val="single" w:sz="8" w:space="0" w:color="auto"/>
              <w:right w:val="single" w:sz="8" w:space="0" w:color="auto"/>
            </w:tcBorders>
            <w:shd w:val="clear" w:color="000000" w:fill="BFBFBF"/>
            <w:vAlign w:val="center"/>
          </w:tcPr>
          <w:p w14:paraId="613EB9F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0</w:t>
            </w:r>
          </w:p>
        </w:tc>
        <w:tc>
          <w:tcPr>
            <w:tcW w:w="1540" w:type="dxa"/>
            <w:tcBorders>
              <w:top w:val="nil"/>
              <w:left w:val="nil"/>
              <w:bottom w:val="single" w:sz="8" w:space="0" w:color="auto"/>
              <w:right w:val="single" w:sz="8" w:space="0" w:color="auto"/>
            </w:tcBorders>
            <w:shd w:val="clear" w:color="000000" w:fill="BFBFBF"/>
            <w:vAlign w:val="center"/>
          </w:tcPr>
          <w:p w14:paraId="3E71FEA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14:paraId="3643C535"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bl>
    <w:p w14:paraId="2389D75F"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7A181998"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099AE45E"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16379F47"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6EE611F3"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 w:val="20"/>
          <w:szCs w:val="20"/>
          <w:lang w:eastAsia="sk-SK"/>
          <w14:ligatures w14:val="none"/>
        </w:rPr>
      </w:pPr>
    </w:p>
    <w:p w14:paraId="0B4B8919" w14:textId="77777777" w:rsidR="00AD62CD" w:rsidRPr="00AD62CD" w:rsidRDefault="00AD62CD" w:rsidP="00AD62CD">
      <w:pPr>
        <w:spacing w:after="20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br w:type="page"/>
      </w:r>
    </w:p>
    <w:p w14:paraId="6BD73442"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 w:val="20"/>
          <w:szCs w:val="20"/>
          <w:lang w:eastAsia="sk-SK"/>
          <w14:ligatures w14:val="none"/>
        </w:rPr>
      </w:pPr>
    </w:p>
    <w:p w14:paraId="39FCC050"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                Tabuľka č. 5 </w:t>
      </w:r>
    </w:p>
    <w:p w14:paraId="306A8C1D"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AD62CD" w:rsidRPr="00AD62CD" w14:paraId="47F76428" w14:textId="77777777" w:rsidTr="00AD62CD">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028E0038"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14:paraId="1CAB02FE"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679E88EA"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poznámka</w:t>
            </w:r>
          </w:p>
        </w:tc>
      </w:tr>
      <w:tr w:rsidR="00AD62CD" w:rsidRPr="00AD62CD" w14:paraId="7FC20962" w14:textId="77777777" w:rsidTr="00AD62CD">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78CA22A0"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p>
        </w:tc>
        <w:tc>
          <w:tcPr>
            <w:tcW w:w="1698" w:type="dxa"/>
            <w:tcBorders>
              <w:top w:val="nil"/>
              <w:left w:val="nil"/>
              <w:bottom w:val="single" w:sz="4" w:space="0" w:color="auto"/>
              <w:right w:val="single" w:sz="4" w:space="0" w:color="auto"/>
            </w:tcBorders>
            <w:shd w:val="clear" w:color="auto" w:fill="BFBFBF"/>
            <w:vAlign w:val="center"/>
          </w:tcPr>
          <w:p w14:paraId="7D9F5AFE"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965" w:type="dxa"/>
            <w:tcBorders>
              <w:top w:val="nil"/>
              <w:left w:val="nil"/>
              <w:bottom w:val="single" w:sz="4" w:space="0" w:color="auto"/>
              <w:right w:val="single" w:sz="4" w:space="0" w:color="auto"/>
            </w:tcBorders>
            <w:shd w:val="clear" w:color="auto" w:fill="BFBFBF"/>
            <w:vAlign w:val="center"/>
          </w:tcPr>
          <w:p w14:paraId="6572C0AD"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985" w:type="dxa"/>
            <w:gridSpan w:val="2"/>
            <w:tcBorders>
              <w:top w:val="nil"/>
              <w:left w:val="nil"/>
              <w:bottom w:val="single" w:sz="4" w:space="0" w:color="auto"/>
              <w:right w:val="single" w:sz="4" w:space="0" w:color="auto"/>
            </w:tcBorders>
            <w:shd w:val="clear" w:color="auto" w:fill="BFBFBF"/>
            <w:vAlign w:val="center"/>
          </w:tcPr>
          <w:p w14:paraId="7E56972B"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978" w:type="dxa"/>
            <w:tcBorders>
              <w:top w:val="nil"/>
              <w:left w:val="nil"/>
              <w:bottom w:val="single" w:sz="4" w:space="0" w:color="auto"/>
              <w:right w:val="single" w:sz="4" w:space="0" w:color="auto"/>
            </w:tcBorders>
            <w:shd w:val="clear" w:color="auto" w:fill="BFBFBF"/>
            <w:vAlign w:val="center"/>
          </w:tcPr>
          <w:p w14:paraId="5AF24328"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1B073D29"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r>
      <w:tr w:rsidR="00AD62CD" w:rsidRPr="00AD62CD" w14:paraId="41BFE4B2"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51EEFD58"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Počet zamestnancov celkom</w:t>
            </w:r>
          </w:p>
        </w:tc>
        <w:tc>
          <w:tcPr>
            <w:tcW w:w="1698" w:type="dxa"/>
            <w:tcBorders>
              <w:top w:val="nil"/>
              <w:left w:val="nil"/>
              <w:bottom w:val="single" w:sz="8" w:space="0" w:color="auto"/>
              <w:right w:val="single" w:sz="8" w:space="0" w:color="auto"/>
            </w:tcBorders>
            <w:shd w:val="clear" w:color="auto" w:fill="auto"/>
            <w:vAlign w:val="center"/>
          </w:tcPr>
          <w:p w14:paraId="587A05D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5C3EE00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single" w:sz="8" w:space="0" w:color="auto"/>
              <w:left w:val="nil"/>
              <w:bottom w:val="single" w:sz="8" w:space="0" w:color="auto"/>
              <w:right w:val="nil"/>
            </w:tcBorders>
            <w:shd w:val="clear" w:color="auto" w:fill="auto"/>
            <w:vAlign w:val="center"/>
          </w:tcPr>
          <w:p w14:paraId="732514A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14:paraId="7095452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298A8292"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2627A2D8"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79B5495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3ACB962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2F4C204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nil"/>
              <w:left w:val="nil"/>
              <w:bottom w:val="single" w:sz="8" w:space="0" w:color="auto"/>
              <w:right w:val="nil"/>
            </w:tcBorders>
            <w:shd w:val="clear" w:color="auto" w:fill="auto"/>
            <w:vAlign w:val="center"/>
          </w:tcPr>
          <w:p w14:paraId="167EE98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1DD2DB6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3D37F10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27F6FEE8"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599EFC81"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14:paraId="4349B80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7E24E1B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nil"/>
              <w:left w:val="nil"/>
              <w:bottom w:val="single" w:sz="8" w:space="0" w:color="auto"/>
              <w:right w:val="nil"/>
            </w:tcBorders>
            <w:shd w:val="clear" w:color="auto" w:fill="auto"/>
            <w:vAlign w:val="center"/>
          </w:tcPr>
          <w:p w14:paraId="67F4242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1C1B39E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620" w:type="dxa"/>
            <w:gridSpan w:val="2"/>
            <w:tcBorders>
              <w:top w:val="nil"/>
              <w:left w:val="nil"/>
              <w:bottom w:val="single" w:sz="4" w:space="0" w:color="auto"/>
              <w:right w:val="single" w:sz="4" w:space="0" w:color="auto"/>
            </w:tcBorders>
            <w:noWrap/>
            <w:vAlign w:val="bottom"/>
          </w:tcPr>
          <w:p w14:paraId="5B88BE3D"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6B4592A2"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499DCE7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4606904F"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04DB01D1"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85" w:type="dxa"/>
            <w:gridSpan w:val="2"/>
            <w:tcBorders>
              <w:top w:val="nil"/>
              <w:left w:val="nil"/>
              <w:bottom w:val="single" w:sz="8" w:space="0" w:color="auto"/>
              <w:right w:val="nil"/>
            </w:tcBorders>
            <w:shd w:val="clear" w:color="auto" w:fill="auto"/>
            <w:vAlign w:val="center"/>
          </w:tcPr>
          <w:p w14:paraId="60E15D9B"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40D0E35E"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28AF61B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51A56B07" w14:textId="77777777" w:rsidTr="00AD62CD">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14:paraId="67173E2B"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14:paraId="01B8F86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000000" w:fill="BFBFBF"/>
            <w:vAlign w:val="center"/>
          </w:tcPr>
          <w:p w14:paraId="301F2A4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14:paraId="36A637A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78" w:type="dxa"/>
            <w:tcBorders>
              <w:top w:val="nil"/>
              <w:left w:val="nil"/>
              <w:bottom w:val="single" w:sz="8" w:space="0" w:color="auto"/>
              <w:right w:val="single" w:sz="8" w:space="0" w:color="auto"/>
            </w:tcBorders>
            <w:shd w:val="clear" w:color="000000" w:fill="BFBFBF"/>
            <w:vAlign w:val="center"/>
          </w:tcPr>
          <w:p w14:paraId="21B2835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620" w:type="dxa"/>
            <w:gridSpan w:val="2"/>
            <w:tcBorders>
              <w:top w:val="nil"/>
              <w:left w:val="nil"/>
              <w:bottom w:val="single" w:sz="4" w:space="0" w:color="auto"/>
              <w:right w:val="single" w:sz="4" w:space="0" w:color="auto"/>
            </w:tcBorders>
            <w:shd w:val="clear" w:color="auto" w:fill="BFBFBF"/>
            <w:noWrap/>
            <w:vAlign w:val="bottom"/>
          </w:tcPr>
          <w:p w14:paraId="5865BA35"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w:t>
            </w:r>
          </w:p>
        </w:tc>
      </w:tr>
      <w:tr w:rsidR="00AD62CD" w:rsidRPr="00AD62CD" w14:paraId="019EDC13"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5207DB56"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14:paraId="12764C6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5F5D12C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14:paraId="10A671E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78" w:type="dxa"/>
            <w:tcBorders>
              <w:top w:val="nil"/>
              <w:left w:val="nil"/>
              <w:bottom w:val="single" w:sz="8" w:space="0" w:color="auto"/>
              <w:right w:val="single" w:sz="8" w:space="0" w:color="auto"/>
            </w:tcBorders>
            <w:shd w:val="clear" w:color="auto" w:fill="auto"/>
            <w:vAlign w:val="center"/>
          </w:tcPr>
          <w:p w14:paraId="5C6D60D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6B283C51"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w:t>
            </w:r>
          </w:p>
        </w:tc>
      </w:tr>
      <w:tr w:rsidR="00AD62CD" w:rsidRPr="00AD62CD" w14:paraId="0D540FEF"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466D8710"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72E35990"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16EFCC12"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0   </w:t>
            </w:r>
          </w:p>
        </w:tc>
        <w:tc>
          <w:tcPr>
            <w:tcW w:w="1985" w:type="dxa"/>
            <w:gridSpan w:val="2"/>
            <w:tcBorders>
              <w:top w:val="nil"/>
              <w:left w:val="nil"/>
              <w:bottom w:val="single" w:sz="8" w:space="0" w:color="auto"/>
              <w:right w:val="nil"/>
            </w:tcBorders>
            <w:shd w:val="clear" w:color="auto" w:fill="auto"/>
            <w:vAlign w:val="center"/>
          </w:tcPr>
          <w:p w14:paraId="0874919B"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7B028A39"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0   </w:t>
            </w:r>
          </w:p>
        </w:tc>
        <w:tc>
          <w:tcPr>
            <w:tcW w:w="1620" w:type="dxa"/>
            <w:gridSpan w:val="2"/>
            <w:tcBorders>
              <w:top w:val="nil"/>
              <w:left w:val="nil"/>
              <w:bottom w:val="single" w:sz="4" w:space="0" w:color="auto"/>
              <w:right w:val="single" w:sz="4" w:space="0" w:color="auto"/>
            </w:tcBorders>
            <w:noWrap/>
            <w:vAlign w:val="bottom"/>
          </w:tcPr>
          <w:p w14:paraId="2B7D9F46"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259F400C"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6CF3EC95"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14:paraId="64C8092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69136B0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nil"/>
              <w:left w:val="nil"/>
              <w:bottom w:val="single" w:sz="8" w:space="0" w:color="auto"/>
              <w:right w:val="single" w:sz="8" w:space="0" w:color="auto"/>
            </w:tcBorders>
            <w:shd w:val="clear" w:color="auto" w:fill="auto"/>
            <w:vAlign w:val="center"/>
          </w:tcPr>
          <w:p w14:paraId="28FE4AF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nil"/>
              <w:left w:val="nil"/>
              <w:bottom w:val="single" w:sz="8" w:space="0" w:color="auto"/>
              <w:right w:val="single" w:sz="8" w:space="0" w:color="auto"/>
            </w:tcBorders>
            <w:shd w:val="clear" w:color="auto" w:fill="auto"/>
            <w:vAlign w:val="center"/>
          </w:tcPr>
          <w:p w14:paraId="3E8F4BB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1A5763E0"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w:t>
            </w:r>
          </w:p>
        </w:tc>
      </w:tr>
      <w:tr w:rsidR="00AD62CD" w:rsidRPr="00AD62CD" w14:paraId="55E62FFC"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6968E49F"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7817A6E9"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3E6B4237"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85" w:type="dxa"/>
            <w:gridSpan w:val="2"/>
            <w:tcBorders>
              <w:top w:val="nil"/>
              <w:left w:val="nil"/>
              <w:bottom w:val="single" w:sz="8" w:space="0" w:color="auto"/>
              <w:right w:val="nil"/>
            </w:tcBorders>
            <w:shd w:val="clear" w:color="auto" w:fill="auto"/>
            <w:vAlign w:val="center"/>
          </w:tcPr>
          <w:p w14:paraId="33D7FE57"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00451897"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75CD092E"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7BD4A6F7" w14:textId="77777777" w:rsidTr="003627DF">
        <w:trPr>
          <w:trHeight w:val="255"/>
        </w:trPr>
        <w:tc>
          <w:tcPr>
            <w:tcW w:w="6188" w:type="dxa"/>
            <w:tcBorders>
              <w:top w:val="nil"/>
              <w:left w:val="nil"/>
              <w:bottom w:val="nil"/>
              <w:right w:val="nil"/>
            </w:tcBorders>
            <w:noWrap/>
            <w:vAlign w:val="bottom"/>
          </w:tcPr>
          <w:p w14:paraId="7ACBAB96"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698" w:type="dxa"/>
            <w:tcBorders>
              <w:top w:val="nil"/>
              <w:left w:val="nil"/>
              <w:bottom w:val="nil"/>
              <w:right w:val="nil"/>
            </w:tcBorders>
            <w:noWrap/>
            <w:vAlign w:val="bottom"/>
          </w:tcPr>
          <w:p w14:paraId="72829FE9"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65" w:type="dxa"/>
            <w:tcBorders>
              <w:top w:val="nil"/>
              <w:left w:val="nil"/>
              <w:bottom w:val="nil"/>
              <w:right w:val="nil"/>
            </w:tcBorders>
            <w:noWrap/>
            <w:vAlign w:val="bottom"/>
          </w:tcPr>
          <w:p w14:paraId="183DA8C1"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85" w:type="dxa"/>
            <w:gridSpan w:val="2"/>
            <w:tcBorders>
              <w:top w:val="nil"/>
              <w:left w:val="nil"/>
              <w:bottom w:val="nil"/>
              <w:right w:val="nil"/>
            </w:tcBorders>
            <w:noWrap/>
            <w:vAlign w:val="bottom"/>
          </w:tcPr>
          <w:p w14:paraId="107FB86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78" w:type="dxa"/>
            <w:tcBorders>
              <w:top w:val="nil"/>
              <w:left w:val="nil"/>
              <w:bottom w:val="nil"/>
              <w:right w:val="nil"/>
            </w:tcBorders>
            <w:noWrap/>
            <w:vAlign w:val="bottom"/>
          </w:tcPr>
          <w:p w14:paraId="0ED1009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620" w:type="dxa"/>
            <w:gridSpan w:val="2"/>
            <w:tcBorders>
              <w:top w:val="nil"/>
              <w:left w:val="nil"/>
              <w:bottom w:val="nil"/>
              <w:right w:val="nil"/>
            </w:tcBorders>
            <w:noWrap/>
            <w:vAlign w:val="bottom"/>
          </w:tcPr>
          <w:p w14:paraId="030F44F2"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5F513A2A" w14:textId="77777777" w:rsidTr="003627DF">
        <w:trPr>
          <w:trHeight w:val="255"/>
        </w:trPr>
        <w:tc>
          <w:tcPr>
            <w:tcW w:w="6188" w:type="dxa"/>
            <w:tcBorders>
              <w:top w:val="nil"/>
              <w:left w:val="nil"/>
              <w:bottom w:val="nil"/>
              <w:right w:val="nil"/>
            </w:tcBorders>
          </w:tcPr>
          <w:p w14:paraId="281654A2"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Poznámky:</w:t>
            </w:r>
          </w:p>
        </w:tc>
        <w:tc>
          <w:tcPr>
            <w:tcW w:w="1698" w:type="dxa"/>
            <w:tcBorders>
              <w:top w:val="nil"/>
              <w:left w:val="nil"/>
              <w:bottom w:val="nil"/>
              <w:right w:val="nil"/>
            </w:tcBorders>
            <w:noWrap/>
            <w:vAlign w:val="bottom"/>
          </w:tcPr>
          <w:p w14:paraId="7BB9A1D7"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65" w:type="dxa"/>
            <w:tcBorders>
              <w:top w:val="nil"/>
              <w:left w:val="nil"/>
              <w:bottom w:val="nil"/>
              <w:right w:val="nil"/>
            </w:tcBorders>
            <w:noWrap/>
            <w:vAlign w:val="bottom"/>
          </w:tcPr>
          <w:p w14:paraId="1B82B0E4"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85" w:type="dxa"/>
            <w:gridSpan w:val="2"/>
            <w:tcBorders>
              <w:top w:val="nil"/>
              <w:left w:val="nil"/>
              <w:bottom w:val="nil"/>
              <w:right w:val="nil"/>
            </w:tcBorders>
            <w:noWrap/>
            <w:vAlign w:val="bottom"/>
          </w:tcPr>
          <w:p w14:paraId="7FC8D0F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78" w:type="dxa"/>
            <w:tcBorders>
              <w:top w:val="nil"/>
              <w:left w:val="nil"/>
              <w:bottom w:val="nil"/>
              <w:right w:val="nil"/>
            </w:tcBorders>
            <w:noWrap/>
            <w:vAlign w:val="bottom"/>
          </w:tcPr>
          <w:p w14:paraId="5606D35A"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620" w:type="dxa"/>
            <w:gridSpan w:val="2"/>
            <w:tcBorders>
              <w:top w:val="nil"/>
              <w:left w:val="nil"/>
              <w:bottom w:val="nil"/>
              <w:right w:val="nil"/>
            </w:tcBorders>
            <w:noWrap/>
            <w:vAlign w:val="bottom"/>
          </w:tcPr>
          <w:p w14:paraId="5EE70254"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111402DA" w14:textId="77777777" w:rsidTr="003627DF">
        <w:trPr>
          <w:trHeight w:val="255"/>
        </w:trPr>
        <w:tc>
          <w:tcPr>
            <w:tcW w:w="13814" w:type="dxa"/>
            <w:gridSpan w:val="6"/>
            <w:tcBorders>
              <w:top w:val="nil"/>
              <w:left w:val="nil"/>
              <w:bottom w:val="nil"/>
              <w:right w:val="nil"/>
            </w:tcBorders>
            <w:noWrap/>
          </w:tcPr>
          <w:p w14:paraId="4A313B71"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2"/>
                <w:szCs w:val="22"/>
                <w:lang w:eastAsia="sk-SK"/>
                <w14:ligatures w14:val="none"/>
              </w:rPr>
            </w:pPr>
            <w:r w:rsidRPr="00AD62CD">
              <w:rPr>
                <w:rFonts w:ascii="Times New Roman" w:eastAsia="Calibri" w:hAnsi="Times New Roman" w:cs="Times New Roman"/>
                <w:bCs/>
                <w:kern w:val="0"/>
                <w:sz w:val="22"/>
                <w:szCs w:val="22"/>
                <w:lang w:eastAsia="sk-SK"/>
                <w14:ligatures w14:val="none"/>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5DC2444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00C1422A"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54577599" w14:textId="77777777" w:rsidTr="003627DF">
        <w:trPr>
          <w:trHeight w:val="255"/>
        </w:trPr>
        <w:tc>
          <w:tcPr>
            <w:tcW w:w="10394" w:type="dxa"/>
            <w:gridSpan w:val="4"/>
            <w:tcBorders>
              <w:top w:val="nil"/>
              <w:left w:val="nil"/>
              <w:bottom w:val="nil"/>
              <w:right w:val="nil"/>
            </w:tcBorders>
            <w:noWrap/>
            <w:vAlign w:val="bottom"/>
          </w:tcPr>
          <w:p w14:paraId="47BE2483"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Kategórie 610 a 620 sú z tejto prílohy prenášané do príslušných kategórií prílohy „výdavky“.</w:t>
            </w:r>
          </w:p>
        </w:tc>
        <w:tc>
          <w:tcPr>
            <w:tcW w:w="1442" w:type="dxa"/>
            <w:tcBorders>
              <w:top w:val="nil"/>
              <w:left w:val="nil"/>
              <w:bottom w:val="nil"/>
              <w:right w:val="nil"/>
            </w:tcBorders>
            <w:noWrap/>
            <w:vAlign w:val="bottom"/>
          </w:tcPr>
          <w:p w14:paraId="648B8739"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2608" w:type="dxa"/>
            <w:gridSpan w:val="2"/>
            <w:tcBorders>
              <w:top w:val="nil"/>
              <w:left w:val="nil"/>
              <w:bottom w:val="nil"/>
              <w:right w:val="nil"/>
            </w:tcBorders>
            <w:noWrap/>
            <w:vAlign w:val="bottom"/>
          </w:tcPr>
          <w:p w14:paraId="57CF7EC1"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990" w:type="dxa"/>
            <w:tcBorders>
              <w:top w:val="nil"/>
              <w:left w:val="nil"/>
              <w:bottom w:val="nil"/>
              <w:right w:val="nil"/>
            </w:tcBorders>
            <w:noWrap/>
            <w:vAlign w:val="bottom"/>
          </w:tcPr>
          <w:p w14:paraId="4E3EA547"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bl>
    <w:p w14:paraId="3A47627F"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5F9A7BE6"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4490179F"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66E70C45"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48CEA748"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3AF4446E"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47F2108B"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2C718382"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19CED1FE"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2E5AC6DB"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6B8B8145" w14:textId="77777777" w:rsidR="00AD62CD" w:rsidRPr="00AD62CD" w:rsidRDefault="00AD62CD" w:rsidP="00AD62CD">
      <w:pPr>
        <w:spacing w:after="0" w:line="240" w:lineRule="auto"/>
        <w:rPr>
          <w:rFonts w:ascii="Calibri" w:eastAsia="Calibri" w:hAnsi="Calibri" w:cs="Times New Roman"/>
          <w:kern w:val="0"/>
          <w:sz w:val="22"/>
          <w:szCs w:val="22"/>
          <w14:ligatures w14:val="none"/>
        </w:rPr>
        <w:sectPr w:rsidR="00AD62CD" w:rsidRPr="00AD62CD" w:rsidSect="00AD62CD">
          <w:pgSz w:w="16838" w:h="11906" w:orient="landscape"/>
          <w:pgMar w:top="1417" w:right="1417" w:bottom="1417" w:left="1276" w:header="708" w:footer="708" w:gutter="0"/>
          <w:cols w:space="708"/>
          <w:docGrid w:linePitch="360"/>
        </w:sectPr>
      </w:pPr>
    </w:p>
    <w:p w14:paraId="61EB195E"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13391B2B"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Analýza vplyvov na rozpočet verejnej správy,</w:t>
      </w:r>
    </w:p>
    <w:p w14:paraId="10D4094E"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 xml:space="preserve">na zamestnanosť vo verejnej správe a financovanie návrhu </w:t>
      </w:r>
    </w:p>
    <w:p w14:paraId="3175B028"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(Zákon o hazardných hrách)</w:t>
      </w:r>
    </w:p>
    <w:p w14:paraId="0AF3B890"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p>
    <w:p w14:paraId="42FC3179"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p>
    <w:p w14:paraId="6002BB88"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xml:space="preserve">2.1 Zhrnutie vplyvov na rozpočet verejnej správy v návrhu </w:t>
      </w:r>
      <w:r w:rsidRPr="00AD62CD">
        <w:rPr>
          <w:rFonts w:ascii="Times New Roman" w:eastAsia="Times New Roman" w:hAnsi="Times New Roman" w:cs="Times New Roman"/>
          <w:bCs/>
          <w:kern w:val="0"/>
          <w:lang w:eastAsia="sk-SK"/>
          <w14:ligatures w14:val="none"/>
        </w:rPr>
        <w:t>(za oblasť hazardných hier)</w:t>
      </w:r>
    </w:p>
    <w:p w14:paraId="63E142A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1113"/>
        <w:gridCol w:w="1267"/>
        <w:gridCol w:w="1267"/>
        <w:gridCol w:w="1267"/>
      </w:tblGrid>
      <w:tr w:rsidR="00AD62CD" w:rsidRPr="00AD62CD" w14:paraId="2BAF68EF" w14:textId="77777777" w:rsidTr="00AD62CD">
        <w:trPr>
          <w:cantSplit/>
          <w:trHeight w:val="194"/>
          <w:jc w:val="center"/>
        </w:trPr>
        <w:tc>
          <w:tcPr>
            <w:tcW w:w="4815" w:type="dxa"/>
            <w:vMerge w:val="restart"/>
            <w:shd w:val="clear" w:color="auto" w:fill="BFBFBF"/>
            <w:vAlign w:val="center"/>
          </w:tcPr>
          <w:p w14:paraId="53C79A66"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Vplyvy na rozpočet verejnej správy</w:t>
            </w:r>
          </w:p>
        </w:tc>
        <w:tc>
          <w:tcPr>
            <w:tcW w:w="4914" w:type="dxa"/>
            <w:gridSpan w:val="4"/>
            <w:shd w:val="clear" w:color="auto" w:fill="BFBFBF"/>
            <w:vAlign w:val="center"/>
          </w:tcPr>
          <w:p w14:paraId="2B7B13B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 na rozpočet verejnej správy (v eurách)</w:t>
            </w:r>
          </w:p>
        </w:tc>
      </w:tr>
      <w:tr w:rsidR="00AD62CD" w:rsidRPr="00AD62CD" w14:paraId="5500C06C" w14:textId="77777777" w:rsidTr="00AD62CD">
        <w:trPr>
          <w:cantSplit/>
          <w:trHeight w:val="70"/>
          <w:jc w:val="center"/>
        </w:trPr>
        <w:tc>
          <w:tcPr>
            <w:tcW w:w="4815" w:type="dxa"/>
            <w:vMerge/>
            <w:shd w:val="clear" w:color="auto" w:fill="BFBFBF"/>
            <w:vAlign w:val="center"/>
          </w:tcPr>
          <w:p w14:paraId="0359676E"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113" w:type="dxa"/>
            <w:shd w:val="clear" w:color="auto" w:fill="BFBFBF"/>
            <w:vAlign w:val="center"/>
          </w:tcPr>
          <w:p w14:paraId="17E188D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2025</w:t>
            </w:r>
          </w:p>
        </w:tc>
        <w:tc>
          <w:tcPr>
            <w:tcW w:w="1267" w:type="dxa"/>
            <w:shd w:val="clear" w:color="auto" w:fill="BFBFBF"/>
            <w:vAlign w:val="center"/>
          </w:tcPr>
          <w:p w14:paraId="424B0AC0"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2026</w:t>
            </w:r>
          </w:p>
        </w:tc>
        <w:tc>
          <w:tcPr>
            <w:tcW w:w="1267" w:type="dxa"/>
            <w:shd w:val="clear" w:color="auto" w:fill="BFBFBF"/>
            <w:vAlign w:val="center"/>
          </w:tcPr>
          <w:p w14:paraId="53E84A81"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2027</w:t>
            </w:r>
          </w:p>
        </w:tc>
        <w:tc>
          <w:tcPr>
            <w:tcW w:w="1267" w:type="dxa"/>
            <w:shd w:val="clear" w:color="auto" w:fill="BFBFBF"/>
            <w:vAlign w:val="center"/>
          </w:tcPr>
          <w:p w14:paraId="117F2024"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2028</w:t>
            </w:r>
          </w:p>
        </w:tc>
      </w:tr>
      <w:tr w:rsidR="00AD62CD" w:rsidRPr="00AD62CD" w14:paraId="14213E55" w14:textId="77777777" w:rsidTr="003627DF">
        <w:trPr>
          <w:trHeight w:val="130"/>
          <w:jc w:val="center"/>
        </w:trPr>
        <w:tc>
          <w:tcPr>
            <w:tcW w:w="4815" w:type="dxa"/>
            <w:shd w:val="clear" w:color="auto" w:fill="C0C0C0"/>
            <w:noWrap/>
            <w:vAlign w:val="center"/>
          </w:tcPr>
          <w:p w14:paraId="18E2C3A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bCs/>
                <w:kern w:val="0"/>
                <w:lang w:eastAsia="sk-SK"/>
                <w14:ligatures w14:val="none"/>
              </w:rPr>
              <w:t>Príjmy verejnej správy celkom</w:t>
            </w:r>
          </w:p>
        </w:tc>
        <w:tc>
          <w:tcPr>
            <w:tcW w:w="1113" w:type="dxa"/>
            <w:shd w:val="clear" w:color="auto" w:fill="C0C0C0"/>
            <w:vAlign w:val="center"/>
          </w:tcPr>
          <w:p w14:paraId="4E79B8E3"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shd w:val="clear" w:color="auto" w:fill="C0C0C0"/>
            <w:vAlign w:val="center"/>
          </w:tcPr>
          <w:p w14:paraId="2EB6ABAA"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Calibri" w:hAnsi="Times New Roman" w:cs="Times New Roman"/>
                <w:b/>
                <w:bCs/>
                <w:kern w:val="0"/>
                <w:sz w:val="22"/>
                <w:szCs w:val="22"/>
                <w14:ligatures w14:val="none"/>
              </w:rPr>
              <w:t>41 296 000</w:t>
            </w:r>
          </w:p>
        </w:tc>
        <w:tc>
          <w:tcPr>
            <w:tcW w:w="1267" w:type="dxa"/>
            <w:shd w:val="clear" w:color="auto" w:fill="C0C0C0"/>
            <w:vAlign w:val="center"/>
          </w:tcPr>
          <w:p w14:paraId="30E47260"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Calibri" w:hAnsi="Times New Roman" w:cs="Times New Roman"/>
                <w:b/>
                <w:bCs/>
                <w:kern w:val="0"/>
                <w:sz w:val="22"/>
                <w:szCs w:val="22"/>
                <w14:ligatures w14:val="none"/>
              </w:rPr>
              <w:t>43 769 000</w:t>
            </w:r>
          </w:p>
        </w:tc>
        <w:tc>
          <w:tcPr>
            <w:tcW w:w="1267" w:type="dxa"/>
            <w:shd w:val="clear" w:color="auto" w:fill="C0C0C0"/>
            <w:vAlign w:val="center"/>
          </w:tcPr>
          <w:p w14:paraId="470489A4"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Calibri" w:hAnsi="Times New Roman" w:cs="Times New Roman"/>
                <w:b/>
                <w:bCs/>
                <w:kern w:val="0"/>
                <w:sz w:val="22"/>
                <w:szCs w:val="22"/>
                <w14:ligatures w14:val="none"/>
              </w:rPr>
              <w:t>46 237 000</w:t>
            </w:r>
          </w:p>
        </w:tc>
      </w:tr>
      <w:tr w:rsidR="00AD62CD" w:rsidRPr="00AD62CD" w14:paraId="03823D42" w14:textId="77777777" w:rsidTr="003627DF">
        <w:trPr>
          <w:trHeight w:val="132"/>
          <w:jc w:val="center"/>
        </w:trPr>
        <w:tc>
          <w:tcPr>
            <w:tcW w:w="4815" w:type="dxa"/>
            <w:noWrap/>
            <w:vAlign w:val="center"/>
          </w:tcPr>
          <w:p w14:paraId="5A610FF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v tom: za každý subjekt verejnej správy zvlášť</w:t>
            </w:r>
          </w:p>
        </w:tc>
        <w:tc>
          <w:tcPr>
            <w:tcW w:w="1113" w:type="dxa"/>
            <w:noWrap/>
            <w:vAlign w:val="center"/>
          </w:tcPr>
          <w:p w14:paraId="58AEE680"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p>
        </w:tc>
        <w:tc>
          <w:tcPr>
            <w:tcW w:w="1267" w:type="dxa"/>
            <w:noWrap/>
          </w:tcPr>
          <w:p w14:paraId="48CD9FEE"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p>
        </w:tc>
        <w:tc>
          <w:tcPr>
            <w:tcW w:w="1267" w:type="dxa"/>
            <w:noWrap/>
          </w:tcPr>
          <w:p w14:paraId="137D48BA"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p>
        </w:tc>
        <w:tc>
          <w:tcPr>
            <w:tcW w:w="1267" w:type="dxa"/>
            <w:noWrap/>
          </w:tcPr>
          <w:p w14:paraId="485BC430"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p>
        </w:tc>
      </w:tr>
      <w:tr w:rsidR="00AD62CD" w:rsidRPr="00AD62CD" w14:paraId="4FA7A202" w14:textId="77777777" w:rsidTr="003627DF">
        <w:trPr>
          <w:trHeight w:val="70"/>
          <w:jc w:val="center"/>
        </w:trPr>
        <w:tc>
          <w:tcPr>
            <w:tcW w:w="4815" w:type="dxa"/>
            <w:noWrap/>
            <w:vAlign w:val="center"/>
          </w:tcPr>
          <w:p w14:paraId="3674BBF5"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xml:space="preserve">z toho:  </w:t>
            </w:r>
          </w:p>
        </w:tc>
        <w:tc>
          <w:tcPr>
            <w:tcW w:w="1113" w:type="dxa"/>
            <w:noWrap/>
            <w:vAlign w:val="center"/>
          </w:tcPr>
          <w:p w14:paraId="375B7B93" w14:textId="77777777" w:rsidR="00AD62CD" w:rsidRPr="00AD62CD" w:rsidRDefault="00AD62CD" w:rsidP="00AD62CD">
            <w:pPr>
              <w:spacing w:after="0" w:line="240" w:lineRule="auto"/>
              <w:jc w:val="right"/>
              <w:rPr>
                <w:rFonts w:ascii="Times New Roman" w:eastAsia="Times New Roman" w:hAnsi="Times New Roman" w:cs="Times New Roman"/>
                <w:iCs/>
                <w:kern w:val="0"/>
                <w:lang w:eastAsia="sk-SK"/>
                <w14:ligatures w14:val="none"/>
              </w:rPr>
            </w:pPr>
          </w:p>
        </w:tc>
        <w:tc>
          <w:tcPr>
            <w:tcW w:w="1267" w:type="dxa"/>
            <w:noWrap/>
            <w:vAlign w:val="center"/>
          </w:tcPr>
          <w:p w14:paraId="4BA07A83" w14:textId="77777777" w:rsidR="00AD62CD" w:rsidRPr="00AD62CD" w:rsidRDefault="00AD62CD" w:rsidP="00AD62CD">
            <w:pPr>
              <w:spacing w:after="0" w:line="240" w:lineRule="auto"/>
              <w:jc w:val="right"/>
              <w:rPr>
                <w:rFonts w:ascii="Times New Roman" w:eastAsia="Times New Roman" w:hAnsi="Times New Roman" w:cs="Times New Roman"/>
                <w:iCs/>
                <w:kern w:val="0"/>
                <w:lang w:eastAsia="sk-SK"/>
                <w14:ligatures w14:val="none"/>
              </w:rPr>
            </w:pPr>
          </w:p>
        </w:tc>
        <w:tc>
          <w:tcPr>
            <w:tcW w:w="1267" w:type="dxa"/>
            <w:noWrap/>
            <w:vAlign w:val="center"/>
          </w:tcPr>
          <w:p w14:paraId="6688D1B3" w14:textId="77777777" w:rsidR="00AD62CD" w:rsidRPr="00AD62CD" w:rsidRDefault="00AD62CD" w:rsidP="00AD62CD">
            <w:pPr>
              <w:spacing w:after="0" w:line="240" w:lineRule="auto"/>
              <w:jc w:val="right"/>
              <w:rPr>
                <w:rFonts w:ascii="Times New Roman" w:eastAsia="Times New Roman" w:hAnsi="Times New Roman" w:cs="Times New Roman"/>
                <w:iCs/>
                <w:kern w:val="0"/>
                <w:lang w:eastAsia="sk-SK"/>
                <w14:ligatures w14:val="none"/>
              </w:rPr>
            </w:pPr>
          </w:p>
        </w:tc>
        <w:tc>
          <w:tcPr>
            <w:tcW w:w="1267" w:type="dxa"/>
            <w:noWrap/>
            <w:vAlign w:val="center"/>
          </w:tcPr>
          <w:p w14:paraId="29E19F43" w14:textId="77777777" w:rsidR="00AD62CD" w:rsidRPr="00AD62CD" w:rsidRDefault="00AD62CD" w:rsidP="00AD62CD">
            <w:pPr>
              <w:spacing w:after="0" w:line="240" w:lineRule="auto"/>
              <w:jc w:val="right"/>
              <w:rPr>
                <w:rFonts w:ascii="Times New Roman" w:eastAsia="Times New Roman" w:hAnsi="Times New Roman" w:cs="Times New Roman"/>
                <w:iCs/>
                <w:kern w:val="0"/>
                <w:lang w:eastAsia="sk-SK"/>
                <w14:ligatures w14:val="none"/>
              </w:rPr>
            </w:pPr>
          </w:p>
        </w:tc>
      </w:tr>
      <w:tr w:rsidR="00AD62CD" w:rsidRPr="00AD62CD" w14:paraId="015BB0D3" w14:textId="77777777" w:rsidTr="003627DF">
        <w:trPr>
          <w:trHeight w:val="125"/>
          <w:jc w:val="center"/>
        </w:trPr>
        <w:tc>
          <w:tcPr>
            <w:tcW w:w="4815" w:type="dxa"/>
            <w:noWrap/>
            <w:vAlign w:val="center"/>
          </w:tcPr>
          <w:p w14:paraId="6CFF0A4E"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ŠR</w:t>
            </w:r>
          </w:p>
        </w:tc>
        <w:tc>
          <w:tcPr>
            <w:tcW w:w="1113" w:type="dxa"/>
            <w:noWrap/>
            <w:vAlign w:val="center"/>
          </w:tcPr>
          <w:p w14:paraId="0F3B3B8A" w14:textId="77777777" w:rsidR="00AD62CD" w:rsidRPr="00AD62CD" w:rsidRDefault="00AD62CD" w:rsidP="00AD62CD">
            <w:pPr>
              <w:spacing w:after="0" w:line="240" w:lineRule="auto"/>
              <w:jc w:val="right"/>
              <w:rPr>
                <w:rFonts w:ascii="Times New Roman" w:eastAsia="Times New Roman" w:hAnsi="Times New Roman" w:cs="Times New Roman"/>
                <w:iCs/>
                <w:kern w:val="0"/>
                <w:lang w:eastAsia="sk-SK"/>
                <w14:ligatures w14:val="none"/>
              </w:rPr>
            </w:pPr>
            <w:r w:rsidRPr="00AD62CD">
              <w:rPr>
                <w:rFonts w:ascii="Times New Roman" w:eastAsia="Times New Roman" w:hAnsi="Times New Roman" w:cs="Times New Roman"/>
                <w:iCs/>
                <w:kern w:val="0"/>
                <w:lang w:eastAsia="sk-SK"/>
                <w14:ligatures w14:val="none"/>
              </w:rPr>
              <w:t>0</w:t>
            </w:r>
          </w:p>
        </w:tc>
        <w:tc>
          <w:tcPr>
            <w:tcW w:w="1267" w:type="dxa"/>
            <w:noWrap/>
            <w:vAlign w:val="center"/>
          </w:tcPr>
          <w:p w14:paraId="6E67D181"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Calibri" w:hAnsi="Times New Roman" w:cs="Times New Roman"/>
                <w:b/>
                <w:bCs/>
                <w:kern w:val="0"/>
                <w:sz w:val="22"/>
                <w:szCs w:val="22"/>
                <w14:ligatures w14:val="none"/>
              </w:rPr>
              <w:t>41 296 000</w:t>
            </w:r>
          </w:p>
        </w:tc>
        <w:tc>
          <w:tcPr>
            <w:tcW w:w="1267" w:type="dxa"/>
            <w:noWrap/>
            <w:vAlign w:val="center"/>
          </w:tcPr>
          <w:p w14:paraId="1FDD40CB"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Calibri" w:hAnsi="Times New Roman" w:cs="Times New Roman"/>
                <w:b/>
                <w:bCs/>
                <w:kern w:val="0"/>
                <w:sz w:val="22"/>
                <w:szCs w:val="22"/>
                <w14:ligatures w14:val="none"/>
              </w:rPr>
              <w:t>43 769 000</w:t>
            </w:r>
          </w:p>
        </w:tc>
        <w:tc>
          <w:tcPr>
            <w:tcW w:w="1267" w:type="dxa"/>
            <w:noWrap/>
            <w:vAlign w:val="center"/>
          </w:tcPr>
          <w:p w14:paraId="060B7A33"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Calibri" w:hAnsi="Times New Roman" w:cs="Times New Roman"/>
                <w:b/>
                <w:bCs/>
                <w:kern w:val="0"/>
                <w:sz w:val="22"/>
                <w:szCs w:val="22"/>
                <w14:ligatures w14:val="none"/>
              </w:rPr>
              <w:t>46 237 000</w:t>
            </w:r>
          </w:p>
        </w:tc>
      </w:tr>
      <w:tr w:rsidR="00AD62CD" w:rsidRPr="00AD62CD" w14:paraId="1F68AF6D" w14:textId="77777777" w:rsidTr="003627DF">
        <w:trPr>
          <w:trHeight w:val="125"/>
          <w:jc w:val="center"/>
        </w:trPr>
        <w:tc>
          <w:tcPr>
            <w:tcW w:w="4815" w:type="dxa"/>
            <w:noWrap/>
            <w:vAlign w:val="center"/>
          </w:tcPr>
          <w:p w14:paraId="359B4E44" w14:textId="77777777" w:rsidR="00AD62CD" w:rsidRPr="00AD62CD" w:rsidRDefault="00AD62CD" w:rsidP="00AD62CD">
            <w:pPr>
              <w:spacing w:after="0" w:line="240" w:lineRule="auto"/>
              <w:ind w:left="259"/>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Cs/>
                <w:i/>
                <w:iCs/>
                <w:kern w:val="0"/>
                <w:lang w:eastAsia="sk-SK"/>
                <w14:ligatures w14:val="none"/>
              </w:rPr>
              <w:t>Rozpočtové prostriedky</w:t>
            </w:r>
          </w:p>
        </w:tc>
        <w:tc>
          <w:tcPr>
            <w:tcW w:w="1113" w:type="dxa"/>
            <w:noWrap/>
            <w:vAlign w:val="center"/>
          </w:tcPr>
          <w:p w14:paraId="221668B6" w14:textId="77777777" w:rsidR="00AD62CD" w:rsidRPr="00AD62CD" w:rsidRDefault="00AD62CD" w:rsidP="00AD62CD">
            <w:pPr>
              <w:spacing w:after="0" w:line="240" w:lineRule="auto"/>
              <w:jc w:val="right"/>
              <w:rPr>
                <w:rFonts w:ascii="Times New Roman" w:eastAsia="Times New Roman" w:hAnsi="Times New Roman" w:cs="Times New Roman"/>
                <w:iCs/>
                <w:kern w:val="0"/>
                <w:lang w:eastAsia="sk-SK"/>
                <w14:ligatures w14:val="none"/>
              </w:rPr>
            </w:pPr>
            <w:r w:rsidRPr="00AD62CD">
              <w:rPr>
                <w:rFonts w:ascii="Times New Roman" w:eastAsia="Times New Roman" w:hAnsi="Times New Roman" w:cs="Times New Roman"/>
                <w:iCs/>
                <w:kern w:val="0"/>
                <w:lang w:eastAsia="sk-SK"/>
                <w14:ligatures w14:val="none"/>
              </w:rPr>
              <w:t>0</w:t>
            </w:r>
          </w:p>
        </w:tc>
        <w:tc>
          <w:tcPr>
            <w:tcW w:w="1267" w:type="dxa"/>
            <w:noWrap/>
            <w:vAlign w:val="center"/>
          </w:tcPr>
          <w:p w14:paraId="50BBE389"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Calibri" w:hAnsi="Times New Roman" w:cs="Times New Roman"/>
                <w:i/>
                <w:iCs/>
                <w:kern w:val="0"/>
                <w:sz w:val="22"/>
                <w:szCs w:val="22"/>
                <w14:ligatures w14:val="none"/>
              </w:rPr>
              <w:t>41 296 000</w:t>
            </w:r>
          </w:p>
        </w:tc>
        <w:tc>
          <w:tcPr>
            <w:tcW w:w="1267" w:type="dxa"/>
            <w:noWrap/>
            <w:vAlign w:val="center"/>
          </w:tcPr>
          <w:p w14:paraId="5314DB4E"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Calibri" w:hAnsi="Times New Roman" w:cs="Times New Roman"/>
                <w:i/>
                <w:iCs/>
                <w:kern w:val="0"/>
                <w:sz w:val="22"/>
                <w:szCs w:val="22"/>
                <w14:ligatures w14:val="none"/>
              </w:rPr>
              <w:t>43 769 000</w:t>
            </w:r>
          </w:p>
        </w:tc>
        <w:tc>
          <w:tcPr>
            <w:tcW w:w="1267" w:type="dxa"/>
            <w:noWrap/>
            <w:vAlign w:val="center"/>
          </w:tcPr>
          <w:p w14:paraId="622E25B0"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Calibri" w:hAnsi="Times New Roman" w:cs="Times New Roman"/>
                <w:i/>
                <w:iCs/>
                <w:kern w:val="0"/>
                <w:sz w:val="22"/>
                <w:szCs w:val="22"/>
                <w14:ligatures w14:val="none"/>
              </w:rPr>
              <w:t>46 237 000</w:t>
            </w:r>
          </w:p>
        </w:tc>
      </w:tr>
      <w:tr w:rsidR="00AD62CD" w:rsidRPr="00AD62CD" w14:paraId="6436EF41" w14:textId="77777777" w:rsidTr="003627DF">
        <w:trPr>
          <w:trHeight w:val="125"/>
          <w:jc w:val="center"/>
        </w:trPr>
        <w:tc>
          <w:tcPr>
            <w:tcW w:w="4815" w:type="dxa"/>
            <w:noWrap/>
          </w:tcPr>
          <w:p w14:paraId="0E1E9DF3" w14:textId="77777777" w:rsidR="00AD62CD" w:rsidRPr="00AD62CD" w:rsidRDefault="00AD62CD" w:rsidP="00AD62CD">
            <w:pPr>
              <w:spacing w:after="0" w:line="240" w:lineRule="auto"/>
              <w:rPr>
                <w:rFonts w:ascii="Times New Roman" w:eastAsia="Times New Roman" w:hAnsi="Times New Roman" w:cs="Times New Roman"/>
                <w:bCs/>
                <w:i/>
                <w:iCs/>
                <w:kern w:val="0"/>
                <w:lang w:eastAsia="sk-SK"/>
                <w14:ligatures w14:val="none"/>
              </w:rPr>
            </w:pPr>
            <w:r w:rsidRPr="00AD62CD">
              <w:rPr>
                <w:rFonts w:ascii="Times New Roman" w:eastAsia="Times New Roman" w:hAnsi="Times New Roman" w:cs="Times New Roman"/>
                <w:bCs/>
                <w:i/>
                <w:iCs/>
                <w:kern w:val="0"/>
                <w:lang w:eastAsia="sk-SK"/>
                <w14:ligatures w14:val="none"/>
              </w:rPr>
              <w:t xml:space="preserve">v tom: (112003) daň z príjmov právnických osôb </w:t>
            </w:r>
          </w:p>
        </w:tc>
        <w:tc>
          <w:tcPr>
            <w:tcW w:w="1113" w:type="dxa"/>
            <w:noWrap/>
          </w:tcPr>
          <w:p w14:paraId="479E3357" w14:textId="77777777" w:rsidR="00AD62CD" w:rsidRPr="00AD62CD" w:rsidRDefault="00AD62CD" w:rsidP="00AD62CD">
            <w:pPr>
              <w:spacing w:after="0" w:line="240" w:lineRule="auto"/>
              <w:jc w:val="right"/>
              <w:rPr>
                <w:rFonts w:ascii="Times New Roman" w:eastAsia="Times New Roman" w:hAnsi="Times New Roman" w:cs="Times New Roman"/>
                <w:bCs/>
                <w:kern w:val="0"/>
                <w:lang w:eastAsia="sk-SK"/>
                <w14:ligatures w14:val="none"/>
              </w:rPr>
            </w:pPr>
            <w:r w:rsidRPr="00AD62CD">
              <w:rPr>
                <w:rFonts w:ascii="Times New Roman" w:eastAsia="Times New Roman" w:hAnsi="Times New Roman" w:cs="Times New Roman"/>
                <w:bCs/>
                <w:kern w:val="0"/>
                <w:lang w:eastAsia="sk-SK"/>
                <w14:ligatures w14:val="none"/>
              </w:rPr>
              <w:t>0</w:t>
            </w:r>
          </w:p>
        </w:tc>
        <w:tc>
          <w:tcPr>
            <w:tcW w:w="1267" w:type="dxa"/>
            <w:noWrap/>
            <w:vAlign w:val="center"/>
          </w:tcPr>
          <w:p w14:paraId="1B247610" w14:textId="77777777" w:rsidR="00AD62CD" w:rsidRPr="00AD62CD" w:rsidRDefault="00AD62CD" w:rsidP="00AD62CD">
            <w:pPr>
              <w:spacing w:after="0" w:line="240" w:lineRule="auto"/>
              <w:jc w:val="right"/>
              <w:rPr>
                <w:rFonts w:ascii="Times New Roman" w:eastAsia="Times New Roman" w:hAnsi="Times New Roman" w:cs="Times New Roman"/>
                <w:bCs/>
                <w:kern w:val="0"/>
                <w:lang w:eastAsia="sk-SK"/>
                <w14:ligatures w14:val="none"/>
              </w:rPr>
            </w:pPr>
            <w:r w:rsidRPr="00AD62CD">
              <w:rPr>
                <w:rFonts w:ascii="Times New Roman" w:eastAsia="Calibri" w:hAnsi="Times New Roman" w:cs="Times New Roman"/>
                <w:i/>
                <w:iCs/>
                <w:kern w:val="0"/>
                <w:sz w:val="22"/>
                <w:szCs w:val="22"/>
                <w14:ligatures w14:val="none"/>
              </w:rPr>
              <w:t>-11 002 000</w:t>
            </w:r>
          </w:p>
        </w:tc>
        <w:tc>
          <w:tcPr>
            <w:tcW w:w="1267" w:type="dxa"/>
            <w:noWrap/>
            <w:vAlign w:val="center"/>
          </w:tcPr>
          <w:p w14:paraId="60D1F50A" w14:textId="77777777" w:rsidR="00AD62CD" w:rsidRPr="00AD62CD" w:rsidRDefault="00AD62CD" w:rsidP="00AD62CD">
            <w:pPr>
              <w:spacing w:after="0" w:line="240" w:lineRule="auto"/>
              <w:jc w:val="right"/>
              <w:rPr>
                <w:rFonts w:ascii="Times New Roman" w:eastAsia="Times New Roman" w:hAnsi="Times New Roman" w:cs="Times New Roman"/>
                <w:bCs/>
                <w:kern w:val="0"/>
                <w:lang w:eastAsia="sk-SK"/>
                <w14:ligatures w14:val="none"/>
              </w:rPr>
            </w:pPr>
            <w:r w:rsidRPr="00AD62CD">
              <w:rPr>
                <w:rFonts w:ascii="Times New Roman" w:eastAsia="Calibri" w:hAnsi="Times New Roman" w:cs="Times New Roman"/>
                <w:i/>
                <w:iCs/>
                <w:kern w:val="0"/>
                <w:sz w:val="22"/>
                <w:szCs w:val="22"/>
                <w14:ligatures w14:val="none"/>
              </w:rPr>
              <w:t>-11 783 000</w:t>
            </w:r>
          </w:p>
        </w:tc>
        <w:tc>
          <w:tcPr>
            <w:tcW w:w="1267" w:type="dxa"/>
            <w:noWrap/>
            <w:vAlign w:val="center"/>
          </w:tcPr>
          <w:p w14:paraId="71B2676F" w14:textId="77777777" w:rsidR="00AD62CD" w:rsidRPr="00AD62CD" w:rsidRDefault="00AD62CD" w:rsidP="00AD62CD">
            <w:pPr>
              <w:spacing w:after="0" w:line="240" w:lineRule="auto"/>
              <w:jc w:val="right"/>
              <w:rPr>
                <w:rFonts w:ascii="Times New Roman" w:eastAsia="Times New Roman" w:hAnsi="Times New Roman" w:cs="Times New Roman"/>
                <w:bCs/>
                <w:kern w:val="0"/>
                <w:lang w:eastAsia="sk-SK"/>
                <w14:ligatures w14:val="none"/>
              </w:rPr>
            </w:pPr>
            <w:r w:rsidRPr="00AD62CD">
              <w:rPr>
                <w:rFonts w:ascii="Times New Roman" w:eastAsia="Calibri" w:hAnsi="Times New Roman" w:cs="Times New Roman"/>
                <w:i/>
                <w:iCs/>
                <w:kern w:val="0"/>
                <w:sz w:val="22"/>
                <w:szCs w:val="22"/>
                <w14:ligatures w14:val="none"/>
              </w:rPr>
              <w:t>-12 563 000</w:t>
            </w:r>
          </w:p>
        </w:tc>
      </w:tr>
      <w:tr w:rsidR="00AD62CD" w:rsidRPr="00AD62CD" w14:paraId="56FB25F0" w14:textId="77777777" w:rsidTr="003627DF">
        <w:trPr>
          <w:trHeight w:val="125"/>
          <w:jc w:val="center"/>
        </w:trPr>
        <w:tc>
          <w:tcPr>
            <w:tcW w:w="4815" w:type="dxa"/>
            <w:noWrap/>
          </w:tcPr>
          <w:p w14:paraId="2A857A0A" w14:textId="77777777" w:rsidR="00AD62CD" w:rsidRPr="00AD62CD" w:rsidRDefault="00AD62CD" w:rsidP="00AD62CD">
            <w:pPr>
              <w:spacing w:after="0" w:line="240" w:lineRule="auto"/>
              <w:rPr>
                <w:rFonts w:ascii="Times New Roman" w:eastAsia="Times New Roman" w:hAnsi="Times New Roman" w:cs="Times New Roman"/>
                <w:bCs/>
                <w:i/>
                <w:iCs/>
                <w:kern w:val="0"/>
                <w:lang w:eastAsia="sk-SK"/>
                <w14:ligatures w14:val="none"/>
              </w:rPr>
            </w:pPr>
            <w:r w:rsidRPr="00AD62CD">
              <w:rPr>
                <w:rFonts w:ascii="Times New Roman" w:eastAsia="Times New Roman" w:hAnsi="Times New Roman" w:cs="Times New Roman"/>
                <w:bCs/>
                <w:i/>
                <w:iCs/>
                <w:kern w:val="0"/>
                <w:lang w:eastAsia="sk-SK"/>
                <w14:ligatures w14:val="none"/>
              </w:rPr>
              <w:t xml:space="preserve">v tom: (292008) z odvodov z hazardných hier </w:t>
            </w:r>
          </w:p>
        </w:tc>
        <w:tc>
          <w:tcPr>
            <w:tcW w:w="1113" w:type="dxa"/>
            <w:noWrap/>
          </w:tcPr>
          <w:p w14:paraId="5DA79AE9" w14:textId="77777777" w:rsidR="00AD62CD" w:rsidRPr="00AD62CD" w:rsidRDefault="00AD62CD" w:rsidP="00AD62CD">
            <w:pPr>
              <w:spacing w:after="0" w:line="240" w:lineRule="auto"/>
              <w:jc w:val="right"/>
              <w:rPr>
                <w:rFonts w:ascii="Times New Roman" w:eastAsia="Times New Roman" w:hAnsi="Times New Roman" w:cs="Times New Roman"/>
                <w:bCs/>
                <w:kern w:val="0"/>
                <w:lang w:eastAsia="sk-SK"/>
                <w14:ligatures w14:val="none"/>
              </w:rPr>
            </w:pPr>
            <w:r w:rsidRPr="00AD62CD">
              <w:rPr>
                <w:rFonts w:ascii="Times New Roman" w:eastAsia="Times New Roman" w:hAnsi="Times New Roman" w:cs="Times New Roman"/>
                <w:bCs/>
                <w:kern w:val="0"/>
                <w:lang w:eastAsia="sk-SK"/>
                <w14:ligatures w14:val="none"/>
              </w:rPr>
              <w:t>0</w:t>
            </w:r>
          </w:p>
        </w:tc>
        <w:tc>
          <w:tcPr>
            <w:tcW w:w="1267" w:type="dxa"/>
            <w:noWrap/>
            <w:vAlign w:val="center"/>
          </w:tcPr>
          <w:p w14:paraId="01EECF37" w14:textId="77777777" w:rsidR="00AD62CD" w:rsidRPr="00AD62CD" w:rsidRDefault="00AD62CD" w:rsidP="00AD62CD">
            <w:pPr>
              <w:spacing w:after="0" w:line="240" w:lineRule="auto"/>
              <w:jc w:val="right"/>
              <w:rPr>
                <w:rFonts w:ascii="Times New Roman" w:eastAsia="Times New Roman" w:hAnsi="Times New Roman" w:cs="Times New Roman"/>
                <w:bCs/>
                <w:kern w:val="0"/>
                <w:lang w:eastAsia="sk-SK"/>
                <w14:ligatures w14:val="none"/>
              </w:rPr>
            </w:pPr>
            <w:r w:rsidRPr="00AD62CD">
              <w:rPr>
                <w:rFonts w:ascii="Times New Roman" w:eastAsia="Calibri" w:hAnsi="Times New Roman" w:cs="Times New Roman"/>
                <w:i/>
                <w:iCs/>
                <w:kern w:val="0"/>
                <w:sz w:val="22"/>
                <w:szCs w:val="22"/>
                <w14:ligatures w14:val="none"/>
              </w:rPr>
              <w:t>52 298 000</w:t>
            </w:r>
          </w:p>
        </w:tc>
        <w:tc>
          <w:tcPr>
            <w:tcW w:w="1267" w:type="dxa"/>
            <w:noWrap/>
            <w:vAlign w:val="center"/>
          </w:tcPr>
          <w:p w14:paraId="41901A0B" w14:textId="77777777" w:rsidR="00AD62CD" w:rsidRPr="00AD62CD" w:rsidRDefault="00AD62CD" w:rsidP="00AD62CD">
            <w:pPr>
              <w:spacing w:after="0" w:line="240" w:lineRule="auto"/>
              <w:jc w:val="right"/>
              <w:rPr>
                <w:rFonts w:ascii="Times New Roman" w:eastAsia="Times New Roman" w:hAnsi="Times New Roman" w:cs="Times New Roman"/>
                <w:bCs/>
                <w:kern w:val="0"/>
                <w:lang w:eastAsia="sk-SK"/>
                <w14:ligatures w14:val="none"/>
              </w:rPr>
            </w:pPr>
            <w:r w:rsidRPr="00AD62CD">
              <w:rPr>
                <w:rFonts w:ascii="Times New Roman" w:eastAsia="Calibri" w:hAnsi="Times New Roman" w:cs="Times New Roman"/>
                <w:i/>
                <w:iCs/>
                <w:kern w:val="0"/>
                <w:sz w:val="22"/>
                <w:szCs w:val="22"/>
                <w14:ligatures w14:val="none"/>
              </w:rPr>
              <w:t>55 552 000</w:t>
            </w:r>
          </w:p>
        </w:tc>
        <w:tc>
          <w:tcPr>
            <w:tcW w:w="1267" w:type="dxa"/>
            <w:noWrap/>
            <w:vAlign w:val="center"/>
          </w:tcPr>
          <w:p w14:paraId="5043E027" w14:textId="77777777" w:rsidR="00AD62CD" w:rsidRPr="00AD62CD" w:rsidRDefault="00AD62CD" w:rsidP="00AD62CD">
            <w:pPr>
              <w:spacing w:after="0" w:line="240" w:lineRule="auto"/>
              <w:jc w:val="right"/>
              <w:rPr>
                <w:rFonts w:ascii="Times New Roman" w:eastAsia="Times New Roman" w:hAnsi="Times New Roman" w:cs="Times New Roman"/>
                <w:bCs/>
                <w:kern w:val="0"/>
                <w:lang w:eastAsia="sk-SK"/>
                <w14:ligatures w14:val="none"/>
              </w:rPr>
            </w:pPr>
            <w:r w:rsidRPr="00AD62CD">
              <w:rPr>
                <w:rFonts w:ascii="Times New Roman" w:eastAsia="Calibri" w:hAnsi="Times New Roman" w:cs="Times New Roman"/>
                <w:i/>
                <w:iCs/>
                <w:kern w:val="0"/>
                <w:sz w:val="22"/>
                <w:szCs w:val="22"/>
                <w14:ligatures w14:val="none"/>
              </w:rPr>
              <w:t>58 800 000</w:t>
            </w:r>
          </w:p>
        </w:tc>
      </w:tr>
      <w:tr w:rsidR="00AD62CD" w:rsidRPr="00AD62CD" w14:paraId="02DF63CF" w14:textId="77777777" w:rsidTr="003627DF">
        <w:trPr>
          <w:trHeight w:val="125"/>
          <w:jc w:val="center"/>
        </w:trPr>
        <w:tc>
          <w:tcPr>
            <w:tcW w:w="4815" w:type="dxa"/>
            <w:noWrap/>
            <w:vAlign w:val="center"/>
          </w:tcPr>
          <w:p w14:paraId="7BEB45FF" w14:textId="77777777" w:rsidR="00AD62CD" w:rsidRPr="00AD62CD" w:rsidRDefault="00AD62CD" w:rsidP="00AD62CD">
            <w:pPr>
              <w:spacing w:after="0" w:line="240" w:lineRule="auto"/>
              <w:ind w:left="259"/>
              <w:rPr>
                <w:rFonts w:ascii="Times New Roman" w:eastAsia="Times New Roman" w:hAnsi="Times New Roman" w:cs="Times New Roman"/>
                <w:bCs/>
                <w:i/>
                <w:iCs/>
                <w:kern w:val="0"/>
                <w:lang w:eastAsia="sk-SK"/>
                <w14:ligatures w14:val="none"/>
              </w:rPr>
            </w:pPr>
            <w:r w:rsidRPr="00AD62CD">
              <w:rPr>
                <w:rFonts w:ascii="Times New Roman" w:eastAsia="Times New Roman" w:hAnsi="Times New Roman" w:cs="Times New Roman"/>
                <w:bCs/>
                <w:i/>
                <w:iCs/>
                <w:kern w:val="0"/>
                <w:lang w:eastAsia="sk-SK"/>
                <w14:ligatures w14:val="none"/>
              </w:rPr>
              <w:t>EÚ zdroje</w:t>
            </w:r>
          </w:p>
        </w:tc>
        <w:tc>
          <w:tcPr>
            <w:tcW w:w="1113" w:type="dxa"/>
            <w:noWrap/>
            <w:vAlign w:val="center"/>
          </w:tcPr>
          <w:p w14:paraId="0BE9315D"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0C177BA7"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7BEF785A"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2CE907DD"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r>
      <w:tr w:rsidR="00AD62CD" w:rsidRPr="00AD62CD" w14:paraId="2C2C8035" w14:textId="77777777" w:rsidTr="003627DF">
        <w:trPr>
          <w:trHeight w:val="125"/>
          <w:jc w:val="center"/>
        </w:trPr>
        <w:tc>
          <w:tcPr>
            <w:tcW w:w="4815" w:type="dxa"/>
            <w:noWrap/>
            <w:vAlign w:val="center"/>
          </w:tcPr>
          <w:p w14:paraId="4F04AA5B"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obce</w:t>
            </w:r>
          </w:p>
        </w:tc>
        <w:tc>
          <w:tcPr>
            <w:tcW w:w="1113" w:type="dxa"/>
            <w:noWrap/>
            <w:vAlign w:val="center"/>
          </w:tcPr>
          <w:p w14:paraId="01083AB5"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33C0ED79"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0B630BE2"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1CBA2AB"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32BD77EE" w14:textId="77777777" w:rsidTr="003627DF">
        <w:trPr>
          <w:trHeight w:val="125"/>
          <w:jc w:val="center"/>
        </w:trPr>
        <w:tc>
          <w:tcPr>
            <w:tcW w:w="4815" w:type="dxa"/>
            <w:noWrap/>
            <w:vAlign w:val="center"/>
          </w:tcPr>
          <w:p w14:paraId="423F39B6"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vyššie územné celky</w:t>
            </w:r>
          </w:p>
        </w:tc>
        <w:tc>
          <w:tcPr>
            <w:tcW w:w="1113" w:type="dxa"/>
            <w:noWrap/>
            <w:vAlign w:val="center"/>
          </w:tcPr>
          <w:p w14:paraId="0E95C766"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230F4416"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1BB3C408"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5A7417AF"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6E6C03F4" w14:textId="77777777" w:rsidTr="003627DF">
        <w:trPr>
          <w:trHeight w:val="125"/>
          <w:jc w:val="center"/>
        </w:trPr>
        <w:tc>
          <w:tcPr>
            <w:tcW w:w="4815" w:type="dxa"/>
            <w:noWrap/>
            <w:vAlign w:val="center"/>
          </w:tcPr>
          <w:p w14:paraId="29AEB9C2"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ostatné subjekty verejnej správy</w:t>
            </w:r>
          </w:p>
        </w:tc>
        <w:tc>
          <w:tcPr>
            <w:tcW w:w="1113" w:type="dxa"/>
            <w:noWrap/>
            <w:vAlign w:val="center"/>
          </w:tcPr>
          <w:p w14:paraId="2F190837"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6E5CFD6B"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0072F11B"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54983668"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53F76445" w14:textId="77777777" w:rsidTr="003627DF">
        <w:trPr>
          <w:trHeight w:val="125"/>
          <w:jc w:val="center"/>
        </w:trPr>
        <w:tc>
          <w:tcPr>
            <w:tcW w:w="4815" w:type="dxa"/>
            <w:shd w:val="clear" w:color="auto" w:fill="C0C0C0"/>
            <w:noWrap/>
            <w:vAlign w:val="center"/>
          </w:tcPr>
          <w:p w14:paraId="40E09A95"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Výdavky verejnej správy celkom</w:t>
            </w:r>
          </w:p>
        </w:tc>
        <w:tc>
          <w:tcPr>
            <w:tcW w:w="1113" w:type="dxa"/>
            <w:shd w:val="clear" w:color="auto" w:fill="C0C0C0"/>
            <w:noWrap/>
            <w:vAlign w:val="center"/>
          </w:tcPr>
          <w:p w14:paraId="0397122F"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C0C0C0"/>
            <w:noWrap/>
            <w:vAlign w:val="center"/>
          </w:tcPr>
          <w:p w14:paraId="55A15690"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C0C0C0"/>
            <w:noWrap/>
            <w:vAlign w:val="center"/>
          </w:tcPr>
          <w:p w14:paraId="2982A2B6"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C0C0C0"/>
            <w:noWrap/>
            <w:vAlign w:val="center"/>
          </w:tcPr>
          <w:p w14:paraId="13A8F623"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xml:space="preserve">0   </w:t>
            </w:r>
          </w:p>
        </w:tc>
      </w:tr>
      <w:tr w:rsidR="00AD62CD" w:rsidRPr="00AD62CD" w14:paraId="5F4FD66C" w14:textId="77777777" w:rsidTr="003627DF">
        <w:trPr>
          <w:trHeight w:val="70"/>
          <w:jc w:val="center"/>
        </w:trPr>
        <w:tc>
          <w:tcPr>
            <w:tcW w:w="4815" w:type="dxa"/>
            <w:noWrap/>
            <w:vAlign w:val="center"/>
          </w:tcPr>
          <w:p w14:paraId="54CE96D0"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v tom: za každý subjekt verejnej správy / program zvlášť</w:t>
            </w:r>
          </w:p>
        </w:tc>
        <w:tc>
          <w:tcPr>
            <w:tcW w:w="1113" w:type="dxa"/>
            <w:noWrap/>
            <w:vAlign w:val="center"/>
          </w:tcPr>
          <w:p w14:paraId="147C8B0C"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08EF0AE7"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5581F497"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7591394B"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r>
      <w:tr w:rsidR="00AD62CD" w:rsidRPr="00AD62CD" w14:paraId="01796E5C" w14:textId="77777777" w:rsidTr="003627DF">
        <w:trPr>
          <w:trHeight w:val="70"/>
          <w:jc w:val="center"/>
        </w:trPr>
        <w:tc>
          <w:tcPr>
            <w:tcW w:w="4815" w:type="dxa"/>
            <w:noWrap/>
            <w:vAlign w:val="center"/>
          </w:tcPr>
          <w:p w14:paraId="14E1E7E5"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xml:space="preserve">z toho: </w:t>
            </w:r>
          </w:p>
        </w:tc>
        <w:tc>
          <w:tcPr>
            <w:tcW w:w="1113" w:type="dxa"/>
            <w:noWrap/>
            <w:vAlign w:val="center"/>
          </w:tcPr>
          <w:p w14:paraId="3989FCEE"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p>
        </w:tc>
        <w:tc>
          <w:tcPr>
            <w:tcW w:w="1267" w:type="dxa"/>
            <w:noWrap/>
            <w:vAlign w:val="center"/>
          </w:tcPr>
          <w:p w14:paraId="7DB90DE6"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p>
        </w:tc>
        <w:tc>
          <w:tcPr>
            <w:tcW w:w="1267" w:type="dxa"/>
            <w:noWrap/>
            <w:vAlign w:val="center"/>
          </w:tcPr>
          <w:p w14:paraId="3F572FC9"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p>
        </w:tc>
        <w:tc>
          <w:tcPr>
            <w:tcW w:w="1267" w:type="dxa"/>
            <w:noWrap/>
            <w:vAlign w:val="center"/>
          </w:tcPr>
          <w:p w14:paraId="0ED0F5FC"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p>
        </w:tc>
      </w:tr>
      <w:tr w:rsidR="00AD62CD" w:rsidRPr="00AD62CD" w14:paraId="1143190E" w14:textId="77777777" w:rsidTr="003627DF">
        <w:trPr>
          <w:trHeight w:val="70"/>
          <w:jc w:val="center"/>
        </w:trPr>
        <w:tc>
          <w:tcPr>
            <w:tcW w:w="4815" w:type="dxa"/>
            <w:noWrap/>
            <w:vAlign w:val="center"/>
          </w:tcPr>
          <w:p w14:paraId="2A8B8089"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ŠR</w:t>
            </w:r>
          </w:p>
        </w:tc>
        <w:tc>
          <w:tcPr>
            <w:tcW w:w="1113" w:type="dxa"/>
            <w:noWrap/>
            <w:vAlign w:val="center"/>
          </w:tcPr>
          <w:p w14:paraId="44CEDBB1"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ECEE510"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2366B2E"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2CBAB1C8"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1CFD9E3D" w14:textId="77777777" w:rsidTr="003627DF">
        <w:trPr>
          <w:trHeight w:val="70"/>
          <w:jc w:val="center"/>
        </w:trPr>
        <w:tc>
          <w:tcPr>
            <w:tcW w:w="4815" w:type="dxa"/>
            <w:noWrap/>
            <w:vAlign w:val="center"/>
          </w:tcPr>
          <w:p w14:paraId="5624E7EE" w14:textId="77777777" w:rsidR="00AD62CD" w:rsidRPr="00AD62CD" w:rsidRDefault="00AD62CD" w:rsidP="00AD62CD">
            <w:pPr>
              <w:spacing w:after="0" w:line="240" w:lineRule="auto"/>
              <w:ind w:left="259"/>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Cs/>
                <w:i/>
                <w:iCs/>
                <w:kern w:val="0"/>
                <w:lang w:eastAsia="sk-SK"/>
                <w14:ligatures w14:val="none"/>
              </w:rPr>
              <w:t>Rozpočtové prostriedky</w:t>
            </w:r>
          </w:p>
        </w:tc>
        <w:tc>
          <w:tcPr>
            <w:tcW w:w="1113" w:type="dxa"/>
            <w:noWrap/>
            <w:vAlign w:val="center"/>
          </w:tcPr>
          <w:p w14:paraId="60E277FD"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6B221FA4"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1724C4A7"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898E7B2"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38350A0E" w14:textId="77777777" w:rsidTr="003627DF">
        <w:trPr>
          <w:trHeight w:val="70"/>
          <w:jc w:val="center"/>
        </w:trPr>
        <w:tc>
          <w:tcPr>
            <w:tcW w:w="4815" w:type="dxa"/>
            <w:noWrap/>
            <w:vAlign w:val="center"/>
          </w:tcPr>
          <w:p w14:paraId="48AC4654" w14:textId="77777777" w:rsidR="00AD62CD" w:rsidRPr="00AD62CD" w:rsidRDefault="00AD62CD" w:rsidP="00AD62CD">
            <w:pPr>
              <w:spacing w:after="0" w:line="240" w:lineRule="auto"/>
              <w:rPr>
                <w:rFonts w:ascii="Times New Roman" w:eastAsia="Times New Roman" w:hAnsi="Times New Roman" w:cs="Times New Roman"/>
                <w:bCs/>
                <w:i/>
                <w:iCs/>
                <w:kern w:val="0"/>
                <w:lang w:eastAsia="sk-SK"/>
                <w14:ligatures w14:val="none"/>
              </w:rPr>
            </w:pPr>
            <w:r w:rsidRPr="00AD62CD">
              <w:rPr>
                <w:rFonts w:ascii="Times New Roman" w:eastAsia="Times New Roman" w:hAnsi="Times New Roman" w:cs="Times New Roman"/>
                <w:bCs/>
                <w:i/>
                <w:iCs/>
                <w:kern w:val="0"/>
                <w:lang w:eastAsia="sk-SK"/>
                <w14:ligatures w14:val="none"/>
              </w:rPr>
              <w:t xml:space="preserve">    EÚ zdroje</w:t>
            </w:r>
          </w:p>
        </w:tc>
        <w:tc>
          <w:tcPr>
            <w:tcW w:w="1113" w:type="dxa"/>
            <w:noWrap/>
            <w:vAlign w:val="center"/>
          </w:tcPr>
          <w:p w14:paraId="1412D8E3"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3217442C"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419F1F4E"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1080CC94"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r>
      <w:tr w:rsidR="00AD62CD" w:rsidRPr="00AD62CD" w14:paraId="66D47DB6" w14:textId="77777777" w:rsidTr="003627DF">
        <w:trPr>
          <w:trHeight w:val="70"/>
          <w:jc w:val="center"/>
        </w:trPr>
        <w:tc>
          <w:tcPr>
            <w:tcW w:w="4815" w:type="dxa"/>
            <w:noWrap/>
            <w:vAlign w:val="center"/>
          </w:tcPr>
          <w:p w14:paraId="65CF8F14" w14:textId="77777777" w:rsidR="00AD62CD" w:rsidRPr="00AD62CD" w:rsidRDefault="00AD62CD" w:rsidP="00AD62CD">
            <w:pPr>
              <w:spacing w:after="0" w:line="240" w:lineRule="auto"/>
              <w:rPr>
                <w:rFonts w:ascii="Times New Roman" w:eastAsia="Times New Roman" w:hAnsi="Times New Roman" w:cs="Times New Roman"/>
                <w:bCs/>
                <w:i/>
                <w:iCs/>
                <w:kern w:val="0"/>
                <w:lang w:eastAsia="sk-SK"/>
                <w14:ligatures w14:val="none"/>
              </w:rPr>
            </w:pPr>
            <w:r w:rsidRPr="00AD62CD">
              <w:rPr>
                <w:rFonts w:ascii="Times New Roman" w:eastAsia="Times New Roman" w:hAnsi="Times New Roman" w:cs="Times New Roman"/>
                <w:bCs/>
                <w:i/>
                <w:iCs/>
                <w:kern w:val="0"/>
                <w:lang w:eastAsia="sk-SK"/>
                <w14:ligatures w14:val="none"/>
              </w:rPr>
              <w:t xml:space="preserve">    spolufinancovanie</w:t>
            </w:r>
          </w:p>
        </w:tc>
        <w:tc>
          <w:tcPr>
            <w:tcW w:w="1113" w:type="dxa"/>
            <w:noWrap/>
            <w:vAlign w:val="center"/>
          </w:tcPr>
          <w:p w14:paraId="66B0E3DB"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2B22307C"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59AADC69"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0AD6A068"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r>
      <w:tr w:rsidR="00AD62CD" w:rsidRPr="00AD62CD" w14:paraId="3C972321" w14:textId="77777777" w:rsidTr="003627DF">
        <w:trPr>
          <w:trHeight w:val="125"/>
          <w:jc w:val="center"/>
        </w:trPr>
        <w:tc>
          <w:tcPr>
            <w:tcW w:w="4815" w:type="dxa"/>
            <w:noWrap/>
            <w:vAlign w:val="center"/>
          </w:tcPr>
          <w:p w14:paraId="00E79759"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obce</w:t>
            </w:r>
          </w:p>
        </w:tc>
        <w:tc>
          <w:tcPr>
            <w:tcW w:w="1113" w:type="dxa"/>
            <w:noWrap/>
            <w:vAlign w:val="center"/>
          </w:tcPr>
          <w:p w14:paraId="4FA5D7D8"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2856613F"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14DD82C9"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10EF04C8"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32B3531F" w14:textId="77777777" w:rsidTr="003627DF">
        <w:trPr>
          <w:trHeight w:val="125"/>
          <w:jc w:val="center"/>
        </w:trPr>
        <w:tc>
          <w:tcPr>
            <w:tcW w:w="4815" w:type="dxa"/>
            <w:noWrap/>
            <w:vAlign w:val="center"/>
          </w:tcPr>
          <w:p w14:paraId="0D2B84DB" w14:textId="77777777" w:rsidR="00AD62CD" w:rsidRPr="00AD62CD" w:rsidRDefault="00AD62CD" w:rsidP="00AD62CD">
            <w:pPr>
              <w:spacing w:after="0" w:line="240" w:lineRule="auto"/>
              <w:ind w:left="203"/>
              <w:rPr>
                <w:rFonts w:ascii="Times New Roman" w:eastAsia="Times New Roman" w:hAnsi="Times New Roman" w:cs="Times New Roman"/>
                <w:bCs/>
                <w:i/>
                <w:iCs/>
                <w:kern w:val="0"/>
                <w:lang w:eastAsia="sk-SK"/>
                <w14:ligatures w14:val="none"/>
              </w:rPr>
            </w:pPr>
            <w:r w:rsidRPr="00AD62CD">
              <w:rPr>
                <w:rFonts w:ascii="Times New Roman" w:eastAsia="Times New Roman" w:hAnsi="Times New Roman" w:cs="Times New Roman"/>
                <w:bCs/>
                <w:i/>
                <w:iCs/>
                <w:kern w:val="0"/>
                <w:lang w:eastAsia="sk-SK"/>
                <w14:ligatures w14:val="none"/>
              </w:rPr>
              <w:t xml:space="preserve">z toho vplyv nových úloh v zmysle ods. 2 Čl. 6 ústavného zákona č. 493/2011 Z. z. </w:t>
            </w:r>
          </w:p>
          <w:p w14:paraId="59946D32" w14:textId="77777777" w:rsidR="00AD62CD" w:rsidRPr="00AD62CD" w:rsidRDefault="00AD62CD" w:rsidP="00AD62CD">
            <w:pPr>
              <w:spacing w:after="0" w:line="240" w:lineRule="auto"/>
              <w:ind w:left="203"/>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Cs/>
                <w:i/>
                <w:iCs/>
                <w:kern w:val="0"/>
                <w:lang w:eastAsia="sk-SK"/>
                <w14:ligatures w14:val="none"/>
              </w:rPr>
              <w:t>o rozpočtovej zodpovednosti</w:t>
            </w:r>
          </w:p>
        </w:tc>
        <w:tc>
          <w:tcPr>
            <w:tcW w:w="1113" w:type="dxa"/>
            <w:noWrap/>
            <w:vAlign w:val="center"/>
          </w:tcPr>
          <w:p w14:paraId="2E2DF460"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3404DF37"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39F420BD"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6598D1BE"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r>
      <w:tr w:rsidR="00AD62CD" w:rsidRPr="00AD62CD" w14:paraId="1CDDBC9A" w14:textId="77777777" w:rsidTr="003627DF">
        <w:trPr>
          <w:trHeight w:val="125"/>
          <w:jc w:val="center"/>
        </w:trPr>
        <w:tc>
          <w:tcPr>
            <w:tcW w:w="4815" w:type="dxa"/>
            <w:noWrap/>
            <w:vAlign w:val="center"/>
          </w:tcPr>
          <w:p w14:paraId="248891B9"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vyššie územné celky</w:t>
            </w:r>
          </w:p>
        </w:tc>
        <w:tc>
          <w:tcPr>
            <w:tcW w:w="1113" w:type="dxa"/>
            <w:noWrap/>
            <w:vAlign w:val="center"/>
          </w:tcPr>
          <w:p w14:paraId="264B284C"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2C55A707"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6CF592F4"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24138B8F"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7FC1E374" w14:textId="77777777" w:rsidTr="003627DF">
        <w:trPr>
          <w:trHeight w:val="125"/>
          <w:jc w:val="center"/>
        </w:trPr>
        <w:tc>
          <w:tcPr>
            <w:tcW w:w="4815" w:type="dxa"/>
            <w:noWrap/>
            <w:vAlign w:val="center"/>
          </w:tcPr>
          <w:p w14:paraId="019916A6" w14:textId="77777777" w:rsidR="00AD62CD" w:rsidRPr="00AD62CD" w:rsidRDefault="00AD62CD" w:rsidP="00AD62CD">
            <w:pPr>
              <w:spacing w:after="0" w:line="240" w:lineRule="auto"/>
              <w:ind w:left="203"/>
              <w:rPr>
                <w:rFonts w:ascii="Times New Roman" w:eastAsia="Times New Roman" w:hAnsi="Times New Roman" w:cs="Times New Roman"/>
                <w:bCs/>
                <w:i/>
                <w:iCs/>
                <w:kern w:val="0"/>
                <w:lang w:eastAsia="sk-SK"/>
                <w14:ligatures w14:val="none"/>
              </w:rPr>
            </w:pPr>
            <w:r w:rsidRPr="00AD62CD">
              <w:rPr>
                <w:rFonts w:ascii="Times New Roman" w:eastAsia="Times New Roman" w:hAnsi="Times New Roman" w:cs="Times New Roman"/>
                <w:bCs/>
                <w:i/>
                <w:iCs/>
                <w:kern w:val="0"/>
                <w:lang w:eastAsia="sk-SK"/>
                <w14:ligatures w14:val="none"/>
              </w:rPr>
              <w:t xml:space="preserve">z toho vplyv nových úloh v zmysle ods. 2 Čl. 6 ústavného zákona č. 493/2011 Z. z. </w:t>
            </w:r>
          </w:p>
          <w:p w14:paraId="69068258" w14:textId="77777777" w:rsidR="00AD62CD" w:rsidRPr="00AD62CD" w:rsidRDefault="00AD62CD" w:rsidP="00AD62CD">
            <w:pPr>
              <w:spacing w:after="0" w:line="240" w:lineRule="auto"/>
              <w:ind w:left="203"/>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Cs/>
                <w:i/>
                <w:iCs/>
                <w:kern w:val="0"/>
                <w:lang w:eastAsia="sk-SK"/>
                <w14:ligatures w14:val="none"/>
              </w:rPr>
              <w:t>o rozpočtovej zodpovednosti</w:t>
            </w:r>
          </w:p>
        </w:tc>
        <w:tc>
          <w:tcPr>
            <w:tcW w:w="1113" w:type="dxa"/>
            <w:noWrap/>
            <w:vAlign w:val="center"/>
          </w:tcPr>
          <w:p w14:paraId="39C351F9"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152C80E5"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675996F3"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7300C63C"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r>
      <w:tr w:rsidR="00AD62CD" w:rsidRPr="00AD62CD" w14:paraId="514C9D10" w14:textId="77777777" w:rsidTr="003627DF">
        <w:trPr>
          <w:trHeight w:val="70"/>
          <w:jc w:val="center"/>
        </w:trPr>
        <w:tc>
          <w:tcPr>
            <w:tcW w:w="4815" w:type="dxa"/>
            <w:noWrap/>
            <w:vAlign w:val="center"/>
          </w:tcPr>
          <w:p w14:paraId="4C3FDC7D"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ostatné subjekty verejnej správy</w:t>
            </w:r>
          </w:p>
        </w:tc>
        <w:tc>
          <w:tcPr>
            <w:tcW w:w="1113" w:type="dxa"/>
            <w:noWrap/>
            <w:vAlign w:val="center"/>
          </w:tcPr>
          <w:p w14:paraId="48FA9149"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FA46A3F"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18CCCB9"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196CD3E"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0B98F226" w14:textId="77777777" w:rsidTr="00AD62CD">
        <w:trPr>
          <w:trHeight w:val="70"/>
          <w:jc w:val="center"/>
        </w:trPr>
        <w:tc>
          <w:tcPr>
            <w:tcW w:w="4815" w:type="dxa"/>
            <w:shd w:val="clear" w:color="auto" w:fill="BFBFBF"/>
            <w:noWrap/>
            <w:vAlign w:val="center"/>
          </w:tcPr>
          <w:p w14:paraId="03324AFA"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xml:space="preserve">Vplyv na počet zamestnancov </w:t>
            </w:r>
          </w:p>
        </w:tc>
        <w:tc>
          <w:tcPr>
            <w:tcW w:w="1113" w:type="dxa"/>
            <w:shd w:val="clear" w:color="auto" w:fill="BFBFBF"/>
            <w:noWrap/>
            <w:vAlign w:val="center"/>
          </w:tcPr>
          <w:p w14:paraId="3B731C55"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BFBFBF"/>
            <w:noWrap/>
            <w:vAlign w:val="center"/>
          </w:tcPr>
          <w:p w14:paraId="4A12B59C"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BFBFBF"/>
            <w:noWrap/>
            <w:vAlign w:val="center"/>
          </w:tcPr>
          <w:p w14:paraId="4ACDEC26"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BFBFBF"/>
            <w:noWrap/>
            <w:vAlign w:val="center"/>
          </w:tcPr>
          <w:p w14:paraId="58E95CC6"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r>
      <w:tr w:rsidR="00AD62CD" w:rsidRPr="00AD62CD" w14:paraId="10F37542" w14:textId="77777777" w:rsidTr="003627DF">
        <w:trPr>
          <w:trHeight w:val="70"/>
          <w:jc w:val="center"/>
        </w:trPr>
        <w:tc>
          <w:tcPr>
            <w:tcW w:w="4815" w:type="dxa"/>
            <w:noWrap/>
            <w:vAlign w:val="center"/>
          </w:tcPr>
          <w:p w14:paraId="058E4398"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ŠR</w:t>
            </w:r>
          </w:p>
        </w:tc>
        <w:tc>
          <w:tcPr>
            <w:tcW w:w="1113" w:type="dxa"/>
            <w:noWrap/>
            <w:vAlign w:val="center"/>
          </w:tcPr>
          <w:p w14:paraId="3DC3E301"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1EE86D77"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55BC2860"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2E65C2EB"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310B5315" w14:textId="77777777" w:rsidTr="003627DF">
        <w:trPr>
          <w:trHeight w:val="70"/>
          <w:jc w:val="center"/>
        </w:trPr>
        <w:tc>
          <w:tcPr>
            <w:tcW w:w="4815" w:type="dxa"/>
            <w:noWrap/>
            <w:vAlign w:val="center"/>
          </w:tcPr>
          <w:p w14:paraId="66E62E2E"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obce</w:t>
            </w:r>
          </w:p>
        </w:tc>
        <w:tc>
          <w:tcPr>
            <w:tcW w:w="1113" w:type="dxa"/>
            <w:noWrap/>
            <w:vAlign w:val="center"/>
          </w:tcPr>
          <w:p w14:paraId="2786864F"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6EDB583E"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6FD530AA"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60B8EA8F"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0DE35013" w14:textId="77777777" w:rsidTr="003627DF">
        <w:trPr>
          <w:trHeight w:val="70"/>
          <w:jc w:val="center"/>
        </w:trPr>
        <w:tc>
          <w:tcPr>
            <w:tcW w:w="4815" w:type="dxa"/>
            <w:noWrap/>
            <w:vAlign w:val="center"/>
          </w:tcPr>
          <w:p w14:paraId="1A7F0C05"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vyššie územné celky</w:t>
            </w:r>
          </w:p>
        </w:tc>
        <w:tc>
          <w:tcPr>
            <w:tcW w:w="1113" w:type="dxa"/>
            <w:noWrap/>
            <w:vAlign w:val="center"/>
          </w:tcPr>
          <w:p w14:paraId="16FCE8EC"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F8055AF"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964245D"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11D4057D"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195DD6C7" w14:textId="77777777" w:rsidTr="003627DF">
        <w:trPr>
          <w:trHeight w:val="70"/>
          <w:jc w:val="center"/>
        </w:trPr>
        <w:tc>
          <w:tcPr>
            <w:tcW w:w="4815" w:type="dxa"/>
            <w:noWrap/>
            <w:vAlign w:val="center"/>
          </w:tcPr>
          <w:p w14:paraId="64839D33"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ostatné subjekty verejnej správy</w:t>
            </w:r>
          </w:p>
        </w:tc>
        <w:tc>
          <w:tcPr>
            <w:tcW w:w="1113" w:type="dxa"/>
            <w:noWrap/>
            <w:vAlign w:val="center"/>
          </w:tcPr>
          <w:p w14:paraId="2832A57D"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3A037ED5"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332583BA"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13B41F3"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704CCEDC" w14:textId="77777777" w:rsidTr="00AD62CD">
        <w:trPr>
          <w:trHeight w:val="70"/>
          <w:jc w:val="center"/>
        </w:trPr>
        <w:tc>
          <w:tcPr>
            <w:tcW w:w="4815" w:type="dxa"/>
            <w:shd w:val="clear" w:color="auto" w:fill="BFBFBF"/>
            <w:noWrap/>
            <w:vAlign w:val="center"/>
          </w:tcPr>
          <w:p w14:paraId="40055F6B" w14:textId="77777777" w:rsidR="00AD62CD" w:rsidRPr="00AD62CD" w:rsidRDefault="00AD62CD" w:rsidP="00AD62CD">
            <w:pPr>
              <w:spacing w:after="0" w:line="240" w:lineRule="auto"/>
              <w:rPr>
                <w:rFonts w:ascii="Times New Roman" w:eastAsia="Times New Roman" w:hAnsi="Times New Roman" w:cs="Times New Roman"/>
                <w:b/>
                <w:kern w:val="0"/>
                <w:lang w:eastAsia="sk-SK"/>
                <w14:ligatures w14:val="none"/>
              </w:rPr>
            </w:pPr>
            <w:r w:rsidRPr="00AD62CD">
              <w:rPr>
                <w:rFonts w:ascii="Times New Roman" w:eastAsia="Times New Roman" w:hAnsi="Times New Roman" w:cs="Times New Roman"/>
                <w:b/>
                <w:kern w:val="0"/>
                <w:lang w:eastAsia="sk-SK"/>
                <w14:ligatures w14:val="none"/>
              </w:rPr>
              <w:t>Vplyv na mzdové výdavky</w:t>
            </w:r>
          </w:p>
        </w:tc>
        <w:tc>
          <w:tcPr>
            <w:tcW w:w="1113" w:type="dxa"/>
            <w:shd w:val="clear" w:color="auto" w:fill="BFBFBF"/>
            <w:noWrap/>
            <w:vAlign w:val="center"/>
          </w:tcPr>
          <w:p w14:paraId="292A5E85" w14:textId="77777777" w:rsidR="00AD62CD" w:rsidRPr="00AD62CD" w:rsidRDefault="00AD62CD" w:rsidP="00AD62CD">
            <w:pPr>
              <w:spacing w:after="0" w:line="240" w:lineRule="auto"/>
              <w:jc w:val="right"/>
              <w:rPr>
                <w:rFonts w:ascii="Times New Roman" w:eastAsia="Times New Roman" w:hAnsi="Times New Roman" w:cs="Times New Roman"/>
                <w:b/>
                <w:kern w:val="0"/>
                <w:lang w:eastAsia="sk-SK"/>
                <w14:ligatures w14:val="none"/>
              </w:rPr>
            </w:pPr>
            <w:r w:rsidRPr="00AD62CD">
              <w:rPr>
                <w:rFonts w:ascii="Times New Roman" w:eastAsia="Times New Roman" w:hAnsi="Times New Roman" w:cs="Times New Roman"/>
                <w:b/>
                <w:kern w:val="0"/>
                <w:lang w:eastAsia="sk-SK"/>
                <w14:ligatures w14:val="none"/>
              </w:rPr>
              <w:t>0</w:t>
            </w:r>
          </w:p>
        </w:tc>
        <w:tc>
          <w:tcPr>
            <w:tcW w:w="1267" w:type="dxa"/>
            <w:shd w:val="clear" w:color="auto" w:fill="BFBFBF"/>
            <w:noWrap/>
            <w:vAlign w:val="center"/>
          </w:tcPr>
          <w:p w14:paraId="5978D534" w14:textId="77777777" w:rsidR="00AD62CD" w:rsidRPr="00AD62CD" w:rsidRDefault="00AD62CD" w:rsidP="00AD62CD">
            <w:pPr>
              <w:spacing w:after="0" w:line="240" w:lineRule="auto"/>
              <w:jc w:val="right"/>
              <w:rPr>
                <w:rFonts w:ascii="Times New Roman" w:eastAsia="Times New Roman" w:hAnsi="Times New Roman" w:cs="Times New Roman"/>
                <w:b/>
                <w:kern w:val="0"/>
                <w:lang w:eastAsia="sk-SK"/>
                <w14:ligatures w14:val="none"/>
              </w:rPr>
            </w:pPr>
            <w:r w:rsidRPr="00AD62CD">
              <w:rPr>
                <w:rFonts w:ascii="Times New Roman" w:eastAsia="Times New Roman" w:hAnsi="Times New Roman" w:cs="Times New Roman"/>
                <w:b/>
                <w:kern w:val="0"/>
                <w:lang w:eastAsia="sk-SK"/>
                <w14:ligatures w14:val="none"/>
              </w:rPr>
              <w:t>0</w:t>
            </w:r>
          </w:p>
        </w:tc>
        <w:tc>
          <w:tcPr>
            <w:tcW w:w="1267" w:type="dxa"/>
            <w:shd w:val="clear" w:color="auto" w:fill="BFBFBF"/>
            <w:noWrap/>
            <w:vAlign w:val="center"/>
          </w:tcPr>
          <w:p w14:paraId="0B981146" w14:textId="77777777" w:rsidR="00AD62CD" w:rsidRPr="00AD62CD" w:rsidRDefault="00AD62CD" w:rsidP="00AD62CD">
            <w:pPr>
              <w:spacing w:after="0" w:line="240" w:lineRule="auto"/>
              <w:jc w:val="right"/>
              <w:rPr>
                <w:rFonts w:ascii="Times New Roman" w:eastAsia="Times New Roman" w:hAnsi="Times New Roman" w:cs="Times New Roman"/>
                <w:b/>
                <w:kern w:val="0"/>
                <w:lang w:eastAsia="sk-SK"/>
                <w14:ligatures w14:val="none"/>
              </w:rPr>
            </w:pPr>
            <w:r w:rsidRPr="00AD62CD">
              <w:rPr>
                <w:rFonts w:ascii="Times New Roman" w:eastAsia="Times New Roman" w:hAnsi="Times New Roman" w:cs="Times New Roman"/>
                <w:b/>
                <w:kern w:val="0"/>
                <w:lang w:eastAsia="sk-SK"/>
                <w14:ligatures w14:val="none"/>
              </w:rPr>
              <w:t>0</w:t>
            </w:r>
          </w:p>
        </w:tc>
        <w:tc>
          <w:tcPr>
            <w:tcW w:w="1267" w:type="dxa"/>
            <w:shd w:val="clear" w:color="auto" w:fill="BFBFBF"/>
            <w:noWrap/>
            <w:vAlign w:val="center"/>
          </w:tcPr>
          <w:p w14:paraId="63DB54B0" w14:textId="77777777" w:rsidR="00AD62CD" w:rsidRPr="00AD62CD" w:rsidRDefault="00AD62CD" w:rsidP="00AD62CD">
            <w:pPr>
              <w:spacing w:after="0" w:line="240" w:lineRule="auto"/>
              <w:jc w:val="right"/>
              <w:rPr>
                <w:rFonts w:ascii="Times New Roman" w:eastAsia="Times New Roman" w:hAnsi="Times New Roman" w:cs="Times New Roman"/>
                <w:b/>
                <w:kern w:val="0"/>
                <w:lang w:eastAsia="sk-SK"/>
                <w14:ligatures w14:val="none"/>
              </w:rPr>
            </w:pPr>
            <w:r w:rsidRPr="00AD62CD">
              <w:rPr>
                <w:rFonts w:ascii="Times New Roman" w:eastAsia="Times New Roman" w:hAnsi="Times New Roman" w:cs="Times New Roman"/>
                <w:b/>
                <w:kern w:val="0"/>
                <w:lang w:eastAsia="sk-SK"/>
                <w14:ligatures w14:val="none"/>
              </w:rPr>
              <w:t>0</w:t>
            </w:r>
          </w:p>
        </w:tc>
      </w:tr>
      <w:tr w:rsidR="00AD62CD" w:rsidRPr="00AD62CD" w14:paraId="55A312A2" w14:textId="77777777" w:rsidTr="003627DF">
        <w:trPr>
          <w:trHeight w:val="70"/>
          <w:jc w:val="center"/>
        </w:trPr>
        <w:tc>
          <w:tcPr>
            <w:tcW w:w="4815" w:type="dxa"/>
            <w:noWrap/>
            <w:vAlign w:val="center"/>
          </w:tcPr>
          <w:p w14:paraId="4DA8AF7A"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ŠR</w:t>
            </w:r>
          </w:p>
        </w:tc>
        <w:tc>
          <w:tcPr>
            <w:tcW w:w="1113" w:type="dxa"/>
            <w:noWrap/>
            <w:vAlign w:val="center"/>
          </w:tcPr>
          <w:p w14:paraId="5B60C857"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2AF29676"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3782F313"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35B4014F"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3940D56E" w14:textId="77777777" w:rsidTr="003627DF">
        <w:trPr>
          <w:trHeight w:val="70"/>
          <w:jc w:val="center"/>
        </w:trPr>
        <w:tc>
          <w:tcPr>
            <w:tcW w:w="4815" w:type="dxa"/>
            <w:noWrap/>
            <w:vAlign w:val="center"/>
          </w:tcPr>
          <w:p w14:paraId="6C0EB002"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obce</w:t>
            </w:r>
          </w:p>
        </w:tc>
        <w:tc>
          <w:tcPr>
            <w:tcW w:w="1113" w:type="dxa"/>
            <w:noWrap/>
            <w:vAlign w:val="center"/>
          </w:tcPr>
          <w:p w14:paraId="0A8330CB"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65F39D28"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DE0F753"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A7D054A"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63FAABEF" w14:textId="77777777" w:rsidTr="003627DF">
        <w:trPr>
          <w:trHeight w:val="70"/>
          <w:jc w:val="center"/>
        </w:trPr>
        <w:tc>
          <w:tcPr>
            <w:tcW w:w="4815" w:type="dxa"/>
            <w:noWrap/>
            <w:vAlign w:val="center"/>
          </w:tcPr>
          <w:p w14:paraId="0748A5DF" w14:textId="77777777" w:rsidR="00AD62CD" w:rsidRPr="00AD62CD" w:rsidRDefault="00AD62CD" w:rsidP="00AD62CD">
            <w:pPr>
              <w:spacing w:after="0" w:line="240" w:lineRule="auto"/>
              <w:rPr>
                <w:rFonts w:ascii="Times New Roman" w:eastAsia="Times New Roman" w:hAnsi="Times New Roman" w:cs="Times New Roman"/>
                <w:b/>
                <w:bCs/>
                <w:i/>
                <w:iCs/>
                <w:kern w:val="0"/>
                <w:lang w:eastAsia="sk-SK"/>
                <w14:ligatures w14:val="none"/>
              </w:rPr>
            </w:pPr>
            <w:r w:rsidRPr="00AD62CD">
              <w:rPr>
                <w:rFonts w:ascii="Times New Roman" w:eastAsia="Times New Roman" w:hAnsi="Times New Roman" w:cs="Times New Roman"/>
                <w:b/>
                <w:bCs/>
                <w:i/>
                <w:iCs/>
                <w:kern w:val="0"/>
                <w:lang w:eastAsia="sk-SK"/>
                <w14:ligatures w14:val="none"/>
              </w:rPr>
              <w:t>- vplyv na vyššie územné celky</w:t>
            </w:r>
          </w:p>
        </w:tc>
        <w:tc>
          <w:tcPr>
            <w:tcW w:w="1113" w:type="dxa"/>
            <w:noWrap/>
            <w:vAlign w:val="center"/>
          </w:tcPr>
          <w:p w14:paraId="09100560"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46AAF18A"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270127C8"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725FE5AA"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34115C47" w14:textId="77777777" w:rsidTr="003627DF">
        <w:trPr>
          <w:trHeight w:val="70"/>
          <w:jc w:val="center"/>
        </w:trPr>
        <w:tc>
          <w:tcPr>
            <w:tcW w:w="4815" w:type="dxa"/>
            <w:noWrap/>
            <w:vAlign w:val="center"/>
          </w:tcPr>
          <w:p w14:paraId="22A2CF5C"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i/>
                <w:iCs/>
                <w:kern w:val="0"/>
                <w:lang w:eastAsia="sk-SK"/>
                <w14:ligatures w14:val="none"/>
              </w:rPr>
              <w:t>- vplyv na ostatné subjekty verejnej správy</w:t>
            </w:r>
          </w:p>
        </w:tc>
        <w:tc>
          <w:tcPr>
            <w:tcW w:w="1113" w:type="dxa"/>
            <w:noWrap/>
            <w:vAlign w:val="center"/>
          </w:tcPr>
          <w:p w14:paraId="5AF9C699"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3B44D50B"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5AADCB54"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c>
          <w:tcPr>
            <w:tcW w:w="1267" w:type="dxa"/>
            <w:noWrap/>
            <w:vAlign w:val="center"/>
          </w:tcPr>
          <w:p w14:paraId="585E4888" w14:textId="77777777" w:rsidR="00AD62CD" w:rsidRPr="00AD62CD" w:rsidRDefault="00AD62CD" w:rsidP="00AD62CD">
            <w:pPr>
              <w:spacing w:after="0" w:line="240" w:lineRule="auto"/>
              <w:jc w:val="right"/>
              <w:rPr>
                <w:rFonts w:ascii="Times New Roman" w:eastAsia="Times New Roman" w:hAnsi="Times New Roman" w:cs="Times New Roman"/>
                <w:b/>
                <w:bCs/>
                <w:iCs/>
                <w:kern w:val="0"/>
                <w:lang w:eastAsia="sk-SK"/>
                <w14:ligatures w14:val="none"/>
              </w:rPr>
            </w:pPr>
            <w:r w:rsidRPr="00AD62CD">
              <w:rPr>
                <w:rFonts w:ascii="Times New Roman" w:eastAsia="Times New Roman" w:hAnsi="Times New Roman" w:cs="Times New Roman"/>
                <w:b/>
                <w:bCs/>
                <w:iCs/>
                <w:kern w:val="0"/>
                <w:lang w:eastAsia="sk-SK"/>
                <w14:ligatures w14:val="none"/>
              </w:rPr>
              <w:t>0</w:t>
            </w:r>
          </w:p>
        </w:tc>
      </w:tr>
      <w:tr w:rsidR="00AD62CD" w:rsidRPr="00AD62CD" w14:paraId="6F5FDAC6" w14:textId="77777777" w:rsidTr="003627DF">
        <w:trPr>
          <w:trHeight w:val="70"/>
          <w:jc w:val="center"/>
        </w:trPr>
        <w:tc>
          <w:tcPr>
            <w:tcW w:w="4815" w:type="dxa"/>
            <w:shd w:val="clear" w:color="auto" w:fill="C0C0C0"/>
            <w:noWrap/>
            <w:vAlign w:val="center"/>
          </w:tcPr>
          <w:p w14:paraId="190DE597"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Financovanie zabezpečené v rozpočte</w:t>
            </w:r>
          </w:p>
        </w:tc>
        <w:tc>
          <w:tcPr>
            <w:tcW w:w="1113" w:type="dxa"/>
            <w:shd w:val="clear" w:color="auto" w:fill="C0C0C0"/>
            <w:noWrap/>
            <w:vAlign w:val="center"/>
          </w:tcPr>
          <w:p w14:paraId="452D8482"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C0C0C0"/>
            <w:noWrap/>
            <w:vAlign w:val="center"/>
          </w:tcPr>
          <w:p w14:paraId="7E4140F8"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C0C0C0"/>
            <w:noWrap/>
            <w:vAlign w:val="center"/>
          </w:tcPr>
          <w:p w14:paraId="286670D1"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C0C0C0"/>
            <w:noWrap/>
            <w:vAlign w:val="center"/>
          </w:tcPr>
          <w:p w14:paraId="7D02CC2D"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r>
      <w:tr w:rsidR="00AD62CD" w:rsidRPr="00AD62CD" w14:paraId="5DAE8DA9" w14:textId="77777777" w:rsidTr="003627DF">
        <w:trPr>
          <w:trHeight w:val="70"/>
          <w:jc w:val="center"/>
        </w:trPr>
        <w:tc>
          <w:tcPr>
            <w:tcW w:w="4815" w:type="dxa"/>
            <w:noWrap/>
            <w:vAlign w:val="center"/>
          </w:tcPr>
          <w:p w14:paraId="4B58C4A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v tom: za každý subjekt verejnej správy / program zvlášť</w:t>
            </w:r>
          </w:p>
        </w:tc>
        <w:tc>
          <w:tcPr>
            <w:tcW w:w="1113" w:type="dxa"/>
            <w:noWrap/>
            <w:vAlign w:val="center"/>
          </w:tcPr>
          <w:p w14:paraId="277D3C12"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0A764C9E"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77660736"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c>
          <w:tcPr>
            <w:tcW w:w="1267" w:type="dxa"/>
            <w:noWrap/>
            <w:vAlign w:val="center"/>
          </w:tcPr>
          <w:p w14:paraId="202F9D34" w14:textId="77777777" w:rsidR="00AD62CD" w:rsidRPr="00AD62CD" w:rsidRDefault="00AD62CD" w:rsidP="00AD62CD">
            <w:pPr>
              <w:spacing w:after="0" w:line="240" w:lineRule="auto"/>
              <w:jc w:val="right"/>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0</w:t>
            </w:r>
          </w:p>
        </w:tc>
      </w:tr>
      <w:tr w:rsidR="00AD62CD" w:rsidRPr="00AD62CD" w14:paraId="3E7FAD8D" w14:textId="77777777" w:rsidTr="00AD62CD">
        <w:trPr>
          <w:trHeight w:val="70"/>
          <w:jc w:val="center"/>
        </w:trPr>
        <w:tc>
          <w:tcPr>
            <w:tcW w:w="4815" w:type="dxa"/>
            <w:shd w:val="clear" w:color="auto" w:fill="BFBFBF"/>
            <w:noWrap/>
            <w:vAlign w:val="center"/>
          </w:tcPr>
          <w:p w14:paraId="0C7D67F6" w14:textId="77777777" w:rsidR="00AD62CD" w:rsidRPr="00AD62CD" w:rsidRDefault="00AD62CD" w:rsidP="00AD62CD">
            <w:pPr>
              <w:spacing w:after="0" w:line="240" w:lineRule="auto"/>
              <w:rPr>
                <w:rFonts w:ascii="Times New Roman" w:eastAsia="Times New Roman" w:hAnsi="Times New Roman" w:cs="Times New Roman"/>
                <w:b/>
                <w:kern w:val="0"/>
                <w:lang w:eastAsia="sk-SK"/>
                <w14:ligatures w14:val="none"/>
              </w:rPr>
            </w:pPr>
            <w:r w:rsidRPr="00AD62CD">
              <w:rPr>
                <w:rFonts w:ascii="Times New Roman" w:eastAsia="Times New Roman" w:hAnsi="Times New Roman" w:cs="Times New Roman"/>
                <w:b/>
                <w:kern w:val="0"/>
                <w:lang w:eastAsia="sk-SK"/>
                <w14:ligatures w14:val="none"/>
              </w:rPr>
              <w:t>Iné ako rozpočtové zdroje</w:t>
            </w:r>
          </w:p>
        </w:tc>
        <w:tc>
          <w:tcPr>
            <w:tcW w:w="1113" w:type="dxa"/>
            <w:shd w:val="clear" w:color="auto" w:fill="BFBFBF"/>
            <w:noWrap/>
            <w:vAlign w:val="center"/>
          </w:tcPr>
          <w:p w14:paraId="4209FA7F"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BFBFBF"/>
            <w:noWrap/>
            <w:vAlign w:val="center"/>
          </w:tcPr>
          <w:p w14:paraId="13DBA179"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BFBFBF"/>
            <w:noWrap/>
            <w:vAlign w:val="center"/>
          </w:tcPr>
          <w:p w14:paraId="6BCE4F6F"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267" w:type="dxa"/>
            <w:shd w:val="clear" w:color="auto" w:fill="BFBFBF"/>
            <w:noWrap/>
            <w:vAlign w:val="center"/>
          </w:tcPr>
          <w:p w14:paraId="64CA432B"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r>
      <w:tr w:rsidR="00AD62CD" w:rsidRPr="00AD62CD" w14:paraId="1196DCC8" w14:textId="77777777" w:rsidTr="00AD62CD">
        <w:trPr>
          <w:trHeight w:val="70"/>
          <w:jc w:val="center"/>
        </w:trPr>
        <w:tc>
          <w:tcPr>
            <w:tcW w:w="4815" w:type="dxa"/>
            <w:shd w:val="clear" w:color="auto" w:fill="A6A6A6"/>
            <w:noWrap/>
            <w:vAlign w:val="center"/>
          </w:tcPr>
          <w:p w14:paraId="4331C766"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Rozpočtovo nekrytý vplyv / úspora</w:t>
            </w:r>
          </w:p>
        </w:tc>
        <w:tc>
          <w:tcPr>
            <w:tcW w:w="1113" w:type="dxa"/>
            <w:shd w:val="clear" w:color="auto" w:fill="A6A6A6"/>
            <w:noWrap/>
            <w:vAlign w:val="center"/>
          </w:tcPr>
          <w:p w14:paraId="67BB7157"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267" w:type="dxa"/>
            <w:shd w:val="clear" w:color="auto" w:fill="A6A6A6"/>
            <w:noWrap/>
            <w:vAlign w:val="center"/>
          </w:tcPr>
          <w:p w14:paraId="1CF7F5EB"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color w:val="000000"/>
                <w:kern w:val="0"/>
                <w:sz w:val="22"/>
                <w:szCs w:val="22"/>
                <w14:ligatures w14:val="none"/>
              </w:rPr>
              <w:t>-41 296 000</w:t>
            </w:r>
          </w:p>
        </w:tc>
        <w:tc>
          <w:tcPr>
            <w:tcW w:w="1267" w:type="dxa"/>
            <w:shd w:val="clear" w:color="auto" w:fill="A6A6A6"/>
            <w:noWrap/>
            <w:vAlign w:val="center"/>
          </w:tcPr>
          <w:p w14:paraId="6FA1EDA4"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color w:val="000000"/>
                <w:kern w:val="0"/>
                <w:sz w:val="22"/>
                <w:szCs w:val="22"/>
                <w14:ligatures w14:val="none"/>
              </w:rPr>
              <w:t>-43 769 000</w:t>
            </w:r>
          </w:p>
        </w:tc>
        <w:tc>
          <w:tcPr>
            <w:tcW w:w="1267" w:type="dxa"/>
            <w:shd w:val="clear" w:color="auto" w:fill="A6A6A6"/>
            <w:noWrap/>
            <w:vAlign w:val="center"/>
          </w:tcPr>
          <w:p w14:paraId="3226B267" w14:textId="77777777" w:rsidR="00AD62CD" w:rsidRPr="00AD62CD" w:rsidRDefault="00AD62CD" w:rsidP="00AD62CD">
            <w:pPr>
              <w:spacing w:after="0" w:line="240" w:lineRule="auto"/>
              <w:jc w:val="right"/>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color w:val="000000"/>
                <w:kern w:val="0"/>
                <w:sz w:val="22"/>
                <w:szCs w:val="22"/>
                <w14:ligatures w14:val="none"/>
              </w:rPr>
              <w:t>-46 237 000</w:t>
            </w:r>
          </w:p>
        </w:tc>
      </w:tr>
    </w:tbl>
    <w:p w14:paraId="63A0A372" w14:textId="77777777" w:rsidR="00AD62CD" w:rsidRPr="00AD62CD" w:rsidRDefault="00AD62CD" w:rsidP="00AD62CD">
      <w:pPr>
        <w:spacing w:after="0" w:line="276" w:lineRule="auto"/>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AD62CD" w:rsidRPr="00AD62CD" w14:paraId="1D04DAE4" w14:textId="77777777" w:rsidTr="00AD62CD">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4AB2E7F"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56238F0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r</w:t>
            </w: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2D3412E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r + 1</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41C5392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r + 2</w:t>
            </w:r>
          </w:p>
        </w:tc>
        <w:tc>
          <w:tcPr>
            <w:tcW w:w="1418" w:type="dxa"/>
            <w:tcBorders>
              <w:top w:val="single" w:sz="4" w:space="0" w:color="auto"/>
              <w:left w:val="nil"/>
              <w:bottom w:val="single" w:sz="4" w:space="0" w:color="auto"/>
              <w:right w:val="single" w:sz="4" w:space="0" w:color="auto"/>
            </w:tcBorders>
            <w:shd w:val="clear" w:color="auto" w:fill="BFBFBF"/>
            <w:noWrap/>
            <w:vAlign w:val="center"/>
            <w:hideMark/>
          </w:tcPr>
          <w:p w14:paraId="462F3B5B"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r + 3</w:t>
            </w:r>
          </w:p>
        </w:tc>
      </w:tr>
      <w:tr w:rsidR="00AD62CD" w:rsidRPr="00AD62CD" w14:paraId="2256F88A"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5E4E2595"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7704AD47"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417" w:type="dxa"/>
            <w:tcBorders>
              <w:top w:val="nil"/>
              <w:left w:val="nil"/>
              <w:bottom w:val="single" w:sz="4" w:space="0" w:color="auto"/>
              <w:right w:val="single" w:sz="4" w:space="0" w:color="auto"/>
            </w:tcBorders>
            <w:shd w:val="clear" w:color="auto" w:fill="auto"/>
            <w:noWrap/>
            <w:vAlign w:val="center"/>
            <w:hideMark/>
          </w:tcPr>
          <w:p w14:paraId="09786911"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134" w:type="dxa"/>
            <w:tcBorders>
              <w:top w:val="nil"/>
              <w:left w:val="nil"/>
              <w:bottom w:val="single" w:sz="4" w:space="0" w:color="auto"/>
              <w:right w:val="single" w:sz="4" w:space="0" w:color="auto"/>
            </w:tcBorders>
            <w:shd w:val="clear" w:color="auto" w:fill="auto"/>
            <w:noWrap/>
            <w:vAlign w:val="center"/>
            <w:hideMark/>
          </w:tcPr>
          <w:p w14:paraId="6B6376C8"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418" w:type="dxa"/>
            <w:tcBorders>
              <w:top w:val="nil"/>
              <w:left w:val="nil"/>
              <w:bottom w:val="single" w:sz="4" w:space="0" w:color="auto"/>
              <w:right w:val="single" w:sz="4" w:space="0" w:color="auto"/>
            </w:tcBorders>
            <w:shd w:val="clear" w:color="auto" w:fill="auto"/>
            <w:noWrap/>
            <w:vAlign w:val="center"/>
            <w:hideMark/>
          </w:tcPr>
          <w:p w14:paraId="61D0CD0B"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r>
      <w:tr w:rsidR="00AD62CD" w:rsidRPr="00AD62CD" w14:paraId="16A684BB"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7D897BEE"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14:paraId="1E644356"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0</w:t>
            </w:r>
          </w:p>
        </w:tc>
        <w:tc>
          <w:tcPr>
            <w:tcW w:w="1417" w:type="dxa"/>
            <w:tcBorders>
              <w:top w:val="nil"/>
              <w:left w:val="nil"/>
              <w:bottom w:val="single" w:sz="4" w:space="0" w:color="auto"/>
              <w:right w:val="single" w:sz="4" w:space="0" w:color="auto"/>
            </w:tcBorders>
            <w:shd w:val="clear" w:color="auto" w:fill="auto"/>
            <w:noWrap/>
            <w:vAlign w:val="center"/>
            <w:hideMark/>
          </w:tcPr>
          <w:p w14:paraId="0778070C"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0</w:t>
            </w:r>
          </w:p>
        </w:tc>
        <w:tc>
          <w:tcPr>
            <w:tcW w:w="1134" w:type="dxa"/>
            <w:tcBorders>
              <w:top w:val="nil"/>
              <w:left w:val="nil"/>
              <w:bottom w:val="single" w:sz="4" w:space="0" w:color="auto"/>
              <w:right w:val="single" w:sz="4" w:space="0" w:color="auto"/>
            </w:tcBorders>
            <w:shd w:val="clear" w:color="auto" w:fill="auto"/>
            <w:noWrap/>
            <w:vAlign w:val="center"/>
            <w:hideMark/>
          </w:tcPr>
          <w:p w14:paraId="22B311CE"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0</w:t>
            </w:r>
          </w:p>
        </w:tc>
        <w:tc>
          <w:tcPr>
            <w:tcW w:w="1418" w:type="dxa"/>
            <w:tcBorders>
              <w:top w:val="nil"/>
              <w:left w:val="nil"/>
              <w:bottom w:val="single" w:sz="4" w:space="0" w:color="auto"/>
              <w:right w:val="single" w:sz="4" w:space="0" w:color="auto"/>
            </w:tcBorders>
            <w:shd w:val="clear" w:color="auto" w:fill="auto"/>
            <w:noWrap/>
            <w:vAlign w:val="center"/>
            <w:hideMark/>
          </w:tcPr>
          <w:p w14:paraId="4ABED963"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0</w:t>
            </w:r>
          </w:p>
        </w:tc>
      </w:tr>
      <w:tr w:rsidR="00AD62CD" w:rsidRPr="00AD62CD" w14:paraId="59F45FF3"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0D3EC4A4" w14:textId="77777777" w:rsidR="00AD62CD" w:rsidRPr="00AD62CD" w:rsidRDefault="00AD62CD" w:rsidP="00AD62CD">
            <w:pPr>
              <w:spacing w:after="0" w:line="240" w:lineRule="auto"/>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3C0A7EBA"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AC736B"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D4C582"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c>
          <w:tcPr>
            <w:tcW w:w="1418" w:type="dxa"/>
            <w:tcBorders>
              <w:top w:val="nil"/>
              <w:left w:val="nil"/>
              <w:bottom w:val="single" w:sz="4" w:space="0" w:color="auto"/>
              <w:right w:val="single" w:sz="4" w:space="0" w:color="auto"/>
            </w:tcBorders>
            <w:shd w:val="clear" w:color="auto" w:fill="auto"/>
            <w:noWrap/>
            <w:vAlign w:val="center"/>
            <w:hideMark/>
          </w:tcPr>
          <w:p w14:paraId="68A9ECF5"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190170BB"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0F11CB2A"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38ABD496"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417" w:type="dxa"/>
            <w:tcBorders>
              <w:top w:val="nil"/>
              <w:left w:val="nil"/>
              <w:bottom w:val="single" w:sz="4" w:space="0" w:color="auto"/>
              <w:right w:val="single" w:sz="4" w:space="0" w:color="auto"/>
            </w:tcBorders>
            <w:shd w:val="clear" w:color="auto" w:fill="auto"/>
            <w:noWrap/>
            <w:vAlign w:val="center"/>
            <w:hideMark/>
          </w:tcPr>
          <w:p w14:paraId="33075F87"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134" w:type="dxa"/>
            <w:tcBorders>
              <w:top w:val="nil"/>
              <w:left w:val="nil"/>
              <w:bottom w:val="single" w:sz="4" w:space="0" w:color="auto"/>
              <w:right w:val="single" w:sz="4" w:space="0" w:color="auto"/>
            </w:tcBorders>
            <w:shd w:val="clear" w:color="auto" w:fill="auto"/>
            <w:noWrap/>
            <w:vAlign w:val="center"/>
            <w:hideMark/>
          </w:tcPr>
          <w:p w14:paraId="3CE87A23"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418" w:type="dxa"/>
            <w:tcBorders>
              <w:top w:val="nil"/>
              <w:left w:val="nil"/>
              <w:bottom w:val="single" w:sz="4" w:space="0" w:color="auto"/>
              <w:right w:val="single" w:sz="4" w:space="0" w:color="auto"/>
            </w:tcBorders>
            <w:shd w:val="clear" w:color="auto" w:fill="auto"/>
            <w:noWrap/>
            <w:vAlign w:val="center"/>
            <w:hideMark/>
          </w:tcPr>
          <w:p w14:paraId="3DA25E1E"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r>
      <w:tr w:rsidR="00AD62CD" w:rsidRPr="00AD62CD" w14:paraId="5FFA9BD1"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674E6284"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45263EB7"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417" w:type="dxa"/>
            <w:tcBorders>
              <w:top w:val="nil"/>
              <w:left w:val="nil"/>
              <w:bottom w:val="single" w:sz="4" w:space="0" w:color="auto"/>
              <w:right w:val="single" w:sz="4" w:space="0" w:color="auto"/>
            </w:tcBorders>
            <w:shd w:val="clear" w:color="auto" w:fill="auto"/>
            <w:noWrap/>
            <w:vAlign w:val="center"/>
            <w:hideMark/>
          </w:tcPr>
          <w:p w14:paraId="6740C75F"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134" w:type="dxa"/>
            <w:tcBorders>
              <w:top w:val="nil"/>
              <w:left w:val="nil"/>
              <w:bottom w:val="single" w:sz="4" w:space="0" w:color="auto"/>
              <w:right w:val="single" w:sz="4" w:space="0" w:color="auto"/>
            </w:tcBorders>
            <w:shd w:val="clear" w:color="auto" w:fill="auto"/>
            <w:noWrap/>
            <w:vAlign w:val="center"/>
            <w:hideMark/>
          </w:tcPr>
          <w:p w14:paraId="3B2D7FFF"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c>
          <w:tcPr>
            <w:tcW w:w="1418" w:type="dxa"/>
            <w:tcBorders>
              <w:top w:val="nil"/>
              <w:left w:val="nil"/>
              <w:bottom w:val="single" w:sz="4" w:space="0" w:color="auto"/>
              <w:right w:val="single" w:sz="4" w:space="0" w:color="auto"/>
            </w:tcBorders>
            <w:shd w:val="clear" w:color="auto" w:fill="auto"/>
            <w:noWrap/>
            <w:vAlign w:val="center"/>
            <w:hideMark/>
          </w:tcPr>
          <w:p w14:paraId="5B943679"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r w:rsidRPr="00AD62CD">
              <w:rPr>
                <w:rFonts w:ascii="Times New Roman" w:eastAsia="Times New Roman" w:hAnsi="Times New Roman" w:cs="Times New Roman"/>
                <w:b/>
                <w:color w:val="000000"/>
                <w:kern w:val="0"/>
                <w:lang w:eastAsia="sk-SK"/>
                <w14:ligatures w14:val="none"/>
              </w:rPr>
              <w:t>0</w:t>
            </w:r>
          </w:p>
        </w:tc>
      </w:tr>
      <w:tr w:rsidR="00AD62CD" w:rsidRPr="00AD62CD" w14:paraId="1A6E1157" w14:textId="77777777" w:rsidTr="00AD62CD">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2C38954A"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C41519"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A6A1210"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43A935"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8BF3557"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lang w:eastAsia="sk-SK"/>
                <w14:ligatures w14:val="none"/>
              </w:rPr>
            </w:pPr>
          </w:p>
        </w:tc>
      </w:tr>
    </w:tbl>
    <w:p w14:paraId="0B9BFC11"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p>
    <w:p w14:paraId="7A21DA42"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2.1.1. Financovanie návrhu - Návrh na riešenie úbytku príjmov alebo zvýšených výdavkov podľa § 33 ods. 1 zákona č. 523/2004 Z. z. o rozpočtových pravidlách verejnej správy:</w:t>
      </w:r>
    </w:p>
    <w:p w14:paraId="7FBF1E1E" w14:textId="77777777" w:rsidR="00AD62CD" w:rsidRPr="00AD62CD" w:rsidRDefault="00AD62CD" w:rsidP="00AD62CD">
      <w:pPr>
        <w:spacing w:after="0" w:line="240" w:lineRule="auto"/>
        <w:jc w:val="both"/>
        <w:rPr>
          <w:rFonts w:ascii="Times New Roman" w:eastAsia="Times New Roman" w:hAnsi="Times New Roman" w:cs="Times New Roman"/>
          <w:b/>
          <w:bCs/>
          <w:kern w:val="0"/>
          <w:sz w:val="12"/>
          <w:lang w:eastAsia="sk-SK"/>
          <w14:ligatures w14:val="none"/>
        </w:rPr>
      </w:pPr>
    </w:p>
    <w:p w14:paraId="61F366BF"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kern w:val="0"/>
          <w:lang w:eastAsia="sk-SK"/>
          <w14:ligatures w14:val="none"/>
        </w:rPr>
      </w:pPr>
    </w:p>
    <w:p w14:paraId="51B9A559"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kern w:val="0"/>
          <w:lang w:eastAsia="sk-SK"/>
          <w14:ligatures w14:val="none"/>
        </w:rPr>
      </w:pPr>
    </w:p>
    <w:p w14:paraId="5A0919C0"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kern w:val="0"/>
          <w:lang w:eastAsia="sk-SK"/>
          <w14:ligatures w14:val="none"/>
        </w:rPr>
      </w:pPr>
    </w:p>
    <w:p w14:paraId="2A2DD376"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kern w:val="0"/>
          <w:lang w:eastAsia="sk-SK"/>
          <w14:ligatures w14:val="none"/>
        </w:rPr>
      </w:pPr>
    </w:p>
    <w:p w14:paraId="3B16213F"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kern w:val="0"/>
          <w:lang w:eastAsia="sk-SK"/>
          <w14:ligatures w14:val="none"/>
        </w:rPr>
      </w:pPr>
    </w:p>
    <w:p w14:paraId="5B063D62"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 Popis a charakteristika návrhu</w:t>
      </w:r>
    </w:p>
    <w:p w14:paraId="196DCE1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24881B01" w14:textId="77777777" w:rsidR="00AD62CD" w:rsidRPr="00AD62CD" w:rsidRDefault="00AD62CD" w:rsidP="00AD62CD">
      <w:pPr>
        <w:spacing w:after="0" w:line="240" w:lineRule="auto"/>
        <w:jc w:val="both"/>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2.2.1. Popis návrhu:</w:t>
      </w:r>
    </w:p>
    <w:p w14:paraId="1480B641" w14:textId="77777777" w:rsidR="00AD62CD" w:rsidRPr="00AD62CD" w:rsidRDefault="00AD62CD" w:rsidP="00AD62CD">
      <w:pPr>
        <w:spacing w:after="0" w:line="240" w:lineRule="auto"/>
        <w:jc w:val="both"/>
        <w:rPr>
          <w:rFonts w:ascii="Times New Roman" w:eastAsia="Times New Roman" w:hAnsi="Times New Roman" w:cs="Times New Roman"/>
          <w:b/>
          <w:bCs/>
          <w:kern w:val="0"/>
          <w:lang w:eastAsia="sk-SK"/>
          <w14:ligatures w14:val="none"/>
        </w:rPr>
      </w:pPr>
    </w:p>
    <w:p w14:paraId="28DC9AA1" w14:textId="77777777" w:rsidR="00AD62CD" w:rsidRPr="00AD62CD" w:rsidRDefault="00AD62CD" w:rsidP="00AD62CD">
      <w:pPr>
        <w:spacing w:after="0" w:line="240" w:lineRule="auto"/>
        <w:ind w:firstLine="708"/>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Akú problematiku návrh rieši? Kto bude návrh implementovať? Kde sa budú služby poskytovať?</w:t>
      </w:r>
    </w:p>
    <w:p w14:paraId="3224E31D"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p>
    <w:p w14:paraId="4C299418"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S účinnosťou od 1.1.2026 sa navrhuje Zmena sadzby odvodu z výťažku z hazardných hier pre kurzové stávky a internetové kasína z 27 % na 30 %. Spolu s tým aj dochádza k zmene paušálnych sadzieb hier v herniach a kasínach na úroveň 21 % z výťažku (v roku 2024), čo si vyžaduje nasledovné úpravy paušálnych sadzieb dane do ŠR:</w:t>
      </w:r>
    </w:p>
    <w:p w14:paraId="72233E46"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p>
    <w:tbl>
      <w:tblPr>
        <w:tblW w:w="6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195"/>
        <w:gridCol w:w="1191"/>
        <w:gridCol w:w="1134"/>
      </w:tblGrid>
      <w:tr w:rsidR="00AD62CD" w:rsidRPr="00AD62CD" w14:paraId="14647358" w14:textId="77777777" w:rsidTr="00AD62CD">
        <w:trPr>
          <w:trHeight w:val="567"/>
          <w:jc w:val="center"/>
        </w:trPr>
        <w:tc>
          <w:tcPr>
            <w:tcW w:w="4195" w:type="dxa"/>
            <w:shd w:val="clear" w:color="auto" w:fill="BFBFBF"/>
            <w:tcMar>
              <w:top w:w="72" w:type="dxa"/>
              <w:left w:w="144" w:type="dxa"/>
              <w:bottom w:w="72" w:type="dxa"/>
              <w:right w:w="144" w:type="dxa"/>
            </w:tcMar>
            <w:vAlign w:val="center"/>
            <w:hideMark/>
          </w:tcPr>
          <w:p w14:paraId="4D18F04D" w14:textId="77777777" w:rsidR="00AD62CD" w:rsidRPr="00AD62CD" w:rsidRDefault="00AD62CD" w:rsidP="00AD62CD">
            <w:pPr>
              <w:spacing w:after="0" w:line="276" w:lineRule="auto"/>
              <w:jc w:val="both"/>
              <w:rPr>
                <w:rFonts w:ascii="Times New Roman" w:eastAsia="Calibri" w:hAnsi="Times New Roman" w:cs="Times New Roman"/>
                <w:kern w:val="0"/>
                <w:sz w:val="22"/>
                <w:szCs w:val="22"/>
                <w14:ligatures w14:val="none"/>
              </w:rPr>
            </w:pPr>
            <w:r w:rsidRPr="00AD62CD">
              <w:rPr>
                <w:rFonts w:ascii="Times New Roman" w:eastAsia="Calibri" w:hAnsi="Times New Roman" w:cs="Times New Roman"/>
                <w:b/>
                <w:bCs/>
                <w:kern w:val="0"/>
                <w:sz w:val="22"/>
                <w:szCs w:val="22"/>
                <w14:ligatures w14:val="none"/>
              </w:rPr>
              <w:t>Úprava sadzieb paušálnych odvodov do ŠR</w:t>
            </w:r>
          </w:p>
        </w:tc>
        <w:tc>
          <w:tcPr>
            <w:tcW w:w="1191" w:type="dxa"/>
            <w:shd w:val="clear" w:color="auto" w:fill="BFBFBF"/>
            <w:tcMar>
              <w:top w:w="72" w:type="dxa"/>
              <w:left w:w="144" w:type="dxa"/>
              <w:bottom w:w="72" w:type="dxa"/>
              <w:right w:w="144" w:type="dxa"/>
            </w:tcMar>
            <w:vAlign w:val="center"/>
            <w:hideMark/>
          </w:tcPr>
          <w:p w14:paraId="50C790F7"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b/>
                <w:bCs/>
                <w:kern w:val="0"/>
                <w:sz w:val="22"/>
                <w:szCs w:val="22"/>
                <w14:ligatures w14:val="none"/>
              </w:rPr>
              <w:t>Súčasný paušál (€)</w:t>
            </w:r>
          </w:p>
        </w:tc>
        <w:tc>
          <w:tcPr>
            <w:tcW w:w="1134" w:type="dxa"/>
            <w:shd w:val="clear" w:color="auto" w:fill="BFBFBF"/>
            <w:tcMar>
              <w:top w:w="72" w:type="dxa"/>
              <w:left w:w="144" w:type="dxa"/>
              <w:bottom w:w="72" w:type="dxa"/>
              <w:right w:w="144" w:type="dxa"/>
            </w:tcMar>
            <w:vAlign w:val="center"/>
            <w:hideMark/>
          </w:tcPr>
          <w:p w14:paraId="13112927"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b/>
                <w:bCs/>
                <w:kern w:val="0"/>
                <w:sz w:val="22"/>
                <w:szCs w:val="22"/>
                <w14:ligatures w14:val="none"/>
              </w:rPr>
              <w:t>Nový paušál (€)</w:t>
            </w:r>
          </w:p>
        </w:tc>
      </w:tr>
      <w:tr w:rsidR="00AD62CD" w:rsidRPr="00AD62CD" w14:paraId="7D67D18E" w14:textId="77777777" w:rsidTr="003627DF">
        <w:trPr>
          <w:trHeight w:val="340"/>
          <w:jc w:val="center"/>
        </w:trPr>
        <w:tc>
          <w:tcPr>
            <w:tcW w:w="4195" w:type="dxa"/>
            <w:shd w:val="clear" w:color="auto" w:fill="auto"/>
            <w:tcMar>
              <w:top w:w="72" w:type="dxa"/>
              <w:left w:w="144" w:type="dxa"/>
              <w:bottom w:w="72" w:type="dxa"/>
              <w:right w:w="144" w:type="dxa"/>
            </w:tcMar>
            <w:vAlign w:val="center"/>
            <w:hideMark/>
          </w:tcPr>
          <w:p w14:paraId="6CA9B6F5" w14:textId="77777777" w:rsidR="00AD62CD" w:rsidRPr="00AD62CD" w:rsidRDefault="00AD62CD" w:rsidP="00AD62CD">
            <w:pPr>
              <w:spacing w:after="0" w:line="276" w:lineRule="auto"/>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Výherné prístroje (v kasínach)</w:t>
            </w:r>
          </w:p>
        </w:tc>
        <w:tc>
          <w:tcPr>
            <w:tcW w:w="1191" w:type="dxa"/>
            <w:shd w:val="clear" w:color="auto" w:fill="auto"/>
            <w:tcMar>
              <w:top w:w="72" w:type="dxa"/>
              <w:left w:w="144" w:type="dxa"/>
              <w:bottom w:w="72" w:type="dxa"/>
              <w:right w:w="144" w:type="dxa"/>
            </w:tcMar>
            <w:vAlign w:val="center"/>
            <w:hideMark/>
          </w:tcPr>
          <w:p w14:paraId="45DCB37D"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4 000</w:t>
            </w:r>
          </w:p>
        </w:tc>
        <w:tc>
          <w:tcPr>
            <w:tcW w:w="1134" w:type="dxa"/>
            <w:shd w:val="clear" w:color="auto" w:fill="auto"/>
            <w:tcMar>
              <w:top w:w="72" w:type="dxa"/>
              <w:left w:w="144" w:type="dxa"/>
              <w:bottom w:w="72" w:type="dxa"/>
              <w:right w:w="144" w:type="dxa"/>
            </w:tcMar>
            <w:vAlign w:val="center"/>
            <w:hideMark/>
          </w:tcPr>
          <w:p w14:paraId="3EDE9E33"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9 300</w:t>
            </w:r>
          </w:p>
        </w:tc>
      </w:tr>
      <w:tr w:rsidR="00AD62CD" w:rsidRPr="00AD62CD" w14:paraId="485AD1B6" w14:textId="77777777" w:rsidTr="003627DF">
        <w:trPr>
          <w:trHeight w:val="340"/>
          <w:jc w:val="center"/>
        </w:trPr>
        <w:tc>
          <w:tcPr>
            <w:tcW w:w="4195" w:type="dxa"/>
            <w:shd w:val="clear" w:color="auto" w:fill="auto"/>
            <w:tcMar>
              <w:top w:w="72" w:type="dxa"/>
              <w:left w:w="144" w:type="dxa"/>
              <w:bottom w:w="72" w:type="dxa"/>
              <w:right w:w="144" w:type="dxa"/>
            </w:tcMar>
            <w:vAlign w:val="center"/>
            <w:hideMark/>
          </w:tcPr>
          <w:p w14:paraId="12DF3C49" w14:textId="77777777" w:rsidR="00AD62CD" w:rsidRPr="00AD62CD" w:rsidRDefault="00AD62CD" w:rsidP="00AD62CD">
            <w:pPr>
              <w:spacing w:after="0" w:line="276" w:lineRule="auto"/>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Videohry (v kasínach a herniach)</w:t>
            </w:r>
          </w:p>
        </w:tc>
        <w:tc>
          <w:tcPr>
            <w:tcW w:w="1191" w:type="dxa"/>
            <w:shd w:val="clear" w:color="auto" w:fill="auto"/>
            <w:tcMar>
              <w:top w:w="72" w:type="dxa"/>
              <w:left w:w="144" w:type="dxa"/>
              <w:bottom w:w="72" w:type="dxa"/>
              <w:right w:w="144" w:type="dxa"/>
            </w:tcMar>
            <w:vAlign w:val="center"/>
            <w:hideMark/>
          </w:tcPr>
          <w:p w14:paraId="19186E33"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4 700</w:t>
            </w:r>
          </w:p>
        </w:tc>
        <w:tc>
          <w:tcPr>
            <w:tcW w:w="1134" w:type="dxa"/>
            <w:shd w:val="clear" w:color="auto" w:fill="auto"/>
            <w:tcMar>
              <w:top w:w="72" w:type="dxa"/>
              <w:left w:w="144" w:type="dxa"/>
              <w:bottom w:w="72" w:type="dxa"/>
              <w:right w:w="144" w:type="dxa"/>
            </w:tcMar>
            <w:vAlign w:val="center"/>
            <w:hideMark/>
          </w:tcPr>
          <w:p w14:paraId="59485E69"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6 000</w:t>
            </w:r>
          </w:p>
        </w:tc>
      </w:tr>
      <w:tr w:rsidR="00AD62CD" w:rsidRPr="00AD62CD" w14:paraId="53BE2471" w14:textId="77777777" w:rsidTr="003627DF">
        <w:trPr>
          <w:trHeight w:val="340"/>
          <w:jc w:val="center"/>
        </w:trPr>
        <w:tc>
          <w:tcPr>
            <w:tcW w:w="4195" w:type="dxa"/>
            <w:shd w:val="clear" w:color="auto" w:fill="auto"/>
            <w:tcMar>
              <w:top w:w="72" w:type="dxa"/>
              <w:left w:w="144" w:type="dxa"/>
              <w:bottom w:w="72" w:type="dxa"/>
              <w:right w:w="144" w:type="dxa"/>
            </w:tcMar>
            <w:vAlign w:val="center"/>
            <w:hideMark/>
          </w:tcPr>
          <w:p w14:paraId="5F2C1EB6" w14:textId="77777777" w:rsidR="00AD62CD" w:rsidRPr="00AD62CD" w:rsidRDefault="00AD62CD" w:rsidP="00AD62CD">
            <w:pPr>
              <w:spacing w:after="0" w:line="276" w:lineRule="auto"/>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Rulety (herne)</w:t>
            </w:r>
          </w:p>
        </w:tc>
        <w:tc>
          <w:tcPr>
            <w:tcW w:w="1191" w:type="dxa"/>
            <w:shd w:val="clear" w:color="auto" w:fill="auto"/>
            <w:tcMar>
              <w:top w:w="72" w:type="dxa"/>
              <w:left w:w="144" w:type="dxa"/>
              <w:bottom w:w="72" w:type="dxa"/>
              <w:right w:w="144" w:type="dxa"/>
            </w:tcMar>
            <w:vAlign w:val="center"/>
            <w:hideMark/>
          </w:tcPr>
          <w:p w14:paraId="3AA32607"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4 000</w:t>
            </w:r>
          </w:p>
        </w:tc>
        <w:tc>
          <w:tcPr>
            <w:tcW w:w="1134" w:type="dxa"/>
            <w:shd w:val="clear" w:color="auto" w:fill="auto"/>
            <w:tcMar>
              <w:top w:w="72" w:type="dxa"/>
              <w:left w:w="144" w:type="dxa"/>
              <w:bottom w:w="72" w:type="dxa"/>
              <w:right w:w="144" w:type="dxa"/>
            </w:tcMar>
            <w:vAlign w:val="center"/>
            <w:hideMark/>
          </w:tcPr>
          <w:p w14:paraId="1FF6A254"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4 700</w:t>
            </w:r>
          </w:p>
        </w:tc>
      </w:tr>
    </w:tbl>
    <w:p w14:paraId="4088D82B"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p>
    <w:p w14:paraId="5CD9D0A5"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p>
    <w:p w14:paraId="2B2640C7"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2.2.2. Charakteristika návrhu:</w:t>
      </w:r>
    </w:p>
    <w:p w14:paraId="758FEF4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2DDB609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kern w:val="0"/>
          <w:bdr w:val="single" w:sz="4" w:space="0" w:color="auto"/>
          <w:lang w:eastAsia="sk-SK"/>
          <w14:ligatures w14:val="none"/>
        </w:rPr>
        <w:t xml:space="preserve">  x  </w:t>
      </w:r>
      <w:r w:rsidRPr="00AD62CD">
        <w:rPr>
          <w:rFonts w:ascii="Times New Roman" w:eastAsia="Times New Roman" w:hAnsi="Times New Roman" w:cs="Times New Roman"/>
          <w:b/>
          <w:kern w:val="0"/>
          <w:lang w:eastAsia="sk-SK"/>
          <w14:ligatures w14:val="none"/>
        </w:rPr>
        <w:t xml:space="preserve">  </w:t>
      </w:r>
      <w:r w:rsidRPr="00AD62CD">
        <w:rPr>
          <w:rFonts w:ascii="Times New Roman" w:eastAsia="Times New Roman" w:hAnsi="Times New Roman" w:cs="Times New Roman"/>
          <w:kern w:val="0"/>
          <w:lang w:eastAsia="sk-SK"/>
          <w14:ligatures w14:val="none"/>
        </w:rPr>
        <w:t>zmena sadzby</w:t>
      </w:r>
    </w:p>
    <w:p w14:paraId="54156CF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zmena v nároku</w:t>
      </w:r>
    </w:p>
    <w:p w14:paraId="550290C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nová služba alebo nariadenie (alebo ich zrušenie)</w:t>
      </w:r>
    </w:p>
    <w:p w14:paraId="5E7919F4"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kombinovaný návrh</w:t>
      </w:r>
    </w:p>
    <w:p w14:paraId="66E5828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iné </w:t>
      </w:r>
    </w:p>
    <w:p w14:paraId="0DCE3E0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3C2F68F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01DAA952"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3C9E5D3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bCs/>
          <w:kern w:val="0"/>
          <w:lang w:eastAsia="sk-SK"/>
          <w14:ligatures w14:val="none"/>
        </w:rPr>
        <w:t>2.2.3. Predpoklady vývoja objemu aktivít:</w:t>
      </w:r>
    </w:p>
    <w:p w14:paraId="226C050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250A4898" w14:textId="77777777" w:rsidR="00AD62CD" w:rsidRPr="00AD62CD" w:rsidRDefault="00AD62CD" w:rsidP="00AD62CD">
      <w:pPr>
        <w:spacing w:after="0" w:line="240" w:lineRule="auto"/>
        <w:ind w:firstLine="708"/>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Jasne popíšte, v prípade potreby použite nižšie uvedenú tabuľku. Uveďte aj odhady základov daní a/alebo poplatkov, ak sa ich táto zmena týka.</w:t>
      </w:r>
    </w:p>
    <w:p w14:paraId="168FC1A5"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Tabuľka č. 2 </w:t>
      </w:r>
    </w:p>
    <w:p w14:paraId="240482E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5C1F8979"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2.2.4. Výpočty vplyvov na verejné financie</w:t>
      </w:r>
    </w:p>
    <w:p w14:paraId="40E9DCD2"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66C93369"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xml:space="preserve">Pri opatreniach uvádzame statický odhad vplyvu zvýšenia sadzby. </w:t>
      </w:r>
    </w:p>
    <w:p w14:paraId="4FC63C27" w14:textId="77777777" w:rsidR="00AD62CD" w:rsidRPr="00AD62CD" w:rsidRDefault="00AD62CD" w:rsidP="00AD62CD">
      <w:pPr>
        <w:numPr>
          <w:ilvl w:val="0"/>
          <w:numId w:val="14"/>
        </w:numPr>
        <w:spacing w:after="0" w:line="240" w:lineRule="auto"/>
        <w:contextualSpacing/>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V prípade online hazardu roku 2023 došlo k zvýšeniu sadzby z 22 % na 27 %. Neprišlo k predpokladanému spomaleniu rastu pri týchto typoch hier (naopak, rast bol rýchlejší ako očakávania bez zmeny sadzby)</w:t>
      </w:r>
    </w:p>
    <w:p w14:paraId="02FE8B6C" w14:textId="77777777" w:rsidR="00AD62CD" w:rsidRPr="00AD62CD" w:rsidRDefault="00AD62CD" w:rsidP="00AD62CD">
      <w:pPr>
        <w:numPr>
          <w:ilvl w:val="0"/>
          <w:numId w:val="14"/>
        </w:numPr>
        <w:spacing w:after="0" w:line="240" w:lineRule="auto"/>
        <w:contextualSpacing/>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xml:space="preserve">Naopak pri kvantifikácii statického vplyvu pre herne a kasína predpokladáme zachovanie súčasného počtu terminálov, pričom zvýšenie sadzby môže trend poklesu tohto trhu urýchliť, resp. viesť k poklesu ziskovosti. </w:t>
      </w:r>
    </w:p>
    <w:p w14:paraId="7A376D3F"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p>
    <w:p w14:paraId="3B6700E0"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lang w:eastAsia="sk-SK"/>
          <w14:ligatures w14:val="none"/>
        </w:rPr>
      </w:pPr>
    </w:p>
    <w:p w14:paraId="79996D02"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lang w:eastAsia="sk-SK"/>
          <w14:ligatures w14:val="none"/>
        </w:rPr>
      </w:pPr>
    </w:p>
    <w:p w14:paraId="0DF7EB8D"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lang w:eastAsia="sk-SK"/>
          <w14:ligatures w14:val="none"/>
        </w:rPr>
      </w:pPr>
    </w:p>
    <w:p w14:paraId="7B144394"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Cs w:val="20"/>
          <w:lang w:eastAsia="sk-SK"/>
          <w14:ligatures w14:val="none"/>
        </w:rPr>
      </w:pPr>
    </w:p>
    <w:p w14:paraId="53719048"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Cs w:val="20"/>
          <w:lang w:eastAsia="sk-SK"/>
          <w14:ligatures w14:val="none"/>
        </w:rPr>
        <w:sectPr w:rsidR="00AD62CD" w:rsidRPr="00AD62CD" w:rsidSect="0099636A">
          <w:headerReference w:type="even" r:id="rId23"/>
          <w:headerReference w:type="default" r:id="rId24"/>
          <w:footerReference w:type="even" r:id="rId25"/>
          <w:headerReference w:type="first" r:id="rId26"/>
          <w:footerReference w:type="first" r:id="rId27"/>
          <w:pgSz w:w="11906" w:h="16838"/>
          <w:pgMar w:top="1417" w:right="1417" w:bottom="1276" w:left="1417" w:header="708" w:footer="708" w:gutter="0"/>
          <w:cols w:space="708"/>
          <w:docGrid w:linePitch="360"/>
        </w:sectPr>
      </w:pPr>
    </w:p>
    <w:p w14:paraId="46B8FC63" w14:textId="77777777" w:rsidR="00AD62CD" w:rsidRPr="00AD62CD" w:rsidRDefault="00AD62CD" w:rsidP="00AD62CD">
      <w:pPr>
        <w:tabs>
          <w:tab w:val="num" w:pos="1080"/>
        </w:tabs>
        <w:spacing w:after="0" w:line="240" w:lineRule="auto"/>
        <w:jc w:val="center"/>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D62CD" w:rsidRPr="00AD62CD" w14:paraId="153D5436" w14:textId="77777777" w:rsidTr="00AD62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1B740D3"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2E3EB6D8"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 na štátny rozpočet</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6F94E4B"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poznámka</w:t>
            </w:r>
          </w:p>
        </w:tc>
      </w:tr>
      <w:tr w:rsidR="00AD62CD" w:rsidRPr="00AD62CD" w14:paraId="4BF07F1C" w14:textId="77777777" w:rsidTr="00AD62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6CD46199"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c>
          <w:tcPr>
            <w:tcW w:w="1500" w:type="dxa"/>
            <w:tcBorders>
              <w:top w:val="nil"/>
              <w:left w:val="nil"/>
              <w:bottom w:val="single" w:sz="4" w:space="0" w:color="auto"/>
              <w:right w:val="single" w:sz="4" w:space="0" w:color="auto"/>
            </w:tcBorders>
            <w:shd w:val="clear" w:color="auto" w:fill="BFBFBF"/>
          </w:tcPr>
          <w:p w14:paraId="2AB11D73"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2025</w:t>
            </w:r>
          </w:p>
        </w:tc>
        <w:tc>
          <w:tcPr>
            <w:tcW w:w="1500" w:type="dxa"/>
            <w:tcBorders>
              <w:top w:val="nil"/>
              <w:left w:val="nil"/>
              <w:bottom w:val="single" w:sz="4" w:space="0" w:color="auto"/>
              <w:right w:val="single" w:sz="4" w:space="0" w:color="auto"/>
            </w:tcBorders>
            <w:shd w:val="clear" w:color="auto" w:fill="BFBFBF"/>
          </w:tcPr>
          <w:p w14:paraId="67C389C9"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2026</w:t>
            </w:r>
          </w:p>
        </w:tc>
        <w:tc>
          <w:tcPr>
            <w:tcW w:w="1500" w:type="dxa"/>
            <w:tcBorders>
              <w:top w:val="nil"/>
              <w:left w:val="nil"/>
              <w:bottom w:val="single" w:sz="4" w:space="0" w:color="auto"/>
              <w:right w:val="single" w:sz="4" w:space="0" w:color="auto"/>
            </w:tcBorders>
            <w:shd w:val="clear" w:color="auto" w:fill="BFBFBF"/>
          </w:tcPr>
          <w:p w14:paraId="5389C906"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2027</w:t>
            </w:r>
          </w:p>
        </w:tc>
        <w:tc>
          <w:tcPr>
            <w:tcW w:w="1500" w:type="dxa"/>
            <w:tcBorders>
              <w:top w:val="nil"/>
              <w:left w:val="nil"/>
              <w:bottom w:val="single" w:sz="4" w:space="0" w:color="auto"/>
              <w:right w:val="single" w:sz="4" w:space="0" w:color="auto"/>
            </w:tcBorders>
            <w:shd w:val="clear" w:color="auto" w:fill="BFBFBF"/>
          </w:tcPr>
          <w:p w14:paraId="67F1BF5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4045AC51"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2EDCCBFD" w14:textId="77777777" w:rsidTr="003627DF">
        <w:trPr>
          <w:trHeight w:val="255"/>
        </w:trPr>
        <w:tc>
          <w:tcPr>
            <w:tcW w:w="4950" w:type="dxa"/>
            <w:tcBorders>
              <w:top w:val="nil"/>
              <w:left w:val="single" w:sz="4" w:space="0" w:color="auto"/>
              <w:bottom w:val="single" w:sz="4" w:space="0" w:color="auto"/>
              <w:right w:val="single" w:sz="4" w:space="0" w:color="auto"/>
            </w:tcBorders>
          </w:tcPr>
          <w:p w14:paraId="64492D49" w14:textId="77777777" w:rsidR="00AD62CD" w:rsidRPr="00AD62CD" w:rsidRDefault="00AD62CD" w:rsidP="00AD62CD">
            <w:pPr>
              <w:spacing w:after="0" w:line="240" w:lineRule="auto"/>
              <w:rPr>
                <w:rFonts w:ascii="Times New Roman" w:eastAsia="Times New Roman" w:hAnsi="Times New Roman" w:cs="Times New Roman"/>
                <w:b/>
                <w:bCs/>
                <w:kern w:val="0"/>
                <w:vertAlign w:val="superscript"/>
                <w:lang w:eastAsia="sk-SK"/>
                <w14:ligatures w14:val="none"/>
              </w:rPr>
            </w:pPr>
            <w:r w:rsidRPr="00AD62CD">
              <w:rPr>
                <w:rFonts w:ascii="Times New Roman" w:eastAsia="Times New Roman" w:hAnsi="Times New Roman" w:cs="Times New Roman"/>
                <w:b/>
                <w:bCs/>
                <w:kern w:val="0"/>
                <w:lang w:eastAsia="sk-SK"/>
                <w14:ligatures w14:val="none"/>
              </w:rPr>
              <w:t>Daňové príjmy (100)</w:t>
            </w:r>
            <w:r w:rsidRPr="00AD62CD">
              <w:rPr>
                <w:rFonts w:ascii="Times New Roman" w:eastAsia="Times New Roman" w:hAnsi="Times New Roman" w:cs="Times New Roman"/>
                <w:b/>
                <w:bCs/>
                <w:kern w:val="0"/>
                <w:vertAlign w:val="superscript"/>
                <w:lang w:eastAsia="sk-SK"/>
                <w14:ligatures w14:val="none"/>
              </w:rPr>
              <w:t>1</w:t>
            </w:r>
          </w:p>
        </w:tc>
        <w:tc>
          <w:tcPr>
            <w:tcW w:w="1500" w:type="dxa"/>
            <w:tcBorders>
              <w:top w:val="nil"/>
              <w:left w:val="nil"/>
              <w:bottom w:val="single" w:sz="4" w:space="0" w:color="auto"/>
              <w:right w:val="single" w:sz="4" w:space="0" w:color="auto"/>
            </w:tcBorders>
          </w:tcPr>
          <w:p w14:paraId="665B3ABC"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500" w:type="dxa"/>
            <w:tcBorders>
              <w:top w:val="nil"/>
              <w:left w:val="nil"/>
              <w:bottom w:val="single" w:sz="4" w:space="0" w:color="auto"/>
              <w:right w:val="single" w:sz="4" w:space="0" w:color="auto"/>
            </w:tcBorders>
            <w:vAlign w:val="center"/>
          </w:tcPr>
          <w:p w14:paraId="54E929BE"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kern w:val="0"/>
                <w:sz w:val="22"/>
                <w:szCs w:val="22"/>
                <w14:ligatures w14:val="none"/>
              </w:rPr>
              <w:t>-11 002 000</w:t>
            </w:r>
          </w:p>
        </w:tc>
        <w:tc>
          <w:tcPr>
            <w:tcW w:w="1500" w:type="dxa"/>
            <w:tcBorders>
              <w:top w:val="nil"/>
              <w:left w:val="nil"/>
              <w:bottom w:val="single" w:sz="4" w:space="0" w:color="auto"/>
              <w:right w:val="single" w:sz="4" w:space="0" w:color="auto"/>
            </w:tcBorders>
            <w:vAlign w:val="center"/>
          </w:tcPr>
          <w:p w14:paraId="0FF34A00"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kern w:val="0"/>
                <w:sz w:val="22"/>
                <w:szCs w:val="22"/>
                <w14:ligatures w14:val="none"/>
              </w:rPr>
              <w:t>-11 783 000</w:t>
            </w:r>
          </w:p>
        </w:tc>
        <w:tc>
          <w:tcPr>
            <w:tcW w:w="1500" w:type="dxa"/>
            <w:tcBorders>
              <w:top w:val="nil"/>
              <w:left w:val="nil"/>
              <w:bottom w:val="single" w:sz="4" w:space="0" w:color="auto"/>
              <w:right w:val="single" w:sz="4" w:space="0" w:color="auto"/>
            </w:tcBorders>
            <w:vAlign w:val="center"/>
          </w:tcPr>
          <w:p w14:paraId="036A8BAA"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kern w:val="0"/>
                <w:sz w:val="22"/>
                <w:szCs w:val="22"/>
                <w14:ligatures w14:val="none"/>
              </w:rPr>
              <w:t>-12 563 000</w:t>
            </w:r>
          </w:p>
        </w:tc>
        <w:tc>
          <w:tcPr>
            <w:tcW w:w="3000" w:type="dxa"/>
            <w:tcBorders>
              <w:top w:val="nil"/>
              <w:left w:val="nil"/>
              <w:bottom w:val="single" w:sz="4" w:space="0" w:color="auto"/>
              <w:right w:val="single" w:sz="4" w:space="0" w:color="auto"/>
            </w:tcBorders>
            <w:noWrap/>
            <w:vAlign w:val="bottom"/>
          </w:tcPr>
          <w:p w14:paraId="297CABE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7A30FED6" w14:textId="77777777" w:rsidTr="003627DF">
        <w:trPr>
          <w:trHeight w:val="255"/>
        </w:trPr>
        <w:tc>
          <w:tcPr>
            <w:tcW w:w="4950" w:type="dxa"/>
            <w:tcBorders>
              <w:top w:val="nil"/>
              <w:left w:val="single" w:sz="4" w:space="0" w:color="auto"/>
              <w:bottom w:val="single" w:sz="4" w:space="0" w:color="auto"/>
              <w:right w:val="single" w:sz="4" w:space="0" w:color="auto"/>
            </w:tcBorders>
          </w:tcPr>
          <w:p w14:paraId="678A6C6B"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Cs/>
                <w:i/>
                <w:iCs/>
                <w:kern w:val="0"/>
                <w:lang w:eastAsia="sk-SK"/>
                <w14:ligatures w14:val="none"/>
              </w:rPr>
              <w:t xml:space="preserve">v tom: (112003) daň z príjmov právnických osôb </w:t>
            </w:r>
          </w:p>
        </w:tc>
        <w:tc>
          <w:tcPr>
            <w:tcW w:w="1500" w:type="dxa"/>
            <w:tcBorders>
              <w:top w:val="nil"/>
              <w:left w:val="nil"/>
              <w:bottom w:val="single" w:sz="4" w:space="0" w:color="auto"/>
              <w:right w:val="single" w:sz="4" w:space="0" w:color="auto"/>
            </w:tcBorders>
          </w:tcPr>
          <w:p w14:paraId="446E37F6"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Cs/>
                <w:kern w:val="0"/>
                <w:lang w:eastAsia="sk-SK"/>
                <w14:ligatures w14:val="none"/>
              </w:rPr>
              <w:t>0</w:t>
            </w:r>
          </w:p>
        </w:tc>
        <w:tc>
          <w:tcPr>
            <w:tcW w:w="1500" w:type="dxa"/>
            <w:tcBorders>
              <w:top w:val="nil"/>
              <w:left w:val="nil"/>
              <w:bottom w:val="single" w:sz="4" w:space="0" w:color="auto"/>
              <w:right w:val="single" w:sz="4" w:space="0" w:color="auto"/>
            </w:tcBorders>
            <w:vAlign w:val="center"/>
          </w:tcPr>
          <w:p w14:paraId="5365B23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i/>
                <w:iCs/>
                <w:kern w:val="0"/>
                <w:sz w:val="22"/>
                <w:szCs w:val="22"/>
                <w14:ligatures w14:val="none"/>
              </w:rPr>
              <w:t>-11 002 000</w:t>
            </w:r>
          </w:p>
        </w:tc>
        <w:tc>
          <w:tcPr>
            <w:tcW w:w="1500" w:type="dxa"/>
            <w:tcBorders>
              <w:top w:val="nil"/>
              <w:left w:val="nil"/>
              <w:bottom w:val="single" w:sz="4" w:space="0" w:color="auto"/>
              <w:right w:val="single" w:sz="4" w:space="0" w:color="auto"/>
            </w:tcBorders>
            <w:vAlign w:val="center"/>
          </w:tcPr>
          <w:p w14:paraId="7F726CEC"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i/>
                <w:iCs/>
                <w:kern w:val="0"/>
                <w:sz w:val="22"/>
                <w:szCs w:val="22"/>
                <w14:ligatures w14:val="none"/>
              </w:rPr>
              <w:t>-11 783 000</w:t>
            </w:r>
          </w:p>
        </w:tc>
        <w:tc>
          <w:tcPr>
            <w:tcW w:w="1500" w:type="dxa"/>
            <w:tcBorders>
              <w:top w:val="nil"/>
              <w:left w:val="nil"/>
              <w:bottom w:val="single" w:sz="4" w:space="0" w:color="auto"/>
              <w:right w:val="single" w:sz="4" w:space="0" w:color="auto"/>
            </w:tcBorders>
            <w:vAlign w:val="center"/>
          </w:tcPr>
          <w:p w14:paraId="63C9997C"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i/>
                <w:iCs/>
                <w:kern w:val="0"/>
                <w:sz w:val="22"/>
                <w:szCs w:val="22"/>
                <w14:ligatures w14:val="none"/>
              </w:rPr>
              <w:t>-12 563 000</w:t>
            </w:r>
          </w:p>
        </w:tc>
        <w:tc>
          <w:tcPr>
            <w:tcW w:w="3000" w:type="dxa"/>
            <w:tcBorders>
              <w:top w:val="nil"/>
              <w:left w:val="nil"/>
              <w:bottom w:val="single" w:sz="4" w:space="0" w:color="auto"/>
              <w:right w:val="single" w:sz="4" w:space="0" w:color="auto"/>
            </w:tcBorders>
            <w:noWrap/>
            <w:vAlign w:val="bottom"/>
          </w:tcPr>
          <w:p w14:paraId="48121EB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25E15CB8" w14:textId="77777777" w:rsidTr="003627DF">
        <w:trPr>
          <w:trHeight w:val="255"/>
        </w:trPr>
        <w:tc>
          <w:tcPr>
            <w:tcW w:w="4950" w:type="dxa"/>
            <w:tcBorders>
              <w:top w:val="nil"/>
              <w:left w:val="single" w:sz="4" w:space="0" w:color="auto"/>
              <w:bottom w:val="single" w:sz="4" w:space="0" w:color="auto"/>
              <w:right w:val="single" w:sz="4" w:space="0" w:color="auto"/>
            </w:tcBorders>
          </w:tcPr>
          <w:p w14:paraId="44AD45F6"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Nedaňové príjmy (200)</w:t>
            </w:r>
            <w:r w:rsidRPr="00AD62CD">
              <w:rPr>
                <w:rFonts w:ascii="Times New Roman" w:eastAsia="Times New Roman" w:hAnsi="Times New Roman" w:cs="Times New Roman"/>
                <w:b/>
                <w:bCs/>
                <w:kern w:val="0"/>
                <w:vertAlign w:val="superscript"/>
                <w:lang w:eastAsia="sk-SK"/>
                <w14:ligatures w14:val="none"/>
              </w:rPr>
              <w:t>1</w:t>
            </w:r>
          </w:p>
        </w:tc>
        <w:tc>
          <w:tcPr>
            <w:tcW w:w="1500" w:type="dxa"/>
            <w:tcBorders>
              <w:top w:val="nil"/>
              <w:left w:val="nil"/>
              <w:bottom w:val="single" w:sz="4" w:space="0" w:color="auto"/>
              <w:right w:val="single" w:sz="4" w:space="0" w:color="auto"/>
            </w:tcBorders>
          </w:tcPr>
          <w:p w14:paraId="4661CFB3"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3169DDFF"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45763C8E"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63FDE0E9"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3000" w:type="dxa"/>
            <w:tcBorders>
              <w:top w:val="nil"/>
              <w:left w:val="nil"/>
              <w:bottom w:val="single" w:sz="4" w:space="0" w:color="auto"/>
              <w:right w:val="single" w:sz="4" w:space="0" w:color="auto"/>
            </w:tcBorders>
            <w:noWrap/>
            <w:vAlign w:val="bottom"/>
          </w:tcPr>
          <w:p w14:paraId="1DAA35D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6C209781" w14:textId="77777777" w:rsidTr="003627DF">
        <w:trPr>
          <w:trHeight w:val="255"/>
        </w:trPr>
        <w:tc>
          <w:tcPr>
            <w:tcW w:w="4950" w:type="dxa"/>
            <w:tcBorders>
              <w:top w:val="nil"/>
              <w:left w:val="single" w:sz="4" w:space="0" w:color="auto"/>
              <w:bottom w:val="single" w:sz="4" w:space="0" w:color="auto"/>
              <w:right w:val="single" w:sz="4" w:space="0" w:color="auto"/>
            </w:tcBorders>
          </w:tcPr>
          <w:p w14:paraId="51AEB4DE"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xml:space="preserve">290 Iné nedaňové príjmy </w:t>
            </w:r>
          </w:p>
        </w:tc>
        <w:tc>
          <w:tcPr>
            <w:tcW w:w="1500" w:type="dxa"/>
            <w:tcBorders>
              <w:top w:val="nil"/>
              <w:left w:val="nil"/>
              <w:bottom w:val="single" w:sz="4" w:space="0" w:color="auto"/>
              <w:right w:val="single" w:sz="4" w:space="0" w:color="auto"/>
            </w:tcBorders>
          </w:tcPr>
          <w:p w14:paraId="365D8111"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500" w:type="dxa"/>
            <w:tcBorders>
              <w:top w:val="nil"/>
              <w:left w:val="nil"/>
              <w:bottom w:val="single" w:sz="4" w:space="0" w:color="auto"/>
              <w:right w:val="single" w:sz="4" w:space="0" w:color="auto"/>
            </w:tcBorders>
            <w:vAlign w:val="center"/>
          </w:tcPr>
          <w:p w14:paraId="3C2D298A"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kern w:val="0"/>
                <w:sz w:val="22"/>
                <w:szCs w:val="22"/>
                <w14:ligatures w14:val="none"/>
              </w:rPr>
              <w:t>52 298 000</w:t>
            </w:r>
          </w:p>
        </w:tc>
        <w:tc>
          <w:tcPr>
            <w:tcW w:w="1500" w:type="dxa"/>
            <w:tcBorders>
              <w:top w:val="nil"/>
              <w:left w:val="nil"/>
              <w:bottom w:val="single" w:sz="4" w:space="0" w:color="auto"/>
              <w:right w:val="single" w:sz="4" w:space="0" w:color="auto"/>
            </w:tcBorders>
            <w:vAlign w:val="center"/>
          </w:tcPr>
          <w:p w14:paraId="2B9F6E19"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kern w:val="0"/>
                <w:sz w:val="22"/>
                <w:szCs w:val="22"/>
                <w14:ligatures w14:val="none"/>
              </w:rPr>
              <w:t>55 552 000</w:t>
            </w:r>
          </w:p>
        </w:tc>
        <w:tc>
          <w:tcPr>
            <w:tcW w:w="1500" w:type="dxa"/>
            <w:tcBorders>
              <w:top w:val="nil"/>
              <w:left w:val="nil"/>
              <w:bottom w:val="single" w:sz="4" w:space="0" w:color="auto"/>
              <w:right w:val="single" w:sz="4" w:space="0" w:color="auto"/>
            </w:tcBorders>
            <w:vAlign w:val="center"/>
          </w:tcPr>
          <w:p w14:paraId="1E4F7C31"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kern w:val="0"/>
                <w:sz w:val="22"/>
                <w:szCs w:val="22"/>
                <w14:ligatures w14:val="none"/>
              </w:rPr>
              <w:t>58 800 000</w:t>
            </w:r>
          </w:p>
        </w:tc>
        <w:tc>
          <w:tcPr>
            <w:tcW w:w="3000" w:type="dxa"/>
            <w:tcBorders>
              <w:top w:val="nil"/>
              <w:left w:val="nil"/>
              <w:bottom w:val="single" w:sz="4" w:space="0" w:color="auto"/>
              <w:right w:val="single" w:sz="4" w:space="0" w:color="auto"/>
            </w:tcBorders>
            <w:noWrap/>
            <w:vAlign w:val="bottom"/>
          </w:tcPr>
          <w:p w14:paraId="6A5C25BC"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251E14DF" w14:textId="77777777" w:rsidTr="003627DF">
        <w:trPr>
          <w:trHeight w:val="255"/>
        </w:trPr>
        <w:tc>
          <w:tcPr>
            <w:tcW w:w="4950" w:type="dxa"/>
            <w:tcBorders>
              <w:top w:val="nil"/>
              <w:left w:val="single" w:sz="4" w:space="0" w:color="auto"/>
              <w:bottom w:val="single" w:sz="4" w:space="0" w:color="auto"/>
              <w:right w:val="single" w:sz="4" w:space="0" w:color="auto"/>
            </w:tcBorders>
          </w:tcPr>
          <w:p w14:paraId="39611385"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Cs/>
                <w:i/>
                <w:iCs/>
                <w:kern w:val="0"/>
                <w:lang w:eastAsia="sk-SK"/>
                <w14:ligatures w14:val="none"/>
              </w:rPr>
              <w:t xml:space="preserve">v tom: (292008) z odvodov z hazardných hier </w:t>
            </w:r>
          </w:p>
        </w:tc>
        <w:tc>
          <w:tcPr>
            <w:tcW w:w="1500" w:type="dxa"/>
            <w:tcBorders>
              <w:top w:val="nil"/>
              <w:left w:val="nil"/>
              <w:bottom w:val="single" w:sz="4" w:space="0" w:color="auto"/>
              <w:right w:val="single" w:sz="4" w:space="0" w:color="auto"/>
            </w:tcBorders>
          </w:tcPr>
          <w:p w14:paraId="5C369F4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Cs/>
                <w:kern w:val="0"/>
                <w:lang w:eastAsia="sk-SK"/>
                <w14:ligatures w14:val="none"/>
              </w:rPr>
              <w:t>0</w:t>
            </w:r>
          </w:p>
        </w:tc>
        <w:tc>
          <w:tcPr>
            <w:tcW w:w="1500" w:type="dxa"/>
            <w:tcBorders>
              <w:top w:val="nil"/>
              <w:left w:val="nil"/>
              <w:bottom w:val="single" w:sz="4" w:space="0" w:color="auto"/>
              <w:right w:val="single" w:sz="4" w:space="0" w:color="auto"/>
            </w:tcBorders>
            <w:vAlign w:val="center"/>
          </w:tcPr>
          <w:p w14:paraId="3688FE9F"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i/>
                <w:iCs/>
                <w:kern w:val="0"/>
                <w:sz w:val="22"/>
                <w:szCs w:val="22"/>
                <w14:ligatures w14:val="none"/>
              </w:rPr>
              <w:t>52 298 000</w:t>
            </w:r>
          </w:p>
        </w:tc>
        <w:tc>
          <w:tcPr>
            <w:tcW w:w="1500" w:type="dxa"/>
            <w:tcBorders>
              <w:top w:val="nil"/>
              <w:left w:val="nil"/>
              <w:bottom w:val="single" w:sz="4" w:space="0" w:color="auto"/>
              <w:right w:val="single" w:sz="4" w:space="0" w:color="auto"/>
            </w:tcBorders>
            <w:vAlign w:val="center"/>
          </w:tcPr>
          <w:p w14:paraId="409CEA76"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i/>
                <w:iCs/>
                <w:kern w:val="0"/>
                <w:sz w:val="22"/>
                <w:szCs w:val="22"/>
                <w14:ligatures w14:val="none"/>
              </w:rPr>
              <w:t>55 552 000</w:t>
            </w:r>
          </w:p>
        </w:tc>
        <w:tc>
          <w:tcPr>
            <w:tcW w:w="1500" w:type="dxa"/>
            <w:tcBorders>
              <w:top w:val="nil"/>
              <w:left w:val="nil"/>
              <w:bottom w:val="single" w:sz="4" w:space="0" w:color="auto"/>
              <w:right w:val="single" w:sz="4" w:space="0" w:color="auto"/>
            </w:tcBorders>
            <w:vAlign w:val="center"/>
          </w:tcPr>
          <w:p w14:paraId="5EDB7C6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i/>
                <w:iCs/>
                <w:kern w:val="0"/>
                <w:sz w:val="22"/>
                <w:szCs w:val="22"/>
                <w14:ligatures w14:val="none"/>
              </w:rPr>
              <w:t>58 800 000</w:t>
            </w:r>
          </w:p>
        </w:tc>
        <w:tc>
          <w:tcPr>
            <w:tcW w:w="3000" w:type="dxa"/>
            <w:tcBorders>
              <w:top w:val="nil"/>
              <w:left w:val="nil"/>
              <w:bottom w:val="single" w:sz="4" w:space="0" w:color="auto"/>
              <w:right w:val="single" w:sz="4" w:space="0" w:color="auto"/>
            </w:tcBorders>
            <w:noWrap/>
            <w:vAlign w:val="bottom"/>
          </w:tcPr>
          <w:p w14:paraId="25400C2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6335F840" w14:textId="77777777" w:rsidTr="003627DF">
        <w:trPr>
          <w:trHeight w:val="255"/>
        </w:trPr>
        <w:tc>
          <w:tcPr>
            <w:tcW w:w="4950" w:type="dxa"/>
            <w:tcBorders>
              <w:top w:val="nil"/>
              <w:left w:val="single" w:sz="4" w:space="0" w:color="auto"/>
              <w:bottom w:val="single" w:sz="4" w:space="0" w:color="auto"/>
              <w:right w:val="single" w:sz="4" w:space="0" w:color="auto"/>
            </w:tcBorders>
          </w:tcPr>
          <w:p w14:paraId="0E138269"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Granty a transfery (300)</w:t>
            </w:r>
            <w:r w:rsidRPr="00AD62CD">
              <w:rPr>
                <w:rFonts w:ascii="Times New Roman" w:eastAsia="Times New Roman" w:hAnsi="Times New Roman" w:cs="Times New Roman"/>
                <w:b/>
                <w:bCs/>
                <w:kern w:val="0"/>
                <w:vertAlign w:val="superscript"/>
                <w:lang w:eastAsia="sk-SK"/>
                <w14:ligatures w14:val="none"/>
              </w:rPr>
              <w:t>1</w:t>
            </w:r>
          </w:p>
        </w:tc>
        <w:tc>
          <w:tcPr>
            <w:tcW w:w="1500" w:type="dxa"/>
            <w:tcBorders>
              <w:top w:val="nil"/>
              <w:left w:val="nil"/>
              <w:bottom w:val="single" w:sz="4" w:space="0" w:color="auto"/>
              <w:right w:val="single" w:sz="4" w:space="0" w:color="auto"/>
            </w:tcBorders>
          </w:tcPr>
          <w:p w14:paraId="1D7EAFFE"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20325F71"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4784466B"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00" w:type="dxa"/>
            <w:tcBorders>
              <w:top w:val="nil"/>
              <w:left w:val="nil"/>
              <w:bottom w:val="single" w:sz="4" w:space="0" w:color="auto"/>
              <w:right w:val="single" w:sz="4" w:space="0" w:color="auto"/>
            </w:tcBorders>
          </w:tcPr>
          <w:p w14:paraId="388E64F1"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3000" w:type="dxa"/>
            <w:tcBorders>
              <w:top w:val="nil"/>
              <w:left w:val="nil"/>
              <w:bottom w:val="single" w:sz="4" w:space="0" w:color="auto"/>
              <w:right w:val="single" w:sz="4" w:space="0" w:color="auto"/>
            </w:tcBorders>
            <w:noWrap/>
            <w:vAlign w:val="bottom"/>
          </w:tcPr>
          <w:p w14:paraId="49C344D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23AB75E8" w14:textId="77777777" w:rsidTr="003627DF">
        <w:trPr>
          <w:trHeight w:val="255"/>
        </w:trPr>
        <w:tc>
          <w:tcPr>
            <w:tcW w:w="4950" w:type="dxa"/>
            <w:tcBorders>
              <w:top w:val="nil"/>
              <w:left w:val="single" w:sz="4" w:space="0" w:color="auto"/>
              <w:bottom w:val="single" w:sz="4" w:space="0" w:color="auto"/>
              <w:right w:val="single" w:sz="4" w:space="0" w:color="auto"/>
            </w:tcBorders>
          </w:tcPr>
          <w:p w14:paraId="288195E7"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0E6092EA"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29F0E63D"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19BD73BA"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140D5794"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3000" w:type="dxa"/>
            <w:tcBorders>
              <w:top w:val="nil"/>
              <w:left w:val="nil"/>
              <w:bottom w:val="single" w:sz="4" w:space="0" w:color="auto"/>
              <w:right w:val="single" w:sz="4" w:space="0" w:color="auto"/>
            </w:tcBorders>
            <w:noWrap/>
            <w:vAlign w:val="bottom"/>
          </w:tcPr>
          <w:p w14:paraId="5EE5744C"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D95610C" w14:textId="77777777" w:rsidTr="003627DF">
        <w:trPr>
          <w:trHeight w:val="255"/>
        </w:trPr>
        <w:tc>
          <w:tcPr>
            <w:tcW w:w="4950" w:type="dxa"/>
            <w:tcBorders>
              <w:top w:val="nil"/>
              <w:left w:val="single" w:sz="4" w:space="0" w:color="auto"/>
              <w:bottom w:val="single" w:sz="4" w:space="0" w:color="auto"/>
              <w:right w:val="single" w:sz="4" w:space="0" w:color="auto"/>
            </w:tcBorders>
          </w:tcPr>
          <w:p w14:paraId="03D70726"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6B39E351"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26D28234"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74D9CE64"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500" w:type="dxa"/>
            <w:tcBorders>
              <w:top w:val="nil"/>
              <w:left w:val="nil"/>
              <w:bottom w:val="single" w:sz="4" w:space="0" w:color="auto"/>
              <w:right w:val="single" w:sz="4" w:space="0" w:color="auto"/>
            </w:tcBorders>
            <w:shd w:val="clear" w:color="auto" w:fill="auto"/>
          </w:tcPr>
          <w:p w14:paraId="62CFD9CC"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3000" w:type="dxa"/>
            <w:tcBorders>
              <w:top w:val="nil"/>
              <w:left w:val="nil"/>
              <w:bottom w:val="single" w:sz="4" w:space="0" w:color="auto"/>
              <w:right w:val="single" w:sz="4" w:space="0" w:color="auto"/>
            </w:tcBorders>
            <w:noWrap/>
            <w:vAlign w:val="bottom"/>
          </w:tcPr>
          <w:p w14:paraId="5AE3508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22B95B33" w14:textId="77777777" w:rsidTr="00AD62CD">
        <w:trPr>
          <w:trHeight w:val="255"/>
        </w:trPr>
        <w:tc>
          <w:tcPr>
            <w:tcW w:w="4950" w:type="dxa"/>
            <w:tcBorders>
              <w:top w:val="nil"/>
              <w:left w:val="single" w:sz="4" w:space="0" w:color="auto"/>
              <w:bottom w:val="single" w:sz="4" w:space="0" w:color="auto"/>
              <w:right w:val="single" w:sz="4" w:space="0" w:color="auto"/>
            </w:tcBorders>
            <w:shd w:val="clear" w:color="auto" w:fill="BFBFBF"/>
          </w:tcPr>
          <w:p w14:paraId="46B8FBED"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 na príjmy verejnej správy celkom</w:t>
            </w:r>
          </w:p>
        </w:tc>
        <w:tc>
          <w:tcPr>
            <w:tcW w:w="1500" w:type="dxa"/>
            <w:tcBorders>
              <w:top w:val="nil"/>
              <w:left w:val="nil"/>
              <w:bottom w:val="single" w:sz="4" w:space="0" w:color="auto"/>
              <w:right w:val="single" w:sz="4" w:space="0" w:color="auto"/>
            </w:tcBorders>
            <w:shd w:val="clear" w:color="auto" w:fill="BFBFBF"/>
          </w:tcPr>
          <w:p w14:paraId="41A58286"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500" w:type="dxa"/>
            <w:tcBorders>
              <w:top w:val="nil"/>
              <w:left w:val="nil"/>
              <w:bottom w:val="single" w:sz="4" w:space="0" w:color="auto"/>
              <w:right w:val="single" w:sz="4" w:space="0" w:color="auto"/>
            </w:tcBorders>
            <w:shd w:val="clear" w:color="auto" w:fill="BFBFBF"/>
            <w:vAlign w:val="center"/>
          </w:tcPr>
          <w:p w14:paraId="058D16D7"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kern w:val="0"/>
                <w:sz w:val="22"/>
                <w:szCs w:val="22"/>
                <w14:ligatures w14:val="none"/>
              </w:rPr>
              <w:t>41 296 000</w:t>
            </w:r>
          </w:p>
        </w:tc>
        <w:tc>
          <w:tcPr>
            <w:tcW w:w="1500" w:type="dxa"/>
            <w:tcBorders>
              <w:top w:val="nil"/>
              <w:left w:val="nil"/>
              <w:bottom w:val="single" w:sz="4" w:space="0" w:color="auto"/>
              <w:right w:val="single" w:sz="4" w:space="0" w:color="auto"/>
            </w:tcBorders>
            <w:shd w:val="clear" w:color="auto" w:fill="BFBFBF"/>
            <w:vAlign w:val="center"/>
          </w:tcPr>
          <w:p w14:paraId="10B1E683"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kern w:val="0"/>
                <w:sz w:val="22"/>
                <w:szCs w:val="22"/>
                <w14:ligatures w14:val="none"/>
              </w:rPr>
              <w:t>43 769 000</w:t>
            </w:r>
          </w:p>
        </w:tc>
        <w:tc>
          <w:tcPr>
            <w:tcW w:w="1500" w:type="dxa"/>
            <w:tcBorders>
              <w:top w:val="nil"/>
              <w:left w:val="nil"/>
              <w:bottom w:val="single" w:sz="4" w:space="0" w:color="auto"/>
              <w:right w:val="single" w:sz="4" w:space="0" w:color="auto"/>
            </w:tcBorders>
            <w:shd w:val="clear" w:color="auto" w:fill="BFBFBF"/>
            <w:vAlign w:val="center"/>
          </w:tcPr>
          <w:p w14:paraId="13E4F01B"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Calibri" w:hAnsi="Times New Roman" w:cs="Times New Roman"/>
                <w:b/>
                <w:bCs/>
                <w:kern w:val="0"/>
                <w:sz w:val="22"/>
                <w:szCs w:val="22"/>
                <w14:ligatures w14:val="none"/>
              </w:rPr>
              <w:t>46 237 000</w:t>
            </w:r>
          </w:p>
        </w:tc>
        <w:tc>
          <w:tcPr>
            <w:tcW w:w="3000" w:type="dxa"/>
            <w:tcBorders>
              <w:top w:val="nil"/>
              <w:left w:val="nil"/>
              <w:bottom w:val="single" w:sz="4" w:space="0" w:color="auto"/>
              <w:right w:val="single" w:sz="4" w:space="0" w:color="auto"/>
            </w:tcBorders>
            <w:shd w:val="clear" w:color="auto" w:fill="BFBFBF"/>
            <w:noWrap/>
            <w:vAlign w:val="bottom"/>
          </w:tcPr>
          <w:p w14:paraId="50DBFE5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bl>
    <w:p w14:paraId="3BEC7637"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1 –  príjmy rozpísať až do položiek platnej ekonomickej klasifikácie</w:t>
      </w:r>
    </w:p>
    <w:p w14:paraId="797FE8C7"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Cs w:val="20"/>
          <w:lang w:eastAsia="sk-SK"/>
          <w14:ligatures w14:val="none"/>
        </w:rPr>
      </w:pPr>
    </w:p>
    <w:p w14:paraId="3B122177"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
          <w:bCs/>
          <w:kern w:val="0"/>
          <w:szCs w:val="20"/>
          <w:lang w:eastAsia="sk-SK"/>
          <w14:ligatures w14:val="none"/>
        </w:rPr>
      </w:pPr>
      <w:r w:rsidRPr="00AD62CD">
        <w:rPr>
          <w:rFonts w:ascii="Times New Roman" w:eastAsia="Times New Roman" w:hAnsi="Times New Roman" w:cs="Times New Roman"/>
          <w:b/>
          <w:bCs/>
          <w:kern w:val="0"/>
          <w:szCs w:val="20"/>
          <w:lang w:eastAsia="sk-SK"/>
          <w14:ligatures w14:val="none"/>
        </w:rPr>
        <w:t>Poznámka:</w:t>
      </w:r>
    </w:p>
    <w:p w14:paraId="419A9FC8"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Cs w:val="20"/>
          <w:lang w:eastAsia="sk-SK"/>
          <w14:ligatures w14:val="none"/>
        </w:rPr>
      </w:pPr>
      <w:r w:rsidRPr="00AD62CD">
        <w:rPr>
          <w:rFonts w:ascii="Times New Roman" w:eastAsia="Times New Roman" w:hAnsi="Times New Roman" w:cs="Times New Roman"/>
          <w:bCs/>
          <w:kern w:val="0"/>
          <w:szCs w:val="20"/>
          <w:lang w:eastAsia="sk-SK"/>
          <w14:ligatures w14:val="none"/>
        </w:rPr>
        <w:t>Ak sa vplyv týka viacerých subjektov verejnej správy, vypĺňa sa samostatná tabuľka za každý subjekt.</w:t>
      </w:r>
    </w:p>
    <w:p w14:paraId="63F0956B"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r w:rsidRPr="00AD62CD">
        <w:rPr>
          <w:rFonts w:ascii="Times New Roman" w:eastAsia="Times New Roman" w:hAnsi="Times New Roman" w:cs="Times New Roman"/>
          <w:bCs/>
          <w:kern w:val="0"/>
          <w:lang w:eastAsia="sk-SK"/>
          <w14:ligatures w14:val="none"/>
        </w:rPr>
        <w:t xml:space="preserve"> </w:t>
      </w:r>
    </w:p>
    <w:p w14:paraId="1FA11AF1"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029346B4"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670C0EE0"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54A39D04"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23CB73AD"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4F2189CA"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54AFF155"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7CCA39BE"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7516357E"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700F0C32"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0C53C9E3"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0574B65A"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6984469A"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12956CB9"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0978A278"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73FD7DFA"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p>
    <w:p w14:paraId="5ED6DC59"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5778C4A9"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73D03E5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16F45AB0"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747C5B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poznámka</w:t>
            </w:r>
          </w:p>
        </w:tc>
      </w:tr>
      <w:tr w:rsidR="00AD62CD" w:rsidRPr="00AD62CD" w14:paraId="1A0FD327"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F1D76AA"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385E277B"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2025</w:t>
            </w:r>
          </w:p>
        </w:tc>
        <w:tc>
          <w:tcPr>
            <w:tcW w:w="1650" w:type="dxa"/>
            <w:tcBorders>
              <w:top w:val="nil"/>
              <w:left w:val="nil"/>
              <w:bottom w:val="single" w:sz="4" w:space="0" w:color="auto"/>
              <w:right w:val="single" w:sz="4" w:space="0" w:color="auto"/>
            </w:tcBorders>
            <w:shd w:val="clear" w:color="auto" w:fill="BFBFBF"/>
          </w:tcPr>
          <w:p w14:paraId="0F1D7DB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2026</w:t>
            </w:r>
          </w:p>
        </w:tc>
        <w:tc>
          <w:tcPr>
            <w:tcW w:w="1540" w:type="dxa"/>
            <w:tcBorders>
              <w:top w:val="nil"/>
              <w:left w:val="nil"/>
              <w:bottom w:val="single" w:sz="4" w:space="0" w:color="auto"/>
              <w:right w:val="single" w:sz="4" w:space="0" w:color="auto"/>
            </w:tcBorders>
            <w:shd w:val="clear" w:color="auto" w:fill="BFBFBF"/>
          </w:tcPr>
          <w:p w14:paraId="796C9BC3"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2027</w:t>
            </w:r>
          </w:p>
        </w:tc>
        <w:tc>
          <w:tcPr>
            <w:tcW w:w="1540" w:type="dxa"/>
            <w:tcBorders>
              <w:top w:val="nil"/>
              <w:left w:val="nil"/>
              <w:bottom w:val="single" w:sz="4" w:space="0" w:color="auto"/>
              <w:right w:val="single" w:sz="4" w:space="0" w:color="auto"/>
            </w:tcBorders>
            <w:shd w:val="clear" w:color="auto" w:fill="BFBFBF"/>
          </w:tcPr>
          <w:p w14:paraId="56A0703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63FDC8DE"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3996DF67" w14:textId="77777777" w:rsidTr="003627DF">
        <w:trPr>
          <w:trHeight w:val="255"/>
        </w:trPr>
        <w:tc>
          <w:tcPr>
            <w:tcW w:w="7070" w:type="dxa"/>
            <w:tcBorders>
              <w:top w:val="nil"/>
              <w:left w:val="single" w:sz="4" w:space="0" w:color="auto"/>
              <w:bottom w:val="single" w:sz="4" w:space="0" w:color="auto"/>
              <w:right w:val="single" w:sz="4" w:space="0" w:color="auto"/>
            </w:tcBorders>
          </w:tcPr>
          <w:p w14:paraId="6C244539"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tcPr>
          <w:p w14:paraId="4680958A"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DF5B675"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66592D9"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1BF81B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0ADF74F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2A842ED1" w14:textId="77777777" w:rsidTr="003627DF">
        <w:trPr>
          <w:trHeight w:val="255"/>
        </w:trPr>
        <w:tc>
          <w:tcPr>
            <w:tcW w:w="7070" w:type="dxa"/>
            <w:tcBorders>
              <w:top w:val="nil"/>
              <w:left w:val="single" w:sz="4" w:space="0" w:color="auto"/>
              <w:bottom w:val="single" w:sz="4" w:space="0" w:color="auto"/>
              <w:right w:val="single" w:sz="4" w:space="0" w:color="auto"/>
            </w:tcBorders>
          </w:tcPr>
          <w:p w14:paraId="6C054AAE"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220EF45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32C17711"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301948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EAADDB9"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6C08D945"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431AD19B" w14:textId="77777777" w:rsidTr="003627DF">
        <w:trPr>
          <w:trHeight w:val="255"/>
        </w:trPr>
        <w:tc>
          <w:tcPr>
            <w:tcW w:w="7070" w:type="dxa"/>
            <w:tcBorders>
              <w:top w:val="nil"/>
              <w:left w:val="single" w:sz="4" w:space="0" w:color="auto"/>
              <w:bottom w:val="single" w:sz="4" w:space="0" w:color="auto"/>
              <w:right w:val="single" w:sz="4" w:space="0" w:color="auto"/>
            </w:tcBorders>
          </w:tcPr>
          <w:p w14:paraId="2C04E06B"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tcPr>
          <w:p w14:paraId="52223034"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04A011B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BD520C8"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A575713"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53B43324"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7AE705EC" w14:textId="77777777" w:rsidTr="003627DF">
        <w:trPr>
          <w:trHeight w:val="255"/>
        </w:trPr>
        <w:tc>
          <w:tcPr>
            <w:tcW w:w="7070" w:type="dxa"/>
            <w:tcBorders>
              <w:top w:val="nil"/>
              <w:left w:val="single" w:sz="4" w:space="0" w:color="auto"/>
              <w:bottom w:val="single" w:sz="4" w:space="0" w:color="auto"/>
              <w:right w:val="single" w:sz="4" w:space="0" w:color="auto"/>
            </w:tcBorders>
          </w:tcPr>
          <w:p w14:paraId="76E805DD"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Tovary a služby (630)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3E35F854"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378490E6"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73B78DFC"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3CEF2DB"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1547B492"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6361F0AC" w14:textId="77777777" w:rsidTr="003627DF">
        <w:trPr>
          <w:trHeight w:val="255"/>
        </w:trPr>
        <w:tc>
          <w:tcPr>
            <w:tcW w:w="7070" w:type="dxa"/>
            <w:tcBorders>
              <w:top w:val="nil"/>
              <w:left w:val="single" w:sz="4" w:space="0" w:color="auto"/>
              <w:bottom w:val="single" w:sz="4" w:space="0" w:color="auto"/>
              <w:right w:val="single" w:sz="4" w:space="0" w:color="auto"/>
            </w:tcBorders>
          </w:tcPr>
          <w:p w14:paraId="0BDB3A7B"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Bežné transfery (640)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745F2B04"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02022A5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81F4F68"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4360FAA"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3903D72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135F23F8"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3F5AD9D7"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Splácanie úrokov a ostatné platby súvisiace s </w:t>
            </w:r>
            <w:r w:rsidRPr="00AD62CD">
              <w:rPr>
                <w:rFonts w:ascii="Calibri" w:eastAsia="Calibri" w:hAnsi="Calibri" w:cs="Times New Roman"/>
                <w:kern w:val="0"/>
                <w:sz w:val="22"/>
                <w:szCs w:val="22"/>
                <w14:ligatures w14:val="none"/>
              </w:rPr>
              <w:t xml:space="preserve"> </w:t>
            </w:r>
            <w:r w:rsidRPr="00AD62CD">
              <w:rPr>
                <w:rFonts w:ascii="Times New Roman" w:eastAsia="Times New Roman" w:hAnsi="Times New Roman" w:cs="Times New Roman"/>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1B63E167"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61CAED27"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0F8EEF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8F49F53"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4B90F6F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28375BEC" w14:textId="77777777" w:rsidTr="003627DF">
        <w:trPr>
          <w:trHeight w:val="255"/>
        </w:trPr>
        <w:tc>
          <w:tcPr>
            <w:tcW w:w="7070" w:type="dxa"/>
            <w:tcBorders>
              <w:top w:val="nil"/>
              <w:left w:val="single" w:sz="4" w:space="0" w:color="auto"/>
              <w:bottom w:val="single" w:sz="4" w:space="0" w:color="auto"/>
              <w:right w:val="single" w:sz="4" w:space="0" w:color="auto"/>
            </w:tcBorders>
          </w:tcPr>
          <w:p w14:paraId="43F3AA73"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tcPr>
          <w:p w14:paraId="75DED0F2"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0002C59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562ADBD"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5AFDF83"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371E8093"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09B812A3" w14:textId="77777777" w:rsidTr="003627DF">
        <w:trPr>
          <w:trHeight w:val="255"/>
        </w:trPr>
        <w:tc>
          <w:tcPr>
            <w:tcW w:w="7070" w:type="dxa"/>
            <w:tcBorders>
              <w:top w:val="nil"/>
              <w:left w:val="single" w:sz="4" w:space="0" w:color="auto"/>
              <w:bottom w:val="single" w:sz="4" w:space="0" w:color="auto"/>
              <w:right w:val="single" w:sz="4" w:space="0" w:color="auto"/>
            </w:tcBorders>
          </w:tcPr>
          <w:p w14:paraId="6ECE4260"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Obstarávanie kapitálových aktív (710)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79D54E5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072A5391"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7DD4A8E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261A8B2"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5791A6C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38A6240" w14:textId="77777777" w:rsidTr="003627DF">
        <w:trPr>
          <w:trHeight w:val="255"/>
        </w:trPr>
        <w:tc>
          <w:tcPr>
            <w:tcW w:w="7070" w:type="dxa"/>
            <w:tcBorders>
              <w:top w:val="nil"/>
              <w:left w:val="single" w:sz="4" w:space="0" w:color="auto"/>
              <w:bottom w:val="single" w:sz="4" w:space="0" w:color="auto"/>
              <w:right w:val="single" w:sz="4" w:space="0" w:color="auto"/>
            </w:tcBorders>
          </w:tcPr>
          <w:p w14:paraId="75AFB1BB"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Kapitálové transfery (720)</w:t>
            </w:r>
            <w:r w:rsidRPr="00AD62CD">
              <w:rPr>
                <w:rFonts w:ascii="Times New Roman" w:eastAsia="Times New Roman" w:hAnsi="Times New Roman" w:cs="Times New Roman"/>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70424DD0"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3AB02092"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1DE4C32"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81DD4C3"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4B77F1F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17A68D88" w14:textId="77777777" w:rsidTr="003627DF">
        <w:trPr>
          <w:trHeight w:val="255"/>
        </w:trPr>
        <w:tc>
          <w:tcPr>
            <w:tcW w:w="7070" w:type="dxa"/>
            <w:tcBorders>
              <w:top w:val="nil"/>
              <w:left w:val="single" w:sz="4" w:space="0" w:color="auto"/>
              <w:bottom w:val="single" w:sz="4" w:space="0" w:color="auto"/>
              <w:right w:val="single" w:sz="4" w:space="0" w:color="auto"/>
            </w:tcBorders>
          </w:tcPr>
          <w:p w14:paraId="7EE82310"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2A9619A5"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650" w:type="dxa"/>
            <w:tcBorders>
              <w:top w:val="nil"/>
              <w:left w:val="nil"/>
              <w:bottom w:val="single" w:sz="4" w:space="0" w:color="auto"/>
              <w:right w:val="single" w:sz="4" w:space="0" w:color="auto"/>
            </w:tcBorders>
            <w:shd w:val="clear" w:color="auto" w:fill="auto"/>
          </w:tcPr>
          <w:p w14:paraId="5B629A18"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540" w:type="dxa"/>
            <w:tcBorders>
              <w:top w:val="nil"/>
              <w:left w:val="nil"/>
              <w:bottom w:val="single" w:sz="4" w:space="0" w:color="auto"/>
              <w:right w:val="single" w:sz="4" w:space="0" w:color="auto"/>
            </w:tcBorders>
            <w:shd w:val="clear" w:color="auto" w:fill="auto"/>
          </w:tcPr>
          <w:p w14:paraId="70BE6BAC"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540" w:type="dxa"/>
            <w:tcBorders>
              <w:top w:val="nil"/>
              <w:left w:val="nil"/>
              <w:bottom w:val="single" w:sz="4" w:space="0" w:color="auto"/>
              <w:right w:val="single" w:sz="4" w:space="0" w:color="auto"/>
            </w:tcBorders>
            <w:shd w:val="clear" w:color="auto" w:fill="auto"/>
          </w:tcPr>
          <w:p w14:paraId="5435A756"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1649" w:type="dxa"/>
            <w:tcBorders>
              <w:top w:val="nil"/>
              <w:left w:val="nil"/>
              <w:bottom w:val="single" w:sz="4" w:space="0" w:color="auto"/>
              <w:right w:val="single" w:sz="4" w:space="0" w:color="auto"/>
            </w:tcBorders>
            <w:noWrap/>
            <w:vAlign w:val="bottom"/>
          </w:tcPr>
          <w:p w14:paraId="29615FD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73C2E29B"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6B904663"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18E935B5"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650" w:type="dxa"/>
            <w:tcBorders>
              <w:top w:val="single" w:sz="4" w:space="0" w:color="auto"/>
              <w:left w:val="nil"/>
              <w:bottom w:val="single" w:sz="4" w:space="0" w:color="auto"/>
              <w:right w:val="single" w:sz="4" w:space="0" w:color="auto"/>
            </w:tcBorders>
            <w:shd w:val="clear" w:color="auto" w:fill="BFBFBF"/>
          </w:tcPr>
          <w:p w14:paraId="45BE306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540" w:type="dxa"/>
            <w:tcBorders>
              <w:top w:val="single" w:sz="4" w:space="0" w:color="auto"/>
              <w:left w:val="nil"/>
              <w:bottom w:val="single" w:sz="4" w:space="0" w:color="auto"/>
              <w:right w:val="single" w:sz="4" w:space="0" w:color="auto"/>
            </w:tcBorders>
            <w:shd w:val="clear" w:color="auto" w:fill="BFBFBF"/>
          </w:tcPr>
          <w:p w14:paraId="2C53BC7B"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540" w:type="dxa"/>
            <w:tcBorders>
              <w:top w:val="single" w:sz="4" w:space="0" w:color="auto"/>
              <w:left w:val="nil"/>
              <w:bottom w:val="single" w:sz="4" w:space="0" w:color="auto"/>
              <w:right w:val="single" w:sz="4" w:space="0" w:color="auto"/>
            </w:tcBorders>
            <w:shd w:val="clear" w:color="auto" w:fill="BFBFBF"/>
          </w:tcPr>
          <w:p w14:paraId="23728517"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sz w:val="20"/>
                <w:lang w:eastAsia="sk-SK"/>
                <w14:ligatures w14:val="none"/>
              </w:rPr>
              <w:t>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7B6884F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bl>
    <w:p w14:paraId="167C4886"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2 –  výdavky rozpísať až do položiek platnej ekonomickej klasifikácie</w:t>
      </w:r>
    </w:p>
    <w:p w14:paraId="38F70C08"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Cs w:val="20"/>
          <w:lang w:eastAsia="sk-SK"/>
          <w14:ligatures w14:val="none"/>
        </w:rPr>
      </w:pPr>
    </w:p>
    <w:p w14:paraId="78955017"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Cs w:val="20"/>
          <w:lang w:eastAsia="sk-SK"/>
          <w14:ligatures w14:val="none"/>
        </w:rPr>
        <w:t xml:space="preserve">  Poznámka:</w:t>
      </w:r>
    </w:p>
    <w:p w14:paraId="132E839C"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Cs w:val="20"/>
          <w:lang w:eastAsia="sk-SK"/>
          <w14:ligatures w14:val="none"/>
        </w:rPr>
        <w:t xml:space="preserve">  Ak sa vplyv týka viacerých subjektov verejnej správy, vypĺňa sa samostatná tabuľka za každý subjekt.</w:t>
      </w:r>
    </w:p>
    <w:p w14:paraId="7A7BB7E2"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774A4C7D"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78654D1F"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614C85E3"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4FB93765"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0F8F070B"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7D0DF34E"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1B3BEE06"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65272B3A"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2AB2421D"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139F178C"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59571480"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7CBA46A4"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1135011C"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397848A5"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5687A1A1"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2C508677"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5D7276D0"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2843491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cPr>
          <w:p w14:paraId="3856CFB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56C793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poznámka</w:t>
            </w:r>
          </w:p>
        </w:tc>
      </w:tr>
      <w:tr w:rsidR="00AD62CD" w:rsidRPr="00AD62CD" w14:paraId="0E1FC8F1"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B44E8F3"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6DA96E8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2023</w:t>
            </w:r>
          </w:p>
        </w:tc>
        <w:tc>
          <w:tcPr>
            <w:tcW w:w="1650" w:type="dxa"/>
            <w:tcBorders>
              <w:top w:val="nil"/>
              <w:left w:val="nil"/>
              <w:bottom w:val="single" w:sz="4" w:space="0" w:color="auto"/>
              <w:right w:val="single" w:sz="4" w:space="0" w:color="auto"/>
            </w:tcBorders>
            <w:shd w:val="clear" w:color="auto" w:fill="BFBFBF"/>
          </w:tcPr>
          <w:p w14:paraId="1801BFA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2024</w:t>
            </w:r>
          </w:p>
        </w:tc>
        <w:tc>
          <w:tcPr>
            <w:tcW w:w="1540" w:type="dxa"/>
            <w:tcBorders>
              <w:top w:val="nil"/>
              <w:left w:val="nil"/>
              <w:bottom w:val="single" w:sz="4" w:space="0" w:color="auto"/>
              <w:right w:val="single" w:sz="4" w:space="0" w:color="auto"/>
            </w:tcBorders>
            <w:shd w:val="clear" w:color="auto" w:fill="BFBFBF"/>
          </w:tcPr>
          <w:p w14:paraId="162253B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1540" w:type="dxa"/>
            <w:tcBorders>
              <w:top w:val="nil"/>
              <w:left w:val="nil"/>
              <w:bottom w:val="single" w:sz="4" w:space="0" w:color="auto"/>
              <w:right w:val="single" w:sz="4" w:space="0" w:color="auto"/>
            </w:tcBorders>
            <w:shd w:val="clear" w:color="auto" w:fill="BFBFBF"/>
          </w:tcPr>
          <w:p w14:paraId="3DF187F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14:paraId="75F9E053"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p>
        </w:tc>
      </w:tr>
      <w:tr w:rsidR="00AD62CD" w:rsidRPr="00AD62CD" w14:paraId="1DD6796D" w14:textId="77777777" w:rsidTr="003627DF">
        <w:trPr>
          <w:trHeight w:val="255"/>
        </w:trPr>
        <w:tc>
          <w:tcPr>
            <w:tcW w:w="7070" w:type="dxa"/>
            <w:tcBorders>
              <w:top w:val="nil"/>
              <w:left w:val="single" w:sz="4" w:space="0" w:color="auto"/>
              <w:bottom w:val="single" w:sz="4" w:space="0" w:color="auto"/>
              <w:right w:val="single" w:sz="4" w:space="0" w:color="auto"/>
            </w:tcBorders>
          </w:tcPr>
          <w:p w14:paraId="746C7188"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Kapitálové príjmy (230)</w:t>
            </w:r>
          </w:p>
        </w:tc>
        <w:tc>
          <w:tcPr>
            <w:tcW w:w="1430" w:type="dxa"/>
            <w:tcBorders>
              <w:top w:val="nil"/>
              <w:left w:val="nil"/>
              <w:bottom w:val="single" w:sz="4" w:space="0" w:color="auto"/>
              <w:right w:val="single" w:sz="4" w:space="0" w:color="auto"/>
            </w:tcBorders>
          </w:tcPr>
          <w:p w14:paraId="7F4C6025"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3011617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5D47C4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3B0812A"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05580C24"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p>
        </w:tc>
      </w:tr>
      <w:tr w:rsidR="00AD62CD" w:rsidRPr="00AD62CD" w14:paraId="0E7A770F" w14:textId="77777777" w:rsidTr="003627DF">
        <w:trPr>
          <w:trHeight w:val="255"/>
        </w:trPr>
        <w:tc>
          <w:tcPr>
            <w:tcW w:w="7070" w:type="dxa"/>
            <w:tcBorders>
              <w:top w:val="nil"/>
              <w:left w:val="single" w:sz="4" w:space="0" w:color="auto"/>
              <w:bottom w:val="single" w:sz="4" w:space="0" w:color="auto"/>
              <w:right w:val="single" w:sz="4" w:space="0" w:color="auto"/>
            </w:tcBorders>
          </w:tcPr>
          <w:p w14:paraId="47FD14DA"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tcPr>
          <w:p w14:paraId="5315C94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05D6CF8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CE5479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2F9216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4A829427"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4241EE7E" w14:textId="77777777" w:rsidTr="003627DF">
        <w:trPr>
          <w:trHeight w:val="255"/>
        </w:trPr>
        <w:tc>
          <w:tcPr>
            <w:tcW w:w="7070" w:type="dxa"/>
            <w:tcBorders>
              <w:top w:val="nil"/>
              <w:left w:val="single" w:sz="4" w:space="0" w:color="auto"/>
              <w:bottom w:val="single" w:sz="4" w:space="0" w:color="auto"/>
              <w:right w:val="single" w:sz="4" w:space="0" w:color="auto"/>
            </w:tcBorders>
          </w:tcPr>
          <w:p w14:paraId="0B363A97"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3A7278EA"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54957C7A"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5D53B80"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058558B"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37D6B09B"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184217C5" w14:textId="77777777" w:rsidTr="003627DF">
        <w:trPr>
          <w:trHeight w:val="255"/>
        </w:trPr>
        <w:tc>
          <w:tcPr>
            <w:tcW w:w="7070" w:type="dxa"/>
            <w:tcBorders>
              <w:top w:val="nil"/>
              <w:left w:val="single" w:sz="4" w:space="0" w:color="auto"/>
              <w:bottom w:val="single" w:sz="4" w:space="0" w:color="auto"/>
              <w:right w:val="single" w:sz="4" w:space="0" w:color="auto"/>
            </w:tcBorders>
          </w:tcPr>
          <w:p w14:paraId="76673CD9"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vertAlign w:val="superscript"/>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tcPr>
          <w:p w14:paraId="7196524E"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2EE075BF"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7411DA27"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BEB0C17"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333BCD5C"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02EE6443" w14:textId="77777777" w:rsidTr="003627DF">
        <w:trPr>
          <w:trHeight w:val="255"/>
        </w:trPr>
        <w:tc>
          <w:tcPr>
            <w:tcW w:w="7070" w:type="dxa"/>
            <w:tcBorders>
              <w:top w:val="nil"/>
              <w:left w:val="single" w:sz="4" w:space="0" w:color="auto"/>
              <w:bottom w:val="single" w:sz="4" w:space="0" w:color="auto"/>
              <w:right w:val="single" w:sz="4" w:space="0" w:color="auto"/>
            </w:tcBorders>
          </w:tcPr>
          <w:p w14:paraId="3A968FC6"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vertAlign w:val="superscript"/>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Tovary a služby (630)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3D16630A"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1EE254BF"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BD9DC41"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FE3A4A6"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7B3031AB"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7CA816DE" w14:textId="77777777" w:rsidTr="003627DF">
        <w:trPr>
          <w:trHeight w:val="255"/>
        </w:trPr>
        <w:tc>
          <w:tcPr>
            <w:tcW w:w="7070" w:type="dxa"/>
            <w:tcBorders>
              <w:top w:val="nil"/>
              <w:left w:val="single" w:sz="4" w:space="0" w:color="auto"/>
              <w:bottom w:val="single" w:sz="4" w:space="0" w:color="auto"/>
              <w:right w:val="single" w:sz="4" w:space="0" w:color="auto"/>
            </w:tcBorders>
          </w:tcPr>
          <w:p w14:paraId="0E890AA0"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Bežné transfery (640)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3A695D04"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77223878"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76DD4183"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1272A6A"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7692E6AB"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66ECED7F"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57824074"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Splácanie úrokov a ostatné platby súvisiace s </w:t>
            </w:r>
            <w:r w:rsidRPr="00AD62CD">
              <w:rPr>
                <w:rFonts w:ascii="Calibri" w:eastAsia="Calibri" w:hAnsi="Calibri" w:cs="Times New Roman"/>
                <w:color w:val="000000"/>
                <w:kern w:val="0"/>
                <w:sz w:val="22"/>
                <w:szCs w:val="22"/>
                <w14:ligatures w14:val="none"/>
              </w:rPr>
              <w:t xml:space="preserve"> </w:t>
            </w:r>
            <w:r w:rsidRPr="00AD62CD">
              <w:rPr>
                <w:rFonts w:ascii="Times New Roman" w:eastAsia="Times New Roman" w:hAnsi="Times New Roman" w:cs="Times New Roman"/>
                <w:color w:val="000000"/>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3AEF7B15"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10519F69"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65D3D43"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203FD11"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4E106B30"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p>
        </w:tc>
      </w:tr>
      <w:tr w:rsidR="00AD62CD" w:rsidRPr="00AD62CD" w14:paraId="05CD59ED" w14:textId="77777777" w:rsidTr="003627DF">
        <w:trPr>
          <w:trHeight w:val="255"/>
        </w:trPr>
        <w:tc>
          <w:tcPr>
            <w:tcW w:w="7070" w:type="dxa"/>
            <w:tcBorders>
              <w:top w:val="nil"/>
              <w:left w:val="single" w:sz="4" w:space="0" w:color="auto"/>
              <w:bottom w:val="single" w:sz="4" w:space="0" w:color="auto"/>
              <w:right w:val="single" w:sz="4" w:space="0" w:color="auto"/>
            </w:tcBorders>
          </w:tcPr>
          <w:p w14:paraId="2A6011E8"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tcPr>
          <w:p w14:paraId="429BB2EB"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6A2BBFB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B66508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F2C39B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2EAEDFD2"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4E7E52EF" w14:textId="77777777" w:rsidTr="003627DF">
        <w:trPr>
          <w:trHeight w:val="255"/>
        </w:trPr>
        <w:tc>
          <w:tcPr>
            <w:tcW w:w="7070" w:type="dxa"/>
            <w:tcBorders>
              <w:top w:val="nil"/>
              <w:left w:val="single" w:sz="4" w:space="0" w:color="auto"/>
              <w:bottom w:val="single" w:sz="4" w:space="0" w:color="auto"/>
              <w:right w:val="single" w:sz="4" w:space="0" w:color="auto"/>
            </w:tcBorders>
          </w:tcPr>
          <w:p w14:paraId="31FF9C62"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Obstarávanie kapitálových aktív (710)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361F39CA"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66F8BA38"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F0CED41"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DF6BA91"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5D603280"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61F5FD17" w14:textId="77777777" w:rsidTr="003627DF">
        <w:trPr>
          <w:trHeight w:val="255"/>
        </w:trPr>
        <w:tc>
          <w:tcPr>
            <w:tcW w:w="7070" w:type="dxa"/>
            <w:tcBorders>
              <w:top w:val="nil"/>
              <w:left w:val="single" w:sz="4" w:space="0" w:color="auto"/>
              <w:bottom w:val="single" w:sz="4" w:space="0" w:color="auto"/>
              <w:right w:val="single" w:sz="4" w:space="0" w:color="auto"/>
            </w:tcBorders>
          </w:tcPr>
          <w:p w14:paraId="5F406D05"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Kapitálové transfery (720)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45A33C9F"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22597781"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D4A5E3D"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90E23DA"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7E8225ED"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3EC30FE1"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34FB4F45"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281CE3D5"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650" w:type="dxa"/>
            <w:tcBorders>
              <w:top w:val="single" w:sz="4" w:space="0" w:color="auto"/>
              <w:left w:val="nil"/>
              <w:bottom w:val="single" w:sz="4" w:space="0" w:color="auto"/>
              <w:right w:val="single" w:sz="4" w:space="0" w:color="auto"/>
            </w:tcBorders>
            <w:shd w:val="clear" w:color="auto" w:fill="BFBFBF"/>
          </w:tcPr>
          <w:p w14:paraId="775D2D1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40" w:type="dxa"/>
            <w:tcBorders>
              <w:top w:val="single" w:sz="4" w:space="0" w:color="auto"/>
              <w:left w:val="nil"/>
              <w:bottom w:val="single" w:sz="4" w:space="0" w:color="auto"/>
              <w:right w:val="single" w:sz="4" w:space="0" w:color="auto"/>
            </w:tcBorders>
            <w:shd w:val="clear" w:color="auto" w:fill="BFBFBF"/>
          </w:tcPr>
          <w:p w14:paraId="4C975C2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40" w:type="dxa"/>
            <w:tcBorders>
              <w:top w:val="single" w:sz="4" w:space="0" w:color="auto"/>
              <w:left w:val="nil"/>
              <w:bottom w:val="single" w:sz="4" w:space="0" w:color="auto"/>
              <w:right w:val="single" w:sz="4" w:space="0" w:color="auto"/>
            </w:tcBorders>
            <w:shd w:val="clear" w:color="auto" w:fill="BFBFBF"/>
          </w:tcPr>
          <w:p w14:paraId="65B69EE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sz w:val="20"/>
                <w:lang w:eastAsia="sk-SK"/>
                <w14:ligatures w14:val="none"/>
              </w:rPr>
              <w:t>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29FBDFBD"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bl>
    <w:p w14:paraId="5C4509BF"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color w:val="000000"/>
          <w:kern w:val="0"/>
          <w:sz w:val="20"/>
          <w:szCs w:val="20"/>
          <w:lang w:eastAsia="sk-SK"/>
          <w14:ligatures w14:val="none"/>
        </w:rPr>
        <w:t xml:space="preserve">  2 –  výdavky rozpísať až do podpo</w:t>
      </w:r>
      <w:r w:rsidRPr="00AD62CD">
        <w:rPr>
          <w:rFonts w:ascii="Times New Roman" w:eastAsia="Times New Roman" w:hAnsi="Times New Roman" w:cs="Times New Roman"/>
          <w:bCs/>
          <w:kern w:val="0"/>
          <w:sz w:val="20"/>
          <w:szCs w:val="20"/>
          <w:lang w:eastAsia="sk-SK"/>
          <w14:ligatures w14:val="none"/>
        </w:rPr>
        <w:t>ložiek platnej ekonomickej klasifikácie</w:t>
      </w:r>
    </w:p>
    <w:p w14:paraId="5F93CA83"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Cs w:val="20"/>
          <w:lang w:eastAsia="sk-SK"/>
          <w14:ligatures w14:val="none"/>
        </w:rPr>
      </w:pPr>
    </w:p>
    <w:p w14:paraId="43CCF388"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Cs w:val="20"/>
          <w:lang w:eastAsia="sk-SK"/>
          <w14:ligatures w14:val="none"/>
        </w:rPr>
        <w:t xml:space="preserve">  Poznámka:</w:t>
      </w:r>
    </w:p>
    <w:p w14:paraId="28A7907C"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Cs w:val="20"/>
          <w:lang w:eastAsia="sk-SK"/>
          <w14:ligatures w14:val="none"/>
        </w:rPr>
        <w:t xml:space="preserve">  Ak sa vplyv týka viacerých subjektov verejnej správy, vypĺňa sa samostatná tabuľka za každý subjekt.</w:t>
      </w:r>
    </w:p>
    <w:p w14:paraId="3F5EA3FD"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2CC5EA91"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3FC4855B"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713CD53D"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45CD758D"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76238DBE"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4D01A4F7"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532263C8"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695AD781"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5D0A66A0"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730FDE24"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42C9F900"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59623A75"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286982F5"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72D1AC6B"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70D086A5"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p>
    <w:p w14:paraId="0ACA58DD"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0FBFBF93" w14:textId="77777777" w:rsidR="00AD62CD" w:rsidRPr="00AD62CD" w:rsidRDefault="00AD62CD" w:rsidP="00AD62CD">
      <w:pPr>
        <w:tabs>
          <w:tab w:val="num" w:pos="1080"/>
        </w:tabs>
        <w:spacing w:after="0" w:line="240" w:lineRule="auto"/>
        <w:jc w:val="right"/>
        <w:rPr>
          <w:rFonts w:ascii="Times New Roman" w:eastAsia="Times New Roman" w:hAnsi="Times New Roman" w:cs="Times New Roman"/>
          <w:bCs/>
          <w:kern w:val="0"/>
          <w:lang w:eastAsia="sk-SK"/>
          <w14:ligatures w14:val="none"/>
        </w:rPr>
      </w:pPr>
      <w:r w:rsidRPr="00AD62CD">
        <w:rPr>
          <w:rFonts w:ascii="Times New Roman" w:eastAsia="Times New Roman" w:hAnsi="Times New Roman" w:cs="Times New Roman"/>
          <w:bCs/>
          <w:kern w:val="0"/>
          <w:lang w:eastAsia="sk-SK"/>
          <w14:ligatures w14:val="none"/>
        </w:rPr>
        <w:t xml:space="preserve">                 </w:t>
      </w:r>
    </w:p>
    <w:p w14:paraId="4A25211A"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AD62CD" w:rsidRPr="00AD62CD" w14:paraId="794B6741" w14:textId="77777777" w:rsidTr="00AD62CD">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0D73ACDA"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cPr>
          <w:p w14:paraId="29BAE8D6"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028311B8"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poznámka</w:t>
            </w:r>
          </w:p>
        </w:tc>
      </w:tr>
      <w:tr w:rsidR="00AD62CD" w:rsidRPr="00AD62CD" w14:paraId="6CC3D6AE" w14:textId="77777777" w:rsidTr="00AD62CD">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5CC51749"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p>
        </w:tc>
        <w:tc>
          <w:tcPr>
            <w:tcW w:w="1698" w:type="dxa"/>
            <w:tcBorders>
              <w:top w:val="nil"/>
              <w:left w:val="nil"/>
              <w:bottom w:val="single" w:sz="4" w:space="0" w:color="auto"/>
              <w:right w:val="single" w:sz="4" w:space="0" w:color="auto"/>
            </w:tcBorders>
            <w:shd w:val="clear" w:color="auto" w:fill="BFBFBF"/>
          </w:tcPr>
          <w:p w14:paraId="101B20DE"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2025</w:t>
            </w:r>
          </w:p>
        </w:tc>
        <w:tc>
          <w:tcPr>
            <w:tcW w:w="1788" w:type="dxa"/>
            <w:tcBorders>
              <w:top w:val="nil"/>
              <w:left w:val="nil"/>
              <w:bottom w:val="single" w:sz="4" w:space="0" w:color="auto"/>
              <w:right w:val="single" w:sz="4" w:space="0" w:color="auto"/>
            </w:tcBorders>
            <w:shd w:val="clear" w:color="auto" w:fill="BFBFBF"/>
          </w:tcPr>
          <w:p w14:paraId="7BC893DA"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2026</w:t>
            </w:r>
          </w:p>
        </w:tc>
        <w:tc>
          <w:tcPr>
            <w:tcW w:w="1878" w:type="dxa"/>
            <w:gridSpan w:val="2"/>
            <w:tcBorders>
              <w:top w:val="nil"/>
              <w:left w:val="nil"/>
              <w:bottom w:val="single" w:sz="4" w:space="0" w:color="auto"/>
              <w:right w:val="single" w:sz="4" w:space="0" w:color="auto"/>
            </w:tcBorders>
            <w:shd w:val="clear" w:color="auto" w:fill="BFBFBF"/>
          </w:tcPr>
          <w:p w14:paraId="58DCFCAB"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2027</w:t>
            </w:r>
          </w:p>
        </w:tc>
        <w:tc>
          <w:tcPr>
            <w:tcW w:w="1560" w:type="dxa"/>
            <w:tcBorders>
              <w:top w:val="nil"/>
              <w:left w:val="nil"/>
              <w:bottom w:val="single" w:sz="4" w:space="0" w:color="auto"/>
              <w:right w:val="single" w:sz="4" w:space="0" w:color="auto"/>
            </w:tcBorders>
            <w:shd w:val="clear" w:color="auto" w:fill="BFBFBF"/>
          </w:tcPr>
          <w:p w14:paraId="30D60A4F"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1E56388A"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4AD4272E" w14:textId="77777777" w:rsidTr="003627DF">
        <w:trPr>
          <w:trHeight w:val="255"/>
        </w:trPr>
        <w:tc>
          <w:tcPr>
            <w:tcW w:w="6188" w:type="dxa"/>
            <w:tcBorders>
              <w:top w:val="nil"/>
              <w:left w:val="single" w:sz="4" w:space="0" w:color="auto"/>
              <w:bottom w:val="single" w:sz="4" w:space="0" w:color="auto"/>
              <w:right w:val="single" w:sz="4" w:space="0" w:color="auto"/>
            </w:tcBorders>
          </w:tcPr>
          <w:p w14:paraId="300FB52B"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Počet zamestnancov celkom</w:t>
            </w:r>
          </w:p>
        </w:tc>
        <w:tc>
          <w:tcPr>
            <w:tcW w:w="1698" w:type="dxa"/>
            <w:tcBorders>
              <w:top w:val="nil"/>
              <w:left w:val="nil"/>
              <w:bottom w:val="single" w:sz="4" w:space="0" w:color="auto"/>
              <w:right w:val="single" w:sz="4" w:space="0" w:color="auto"/>
            </w:tcBorders>
          </w:tcPr>
          <w:p w14:paraId="65A5F21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788" w:type="dxa"/>
            <w:tcBorders>
              <w:top w:val="nil"/>
              <w:left w:val="nil"/>
              <w:bottom w:val="single" w:sz="4" w:space="0" w:color="auto"/>
              <w:right w:val="single" w:sz="4" w:space="0" w:color="auto"/>
            </w:tcBorders>
          </w:tcPr>
          <w:p w14:paraId="2A450A10"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878" w:type="dxa"/>
            <w:gridSpan w:val="2"/>
            <w:tcBorders>
              <w:top w:val="nil"/>
              <w:left w:val="nil"/>
              <w:bottom w:val="single" w:sz="4" w:space="0" w:color="auto"/>
              <w:right w:val="single" w:sz="4" w:space="0" w:color="auto"/>
            </w:tcBorders>
          </w:tcPr>
          <w:p w14:paraId="359FDA03"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60" w:type="dxa"/>
            <w:tcBorders>
              <w:top w:val="nil"/>
              <w:left w:val="nil"/>
              <w:bottom w:val="single" w:sz="4" w:space="0" w:color="auto"/>
              <w:right w:val="single" w:sz="4" w:space="0" w:color="auto"/>
            </w:tcBorders>
          </w:tcPr>
          <w:p w14:paraId="507B6288"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842" w:type="dxa"/>
            <w:gridSpan w:val="2"/>
            <w:tcBorders>
              <w:top w:val="nil"/>
              <w:left w:val="nil"/>
              <w:bottom w:val="single" w:sz="4" w:space="0" w:color="auto"/>
              <w:right w:val="single" w:sz="4" w:space="0" w:color="auto"/>
            </w:tcBorders>
            <w:noWrap/>
            <w:vAlign w:val="bottom"/>
          </w:tcPr>
          <w:p w14:paraId="287FD32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C1AE6B4" w14:textId="77777777" w:rsidTr="003627DF">
        <w:trPr>
          <w:trHeight w:val="255"/>
        </w:trPr>
        <w:tc>
          <w:tcPr>
            <w:tcW w:w="6188" w:type="dxa"/>
            <w:tcBorders>
              <w:top w:val="nil"/>
              <w:left w:val="single" w:sz="4" w:space="0" w:color="auto"/>
              <w:bottom w:val="single" w:sz="4" w:space="0" w:color="auto"/>
              <w:right w:val="single" w:sz="4" w:space="0" w:color="auto"/>
            </w:tcBorders>
          </w:tcPr>
          <w:p w14:paraId="47EFE966"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xml:space="preserve">   z toho vplyv na ŠR</w:t>
            </w:r>
          </w:p>
        </w:tc>
        <w:tc>
          <w:tcPr>
            <w:tcW w:w="1698" w:type="dxa"/>
            <w:tcBorders>
              <w:top w:val="single" w:sz="4" w:space="0" w:color="auto"/>
              <w:left w:val="nil"/>
              <w:bottom w:val="single" w:sz="4" w:space="0" w:color="auto"/>
              <w:right w:val="single" w:sz="4" w:space="0" w:color="auto"/>
            </w:tcBorders>
          </w:tcPr>
          <w:p w14:paraId="59D9D827"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788" w:type="dxa"/>
            <w:tcBorders>
              <w:top w:val="single" w:sz="4" w:space="0" w:color="auto"/>
              <w:left w:val="nil"/>
              <w:bottom w:val="single" w:sz="4" w:space="0" w:color="auto"/>
              <w:right w:val="single" w:sz="4" w:space="0" w:color="auto"/>
            </w:tcBorders>
          </w:tcPr>
          <w:p w14:paraId="154631CD"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878" w:type="dxa"/>
            <w:gridSpan w:val="2"/>
            <w:tcBorders>
              <w:top w:val="single" w:sz="4" w:space="0" w:color="auto"/>
              <w:left w:val="nil"/>
              <w:bottom w:val="single" w:sz="4" w:space="0" w:color="auto"/>
              <w:right w:val="single" w:sz="4" w:space="0" w:color="auto"/>
            </w:tcBorders>
          </w:tcPr>
          <w:p w14:paraId="40F152F3"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60" w:type="dxa"/>
            <w:tcBorders>
              <w:top w:val="single" w:sz="4" w:space="0" w:color="auto"/>
              <w:left w:val="nil"/>
              <w:bottom w:val="single" w:sz="4" w:space="0" w:color="auto"/>
              <w:right w:val="single" w:sz="4" w:space="0" w:color="auto"/>
            </w:tcBorders>
          </w:tcPr>
          <w:p w14:paraId="05080714"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842" w:type="dxa"/>
            <w:gridSpan w:val="2"/>
            <w:tcBorders>
              <w:top w:val="nil"/>
              <w:left w:val="nil"/>
              <w:bottom w:val="single" w:sz="4" w:space="0" w:color="auto"/>
              <w:right w:val="single" w:sz="4" w:space="0" w:color="auto"/>
            </w:tcBorders>
            <w:noWrap/>
            <w:vAlign w:val="bottom"/>
          </w:tcPr>
          <w:p w14:paraId="200432B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2083F4A3" w14:textId="77777777" w:rsidTr="003627DF">
        <w:trPr>
          <w:trHeight w:val="255"/>
        </w:trPr>
        <w:tc>
          <w:tcPr>
            <w:tcW w:w="6188" w:type="dxa"/>
            <w:tcBorders>
              <w:top w:val="nil"/>
              <w:left w:val="single" w:sz="4" w:space="0" w:color="auto"/>
              <w:bottom w:val="single" w:sz="4" w:space="0" w:color="auto"/>
              <w:right w:val="single" w:sz="4" w:space="0" w:color="auto"/>
            </w:tcBorders>
          </w:tcPr>
          <w:p w14:paraId="0F117F21"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Priemerný mzdový výdavok (v eurách)</w:t>
            </w:r>
          </w:p>
        </w:tc>
        <w:tc>
          <w:tcPr>
            <w:tcW w:w="1698" w:type="dxa"/>
            <w:tcBorders>
              <w:top w:val="single" w:sz="4" w:space="0" w:color="auto"/>
              <w:left w:val="nil"/>
              <w:bottom w:val="single" w:sz="4" w:space="0" w:color="auto"/>
              <w:right w:val="single" w:sz="4" w:space="0" w:color="auto"/>
            </w:tcBorders>
          </w:tcPr>
          <w:p w14:paraId="2D46D28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788" w:type="dxa"/>
            <w:tcBorders>
              <w:top w:val="single" w:sz="4" w:space="0" w:color="auto"/>
              <w:left w:val="nil"/>
              <w:bottom w:val="single" w:sz="4" w:space="0" w:color="auto"/>
              <w:right w:val="single" w:sz="4" w:space="0" w:color="auto"/>
            </w:tcBorders>
          </w:tcPr>
          <w:p w14:paraId="11067D93"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878" w:type="dxa"/>
            <w:gridSpan w:val="2"/>
            <w:tcBorders>
              <w:top w:val="single" w:sz="4" w:space="0" w:color="auto"/>
              <w:left w:val="nil"/>
              <w:bottom w:val="single" w:sz="4" w:space="0" w:color="auto"/>
              <w:right w:val="single" w:sz="4" w:space="0" w:color="auto"/>
            </w:tcBorders>
          </w:tcPr>
          <w:p w14:paraId="410C3AA8"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60" w:type="dxa"/>
            <w:tcBorders>
              <w:top w:val="single" w:sz="4" w:space="0" w:color="auto"/>
              <w:left w:val="nil"/>
              <w:bottom w:val="single" w:sz="4" w:space="0" w:color="auto"/>
              <w:right w:val="single" w:sz="4" w:space="0" w:color="auto"/>
            </w:tcBorders>
          </w:tcPr>
          <w:p w14:paraId="0D331919"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842" w:type="dxa"/>
            <w:gridSpan w:val="2"/>
            <w:tcBorders>
              <w:top w:val="nil"/>
              <w:left w:val="nil"/>
              <w:bottom w:val="single" w:sz="4" w:space="0" w:color="auto"/>
              <w:right w:val="single" w:sz="4" w:space="0" w:color="auto"/>
            </w:tcBorders>
            <w:noWrap/>
            <w:vAlign w:val="bottom"/>
          </w:tcPr>
          <w:p w14:paraId="7C56944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2FB9404F" w14:textId="77777777" w:rsidTr="003627DF">
        <w:trPr>
          <w:trHeight w:val="255"/>
        </w:trPr>
        <w:tc>
          <w:tcPr>
            <w:tcW w:w="6188" w:type="dxa"/>
            <w:tcBorders>
              <w:top w:val="nil"/>
              <w:left w:val="single" w:sz="4" w:space="0" w:color="auto"/>
              <w:bottom w:val="single" w:sz="4" w:space="0" w:color="auto"/>
              <w:right w:val="single" w:sz="4" w:space="0" w:color="auto"/>
            </w:tcBorders>
          </w:tcPr>
          <w:p w14:paraId="014CE09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bCs/>
                <w:kern w:val="0"/>
                <w:lang w:eastAsia="sk-SK"/>
                <w14:ligatures w14:val="none"/>
              </w:rPr>
              <w:t xml:space="preserve">   z toho vplyv na ŠR</w:t>
            </w:r>
          </w:p>
        </w:tc>
        <w:tc>
          <w:tcPr>
            <w:tcW w:w="1698" w:type="dxa"/>
            <w:tcBorders>
              <w:top w:val="single" w:sz="4" w:space="0" w:color="auto"/>
              <w:left w:val="nil"/>
              <w:bottom w:val="single" w:sz="4" w:space="0" w:color="auto"/>
              <w:right w:val="single" w:sz="4" w:space="0" w:color="auto"/>
            </w:tcBorders>
          </w:tcPr>
          <w:p w14:paraId="7D4FDBDC"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c>
          <w:tcPr>
            <w:tcW w:w="1788" w:type="dxa"/>
            <w:tcBorders>
              <w:top w:val="single" w:sz="4" w:space="0" w:color="auto"/>
              <w:left w:val="nil"/>
              <w:bottom w:val="single" w:sz="4" w:space="0" w:color="auto"/>
              <w:right w:val="single" w:sz="4" w:space="0" w:color="auto"/>
            </w:tcBorders>
          </w:tcPr>
          <w:p w14:paraId="7BB2882C"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c>
          <w:tcPr>
            <w:tcW w:w="1878" w:type="dxa"/>
            <w:gridSpan w:val="2"/>
            <w:tcBorders>
              <w:top w:val="single" w:sz="4" w:space="0" w:color="auto"/>
              <w:left w:val="nil"/>
              <w:bottom w:val="single" w:sz="4" w:space="0" w:color="auto"/>
              <w:right w:val="single" w:sz="4" w:space="0" w:color="auto"/>
            </w:tcBorders>
          </w:tcPr>
          <w:p w14:paraId="0B1EF21B"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c>
          <w:tcPr>
            <w:tcW w:w="1560" w:type="dxa"/>
            <w:tcBorders>
              <w:top w:val="single" w:sz="4" w:space="0" w:color="auto"/>
              <w:left w:val="nil"/>
              <w:bottom w:val="single" w:sz="4" w:space="0" w:color="auto"/>
              <w:right w:val="single" w:sz="4" w:space="0" w:color="auto"/>
            </w:tcBorders>
          </w:tcPr>
          <w:p w14:paraId="3D3A9B7F"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c>
          <w:tcPr>
            <w:tcW w:w="1842" w:type="dxa"/>
            <w:gridSpan w:val="2"/>
            <w:tcBorders>
              <w:top w:val="nil"/>
              <w:left w:val="nil"/>
              <w:bottom w:val="single" w:sz="4" w:space="0" w:color="auto"/>
              <w:right w:val="single" w:sz="4" w:space="0" w:color="auto"/>
            </w:tcBorders>
            <w:noWrap/>
            <w:vAlign w:val="bottom"/>
          </w:tcPr>
          <w:p w14:paraId="0C6C3EF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26D21516" w14:textId="77777777" w:rsidTr="00AD62CD">
        <w:trPr>
          <w:trHeight w:val="255"/>
        </w:trPr>
        <w:tc>
          <w:tcPr>
            <w:tcW w:w="6188" w:type="dxa"/>
            <w:tcBorders>
              <w:top w:val="nil"/>
              <w:left w:val="single" w:sz="4" w:space="0" w:color="auto"/>
              <w:bottom w:val="single" w:sz="4" w:space="0" w:color="auto"/>
              <w:right w:val="single" w:sz="4" w:space="0" w:color="auto"/>
            </w:tcBorders>
            <w:shd w:val="clear" w:color="auto" w:fill="BFBFBF"/>
          </w:tcPr>
          <w:p w14:paraId="70E4ECB7"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Osobné výdavky celkom (v eurách)</w:t>
            </w:r>
          </w:p>
        </w:tc>
        <w:tc>
          <w:tcPr>
            <w:tcW w:w="1698" w:type="dxa"/>
            <w:tcBorders>
              <w:top w:val="nil"/>
              <w:left w:val="nil"/>
              <w:bottom w:val="single" w:sz="4" w:space="0" w:color="auto"/>
              <w:right w:val="single" w:sz="4" w:space="0" w:color="auto"/>
            </w:tcBorders>
            <w:shd w:val="clear" w:color="auto" w:fill="BFBFBF"/>
          </w:tcPr>
          <w:p w14:paraId="195A1667"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788" w:type="dxa"/>
            <w:tcBorders>
              <w:top w:val="nil"/>
              <w:left w:val="nil"/>
              <w:bottom w:val="single" w:sz="4" w:space="0" w:color="auto"/>
              <w:right w:val="single" w:sz="4" w:space="0" w:color="auto"/>
            </w:tcBorders>
            <w:shd w:val="clear" w:color="auto" w:fill="BFBFBF"/>
          </w:tcPr>
          <w:p w14:paraId="301A32E1"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878" w:type="dxa"/>
            <w:gridSpan w:val="2"/>
            <w:tcBorders>
              <w:top w:val="nil"/>
              <w:left w:val="nil"/>
              <w:bottom w:val="single" w:sz="4" w:space="0" w:color="auto"/>
              <w:right w:val="single" w:sz="4" w:space="0" w:color="auto"/>
            </w:tcBorders>
            <w:shd w:val="clear" w:color="auto" w:fill="BFBFBF"/>
          </w:tcPr>
          <w:p w14:paraId="781EA3D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560" w:type="dxa"/>
            <w:tcBorders>
              <w:top w:val="nil"/>
              <w:left w:val="nil"/>
              <w:bottom w:val="single" w:sz="4" w:space="0" w:color="auto"/>
              <w:right w:val="single" w:sz="4" w:space="0" w:color="auto"/>
            </w:tcBorders>
            <w:shd w:val="clear" w:color="auto" w:fill="BFBFBF"/>
          </w:tcPr>
          <w:p w14:paraId="4A7FB76F"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0</w:t>
            </w:r>
          </w:p>
        </w:tc>
        <w:tc>
          <w:tcPr>
            <w:tcW w:w="1842" w:type="dxa"/>
            <w:gridSpan w:val="2"/>
            <w:tcBorders>
              <w:top w:val="nil"/>
              <w:left w:val="nil"/>
              <w:bottom w:val="single" w:sz="4" w:space="0" w:color="auto"/>
              <w:right w:val="single" w:sz="4" w:space="0" w:color="auto"/>
            </w:tcBorders>
            <w:shd w:val="clear" w:color="auto" w:fill="BFBFBF"/>
            <w:noWrap/>
            <w:vAlign w:val="bottom"/>
          </w:tcPr>
          <w:p w14:paraId="20ACF8D0"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r>
      <w:tr w:rsidR="00AD62CD" w:rsidRPr="00AD62CD" w14:paraId="06F36565" w14:textId="77777777" w:rsidTr="003627DF">
        <w:trPr>
          <w:trHeight w:val="255"/>
        </w:trPr>
        <w:tc>
          <w:tcPr>
            <w:tcW w:w="6188" w:type="dxa"/>
            <w:tcBorders>
              <w:top w:val="nil"/>
              <w:left w:val="single" w:sz="4" w:space="0" w:color="auto"/>
              <w:bottom w:val="single" w:sz="4" w:space="0" w:color="auto"/>
              <w:right w:val="single" w:sz="4" w:space="0" w:color="auto"/>
            </w:tcBorders>
          </w:tcPr>
          <w:p w14:paraId="647FB871"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Mzdy, platy, služobné príjmy a ostatné osobné vyrovnania (610)</w:t>
            </w:r>
          </w:p>
        </w:tc>
        <w:tc>
          <w:tcPr>
            <w:tcW w:w="1698" w:type="dxa"/>
            <w:tcBorders>
              <w:top w:val="nil"/>
              <w:left w:val="nil"/>
              <w:bottom w:val="single" w:sz="4" w:space="0" w:color="auto"/>
              <w:right w:val="single" w:sz="4" w:space="0" w:color="auto"/>
            </w:tcBorders>
          </w:tcPr>
          <w:p w14:paraId="12D3C3E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788" w:type="dxa"/>
            <w:tcBorders>
              <w:top w:val="nil"/>
              <w:left w:val="nil"/>
              <w:bottom w:val="single" w:sz="4" w:space="0" w:color="auto"/>
              <w:right w:val="single" w:sz="4" w:space="0" w:color="auto"/>
            </w:tcBorders>
          </w:tcPr>
          <w:p w14:paraId="610E801A"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878" w:type="dxa"/>
            <w:gridSpan w:val="2"/>
            <w:tcBorders>
              <w:top w:val="nil"/>
              <w:left w:val="nil"/>
              <w:bottom w:val="single" w:sz="4" w:space="0" w:color="auto"/>
              <w:right w:val="single" w:sz="4" w:space="0" w:color="auto"/>
            </w:tcBorders>
          </w:tcPr>
          <w:p w14:paraId="04555ED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60" w:type="dxa"/>
            <w:tcBorders>
              <w:top w:val="nil"/>
              <w:left w:val="nil"/>
              <w:bottom w:val="single" w:sz="4" w:space="0" w:color="auto"/>
              <w:right w:val="single" w:sz="4" w:space="0" w:color="auto"/>
            </w:tcBorders>
          </w:tcPr>
          <w:p w14:paraId="5A23CEBE"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842" w:type="dxa"/>
            <w:gridSpan w:val="2"/>
            <w:tcBorders>
              <w:top w:val="nil"/>
              <w:left w:val="nil"/>
              <w:bottom w:val="single" w:sz="4" w:space="0" w:color="auto"/>
              <w:right w:val="single" w:sz="4" w:space="0" w:color="auto"/>
            </w:tcBorders>
            <w:noWrap/>
            <w:vAlign w:val="bottom"/>
          </w:tcPr>
          <w:p w14:paraId="2ABF4629"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r>
      <w:tr w:rsidR="00AD62CD" w:rsidRPr="00AD62CD" w14:paraId="4875EA70" w14:textId="77777777" w:rsidTr="003627DF">
        <w:trPr>
          <w:trHeight w:val="255"/>
        </w:trPr>
        <w:tc>
          <w:tcPr>
            <w:tcW w:w="6188" w:type="dxa"/>
            <w:tcBorders>
              <w:top w:val="nil"/>
              <w:left w:val="single" w:sz="4" w:space="0" w:color="auto"/>
              <w:bottom w:val="single" w:sz="4" w:space="0" w:color="auto"/>
              <w:right w:val="single" w:sz="4" w:space="0" w:color="auto"/>
            </w:tcBorders>
          </w:tcPr>
          <w:p w14:paraId="428586A5"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bCs/>
                <w:kern w:val="0"/>
                <w:lang w:eastAsia="sk-SK"/>
                <w14:ligatures w14:val="none"/>
              </w:rPr>
              <w:t xml:space="preserve">   z toho vplyv na ŠR</w:t>
            </w:r>
          </w:p>
        </w:tc>
        <w:tc>
          <w:tcPr>
            <w:tcW w:w="1698" w:type="dxa"/>
            <w:tcBorders>
              <w:top w:val="nil"/>
              <w:left w:val="nil"/>
              <w:bottom w:val="single" w:sz="4" w:space="0" w:color="auto"/>
              <w:right w:val="single" w:sz="4" w:space="0" w:color="auto"/>
            </w:tcBorders>
          </w:tcPr>
          <w:p w14:paraId="178B2F33"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788" w:type="dxa"/>
            <w:tcBorders>
              <w:top w:val="nil"/>
              <w:left w:val="nil"/>
              <w:bottom w:val="single" w:sz="4" w:space="0" w:color="auto"/>
              <w:right w:val="single" w:sz="4" w:space="0" w:color="auto"/>
            </w:tcBorders>
          </w:tcPr>
          <w:p w14:paraId="519E8766"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878" w:type="dxa"/>
            <w:gridSpan w:val="2"/>
            <w:tcBorders>
              <w:top w:val="nil"/>
              <w:left w:val="nil"/>
              <w:bottom w:val="single" w:sz="4" w:space="0" w:color="auto"/>
              <w:right w:val="single" w:sz="4" w:space="0" w:color="auto"/>
            </w:tcBorders>
          </w:tcPr>
          <w:p w14:paraId="49BD4605"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560" w:type="dxa"/>
            <w:tcBorders>
              <w:top w:val="nil"/>
              <w:left w:val="nil"/>
              <w:bottom w:val="single" w:sz="4" w:space="0" w:color="auto"/>
              <w:right w:val="single" w:sz="4" w:space="0" w:color="auto"/>
            </w:tcBorders>
          </w:tcPr>
          <w:p w14:paraId="7D341238"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842" w:type="dxa"/>
            <w:gridSpan w:val="2"/>
            <w:tcBorders>
              <w:top w:val="nil"/>
              <w:left w:val="nil"/>
              <w:bottom w:val="single" w:sz="4" w:space="0" w:color="auto"/>
              <w:right w:val="single" w:sz="4" w:space="0" w:color="auto"/>
            </w:tcBorders>
            <w:noWrap/>
            <w:vAlign w:val="bottom"/>
          </w:tcPr>
          <w:p w14:paraId="51ABD77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4109F52F" w14:textId="77777777" w:rsidTr="003627DF">
        <w:trPr>
          <w:trHeight w:val="255"/>
        </w:trPr>
        <w:tc>
          <w:tcPr>
            <w:tcW w:w="6188" w:type="dxa"/>
            <w:tcBorders>
              <w:top w:val="nil"/>
              <w:left w:val="single" w:sz="4" w:space="0" w:color="auto"/>
              <w:bottom w:val="single" w:sz="4" w:space="0" w:color="auto"/>
              <w:right w:val="single" w:sz="4" w:space="0" w:color="auto"/>
            </w:tcBorders>
          </w:tcPr>
          <w:p w14:paraId="6EAFAE57"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Poistné a príspevok do poisťovní (620)</w:t>
            </w:r>
          </w:p>
        </w:tc>
        <w:tc>
          <w:tcPr>
            <w:tcW w:w="1698" w:type="dxa"/>
            <w:tcBorders>
              <w:top w:val="nil"/>
              <w:left w:val="nil"/>
              <w:bottom w:val="single" w:sz="4" w:space="0" w:color="auto"/>
              <w:right w:val="single" w:sz="4" w:space="0" w:color="auto"/>
            </w:tcBorders>
          </w:tcPr>
          <w:p w14:paraId="64C02FC5"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788" w:type="dxa"/>
            <w:tcBorders>
              <w:top w:val="nil"/>
              <w:left w:val="nil"/>
              <w:bottom w:val="single" w:sz="4" w:space="0" w:color="auto"/>
              <w:right w:val="single" w:sz="4" w:space="0" w:color="auto"/>
            </w:tcBorders>
          </w:tcPr>
          <w:p w14:paraId="3BF5959F"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878" w:type="dxa"/>
            <w:gridSpan w:val="2"/>
            <w:tcBorders>
              <w:top w:val="nil"/>
              <w:left w:val="nil"/>
              <w:bottom w:val="single" w:sz="4" w:space="0" w:color="auto"/>
              <w:right w:val="single" w:sz="4" w:space="0" w:color="auto"/>
            </w:tcBorders>
          </w:tcPr>
          <w:p w14:paraId="5779D4AB"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560" w:type="dxa"/>
            <w:tcBorders>
              <w:top w:val="nil"/>
              <w:left w:val="nil"/>
              <w:bottom w:val="single" w:sz="4" w:space="0" w:color="auto"/>
              <w:right w:val="single" w:sz="4" w:space="0" w:color="auto"/>
            </w:tcBorders>
          </w:tcPr>
          <w:p w14:paraId="77E09123"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1842" w:type="dxa"/>
            <w:gridSpan w:val="2"/>
            <w:tcBorders>
              <w:top w:val="nil"/>
              <w:left w:val="nil"/>
              <w:bottom w:val="single" w:sz="4" w:space="0" w:color="auto"/>
              <w:right w:val="single" w:sz="4" w:space="0" w:color="auto"/>
            </w:tcBorders>
            <w:noWrap/>
            <w:vAlign w:val="bottom"/>
          </w:tcPr>
          <w:p w14:paraId="7D2CF6EE"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r>
      <w:tr w:rsidR="00AD62CD" w:rsidRPr="00AD62CD" w14:paraId="169879A7" w14:textId="77777777" w:rsidTr="003627DF">
        <w:trPr>
          <w:trHeight w:val="255"/>
        </w:trPr>
        <w:tc>
          <w:tcPr>
            <w:tcW w:w="6188" w:type="dxa"/>
            <w:tcBorders>
              <w:top w:val="nil"/>
              <w:left w:val="single" w:sz="4" w:space="0" w:color="auto"/>
              <w:bottom w:val="single" w:sz="4" w:space="0" w:color="auto"/>
              <w:right w:val="single" w:sz="4" w:space="0" w:color="auto"/>
            </w:tcBorders>
          </w:tcPr>
          <w:p w14:paraId="360FD52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bCs/>
                <w:kern w:val="0"/>
                <w:lang w:eastAsia="sk-SK"/>
                <w14:ligatures w14:val="none"/>
              </w:rPr>
              <w:t xml:space="preserve">   z toho vplyv na ŠR</w:t>
            </w:r>
          </w:p>
        </w:tc>
        <w:tc>
          <w:tcPr>
            <w:tcW w:w="1698" w:type="dxa"/>
            <w:tcBorders>
              <w:top w:val="nil"/>
              <w:left w:val="nil"/>
              <w:bottom w:val="single" w:sz="4" w:space="0" w:color="auto"/>
              <w:right w:val="single" w:sz="4" w:space="0" w:color="auto"/>
            </w:tcBorders>
          </w:tcPr>
          <w:p w14:paraId="187030A7"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788" w:type="dxa"/>
            <w:tcBorders>
              <w:top w:val="nil"/>
              <w:left w:val="nil"/>
              <w:bottom w:val="single" w:sz="4" w:space="0" w:color="auto"/>
              <w:right w:val="single" w:sz="4" w:space="0" w:color="auto"/>
            </w:tcBorders>
          </w:tcPr>
          <w:p w14:paraId="23072C18"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878" w:type="dxa"/>
            <w:gridSpan w:val="2"/>
            <w:tcBorders>
              <w:top w:val="nil"/>
              <w:left w:val="nil"/>
              <w:bottom w:val="single" w:sz="4" w:space="0" w:color="auto"/>
              <w:right w:val="single" w:sz="4" w:space="0" w:color="auto"/>
            </w:tcBorders>
          </w:tcPr>
          <w:p w14:paraId="65335BC0"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560" w:type="dxa"/>
            <w:tcBorders>
              <w:top w:val="nil"/>
              <w:left w:val="nil"/>
              <w:bottom w:val="single" w:sz="4" w:space="0" w:color="auto"/>
              <w:right w:val="single" w:sz="4" w:space="0" w:color="auto"/>
            </w:tcBorders>
          </w:tcPr>
          <w:p w14:paraId="7E53B614"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1842" w:type="dxa"/>
            <w:gridSpan w:val="2"/>
            <w:tcBorders>
              <w:top w:val="nil"/>
              <w:left w:val="nil"/>
              <w:bottom w:val="single" w:sz="4" w:space="0" w:color="auto"/>
              <w:right w:val="single" w:sz="4" w:space="0" w:color="auto"/>
            </w:tcBorders>
            <w:noWrap/>
            <w:vAlign w:val="bottom"/>
          </w:tcPr>
          <w:p w14:paraId="6C7D1B9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DB2E4B0" w14:textId="77777777" w:rsidTr="003627DF">
        <w:trPr>
          <w:trHeight w:val="255"/>
        </w:trPr>
        <w:tc>
          <w:tcPr>
            <w:tcW w:w="6188" w:type="dxa"/>
            <w:tcBorders>
              <w:top w:val="nil"/>
              <w:left w:val="nil"/>
              <w:bottom w:val="nil"/>
              <w:right w:val="nil"/>
            </w:tcBorders>
            <w:noWrap/>
            <w:vAlign w:val="bottom"/>
          </w:tcPr>
          <w:p w14:paraId="727FB0A4"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c>
          <w:tcPr>
            <w:tcW w:w="1698" w:type="dxa"/>
            <w:tcBorders>
              <w:top w:val="nil"/>
              <w:left w:val="nil"/>
              <w:bottom w:val="nil"/>
              <w:right w:val="nil"/>
            </w:tcBorders>
            <w:noWrap/>
            <w:vAlign w:val="bottom"/>
          </w:tcPr>
          <w:p w14:paraId="27A86D8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c>
          <w:tcPr>
            <w:tcW w:w="1788" w:type="dxa"/>
            <w:tcBorders>
              <w:top w:val="nil"/>
              <w:left w:val="nil"/>
              <w:bottom w:val="nil"/>
              <w:right w:val="nil"/>
            </w:tcBorders>
            <w:noWrap/>
            <w:vAlign w:val="bottom"/>
          </w:tcPr>
          <w:p w14:paraId="037EA7E4"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c>
          <w:tcPr>
            <w:tcW w:w="1878" w:type="dxa"/>
            <w:gridSpan w:val="2"/>
            <w:tcBorders>
              <w:top w:val="nil"/>
              <w:left w:val="nil"/>
              <w:bottom w:val="nil"/>
              <w:right w:val="nil"/>
            </w:tcBorders>
            <w:noWrap/>
            <w:vAlign w:val="bottom"/>
          </w:tcPr>
          <w:p w14:paraId="2CFB931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c>
          <w:tcPr>
            <w:tcW w:w="1560" w:type="dxa"/>
            <w:tcBorders>
              <w:top w:val="nil"/>
              <w:left w:val="nil"/>
              <w:bottom w:val="nil"/>
              <w:right w:val="nil"/>
            </w:tcBorders>
            <w:noWrap/>
            <w:vAlign w:val="bottom"/>
          </w:tcPr>
          <w:p w14:paraId="4A47D61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c>
          <w:tcPr>
            <w:tcW w:w="1842" w:type="dxa"/>
            <w:gridSpan w:val="2"/>
            <w:tcBorders>
              <w:top w:val="nil"/>
              <w:left w:val="nil"/>
              <w:bottom w:val="nil"/>
              <w:right w:val="nil"/>
            </w:tcBorders>
            <w:noWrap/>
            <w:vAlign w:val="bottom"/>
          </w:tcPr>
          <w:p w14:paraId="40EC20C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6ABA31A2" w14:textId="77777777" w:rsidTr="003627DF">
        <w:trPr>
          <w:trHeight w:val="255"/>
        </w:trPr>
        <w:tc>
          <w:tcPr>
            <w:tcW w:w="6188" w:type="dxa"/>
            <w:tcBorders>
              <w:top w:val="nil"/>
              <w:left w:val="nil"/>
              <w:bottom w:val="nil"/>
              <w:right w:val="nil"/>
            </w:tcBorders>
          </w:tcPr>
          <w:p w14:paraId="12FBFEB8"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Poznámka:</w:t>
            </w:r>
          </w:p>
        </w:tc>
        <w:tc>
          <w:tcPr>
            <w:tcW w:w="1698" w:type="dxa"/>
            <w:tcBorders>
              <w:top w:val="nil"/>
              <w:left w:val="nil"/>
              <w:bottom w:val="nil"/>
              <w:right w:val="nil"/>
            </w:tcBorders>
            <w:noWrap/>
            <w:vAlign w:val="bottom"/>
          </w:tcPr>
          <w:p w14:paraId="686796F5"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c>
          <w:tcPr>
            <w:tcW w:w="1788" w:type="dxa"/>
            <w:tcBorders>
              <w:top w:val="nil"/>
              <w:left w:val="nil"/>
              <w:bottom w:val="nil"/>
              <w:right w:val="nil"/>
            </w:tcBorders>
            <w:noWrap/>
            <w:vAlign w:val="bottom"/>
          </w:tcPr>
          <w:p w14:paraId="6917251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c>
          <w:tcPr>
            <w:tcW w:w="1878" w:type="dxa"/>
            <w:gridSpan w:val="2"/>
            <w:tcBorders>
              <w:top w:val="nil"/>
              <w:left w:val="nil"/>
              <w:bottom w:val="nil"/>
              <w:right w:val="nil"/>
            </w:tcBorders>
            <w:noWrap/>
            <w:vAlign w:val="bottom"/>
          </w:tcPr>
          <w:p w14:paraId="37F6FFB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c>
          <w:tcPr>
            <w:tcW w:w="1560" w:type="dxa"/>
            <w:tcBorders>
              <w:top w:val="nil"/>
              <w:left w:val="nil"/>
              <w:bottom w:val="nil"/>
              <w:right w:val="nil"/>
            </w:tcBorders>
            <w:noWrap/>
            <w:vAlign w:val="bottom"/>
          </w:tcPr>
          <w:p w14:paraId="19BD85F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c>
          <w:tcPr>
            <w:tcW w:w="1842" w:type="dxa"/>
            <w:gridSpan w:val="2"/>
            <w:tcBorders>
              <w:top w:val="nil"/>
              <w:left w:val="nil"/>
              <w:bottom w:val="nil"/>
              <w:right w:val="nil"/>
            </w:tcBorders>
            <w:noWrap/>
            <w:vAlign w:val="bottom"/>
          </w:tcPr>
          <w:p w14:paraId="16CA520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0EEFF43A" w14:textId="77777777" w:rsidTr="003627DF">
        <w:trPr>
          <w:trHeight w:val="255"/>
        </w:trPr>
        <w:tc>
          <w:tcPr>
            <w:tcW w:w="13112" w:type="dxa"/>
            <w:gridSpan w:val="6"/>
            <w:tcBorders>
              <w:top w:val="nil"/>
              <w:left w:val="nil"/>
              <w:bottom w:val="nil"/>
              <w:right w:val="nil"/>
            </w:tcBorders>
            <w:noWrap/>
          </w:tcPr>
          <w:p w14:paraId="040EF231"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Cs w:val="20"/>
                <w:lang w:eastAsia="sk-SK"/>
                <w14:ligatures w14:val="none"/>
              </w:rPr>
            </w:pPr>
            <w:r w:rsidRPr="00AD62CD">
              <w:rPr>
                <w:rFonts w:ascii="Times New Roman" w:eastAsia="Times New Roman" w:hAnsi="Times New Roman" w:cs="Times New Roman"/>
                <w:bCs/>
                <w:kern w:val="0"/>
                <w:szCs w:val="20"/>
                <w:lang w:eastAsia="sk-SK"/>
                <w14:ligatures w14:val="none"/>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4C6DE93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2F98AB4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5B4A749C" w14:textId="77777777" w:rsidTr="003627DF">
        <w:trPr>
          <w:trHeight w:val="255"/>
        </w:trPr>
        <w:tc>
          <w:tcPr>
            <w:tcW w:w="10394" w:type="dxa"/>
            <w:gridSpan w:val="4"/>
            <w:tcBorders>
              <w:top w:val="nil"/>
              <w:left w:val="nil"/>
              <w:bottom w:val="nil"/>
              <w:right w:val="nil"/>
            </w:tcBorders>
            <w:noWrap/>
            <w:vAlign w:val="bottom"/>
          </w:tcPr>
          <w:p w14:paraId="26790D5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Kategórie 610 a 620 sú z tejto prílohy prenášané do príslušných kategórií prílohy „výdavky“.</w:t>
            </w:r>
          </w:p>
        </w:tc>
        <w:tc>
          <w:tcPr>
            <w:tcW w:w="1158" w:type="dxa"/>
            <w:tcBorders>
              <w:top w:val="nil"/>
              <w:left w:val="nil"/>
              <w:bottom w:val="nil"/>
              <w:right w:val="nil"/>
            </w:tcBorders>
            <w:noWrap/>
            <w:vAlign w:val="bottom"/>
          </w:tcPr>
          <w:p w14:paraId="0D01AC42"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c>
          <w:tcPr>
            <w:tcW w:w="2892" w:type="dxa"/>
            <w:gridSpan w:val="2"/>
            <w:tcBorders>
              <w:top w:val="nil"/>
              <w:left w:val="nil"/>
              <w:bottom w:val="nil"/>
              <w:right w:val="nil"/>
            </w:tcBorders>
            <w:noWrap/>
            <w:vAlign w:val="bottom"/>
          </w:tcPr>
          <w:p w14:paraId="143A17C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c>
          <w:tcPr>
            <w:tcW w:w="510" w:type="dxa"/>
            <w:tcBorders>
              <w:top w:val="nil"/>
              <w:left w:val="nil"/>
              <w:bottom w:val="nil"/>
              <w:right w:val="nil"/>
            </w:tcBorders>
            <w:noWrap/>
            <w:vAlign w:val="bottom"/>
          </w:tcPr>
          <w:p w14:paraId="13AFD35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bl>
    <w:p w14:paraId="526868A0"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xml:space="preserve">.“  </w:t>
      </w:r>
    </w:p>
    <w:p w14:paraId="0A82A7CE"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sectPr w:rsidR="00AD62CD" w:rsidRPr="00AD62CD" w:rsidSect="00AD62CD">
          <w:pgSz w:w="16838" w:h="11906" w:orient="landscape"/>
          <w:pgMar w:top="1418" w:right="1418" w:bottom="1418" w:left="1418" w:header="709" w:footer="709" w:gutter="0"/>
          <w:cols w:space="708"/>
          <w:docGrid w:linePitch="360"/>
        </w:sectPr>
      </w:pPr>
    </w:p>
    <w:p w14:paraId="516C4FF8"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Analýza vplyvov na rozpočet verejnej správy,</w:t>
      </w:r>
    </w:p>
    <w:p w14:paraId="4344B788"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na zamestnanosť vo verejnej správe a financovanie návrhu</w:t>
      </w:r>
    </w:p>
    <w:p w14:paraId="3E41BF76"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(zákon o zdravotnom poistení)</w:t>
      </w:r>
    </w:p>
    <w:p w14:paraId="7B5AF0A6" w14:textId="77777777" w:rsidR="00AD62CD" w:rsidRPr="00AD62CD" w:rsidRDefault="00AD62CD" w:rsidP="00AD62CD">
      <w:pPr>
        <w:spacing w:after="0" w:line="240" w:lineRule="auto"/>
        <w:rPr>
          <w:rFonts w:ascii="Times New Roman" w:eastAsia="Times New Roman" w:hAnsi="Times New Roman" w:cs="Times New Roman"/>
          <w:b/>
          <w:bCs/>
          <w:kern w:val="0"/>
          <w:sz w:val="22"/>
          <w:szCs w:val="22"/>
          <w:lang w:eastAsia="sk-SK"/>
          <w14:ligatures w14:val="none"/>
        </w:rPr>
      </w:pPr>
    </w:p>
    <w:p w14:paraId="6ACF07E3"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 Zhrnutie vplyvov na rozpočet verejnej správy v návrhu</w:t>
      </w:r>
    </w:p>
    <w:p w14:paraId="236E8BC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Tabuľka č. 1 /A</w:t>
      </w: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2"/>
        <w:gridCol w:w="1267"/>
        <w:gridCol w:w="1267"/>
        <w:gridCol w:w="1267"/>
        <w:gridCol w:w="1267"/>
      </w:tblGrid>
      <w:tr w:rsidR="00AD62CD" w:rsidRPr="00AD62CD" w14:paraId="184AC14A" w14:textId="77777777" w:rsidTr="00AD62CD">
        <w:trPr>
          <w:cantSplit/>
          <w:trHeight w:val="194"/>
          <w:jc w:val="center"/>
        </w:trPr>
        <w:tc>
          <w:tcPr>
            <w:tcW w:w="5942" w:type="dxa"/>
            <w:vMerge w:val="restart"/>
            <w:shd w:val="clear" w:color="auto" w:fill="BFBFBF"/>
            <w:vAlign w:val="center"/>
          </w:tcPr>
          <w:p w14:paraId="62F4EB9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Vplyvy na rozpočet verejnej správy</w:t>
            </w:r>
          </w:p>
        </w:tc>
        <w:tc>
          <w:tcPr>
            <w:tcW w:w="5068" w:type="dxa"/>
            <w:gridSpan w:val="4"/>
            <w:shd w:val="clear" w:color="auto" w:fill="BFBFBF"/>
            <w:vAlign w:val="center"/>
          </w:tcPr>
          <w:p w14:paraId="68FEF6B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rozpočet verejnej správy (v eurách)</w:t>
            </w:r>
          </w:p>
        </w:tc>
      </w:tr>
      <w:tr w:rsidR="00AD62CD" w:rsidRPr="00AD62CD" w14:paraId="6FB8603F" w14:textId="77777777" w:rsidTr="00AD62CD">
        <w:trPr>
          <w:cantSplit/>
          <w:trHeight w:val="70"/>
          <w:jc w:val="center"/>
        </w:trPr>
        <w:tc>
          <w:tcPr>
            <w:tcW w:w="5942" w:type="dxa"/>
            <w:vMerge/>
            <w:shd w:val="clear" w:color="auto" w:fill="BFBFBF"/>
            <w:vAlign w:val="center"/>
          </w:tcPr>
          <w:p w14:paraId="06E5F752"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267" w:type="dxa"/>
            <w:shd w:val="clear" w:color="auto" w:fill="BFBFBF"/>
            <w:vAlign w:val="center"/>
          </w:tcPr>
          <w:p w14:paraId="3F4DCA8C"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2025</w:t>
            </w:r>
          </w:p>
        </w:tc>
        <w:tc>
          <w:tcPr>
            <w:tcW w:w="1267" w:type="dxa"/>
            <w:shd w:val="clear" w:color="auto" w:fill="BFBFBF"/>
            <w:vAlign w:val="center"/>
          </w:tcPr>
          <w:p w14:paraId="26603AD2"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2026</w:t>
            </w:r>
          </w:p>
        </w:tc>
        <w:tc>
          <w:tcPr>
            <w:tcW w:w="1267" w:type="dxa"/>
            <w:shd w:val="clear" w:color="auto" w:fill="BFBFBF"/>
            <w:vAlign w:val="center"/>
          </w:tcPr>
          <w:p w14:paraId="54BD5B9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2027</w:t>
            </w:r>
          </w:p>
        </w:tc>
        <w:tc>
          <w:tcPr>
            <w:tcW w:w="1267" w:type="dxa"/>
            <w:shd w:val="clear" w:color="auto" w:fill="BFBFBF"/>
            <w:vAlign w:val="center"/>
          </w:tcPr>
          <w:p w14:paraId="7F6F666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2028</w:t>
            </w:r>
          </w:p>
        </w:tc>
      </w:tr>
      <w:tr w:rsidR="00AD62CD" w:rsidRPr="00AD62CD" w14:paraId="49C45A80" w14:textId="77777777" w:rsidTr="003627DF">
        <w:trPr>
          <w:trHeight w:val="70"/>
          <w:jc w:val="center"/>
        </w:trPr>
        <w:tc>
          <w:tcPr>
            <w:tcW w:w="5942" w:type="dxa"/>
            <w:shd w:val="clear" w:color="auto" w:fill="C0C0C0"/>
            <w:noWrap/>
            <w:vAlign w:val="center"/>
          </w:tcPr>
          <w:p w14:paraId="0F514135"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Príjmy verejnej správy celkom</w:t>
            </w:r>
          </w:p>
        </w:tc>
        <w:tc>
          <w:tcPr>
            <w:tcW w:w="1267" w:type="dxa"/>
            <w:shd w:val="clear" w:color="auto" w:fill="C0C0C0"/>
            <w:vAlign w:val="center"/>
          </w:tcPr>
          <w:p w14:paraId="3B3F4C85"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C0C0C0"/>
            <w:vAlign w:val="center"/>
          </w:tcPr>
          <w:p w14:paraId="066761FD"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357 803 000</w:t>
            </w:r>
          </w:p>
        </w:tc>
        <w:tc>
          <w:tcPr>
            <w:tcW w:w="1267" w:type="dxa"/>
            <w:shd w:val="clear" w:color="auto" w:fill="C0C0C0"/>
            <w:vAlign w:val="center"/>
          </w:tcPr>
          <w:p w14:paraId="4726C7F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374 273 000</w:t>
            </w:r>
          </w:p>
        </w:tc>
        <w:tc>
          <w:tcPr>
            <w:tcW w:w="1267" w:type="dxa"/>
            <w:shd w:val="clear" w:color="auto" w:fill="C0C0C0"/>
            <w:vAlign w:val="center"/>
          </w:tcPr>
          <w:p w14:paraId="35D1B974"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388 973 000</w:t>
            </w:r>
          </w:p>
        </w:tc>
      </w:tr>
      <w:tr w:rsidR="00AD62CD" w:rsidRPr="00AD62CD" w14:paraId="75E3D26B" w14:textId="77777777" w:rsidTr="003627DF">
        <w:trPr>
          <w:trHeight w:val="132"/>
          <w:jc w:val="center"/>
        </w:trPr>
        <w:tc>
          <w:tcPr>
            <w:tcW w:w="5942" w:type="dxa"/>
            <w:noWrap/>
            <w:vAlign w:val="center"/>
          </w:tcPr>
          <w:p w14:paraId="0CD0C5A8"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v tom: za každý subjekt verejnej správy zvlášť</w:t>
            </w:r>
          </w:p>
        </w:tc>
        <w:tc>
          <w:tcPr>
            <w:tcW w:w="1267" w:type="dxa"/>
            <w:noWrap/>
            <w:vAlign w:val="center"/>
          </w:tcPr>
          <w:p w14:paraId="403B79C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44BA8BAC"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438D25E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18F4797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4D037DD5" w14:textId="77777777" w:rsidTr="003627DF">
        <w:trPr>
          <w:trHeight w:val="70"/>
          <w:jc w:val="center"/>
        </w:trPr>
        <w:tc>
          <w:tcPr>
            <w:tcW w:w="5942" w:type="dxa"/>
            <w:noWrap/>
            <w:vAlign w:val="center"/>
          </w:tcPr>
          <w:p w14:paraId="400C4211"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xml:space="preserve">z toho:  </w:t>
            </w:r>
          </w:p>
        </w:tc>
        <w:tc>
          <w:tcPr>
            <w:tcW w:w="1267" w:type="dxa"/>
            <w:noWrap/>
            <w:vAlign w:val="center"/>
          </w:tcPr>
          <w:p w14:paraId="314F4EEF"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p>
        </w:tc>
        <w:tc>
          <w:tcPr>
            <w:tcW w:w="1267" w:type="dxa"/>
            <w:noWrap/>
            <w:vAlign w:val="center"/>
          </w:tcPr>
          <w:p w14:paraId="4A93E89C"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p>
        </w:tc>
        <w:tc>
          <w:tcPr>
            <w:tcW w:w="1267" w:type="dxa"/>
            <w:noWrap/>
            <w:vAlign w:val="center"/>
          </w:tcPr>
          <w:p w14:paraId="274F94F2"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p>
        </w:tc>
        <w:tc>
          <w:tcPr>
            <w:tcW w:w="1267" w:type="dxa"/>
            <w:noWrap/>
            <w:vAlign w:val="center"/>
          </w:tcPr>
          <w:p w14:paraId="3311CD73"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p>
        </w:tc>
      </w:tr>
      <w:tr w:rsidR="00AD62CD" w:rsidRPr="00AD62CD" w14:paraId="62FA3313" w14:textId="77777777" w:rsidTr="003627DF">
        <w:trPr>
          <w:trHeight w:val="125"/>
          <w:jc w:val="center"/>
        </w:trPr>
        <w:tc>
          <w:tcPr>
            <w:tcW w:w="5942" w:type="dxa"/>
            <w:noWrap/>
            <w:vAlign w:val="center"/>
          </w:tcPr>
          <w:p w14:paraId="19FF320B"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ŠR</w:t>
            </w:r>
          </w:p>
        </w:tc>
        <w:tc>
          <w:tcPr>
            <w:tcW w:w="1267" w:type="dxa"/>
            <w:noWrap/>
            <w:vAlign w:val="center"/>
          </w:tcPr>
          <w:p w14:paraId="6E2F856B"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301E4745"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-25 207 000</w:t>
            </w:r>
          </w:p>
        </w:tc>
        <w:tc>
          <w:tcPr>
            <w:tcW w:w="1267" w:type="dxa"/>
            <w:noWrap/>
            <w:vAlign w:val="center"/>
          </w:tcPr>
          <w:p w14:paraId="14A0DD0A"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-13 337 000</w:t>
            </w:r>
          </w:p>
        </w:tc>
        <w:tc>
          <w:tcPr>
            <w:tcW w:w="1267" w:type="dxa"/>
            <w:noWrap/>
            <w:vAlign w:val="center"/>
          </w:tcPr>
          <w:p w14:paraId="7A4C7A3B"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-13 785 000</w:t>
            </w:r>
          </w:p>
        </w:tc>
      </w:tr>
      <w:tr w:rsidR="00AD62CD" w:rsidRPr="00AD62CD" w14:paraId="7A615F87" w14:textId="77777777" w:rsidTr="003627DF">
        <w:trPr>
          <w:trHeight w:val="125"/>
          <w:jc w:val="center"/>
        </w:trPr>
        <w:tc>
          <w:tcPr>
            <w:tcW w:w="5942" w:type="dxa"/>
            <w:noWrap/>
            <w:vAlign w:val="center"/>
          </w:tcPr>
          <w:p w14:paraId="338653AB" w14:textId="77777777" w:rsidR="00AD62CD" w:rsidRPr="00AD62CD" w:rsidRDefault="00AD62CD" w:rsidP="00AD62CD">
            <w:pPr>
              <w:spacing w:after="0" w:line="240" w:lineRule="auto"/>
              <w:ind w:left="259"/>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Cs/>
                <w:i/>
                <w:iCs/>
                <w:kern w:val="0"/>
                <w:sz w:val="20"/>
                <w:szCs w:val="20"/>
                <w:lang w:eastAsia="sk-SK"/>
                <w14:ligatures w14:val="none"/>
              </w:rPr>
              <w:t>Rozpočtové prostriedky</w:t>
            </w:r>
          </w:p>
        </w:tc>
        <w:tc>
          <w:tcPr>
            <w:tcW w:w="1267" w:type="dxa"/>
            <w:noWrap/>
            <w:vAlign w:val="center"/>
          </w:tcPr>
          <w:p w14:paraId="434492F3"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38C64739"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-25 207 000</w:t>
            </w:r>
          </w:p>
        </w:tc>
        <w:tc>
          <w:tcPr>
            <w:tcW w:w="1267" w:type="dxa"/>
            <w:noWrap/>
            <w:vAlign w:val="center"/>
          </w:tcPr>
          <w:p w14:paraId="29A73278"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-13 337 000</w:t>
            </w:r>
          </w:p>
        </w:tc>
        <w:tc>
          <w:tcPr>
            <w:tcW w:w="1267" w:type="dxa"/>
            <w:noWrap/>
            <w:vAlign w:val="center"/>
          </w:tcPr>
          <w:p w14:paraId="0E47FA7E"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-13 785 000</w:t>
            </w:r>
          </w:p>
        </w:tc>
      </w:tr>
      <w:tr w:rsidR="00AD62CD" w:rsidRPr="00AD62CD" w14:paraId="68C1A4F4" w14:textId="77777777" w:rsidTr="003627DF">
        <w:trPr>
          <w:trHeight w:val="125"/>
          <w:jc w:val="center"/>
        </w:trPr>
        <w:tc>
          <w:tcPr>
            <w:tcW w:w="5942" w:type="dxa"/>
            <w:noWrap/>
            <w:vAlign w:val="center"/>
          </w:tcPr>
          <w:p w14:paraId="049AC13F" w14:textId="77777777" w:rsidR="00AD62CD" w:rsidRPr="00AD62CD" w:rsidRDefault="00AD62CD" w:rsidP="00AD62CD">
            <w:pPr>
              <w:spacing w:after="0" w:line="240" w:lineRule="auto"/>
              <w:ind w:left="259"/>
              <w:rPr>
                <w:rFonts w:ascii="Times New Roman" w:eastAsia="Times New Roman" w:hAnsi="Times New Roman" w:cs="Times New Roman"/>
                <w:bCs/>
                <w:i/>
                <w:iCs/>
                <w:kern w:val="0"/>
                <w:sz w:val="20"/>
                <w:szCs w:val="20"/>
                <w:lang w:eastAsia="sk-SK"/>
                <w14:ligatures w14:val="none"/>
              </w:rPr>
            </w:pPr>
            <w:r w:rsidRPr="00AD62CD">
              <w:rPr>
                <w:rFonts w:ascii="Times New Roman" w:eastAsia="Times New Roman" w:hAnsi="Times New Roman" w:cs="Times New Roman"/>
                <w:bCs/>
                <w:i/>
                <w:iCs/>
                <w:kern w:val="0"/>
                <w:sz w:val="20"/>
                <w:szCs w:val="20"/>
                <w:lang w:eastAsia="sk-SK"/>
                <w14:ligatures w14:val="none"/>
              </w:rPr>
              <w:t>v tom: daň z príjmov fyzických osôb (111)</w:t>
            </w:r>
          </w:p>
        </w:tc>
        <w:tc>
          <w:tcPr>
            <w:tcW w:w="1267" w:type="dxa"/>
            <w:noWrap/>
            <w:vAlign w:val="center"/>
          </w:tcPr>
          <w:p w14:paraId="3FF44376"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p>
        </w:tc>
        <w:tc>
          <w:tcPr>
            <w:tcW w:w="1267" w:type="dxa"/>
            <w:noWrap/>
            <w:vAlign w:val="center"/>
          </w:tcPr>
          <w:p w14:paraId="18CCDAD7"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color w:val="000000"/>
                <w:kern w:val="0"/>
                <w:sz w:val="20"/>
                <w:szCs w:val="20"/>
                <w14:ligatures w14:val="none"/>
              </w:rPr>
              <w:t>-25 207 000</w:t>
            </w:r>
          </w:p>
        </w:tc>
        <w:tc>
          <w:tcPr>
            <w:tcW w:w="1267" w:type="dxa"/>
            <w:noWrap/>
            <w:vAlign w:val="center"/>
          </w:tcPr>
          <w:p w14:paraId="05F41CD6"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color w:val="000000"/>
                <w:kern w:val="0"/>
                <w:sz w:val="20"/>
                <w:szCs w:val="20"/>
                <w14:ligatures w14:val="none"/>
              </w:rPr>
              <w:t>-13 337 000</w:t>
            </w:r>
          </w:p>
        </w:tc>
        <w:tc>
          <w:tcPr>
            <w:tcW w:w="1267" w:type="dxa"/>
            <w:noWrap/>
            <w:vAlign w:val="center"/>
          </w:tcPr>
          <w:p w14:paraId="0102F019"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color w:val="000000"/>
                <w:kern w:val="0"/>
                <w:sz w:val="20"/>
                <w:szCs w:val="20"/>
                <w14:ligatures w14:val="none"/>
              </w:rPr>
              <w:t>-13 785 000</w:t>
            </w:r>
          </w:p>
        </w:tc>
      </w:tr>
      <w:tr w:rsidR="00AD62CD" w:rsidRPr="00AD62CD" w14:paraId="7BD3D49B" w14:textId="77777777" w:rsidTr="003627DF">
        <w:trPr>
          <w:trHeight w:val="125"/>
          <w:jc w:val="center"/>
        </w:trPr>
        <w:tc>
          <w:tcPr>
            <w:tcW w:w="5942" w:type="dxa"/>
            <w:noWrap/>
            <w:vAlign w:val="center"/>
          </w:tcPr>
          <w:p w14:paraId="67E2157B" w14:textId="77777777" w:rsidR="00AD62CD" w:rsidRPr="00AD62CD" w:rsidRDefault="00AD62CD" w:rsidP="00AD62CD">
            <w:pPr>
              <w:spacing w:after="0" w:line="240" w:lineRule="auto"/>
              <w:ind w:left="259"/>
              <w:rPr>
                <w:rFonts w:ascii="Times New Roman" w:eastAsia="Times New Roman" w:hAnsi="Times New Roman" w:cs="Times New Roman"/>
                <w:bCs/>
                <w:i/>
                <w:iCs/>
                <w:kern w:val="0"/>
                <w:sz w:val="20"/>
                <w:szCs w:val="20"/>
                <w:lang w:eastAsia="sk-SK"/>
                <w14:ligatures w14:val="none"/>
              </w:rPr>
            </w:pPr>
            <w:r w:rsidRPr="00AD62CD">
              <w:rPr>
                <w:rFonts w:ascii="Times New Roman" w:eastAsia="Times New Roman" w:hAnsi="Times New Roman" w:cs="Times New Roman"/>
                <w:bCs/>
                <w:i/>
                <w:iCs/>
                <w:kern w:val="0"/>
                <w:sz w:val="20"/>
                <w:szCs w:val="20"/>
                <w:lang w:eastAsia="sk-SK"/>
                <w14:ligatures w14:val="none"/>
              </w:rPr>
              <w:t>EÚ zdroje</w:t>
            </w:r>
          </w:p>
        </w:tc>
        <w:tc>
          <w:tcPr>
            <w:tcW w:w="1267" w:type="dxa"/>
            <w:noWrap/>
            <w:vAlign w:val="center"/>
          </w:tcPr>
          <w:p w14:paraId="675F0A1D"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4413F31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4C61C38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5D96C36B"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6EAC59D6" w14:textId="77777777" w:rsidTr="003627DF">
        <w:trPr>
          <w:trHeight w:val="125"/>
          <w:jc w:val="center"/>
        </w:trPr>
        <w:tc>
          <w:tcPr>
            <w:tcW w:w="5942" w:type="dxa"/>
            <w:noWrap/>
            <w:vAlign w:val="center"/>
          </w:tcPr>
          <w:p w14:paraId="08903E5D"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obce</w:t>
            </w:r>
          </w:p>
        </w:tc>
        <w:tc>
          <w:tcPr>
            <w:tcW w:w="1267" w:type="dxa"/>
            <w:noWrap/>
            <w:vAlign w:val="center"/>
          </w:tcPr>
          <w:p w14:paraId="20B53999"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636F64D1"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-34 973 000</w:t>
            </w:r>
          </w:p>
        </w:tc>
        <w:tc>
          <w:tcPr>
            <w:tcW w:w="1267" w:type="dxa"/>
            <w:noWrap/>
            <w:vAlign w:val="center"/>
          </w:tcPr>
          <w:p w14:paraId="437B95A5"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-45 110 000</w:t>
            </w:r>
          </w:p>
        </w:tc>
        <w:tc>
          <w:tcPr>
            <w:tcW w:w="1267" w:type="dxa"/>
            <w:noWrap/>
            <w:vAlign w:val="center"/>
          </w:tcPr>
          <w:p w14:paraId="7728AE1C"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-46 952 000</w:t>
            </w:r>
          </w:p>
        </w:tc>
      </w:tr>
      <w:tr w:rsidR="00AD62CD" w:rsidRPr="00AD62CD" w14:paraId="52A4B5EF" w14:textId="77777777" w:rsidTr="003627DF">
        <w:trPr>
          <w:trHeight w:val="125"/>
          <w:jc w:val="center"/>
        </w:trPr>
        <w:tc>
          <w:tcPr>
            <w:tcW w:w="5942" w:type="dxa"/>
            <w:noWrap/>
            <w:vAlign w:val="center"/>
          </w:tcPr>
          <w:p w14:paraId="64FF55B6"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Cs/>
                <w:i/>
                <w:iCs/>
                <w:kern w:val="0"/>
                <w:sz w:val="20"/>
                <w:szCs w:val="20"/>
                <w:lang w:eastAsia="sk-SK"/>
                <w14:ligatures w14:val="none"/>
              </w:rPr>
              <w:t>v tom: daň z príjmov fyzických osôb (111)</w:t>
            </w:r>
          </w:p>
        </w:tc>
        <w:tc>
          <w:tcPr>
            <w:tcW w:w="1267" w:type="dxa"/>
            <w:noWrap/>
            <w:vAlign w:val="center"/>
          </w:tcPr>
          <w:p w14:paraId="32880168"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p>
        </w:tc>
        <w:tc>
          <w:tcPr>
            <w:tcW w:w="1267" w:type="dxa"/>
            <w:noWrap/>
            <w:vAlign w:val="center"/>
          </w:tcPr>
          <w:p w14:paraId="26AAC7E7"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-34 973 000</w:t>
            </w:r>
          </w:p>
        </w:tc>
        <w:tc>
          <w:tcPr>
            <w:tcW w:w="1267" w:type="dxa"/>
            <w:noWrap/>
            <w:vAlign w:val="center"/>
          </w:tcPr>
          <w:p w14:paraId="00C3A996"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-45 110 000</w:t>
            </w:r>
          </w:p>
        </w:tc>
        <w:tc>
          <w:tcPr>
            <w:tcW w:w="1267" w:type="dxa"/>
            <w:noWrap/>
            <w:vAlign w:val="center"/>
          </w:tcPr>
          <w:p w14:paraId="6D4D8999"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-46 952 000</w:t>
            </w:r>
          </w:p>
        </w:tc>
      </w:tr>
      <w:tr w:rsidR="00AD62CD" w:rsidRPr="00AD62CD" w14:paraId="24EAD6DD" w14:textId="77777777" w:rsidTr="003627DF">
        <w:trPr>
          <w:trHeight w:val="125"/>
          <w:jc w:val="center"/>
        </w:trPr>
        <w:tc>
          <w:tcPr>
            <w:tcW w:w="5942" w:type="dxa"/>
            <w:noWrap/>
            <w:vAlign w:val="center"/>
          </w:tcPr>
          <w:p w14:paraId="13E460E0"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vyššie územné celky</w:t>
            </w:r>
          </w:p>
        </w:tc>
        <w:tc>
          <w:tcPr>
            <w:tcW w:w="1267" w:type="dxa"/>
            <w:noWrap/>
            <w:vAlign w:val="center"/>
          </w:tcPr>
          <w:p w14:paraId="3B653D0E"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35E40719"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-18 724 000</w:t>
            </w:r>
          </w:p>
        </w:tc>
        <w:tc>
          <w:tcPr>
            <w:tcW w:w="1267" w:type="dxa"/>
            <w:noWrap/>
            <w:vAlign w:val="center"/>
          </w:tcPr>
          <w:p w14:paraId="07F108BA"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-24 152 000</w:t>
            </w:r>
          </w:p>
        </w:tc>
        <w:tc>
          <w:tcPr>
            <w:tcW w:w="1267" w:type="dxa"/>
            <w:noWrap/>
            <w:vAlign w:val="center"/>
          </w:tcPr>
          <w:p w14:paraId="44E8755A"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-25 137 000</w:t>
            </w:r>
          </w:p>
        </w:tc>
      </w:tr>
      <w:tr w:rsidR="00AD62CD" w:rsidRPr="00AD62CD" w14:paraId="685962F9" w14:textId="77777777" w:rsidTr="003627DF">
        <w:trPr>
          <w:trHeight w:val="125"/>
          <w:jc w:val="center"/>
        </w:trPr>
        <w:tc>
          <w:tcPr>
            <w:tcW w:w="5942" w:type="dxa"/>
            <w:noWrap/>
            <w:vAlign w:val="center"/>
          </w:tcPr>
          <w:p w14:paraId="6041959B" w14:textId="77777777" w:rsidR="00AD62CD" w:rsidRPr="00AD62CD" w:rsidRDefault="00AD62CD" w:rsidP="00AD62CD">
            <w:pPr>
              <w:spacing w:after="0" w:line="240" w:lineRule="auto"/>
              <w:rPr>
                <w:rFonts w:ascii="Times New Roman" w:eastAsia="Times New Roman" w:hAnsi="Times New Roman" w:cs="Times New Roman"/>
                <w:bCs/>
                <w:i/>
                <w:iCs/>
                <w:kern w:val="0"/>
                <w:sz w:val="20"/>
                <w:szCs w:val="20"/>
                <w:lang w:eastAsia="sk-SK"/>
                <w14:ligatures w14:val="none"/>
              </w:rPr>
            </w:pPr>
            <w:r w:rsidRPr="00AD62CD">
              <w:rPr>
                <w:rFonts w:ascii="Times New Roman" w:eastAsia="Times New Roman" w:hAnsi="Times New Roman" w:cs="Times New Roman"/>
                <w:bCs/>
                <w:i/>
                <w:iCs/>
                <w:kern w:val="0"/>
                <w:sz w:val="20"/>
                <w:szCs w:val="20"/>
                <w:lang w:eastAsia="sk-SK"/>
                <w14:ligatures w14:val="none"/>
              </w:rPr>
              <w:t>v tom: daň z príjmov fyzických osôb (111)</w:t>
            </w:r>
          </w:p>
        </w:tc>
        <w:tc>
          <w:tcPr>
            <w:tcW w:w="1267" w:type="dxa"/>
            <w:noWrap/>
            <w:vAlign w:val="center"/>
          </w:tcPr>
          <w:p w14:paraId="4F15336C" w14:textId="77777777" w:rsidR="00AD62CD" w:rsidRPr="00AD62CD" w:rsidRDefault="00AD62CD" w:rsidP="00AD62CD">
            <w:pPr>
              <w:spacing w:after="0" w:line="240" w:lineRule="auto"/>
              <w:jc w:val="right"/>
              <w:rPr>
                <w:rFonts w:ascii="Times New Roman" w:eastAsia="Times New Roman" w:hAnsi="Times New Roman" w:cs="Times New Roman"/>
                <w:bCs/>
                <w:iCs/>
                <w:kern w:val="0"/>
                <w:sz w:val="20"/>
                <w:szCs w:val="20"/>
                <w:lang w:eastAsia="sk-SK"/>
                <w14:ligatures w14:val="none"/>
              </w:rPr>
            </w:pPr>
          </w:p>
        </w:tc>
        <w:tc>
          <w:tcPr>
            <w:tcW w:w="1267" w:type="dxa"/>
            <w:noWrap/>
            <w:vAlign w:val="center"/>
          </w:tcPr>
          <w:p w14:paraId="7B62A773" w14:textId="77777777" w:rsidR="00AD62CD" w:rsidRPr="00AD62CD" w:rsidRDefault="00AD62CD" w:rsidP="00AD62CD">
            <w:pPr>
              <w:spacing w:after="0" w:line="240" w:lineRule="auto"/>
              <w:jc w:val="right"/>
              <w:rPr>
                <w:rFonts w:ascii="Times New Roman" w:eastAsia="Calibri" w:hAnsi="Times New Roman" w:cs="Times New Roman"/>
                <w:bCs/>
                <w:color w:val="000000"/>
                <w:kern w:val="0"/>
                <w:sz w:val="20"/>
                <w:szCs w:val="20"/>
                <w14:ligatures w14:val="none"/>
              </w:rPr>
            </w:pPr>
            <w:r w:rsidRPr="00AD62CD">
              <w:rPr>
                <w:rFonts w:ascii="Times New Roman" w:eastAsia="Calibri" w:hAnsi="Times New Roman" w:cs="Times New Roman"/>
                <w:color w:val="000000"/>
                <w:kern w:val="0"/>
                <w:sz w:val="20"/>
                <w:szCs w:val="20"/>
                <w14:ligatures w14:val="none"/>
              </w:rPr>
              <w:t>-18 724 000</w:t>
            </w:r>
          </w:p>
        </w:tc>
        <w:tc>
          <w:tcPr>
            <w:tcW w:w="1267" w:type="dxa"/>
            <w:noWrap/>
            <w:vAlign w:val="center"/>
          </w:tcPr>
          <w:p w14:paraId="12BED23A" w14:textId="77777777" w:rsidR="00AD62CD" w:rsidRPr="00AD62CD" w:rsidRDefault="00AD62CD" w:rsidP="00AD62CD">
            <w:pPr>
              <w:spacing w:after="0" w:line="240" w:lineRule="auto"/>
              <w:jc w:val="right"/>
              <w:rPr>
                <w:rFonts w:ascii="Times New Roman" w:eastAsia="Calibri" w:hAnsi="Times New Roman" w:cs="Times New Roman"/>
                <w:bCs/>
                <w:color w:val="000000"/>
                <w:kern w:val="0"/>
                <w:sz w:val="20"/>
                <w:szCs w:val="20"/>
                <w14:ligatures w14:val="none"/>
              </w:rPr>
            </w:pPr>
            <w:r w:rsidRPr="00AD62CD">
              <w:rPr>
                <w:rFonts w:ascii="Times New Roman" w:eastAsia="Calibri" w:hAnsi="Times New Roman" w:cs="Times New Roman"/>
                <w:color w:val="000000"/>
                <w:kern w:val="0"/>
                <w:sz w:val="20"/>
                <w:szCs w:val="20"/>
                <w14:ligatures w14:val="none"/>
              </w:rPr>
              <w:t>-24 152 000</w:t>
            </w:r>
          </w:p>
        </w:tc>
        <w:tc>
          <w:tcPr>
            <w:tcW w:w="1267" w:type="dxa"/>
            <w:noWrap/>
            <w:vAlign w:val="center"/>
          </w:tcPr>
          <w:p w14:paraId="3D93C0D4" w14:textId="77777777" w:rsidR="00AD62CD" w:rsidRPr="00AD62CD" w:rsidRDefault="00AD62CD" w:rsidP="00AD62CD">
            <w:pPr>
              <w:spacing w:after="0" w:line="240" w:lineRule="auto"/>
              <w:jc w:val="right"/>
              <w:rPr>
                <w:rFonts w:ascii="Times New Roman" w:eastAsia="Calibri" w:hAnsi="Times New Roman" w:cs="Times New Roman"/>
                <w:bCs/>
                <w:color w:val="000000"/>
                <w:kern w:val="0"/>
                <w:sz w:val="20"/>
                <w:szCs w:val="20"/>
                <w14:ligatures w14:val="none"/>
              </w:rPr>
            </w:pPr>
            <w:r w:rsidRPr="00AD62CD">
              <w:rPr>
                <w:rFonts w:ascii="Times New Roman" w:eastAsia="Calibri" w:hAnsi="Times New Roman" w:cs="Times New Roman"/>
                <w:color w:val="000000"/>
                <w:kern w:val="0"/>
                <w:sz w:val="20"/>
                <w:szCs w:val="20"/>
                <w14:ligatures w14:val="none"/>
              </w:rPr>
              <w:t>-25 137 000</w:t>
            </w:r>
          </w:p>
        </w:tc>
      </w:tr>
      <w:tr w:rsidR="00AD62CD" w:rsidRPr="00AD62CD" w14:paraId="2521EE05" w14:textId="77777777" w:rsidTr="003627DF">
        <w:trPr>
          <w:trHeight w:val="125"/>
          <w:jc w:val="center"/>
        </w:trPr>
        <w:tc>
          <w:tcPr>
            <w:tcW w:w="5942" w:type="dxa"/>
            <w:noWrap/>
            <w:vAlign w:val="center"/>
          </w:tcPr>
          <w:p w14:paraId="4836E21E"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Calibri" w:eastAsia="Calibri" w:hAnsi="Calibri" w:cs="Times New Roman"/>
                <w:b/>
                <w:bCs/>
                <w:i/>
                <w:iCs/>
                <w:color w:val="000000"/>
                <w:kern w:val="0"/>
                <w:sz w:val="22"/>
                <w:szCs w:val="22"/>
                <w14:ligatures w14:val="none"/>
              </w:rPr>
              <w:t xml:space="preserve"> - </w:t>
            </w:r>
            <w:r w:rsidRPr="00AD62CD">
              <w:rPr>
                <w:rFonts w:ascii="Times New Roman" w:eastAsia="Times New Roman" w:hAnsi="Times New Roman" w:cs="Times New Roman"/>
                <w:b/>
                <w:bCs/>
                <w:i/>
                <w:iCs/>
                <w:kern w:val="0"/>
                <w:sz w:val="20"/>
                <w:szCs w:val="20"/>
                <w:lang w:eastAsia="sk-SK"/>
                <w14:ligatures w14:val="none"/>
              </w:rPr>
              <w:t>vplyv na zdravotné poisťovne</w:t>
            </w:r>
          </w:p>
        </w:tc>
        <w:tc>
          <w:tcPr>
            <w:tcW w:w="1267" w:type="dxa"/>
            <w:noWrap/>
            <w:vAlign w:val="center"/>
          </w:tcPr>
          <w:p w14:paraId="7C8D75CE"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p>
        </w:tc>
        <w:tc>
          <w:tcPr>
            <w:tcW w:w="1267" w:type="dxa"/>
            <w:noWrap/>
            <w:vAlign w:val="center"/>
          </w:tcPr>
          <w:p w14:paraId="59ED6907"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436 707 000</w:t>
            </w:r>
          </w:p>
        </w:tc>
        <w:tc>
          <w:tcPr>
            <w:tcW w:w="1267" w:type="dxa"/>
            <w:noWrap/>
            <w:vAlign w:val="center"/>
          </w:tcPr>
          <w:p w14:paraId="03E321D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456 872 000</w:t>
            </w:r>
          </w:p>
        </w:tc>
        <w:tc>
          <w:tcPr>
            <w:tcW w:w="1267" w:type="dxa"/>
            <w:noWrap/>
            <w:vAlign w:val="center"/>
          </w:tcPr>
          <w:p w14:paraId="3B96D97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474 847 000</w:t>
            </w:r>
          </w:p>
        </w:tc>
      </w:tr>
      <w:tr w:rsidR="00AD62CD" w:rsidRPr="00AD62CD" w14:paraId="515EE868" w14:textId="77777777" w:rsidTr="003627DF">
        <w:trPr>
          <w:trHeight w:val="125"/>
          <w:jc w:val="center"/>
        </w:trPr>
        <w:tc>
          <w:tcPr>
            <w:tcW w:w="5942" w:type="dxa"/>
            <w:noWrap/>
            <w:vAlign w:val="center"/>
          </w:tcPr>
          <w:p w14:paraId="21B50159"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Cs/>
                <w:i/>
                <w:iCs/>
                <w:kern w:val="0"/>
                <w:sz w:val="20"/>
                <w:szCs w:val="20"/>
                <w:lang w:eastAsia="sk-SK"/>
                <w14:ligatures w14:val="none"/>
              </w:rPr>
              <w:t>v tom: (154) poistné</w:t>
            </w:r>
          </w:p>
        </w:tc>
        <w:tc>
          <w:tcPr>
            <w:tcW w:w="1267" w:type="dxa"/>
            <w:noWrap/>
            <w:vAlign w:val="center"/>
          </w:tcPr>
          <w:p w14:paraId="38016A68"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p>
        </w:tc>
        <w:tc>
          <w:tcPr>
            <w:tcW w:w="1267" w:type="dxa"/>
            <w:noWrap/>
            <w:vAlign w:val="center"/>
          </w:tcPr>
          <w:p w14:paraId="295BDEA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color w:val="000000"/>
                <w:kern w:val="0"/>
                <w:sz w:val="20"/>
                <w:szCs w:val="20"/>
                <w14:ligatures w14:val="none"/>
              </w:rPr>
              <w:t>436 707 000</w:t>
            </w:r>
          </w:p>
        </w:tc>
        <w:tc>
          <w:tcPr>
            <w:tcW w:w="1267" w:type="dxa"/>
            <w:noWrap/>
            <w:vAlign w:val="center"/>
          </w:tcPr>
          <w:p w14:paraId="4479F327"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color w:val="000000"/>
                <w:kern w:val="0"/>
                <w:sz w:val="20"/>
                <w:szCs w:val="20"/>
                <w14:ligatures w14:val="none"/>
              </w:rPr>
              <w:t>456 872 000</w:t>
            </w:r>
          </w:p>
        </w:tc>
        <w:tc>
          <w:tcPr>
            <w:tcW w:w="1267" w:type="dxa"/>
            <w:noWrap/>
            <w:vAlign w:val="center"/>
          </w:tcPr>
          <w:p w14:paraId="1571FF61"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color w:val="000000"/>
                <w:kern w:val="0"/>
                <w:sz w:val="20"/>
                <w:szCs w:val="20"/>
                <w14:ligatures w14:val="none"/>
              </w:rPr>
              <w:t>474 847 000</w:t>
            </w:r>
          </w:p>
        </w:tc>
      </w:tr>
      <w:tr w:rsidR="00AD62CD" w:rsidRPr="00AD62CD" w14:paraId="0755BA0A" w14:textId="77777777" w:rsidTr="003627DF">
        <w:trPr>
          <w:trHeight w:val="125"/>
          <w:jc w:val="center"/>
        </w:trPr>
        <w:tc>
          <w:tcPr>
            <w:tcW w:w="5942" w:type="dxa"/>
            <w:noWrap/>
            <w:vAlign w:val="center"/>
          </w:tcPr>
          <w:p w14:paraId="4106B227"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ostatné subjekty verejnej správy</w:t>
            </w:r>
          </w:p>
        </w:tc>
        <w:tc>
          <w:tcPr>
            <w:tcW w:w="1267" w:type="dxa"/>
            <w:noWrap/>
            <w:vAlign w:val="center"/>
          </w:tcPr>
          <w:p w14:paraId="38ED49E0"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tcPr>
          <w:p w14:paraId="0237E9B3"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tcPr>
          <w:p w14:paraId="360D2AE8"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tcPr>
          <w:p w14:paraId="3233C693"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2574D9FF" w14:textId="77777777" w:rsidTr="00AD62CD">
        <w:trPr>
          <w:trHeight w:val="125"/>
          <w:jc w:val="center"/>
        </w:trPr>
        <w:tc>
          <w:tcPr>
            <w:tcW w:w="5942" w:type="dxa"/>
            <w:shd w:val="clear" w:color="auto" w:fill="C0C0C0"/>
            <w:noWrap/>
            <w:vAlign w:val="center"/>
          </w:tcPr>
          <w:p w14:paraId="7ECED3CA"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verejnej správy celkom</w:t>
            </w:r>
          </w:p>
        </w:tc>
        <w:tc>
          <w:tcPr>
            <w:tcW w:w="1267" w:type="dxa"/>
            <w:shd w:val="clear" w:color="auto" w:fill="C0C0C0"/>
            <w:noWrap/>
            <w:vAlign w:val="center"/>
          </w:tcPr>
          <w:p w14:paraId="5F9FFB7F"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BFBFBF"/>
            <w:noWrap/>
          </w:tcPr>
          <w:p w14:paraId="17800E95"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BFBFBF"/>
            <w:noWrap/>
          </w:tcPr>
          <w:p w14:paraId="26BC1CA2"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BFBFBF"/>
            <w:noWrap/>
          </w:tcPr>
          <w:p w14:paraId="19A336AA"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r>
      <w:tr w:rsidR="00AD62CD" w:rsidRPr="00AD62CD" w14:paraId="567F7F9B" w14:textId="77777777" w:rsidTr="003627DF">
        <w:trPr>
          <w:trHeight w:val="70"/>
          <w:jc w:val="center"/>
        </w:trPr>
        <w:tc>
          <w:tcPr>
            <w:tcW w:w="5942" w:type="dxa"/>
            <w:noWrap/>
            <w:vAlign w:val="center"/>
          </w:tcPr>
          <w:p w14:paraId="0EDBD4FF"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v tom: za každý subjekt verejnej správy / program zvlášť</w:t>
            </w:r>
          </w:p>
        </w:tc>
        <w:tc>
          <w:tcPr>
            <w:tcW w:w="1267" w:type="dxa"/>
            <w:noWrap/>
            <w:vAlign w:val="center"/>
          </w:tcPr>
          <w:p w14:paraId="2286E772"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2C69CBB8"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71B91A5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6535A81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13BF9A8B" w14:textId="77777777" w:rsidTr="003627DF">
        <w:trPr>
          <w:trHeight w:val="70"/>
          <w:jc w:val="center"/>
        </w:trPr>
        <w:tc>
          <w:tcPr>
            <w:tcW w:w="5942" w:type="dxa"/>
            <w:noWrap/>
            <w:vAlign w:val="center"/>
          </w:tcPr>
          <w:p w14:paraId="744F4F0C"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xml:space="preserve">z toho: </w:t>
            </w:r>
          </w:p>
        </w:tc>
        <w:tc>
          <w:tcPr>
            <w:tcW w:w="1267" w:type="dxa"/>
            <w:noWrap/>
            <w:vAlign w:val="center"/>
          </w:tcPr>
          <w:p w14:paraId="21987539"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p>
        </w:tc>
        <w:tc>
          <w:tcPr>
            <w:tcW w:w="1267" w:type="dxa"/>
            <w:noWrap/>
            <w:vAlign w:val="center"/>
          </w:tcPr>
          <w:p w14:paraId="70D5DAE7"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p>
        </w:tc>
        <w:tc>
          <w:tcPr>
            <w:tcW w:w="1267" w:type="dxa"/>
            <w:noWrap/>
            <w:vAlign w:val="center"/>
          </w:tcPr>
          <w:p w14:paraId="573BCFE5"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p>
        </w:tc>
        <w:tc>
          <w:tcPr>
            <w:tcW w:w="1267" w:type="dxa"/>
            <w:noWrap/>
            <w:vAlign w:val="center"/>
          </w:tcPr>
          <w:p w14:paraId="2CA36753"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p>
        </w:tc>
      </w:tr>
      <w:tr w:rsidR="00AD62CD" w:rsidRPr="00AD62CD" w14:paraId="14F31E88" w14:textId="77777777" w:rsidTr="003627DF">
        <w:trPr>
          <w:trHeight w:val="70"/>
          <w:jc w:val="center"/>
        </w:trPr>
        <w:tc>
          <w:tcPr>
            <w:tcW w:w="5942" w:type="dxa"/>
            <w:noWrap/>
            <w:vAlign w:val="center"/>
          </w:tcPr>
          <w:p w14:paraId="38989399"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ŠR</w:t>
            </w:r>
          </w:p>
        </w:tc>
        <w:tc>
          <w:tcPr>
            <w:tcW w:w="1267" w:type="dxa"/>
            <w:noWrap/>
            <w:vAlign w:val="center"/>
          </w:tcPr>
          <w:p w14:paraId="50632AE6"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07719CFD"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2CA04AD0"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1C62CA2F"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0C1481D9" w14:textId="77777777" w:rsidTr="003627DF">
        <w:trPr>
          <w:trHeight w:val="70"/>
          <w:jc w:val="center"/>
        </w:trPr>
        <w:tc>
          <w:tcPr>
            <w:tcW w:w="5942" w:type="dxa"/>
            <w:noWrap/>
            <w:vAlign w:val="center"/>
          </w:tcPr>
          <w:p w14:paraId="4DE6F663" w14:textId="77777777" w:rsidR="00AD62CD" w:rsidRPr="00AD62CD" w:rsidRDefault="00AD62CD" w:rsidP="00AD62CD">
            <w:pPr>
              <w:spacing w:after="0" w:line="240" w:lineRule="auto"/>
              <w:ind w:left="259"/>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Cs/>
                <w:i/>
                <w:iCs/>
                <w:kern w:val="0"/>
                <w:sz w:val="20"/>
                <w:szCs w:val="20"/>
                <w:lang w:eastAsia="sk-SK"/>
                <w14:ligatures w14:val="none"/>
              </w:rPr>
              <w:t xml:space="preserve">Rozpočtové prostriedky </w:t>
            </w:r>
          </w:p>
        </w:tc>
        <w:tc>
          <w:tcPr>
            <w:tcW w:w="1267" w:type="dxa"/>
            <w:noWrap/>
            <w:vAlign w:val="center"/>
          </w:tcPr>
          <w:p w14:paraId="30870989"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bottom"/>
          </w:tcPr>
          <w:p w14:paraId="478590E1"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267" w:type="dxa"/>
            <w:noWrap/>
            <w:vAlign w:val="bottom"/>
          </w:tcPr>
          <w:p w14:paraId="6A13E5D9"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267" w:type="dxa"/>
            <w:noWrap/>
            <w:vAlign w:val="bottom"/>
          </w:tcPr>
          <w:p w14:paraId="18659512"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r>
      <w:tr w:rsidR="00AD62CD" w:rsidRPr="00AD62CD" w14:paraId="3003ACFB" w14:textId="77777777" w:rsidTr="003627DF">
        <w:trPr>
          <w:trHeight w:val="70"/>
          <w:jc w:val="center"/>
        </w:trPr>
        <w:tc>
          <w:tcPr>
            <w:tcW w:w="5942" w:type="dxa"/>
            <w:noWrap/>
            <w:vAlign w:val="center"/>
          </w:tcPr>
          <w:p w14:paraId="09C61F0D" w14:textId="77777777" w:rsidR="00AD62CD" w:rsidRPr="00AD62CD" w:rsidRDefault="00AD62CD" w:rsidP="00AD62CD">
            <w:pPr>
              <w:spacing w:after="0" w:line="240" w:lineRule="auto"/>
              <w:rPr>
                <w:rFonts w:ascii="Times New Roman" w:eastAsia="Times New Roman" w:hAnsi="Times New Roman" w:cs="Times New Roman"/>
                <w:bCs/>
                <w:i/>
                <w:iCs/>
                <w:kern w:val="0"/>
                <w:sz w:val="20"/>
                <w:szCs w:val="20"/>
                <w:lang w:eastAsia="sk-SK"/>
                <w14:ligatures w14:val="none"/>
              </w:rPr>
            </w:pPr>
            <w:r w:rsidRPr="00AD62CD">
              <w:rPr>
                <w:rFonts w:ascii="Times New Roman" w:eastAsia="Times New Roman" w:hAnsi="Times New Roman" w:cs="Times New Roman"/>
                <w:bCs/>
                <w:i/>
                <w:iCs/>
                <w:kern w:val="0"/>
                <w:sz w:val="20"/>
                <w:szCs w:val="20"/>
                <w:lang w:eastAsia="sk-SK"/>
                <w14:ligatures w14:val="none"/>
              </w:rPr>
              <w:t xml:space="preserve">    EÚ zdroje</w:t>
            </w:r>
          </w:p>
        </w:tc>
        <w:tc>
          <w:tcPr>
            <w:tcW w:w="1267" w:type="dxa"/>
            <w:noWrap/>
            <w:vAlign w:val="center"/>
          </w:tcPr>
          <w:p w14:paraId="10A1F89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30C960B0"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388F1881"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64ABDB2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2ECDA004" w14:textId="77777777" w:rsidTr="003627DF">
        <w:trPr>
          <w:trHeight w:val="70"/>
          <w:jc w:val="center"/>
        </w:trPr>
        <w:tc>
          <w:tcPr>
            <w:tcW w:w="5942" w:type="dxa"/>
            <w:noWrap/>
            <w:vAlign w:val="center"/>
          </w:tcPr>
          <w:p w14:paraId="180FE10B" w14:textId="77777777" w:rsidR="00AD62CD" w:rsidRPr="00AD62CD" w:rsidRDefault="00AD62CD" w:rsidP="00AD62CD">
            <w:pPr>
              <w:spacing w:after="0" w:line="240" w:lineRule="auto"/>
              <w:rPr>
                <w:rFonts w:ascii="Times New Roman" w:eastAsia="Times New Roman" w:hAnsi="Times New Roman" w:cs="Times New Roman"/>
                <w:bCs/>
                <w:i/>
                <w:iCs/>
                <w:kern w:val="0"/>
                <w:sz w:val="20"/>
                <w:szCs w:val="20"/>
                <w:lang w:eastAsia="sk-SK"/>
                <w14:ligatures w14:val="none"/>
              </w:rPr>
            </w:pPr>
            <w:r w:rsidRPr="00AD62CD">
              <w:rPr>
                <w:rFonts w:ascii="Times New Roman" w:eastAsia="Times New Roman" w:hAnsi="Times New Roman" w:cs="Times New Roman"/>
                <w:bCs/>
                <w:i/>
                <w:iCs/>
                <w:kern w:val="0"/>
                <w:sz w:val="20"/>
                <w:szCs w:val="20"/>
                <w:lang w:eastAsia="sk-SK"/>
                <w14:ligatures w14:val="none"/>
              </w:rPr>
              <w:t xml:space="preserve">    spolufinancovanie</w:t>
            </w:r>
          </w:p>
        </w:tc>
        <w:tc>
          <w:tcPr>
            <w:tcW w:w="1267" w:type="dxa"/>
            <w:noWrap/>
            <w:vAlign w:val="center"/>
          </w:tcPr>
          <w:p w14:paraId="34391DE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0E3C84D4"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42C07A0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6D173809"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08E24EE4" w14:textId="77777777" w:rsidTr="003627DF">
        <w:trPr>
          <w:trHeight w:val="125"/>
          <w:jc w:val="center"/>
        </w:trPr>
        <w:tc>
          <w:tcPr>
            <w:tcW w:w="5942" w:type="dxa"/>
            <w:noWrap/>
            <w:vAlign w:val="center"/>
          </w:tcPr>
          <w:p w14:paraId="21807EEA"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obce</w:t>
            </w:r>
          </w:p>
        </w:tc>
        <w:tc>
          <w:tcPr>
            <w:tcW w:w="1267" w:type="dxa"/>
            <w:noWrap/>
            <w:vAlign w:val="center"/>
          </w:tcPr>
          <w:p w14:paraId="59919918"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41AB0F80"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5A7E7CE9"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418AE790"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798597E4" w14:textId="77777777" w:rsidTr="003627DF">
        <w:trPr>
          <w:trHeight w:val="125"/>
          <w:jc w:val="center"/>
        </w:trPr>
        <w:tc>
          <w:tcPr>
            <w:tcW w:w="5942" w:type="dxa"/>
            <w:noWrap/>
            <w:vAlign w:val="center"/>
          </w:tcPr>
          <w:p w14:paraId="6CF9308E" w14:textId="77777777" w:rsidR="00AD62CD" w:rsidRPr="00AD62CD" w:rsidRDefault="00AD62CD" w:rsidP="00AD62CD">
            <w:pPr>
              <w:spacing w:after="0" w:line="240" w:lineRule="auto"/>
              <w:ind w:left="255"/>
              <w:rPr>
                <w:rFonts w:ascii="Times New Roman" w:eastAsia="Times New Roman" w:hAnsi="Times New Roman" w:cs="Times New Roman"/>
                <w:bCs/>
                <w:i/>
                <w:iCs/>
                <w:kern w:val="0"/>
                <w:sz w:val="20"/>
                <w:szCs w:val="20"/>
                <w:lang w:eastAsia="sk-SK"/>
                <w14:ligatures w14:val="none"/>
              </w:rPr>
            </w:pPr>
            <w:r w:rsidRPr="00AD62CD">
              <w:rPr>
                <w:rFonts w:ascii="Times New Roman" w:eastAsia="Times New Roman" w:hAnsi="Times New Roman" w:cs="Times New Roman"/>
                <w:bCs/>
                <w:i/>
                <w:iCs/>
                <w:kern w:val="0"/>
                <w:sz w:val="20"/>
                <w:szCs w:val="20"/>
                <w:lang w:eastAsia="sk-SK"/>
                <w14:ligatures w14:val="none"/>
              </w:rPr>
              <w:t>z toho vplyv nových úloh v zmysle ods. 2 Čl. 6 ústavného zákona č. 493/2011 Z. z. o rozpočtovej zodpovednosti</w:t>
            </w:r>
          </w:p>
        </w:tc>
        <w:tc>
          <w:tcPr>
            <w:tcW w:w="1267" w:type="dxa"/>
            <w:noWrap/>
            <w:vAlign w:val="center"/>
          </w:tcPr>
          <w:p w14:paraId="2EC8AC7A" w14:textId="77777777" w:rsidR="00AD62CD" w:rsidRPr="00AD62CD" w:rsidRDefault="00AD62CD" w:rsidP="00AD62CD">
            <w:pPr>
              <w:spacing w:after="0" w:line="240" w:lineRule="auto"/>
              <w:jc w:val="right"/>
              <w:rPr>
                <w:rFonts w:ascii="Times New Roman" w:eastAsia="Times New Roman" w:hAnsi="Times New Roman" w:cs="Times New Roman"/>
                <w:bCs/>
                <w:iCs/>
                <w:kern w:val="0"/>
                <w:sz w:val="20"/>
                <w:szCs w:val="20"/>
                <w:lang w:eastAsia="sk-SK"/>
                <w14:ligatures w14:val="none"/>
              </w:rPr>
            </w:pPr>
            <w:r w:rsidRPr="00AD62CD">
              <w:rPr>
                <w:rFonts w:ascii="Times New Roman" w:eastAsia="Times New Roman" w:hAnsi="Times New Roman" w:cs="Times New Roman"/>
                <w:bCs/>
                <w:iCs/>
                <w:kern w:val="0"/>
                <w:sz w:val="20"/>
                <w:szCs w:val="20"/>
                <w:lang w:eastAsia="sk-SK"/>
                <w14:ligatures w14:val="none"/>
              </w:rPr>
              <w:t>0</w:t>
            </w:r>
          </w:p>
        </w:tc>
        <w:tc>
          <w:tcPr>
            <w:tcW w:w="1267" w:type="dxa"/>
            <w:noWrap/>
            <w:vAlign w:val="center"/>
          </w:tcPr>
          <w:p w14:paraId="638D8595" w14:textId="77777777" w:rsidR="00AD62CD" w:rsidRPr="00AD62CD" w:rsidRDefault="00AD62CD" w:rsidP="00AD62CD">
            <w:pPr>
              <w:spacing w:after="0" w:line="240" w:lineRule="auto"/>
              <w:jc w:val="right"/>
              <w:rPr>
                <w:rFonts w:ascii="Times New Roman" w:eastAsia="Times New Roman" w:hAnsi="Times New Roman" w:cs="Times New Roman"/>
                <w:bCs/>
                <w:iCs/>
                <w:kern w:val="0"/>
                <w:sz w:val="20"/>
                <w:szCs w:val="20"/>
                <w:lang w:eastAsia="sk-SK"/>
                <w14:ligatures w14:val="none"/>
              </w:rPr>
            </w:pPr>
            <w:r w:rsidRPr="00AD62CD">
              <w:rPr>
                <w:rFonts w:ascii="Times New Roman" w:eastAsia="Times New Roman" w:hAnsi="Times New Roman" w:cs="Times New Roman"/>
                <w:bCs/>
                <w:iCs/>
                <w:kern w:val="0"/>
                <w:sz w:val="20"/>
                <w:szCs w:val="20"/>
                <w:lang w:eastAsia="sk-SK"/>
                <w14:ligatures w14:val="none"/>
              </w:rPr>
              <w:t>0</w:t>
            </w:r>
          </w:p>
        </w:tc>
        <w:tc>
          <w:tcPr>
            <w:tcW w:w="1267" w:type="dxa"/>
            <w:noWrap/>
            <w:vAlign w:val="center"/>
          </w:tcPr>
          <w:p w14:paraId="474A86FC" w14:textId="77777777" w:rsidR="00AD62CD" w:rsidRPr="00AD62CD" w:rsidRDefault="00AD62CD" w:rsidP="00AD62CD">
            <w:pPr>
              <w:spacing w:after="0" w:line="240" w:lineRule="auto"/>
              <w:jc w:val="right"/>
              <w:rPr>
                <w:rFonts w:ascii="Times New Roman" w:eastAsia="Times New Roman" w:hAnsi="Times New Roman" w:cs="Times New Roman"/>
                <w:bCs/>
                <w:iCs/>
                <w:kern w:val="0"/>
                <w:sz w:val="20"/>
                <w:szCs w:val="20"/>
                <w:lang w:eastAsia="sk-SK"/>
                <w14:ligatures w14:val="none"/>
              </w:rPr>
            </w:pPr>
            <w:r w:rsidRPr="00AD62CD">
              <w:rPr>
                <w:rFonts w:ascii="Times New Roman" w:eastAsia="Times New Roman" w:hAnsi="Times New Roman" w:cs="Times New Roman"/>
                <w:bCs/>
                <w:iCs/>
                <w:kern w:val="0"/>
                <w:sz w:val="20"/>
                <w:szCs w:val="20"/>
                <w:lang w:eastAsia="sk-SK"/>
                <w14:ligatures w14:val="none"/>
              </w:rPr>
              <w:t>0</w:t>
            </w:r>
          </w:p>
        </w:tc>
        <w:tc>
          <w:tcPr>
            <w:tcW w:w="1267" w:type="dxa"/>
            <w:noWrap/>
            <w:vAlign w:val="center"/>
          </w:tcPr>
          <w:p w14:paraId="112953EE" w14:textId="77777777" w:rsidR="00AD62CD" w:rsidRPr="00AD62CD" w:rsidRDefault="00AD62CD" w:rsidP="00AD62CD">
            <w:pPr>
              <w:spacing w:after="0" w:line="240" w:lineRule="auto"/>
              <w:jc w:val="right"/>
              <w:rPr>
                <w:rFonts w:ascii="Times New Roman" w:eastAsia="Times New Roman" w:hAnsi="Times New Roman" w:cs="Times New Roman"/>
                <w:bCs/>
                <w:iCs/>
                <w:kern w:val="0"/>
                <w:sz w:val="20"/>
                <w:szCs w:val="20"/>
                <w:lang w:eastAsia="sk-SK"/>
                <w14:ligatures w14:val="none"/>
              </w:rPr>
            </w:pPr>
            <w:r w:rsidRPr="00AD62CD">
              <w:rPr>
                <w:rFonts w:ascii="Times New Roman" w:eastAsia="Times New Roman" w:hAnsi="Times New Roman" w:cs="Times New Roman"/>
                <w:bCs/>
                <w:iCs/>
                <w:kern w:val="0"/>
                <w:sz w:val="20"/>
                <w:szCs w:val="20"/>
                <w:lang w:eastAsia="sk-SK"/>
                <w14:ligatures w14:val="none"/>
              </w:rPr>
              <w:t>0</w:t>
            </w:r>
          </w:p>
        </w:tc>
      </w:tr>
      <w:tr w:rsidR="00AD62CD" w:rsidRPr="00AD62CD" w14:paraId="00B2C222" w14:textId="77777777" w:rsidTr="003627DF">
        <w:trPr>
          <w:trHeight w:val="125"/>
          <w:jc w:val="center"/>
        </w:trPr>
        <w:tc>
          <w:tcPr>
            <w:tcW w:w="5942" w:type="dxa"/>
            <w:noWrap/>
            <w:vAlign w:val="center"/>
          </w:tcPr>
          <w:p w14:paraId="1520FC25"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vyššie územné celky</w:t>
            </w:r>
          </w:p>
        </w:tc>
        <w:tc>
          <w:tcPr>
            <w:tcW w:w="1267" w:type="dxa"/>
            <w:noWrap/>
            <w:vAlign w:val="center"/>
          </w:tcPr>
          <w:p w14:paraId="2D75C3BA"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19E27776"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200DA8E2"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4714B6B9"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0F7324A9" w14:textId="77777777" w:rsidTr="003627DF">
        <w:trPr>
          <w:trHeight w:val="125"/>
          <w:jc w:val="center"/>
        </w:trPr>
        <w:tc>
          <w:tcPr>
            <w:tcW w:w="5942" w:type="dxa"/>
            <w:noWrap/>
            <w:vAlign w:val="center"/>
          </w:tcPr>
          <w:p w14:paraId="64CE4D8B" w14:textId="77777777" w:rsidR="00AD62CD" w:rsidRPr="00AD62CD" w:rsidRDefault="00AD62CD" w:rsidP="00AD62CD">
            <w:pPr>
              <w:spacing w:after="0" w:line="240" w:lineRule="auto"/>
              <w:ind w:left="255"/>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Cs/>
                <w:i/>
                <w:iCs/>
                <w:kern w:val="0"/>
                <w:sz w:val="20"/>
                <w:szCs w:val="20"/>
                <w:lang w:eastAsia="sk-SK"/>
                <w14:ligatures w14:val="none"/>
              </w:rPr>
              <w:t>z toho vplyv nových úloh v zmysle ods. 2 Čl. 6 ústavného zákona č. 493/2011 Z. z. o rozpočtovej zodpovednosti</w:t>
            </w:r>
          </w:p>
        </w:tc>
        <w:tc>
          <w:tcPr>
            <w:tcW w:w="1267" w:type="dxa"/>
            <w:noWrap/>
            <w:vAlign w:val="center"/>
          </w:tcPr>
          <w:p w14:paraId="5981BA5E"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Cs/>
                <w:iCs/>
                <w:kern w:val="0"/>
                <w:sz w:val="20"/>
                <w:szCs w:val="20"/>
                <w:lang w:eastAsia="sk-SK"/>
                <w14:ligatures w14:val="none"/>
              </w:rPr>
              <w:t>0</w:t>
            </w:r>
          </w:p>
        </w:tc>
        <w:tc>
          <w:tcPr>
            <w:tcW w:w="1267" w:type="dxa"/>
            <w:noWrap/>
            <w:vAlign w:val="center"/>
          </w:tcPr>
          <w:p w14:paraId="60D78A87"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Cs/>
                <w:iCs/>
                <w:kern w:val="0"/>
                <w:sz w:val="20"/>
                <w:szCs w:val="20"/>
                <w:lang w:eastAsia="sk-SK"/>
                <w14:ligatures w14:val="none"/>
              </w:rPr>
              <w:t>0</w:t>
            </w:r>
          </w:p>
        </w:tc>
        <w:tc>
          <w:tcPr>
            <w:tcW w:w="1267" w:type="dxa"/>
            <w:noWrap/>
            <w:vAlign w:val="center"/>
          </w:tcPr>
          <w:p w14:paraId="47EA49D7"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Cs/>
                <w:iCs/>
                <w:kern w:val="0"/>
                <w:sz w:val="20"/>
                <w:szCs w:val="20"/>
                <w:lang w:eastAsia="sk-SK"/>
                <w14:ligatures w14:val="none"/>
              </w:rPr>
              <w:t>0</w:t>
            </w:r>
          </w:p>
        </w:tc>
        <w:tc>
          <w:tcPr>
            <w:tcW w:w="1267" w:type="dxa"/>
            <w:noWrap/>
            <w:vAlign w:val="center"/>
          </w:tcPr>
          <w:p w14:paraId="021F8D0F"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Cs/>
                <w:iCs/>
                <w:kern w:val="0"/>
                <w:sz w:val="20"/>
                <w:szCs w:val="20"/>
                <w:lang w:eastAsia="sk-SK"/>
                <w14:ligatures w14:val="none"/>
              </w:rPr>
              <w:t>0</w:t>
            </w:r>
          </w:p>
        </w:tc>
      </w:tr>
      <w:tr w:rsidR="00AD62CD" w:rsidRPr="00AD62CD" w14:paraId="3FE959B1" w14:textId="77777777" w:rsidTr="003627DF">
        <w:trPr>
          <w:trHeight w:val="70"/>
          <w:jc w:val="center"/>
        </w:trPr>
        <w:tc>
          <w:tcPr>
            <w:tcW w:w="5942" w:type="dxa"/>
            <w:noWrap/>
            <w:vAlign w:val="center"/>
          </w:tcPr>
          <w:p w14:paraId="4F522151"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ostatné subjekty verejnej správy</w:t>
            </w:r>
          </w:p>
        </w:tc>
        <w:tc>
          <w:tcPr>
            <w:tcW w:w="1267" w:type="dxa"/>
            <w:noWrap/>
            <w:vAlign w:val="center"/>
          </w:tcPr>
          <w:p w14:paraId="1CD4FA91"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319D53DC"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7BA6E7D3"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4D187FBD"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2E0630F5" w14:textId="77777777" w:rsidTr="00AD62CD">
        <w:trPr>
          <w:trHeight w:val="70"/>
          <w:jc w:val="center"/>
        </w:trPr>
        <w:tc>
          <w:tcPr>
            <w:tcW w:w="5942" w:type="dxa"/>
            <w:shd w:val="clear" w:color="auto" w:fill="BFBFBF"/>
            <w:noWrap/>
            <w:vAlign w:val="center"/>
          </w:tcPr>
          <w:p w14:paraId="7622A195"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xml:space="preserve">Vplyv na počet zamestnancov </w:t>
            </w:r>
          </w:p>
        </w:tc>
        <w:tc>
          <w:tcPr>
            <w:tcW w:w="1267" w:type="dxa"/>
            <w:shd w:val="clear" w:color="auto" w:fill="BFBFBF"/>
            <w:noWrap/>
            <w:vAlign w:val="center"/>
          </w:tcPr>
          <w:p w14:paraId="299DB981"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BFBFBF"/>
            <w:noWrap/>
          </w:tcPr>
          <w:p w14:paraId="22E264C1"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BFBFBF"/>
            <w:noWrap/>
          </w:tcPr>
          <w:p w14:paraId="6240004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BFBFBF"/>
            <w:noWrap/>
          </w:tcPr>
          <w:p w14:paraId="4C5683AC"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r>
      <w:tr w:rsidR="00AD62CD" w:rsidRPr="00AD62CD" w14:paraId="3BA2D1F7" w14:textId="77777777" w:rsidTr="003627DF">
        <w:trPr>
          <w:trHeight w:val="70"/>
          <w:jc w:val="center"/>
        </w:trPr>
        <w:tc>
          <w:tcPr>
            <w:tcW w:w="5942" w:type="dxa"/>
            <w:noWrap/>
            <w:vAlign w:val="center"/>
          </w:tcPr>
          <w:p w14:paraId="3E90E7D1"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ŠR</w:t>
            </w:r>
          </w:p>
        </w:tc>
        <w:tc>
          <w:tcPr>
            <w:tcW w:w="1267" w:type="dxa"/>
            <w:noWrap/>
            <w:vAlign w:val="center"/>
          </w:tcPr>
          <w:p w14:paraId="581A1B56"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7C9786FC"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5C225C18"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2D33E9F3"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50AE3C73" w14:textId="77777777" w:rsidTr="003627DF">
        <w:trPr>
          <w:trHeight w:val="70"/>
          <w:jc w:val="center"/>
        </w:trPr>
        <w:tc>
          <w:tcPr>
            <w:tcW w:w="5942" w:type="dxa"/>
            <w:noWrap/>
            <w:vAlign w:val="center"/>
          </w:tcPr>
          <w:p w14:paraId="705DBD88"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obce</w:t>
            </w:r>
          </w:p>
        </w:tc>
        <w:tc>
          <w:tcPr>
            <w:tcW w:w="1267" w:type="dxa"/>
            <w:noWrap/>
            <w:vAlign w:val="center"/>
          </w:tcPr>
          <w:p w14:paraId="573CEB36"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57186A88"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5EBBBD2B"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63550BB0"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3D540B40" w14:textId="77777777" w:rsidTr="003627DF">
        <w:trPr>
          <w:trHeight w:val="70"/>
          <w:jc w:val="center"/>
        </w:trPr>
        <w:tc>
          <w:tcPr>
            <w:tcW w:w="5942" w:type="dxa"/>
            <w:noWrap/>
            <w:vAlign w:val="center"/>
          </w:tcPr>
          <w:p w14:paraId="4751D5A1"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vyššie územné celky</w:t>
            </w:r>
          </w:p>
        </w:tc>
        <w:tc>
          <w:tcPr>
            <w:tcW w:w="1267" w:type="dxa"/>
            <w:noWrap/>
            <w:vAlign w:val="center"/>
          </w:tcPr>
          <w:p w14:paraId="297D50C4"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4790296C"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0091F33F"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7A2D77A6"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1ADAB605" w14:textId="77777777" w:rsidTr="003627DF">
        <w:trPr>
          <w:trHeight w:val="70"/>
          <w:jc w:val="center"/>
        </w:trPr>
        <w:tc>
          <w:tcPr>
            <w:tcW w:w="5942" w:type="dxa"/>
            <w:noWrap/>
            <w:vAlign w:val="center"/>
          </w:tcPr>
          <w:p w14:paraId="5C406380"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ostatné subjekty verejnej správy</w:t>
            </w:r>
          </w:p>
        </w:tc>
        <w:tc>
          <w:tcPr>
            <w:tcW w:w="1267" w:type="dxa"/>
            <w:noWrap/>
            <w:vAlign w:val="center"/>
          </w:tcPr>
          <w:p w14:paraId="2D3609C1"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0D210C4E"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47E1C1FC"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3ADBBC7C"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3EB1EE73" w14:textId="77777777" w:rsidTr="00AD62CD">
        <w:trPr>
          <w:trHeight w:val="70"/>
          <w:jc w:val="center"/>
        </w:trPr>
        <w:tc>
          <w:tcPr>
            <w:tcW w:w="5942" w:type="dxa"/>
            <w:shd w:val="clear" w:color="auto" w:fill="BFBFBF"/>
            <w:noWrap/>
            <w:vAlign w:val="center"/>
          </w:tcPr>
          <w:p w14:paraId="5385908B" w14:textId="77777777" w:rsidR="00AD62CD" w:rsidRPr="00AD62CD" w:rsidRDefault="00AD62CD" w:rsidP="00AD62CD">
            <w:pPr>
              <w:spacing w:after="0" w:line="240" w:lineRule="auto"/>
              <w:rPr>
                <w:rFonts w:ascii="Times New Roman" w:eastAsia="Times New Roman" w:hAnsi="Times New Roman" w:cs="Times New Roman"/>
                <w:b/>
                <w:kern w:val="0"/>
                <w:sz w:val="20"/>
                <w:szCs w:val="20"/>
                <w:lang w:eastAsia="sk-SK"/>
                <w14:ligatures w14:val="none"/>
              </w:rPr>
            </w:pPr>
            <w:r w:rsidRPr="00AD62CD">
              <w:rPr>
                <w:rFonts w:ascii="Times New Roman" w:eastAsia="Times New Roman" w:hAnsi="Times New Roman" w:cs="Times New Roman"/>
                <w:b/>
                <w:kern w:val="0"/>
                <w:sz w:val="20"/>
                <w:szCs w:val="20"/>
                <w:lang w:eastAsia="sk-SK"/>
                <w14:ligatures w14:val="none"/>
              </w:rPr>
              <w:t>Vplyv na mzdové výdavky</w:t>
            </w:r>
          </w:p>
        </w:tc>
        <w:tc>
          <w:tcPr>
            <w:tcW w:w="1267" w:type="dxa"/>
            <w:shd w:val="clear" w:color="auto" w:fill="BFBFBF"/>
            <w:noWrap/>
            <w:vAlign w:val="center"/>
          </w:tcPr>
          <w:p w14:paraId="4606FD36" w14:textId="77777777" w:rsidR="00AD62CD" w:rsidRPr="00AD62CD" w:rsidRDefault="00AD62CD" w:rsidP="00AD62CD">
            <w:pPr>
              <w:spacing w:after="0" w:line="240" w:lineRule="auto"/>
              <w:jc w:val="right"/>
              <w:rPr>
                <w:rFonts w:ascii="Times New Roman" w:eastAsia="Times New Roman" w:hAnsi="Times New Roman" w:cs="Times New Roman"/>
                <w:b/>
                <w:kern w:val="0"/>
                <w:sz w:val="20"/>
                <w:szCs w:val="20"/>
                <w:lang w:eastAsia="sk-SK"/>
                <w14:ligatures w14:val="none"/>
              </w:rPr>
            </w:pPr>
            <w:r w:rsidRPr="00AD62CD">
              <w:rPr>
                <w:rFonts w:ascii="Times New Roman" w:eastAsia="Times New Roman" w:hAnsi="Times New Roman" w:cs="Times New Roman"/>
                <w:b/>
                <w:kern w:val="0"/>
                <w:sz w:val="20"/>
                <w:szCs w:val="20"/>
                <w:lang w:eastAsia="sk-SK"/>
                <w14:ligatures w14:val="none"/>
              </w:rPr>
              <w:t>0</w:t>
            </w:r>
          </w:p>
        </w:tc>
        <w:tc>
          <w:tcPr>
            <w:tcW w:w="1267" w:type="dxa"/>
            <w:shd w:val="clear" w:color="auto" w:fill="BFBFBF"/>
            <w:noWrap/>
            <w:vAlign w:val="center"/>
          </w:tcPr>
          <w:p w14:paraId="152CDCDB" w14:textId="77777777" w:rsidR="00AD62CD" w:rsidRPr="00AD62CD" w:rsidRDefault="00AD62CD" w:rsidP="00AD62CD">
            <w:pPr>
              <w:spacing w:after="0" w:line="240" w:lineRule="auto"/>
              <w:jc w:val="right"/>
              <w:rPr>
                <w:rFonts w:ascii="Times New Roman" w:eastAsia="Times New Roman" w:hAnsi="Times New Roman" w:cs="Times New Roman"/>
                <w:b/>
                <w:kern w:val="0"/>
                <w:sz w:val="20"/>
                <w:szCs w:val="20"/>
                <w:lang w:eastAsia="sk-SK"/>
                <w14:ligatures w14:val="none"/>
              </w:rPr>
            </w:pPr>
            <w:r w:rsidRPr="00AD62CD">
              <w:rPr>
                <w:rFonts w:ascii="Times New Roman" w:eastAsia="Times New Roman" w:hAnsi="Times New Roman" w:cs="Times New Roman"/>
                <w:b/>
                <w:kern w:val="0"/>
                <w:sz w:val="20"/>
                <w:szCs w:val="20"/>
                <w:lang w:eastAsia="sk-SK"/>
                <w14:ligatures w14:val="none"/>
              </w:rPr>
              <w:t>0</w:t>
            </w:r>
          </w:p>
        </w:tc>
        <w:tc>
          <w:tcPr>
            <w:tcW w:w="1267" w:type="dxa"/>
            <w:shd w:val="clear" w:color="auto" w:fill="BFBFBF"/>
            <w:noWrap/>
            <w:vAlign w:val="center"/>
          </w:tcPr>
          <w:p w14:paraId="75218809" w14:textId="77777777" w:rsidR="00AD62CD" w:rsidRPr="00AD62CD" w:rsidRDefault="00AD62CD" w:rsidP="00AD62CD">
            <w:pPr>
              <w:spacing w:after="0" w:line="240" w:lineRule="auto"/>
              <w:jc w:val="right"/>
              <w:rPr>
                <w:rFonts w:ascii="Times New Roman" w:eastAsia="Times New Roman" w:hAnsi="Times New Roman" w:cs="Times New Roman"/>
                <w:b/>
                <w:kern w:val="0"/>
                <w:sz w:val="20"/>
                <w:szCs w:val="20"/>
                <w:lang w:eastAsia="sk-SK"/>
                <w14:ligatures w14:val="none"/>
              </w:rPr>
            </w:pPr>
            <w:r w:rsidRPr="00AD62CD">
              <w:rPr>
                <w:rFonts w:ascii="Times New Roman" w:eastAsia="Times New Roman" w:hAnsi="Times New Roman" w:cs="Times New Roman"/>
                <w:b/>
                <w:kern w:val="0"/>
                <w:sz w:val="20"/>
                <w:szCs w:val="20"/>
                <w:lang w:eastAsia="sk-SK"/>
                <w14:ligatures w14:val="none"/>
              </w:rPr>
              <w:t>0</w:t>
            </w:r>
          </w:p>
        </w:tc>
        <w:tc>
          <w:tcPr>
            <w:tcW w:w="1267" w:type="dxa"/>
            <w:shd w:val="clear" w:color="auto" w:fill="BFBFBF"/>
            <w:noWrap/>
            <w:vAlign w:val="center"/>
          </w:tcPr>
          <w:p w14:paraId="226CB03E" w14:textId="77777777" w:rsidR="00AD62CD" w:rsidRPr="00AD62CD" w:rsidRDefault="00AD62CD" w:rsidP="00AD62CD">
            <w:pPr>
              <w:spacing w:after="0" w:line="240" w:lineRule="auto"/>
              <w:jc w:val="right"/>
              <w:rPr>
                <w:rFonts w:ascii="Times New Roman" w:eastAsia="Times New Roman" w:hAnsi="Times New Roman" w:cs="Times New Roman"/>
                <w:b/>
                <w:kern w:val="0"/>
                <w:sz w:val="20"/>
                <w:szCs w:val="20"/>
                <w:lang w:eastAsia="sk-SK"/>
                <w14:ligatures w14:val="none"/>
              </w:rPr>
            </w:pPr>
            <w:r w:rsidRPr="00AD62CD">
              <w:rPr>
                <w:rFonts w:ascii="Times New Roman" w:eastAsia="Times New Roman" w:hAnsi="Times New Roman" w:cs="Times New Roman"/>
                <w:b/>
                <w:kern w:val="0"/>
                <w:sz w:val="20"/>
                <w:szCs w:val="20"/>
                <w:lang w:eastAsia="sk-SK"/>
                <w14:ligatures w14:val="none"/>
              </w:rPr>
              <w:t>0</w:t>
            </w:r>
          </w:p>
        </w:tc>
      </w:tr>
      <w:tr w:rsidR="00AD62CD" w:rsidRPr="00AD62CD" w14:paraId="650FC72C" w14:textId="77777777" w:rsidTr="003627DF">
        <w:trPr>
          <w:trHeight w:val="70"/>
          <w:jc w:val="center"/>
        </w:trPr>
        <w:tc>
          <w:tcPr>
            <w:tcW w:w="5942" w:type="dxa"/>
            <w:noWrap/>
            <w:vAlign w:val="center"/>
          </w:tcPr>
          <w:p w14:paraId="4B1586E5"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ŠR</w:t>
            </w:r>
          </w:p>
        </w:tc>
        <w:tc>
          <w:tcPr>
            <w:tcW w:w="1267" w:type="dxa"/>
            <w:noWrap/>
            <w:vAlign w:val="center"/>
          </w:tcPr>
          <w:p w14:paraId="13E4E639"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4F60C2D1"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4E1EA8E9"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0942DC72"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479023B3" w14:textId="77777777" w:rsidTr="003627DF">
        <w:trPr>
          <w:trHeight w:val="70"/>
          <w:jc w:val="center"/>
        </w:trPr>
        <w:tc>
          <w:tcPr>
            <w:tcW w:w="5942" w:type="dxa"/>
            <w:noWrap/>
            <w:vAlign w:val="center"/>
          </w:tcPr>
          <w:p w14:paraId="2958C0F2"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obce</w:t>
            </w:r>
          </w:p>
        </w:tc>
        <w:tc>
          <w:tcPr>
            <w:tcW w:w="1267" w:type="dxa"/>
            <w:noWrap/>
            <w:vAlign w:val="center"/>
          </w:tcPr>
          <w:p w14:paraId="4CEED536"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01765588"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33BBFEE0"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4E2DA141"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484578A9" w14:textId="77777777" w:rsidTr="003627DF">
        <w:trPr>
          <w:trHeight w:val="70"/>
          <w:jc w:val="center"/>
        </w:trPr>
        <w:tc>
          <w:tcPr>
            <w:tcW w:w="5942" w:type="dxa"/>
            <w:noWrap/>
            <w:vAlign w:val="center"/>
          </w:tcPr>
          <w:p w14:paraId="7FB66D87" w14:textId="77777777" w:rsidR="00AD62CD" w:rsidRPr="00AD62CD" w:rsidRDefault="00AD62CD" w:rsidP="00AD62CD">
            <w:pPr>
              <w:spacing w:after="0" w:line="240" w:lineRule="auto"/>
              <w:rPr>
                <w:rFonts w:ascii="Times New Roman" w:eastAsia="Times New Roman" w:hAnsi="Times New Roman" w:cs="Times New Roman"/>
                <w:b/>
                <w:bCs/>
                <w:i/>
                <w:i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vyššie územné celky</w:t>
            </w:r>
          </w:p>
        </w:tc>
        <w:tc>
          <w:tcPr>
            <w:tcW w:w="1267" w:type="dxa"/>
            <w:noWrap/>
            <w:vAlign w:val="center"/>
          </w:tcPr>
          <w:p w14:paraId="1494DCA4"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2DE13827"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3433E8F7"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467D196E"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6BE0F079" w14:textId="77777777" w:rsidTr="003627DF">
        <w:trPr>
          <w:trHeight w:val="70"/>
          <w:jc w:val="center"/>
        </w:trPr>
        <w:tc>
          <w:tcPr>
            <w:tcW w:w="5942" w:type="dxa"/>
            <w:noWrap/>
            <w:vAlign w:val="center"/>
          </w:tcPr>
          <w:p w14:paraId="2C32D439"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i/>
                <w:iCs/>
                <w:kern w:val="0"/>
                <w:sz w:val="20"/>
                <w:szCs w:val="20"/>
                <w:lang w:eastAsia="sk-SK"/>
                <w14:ligatures w14:val="none"/>
              </w:rPr>
              <w:t>- vplyv na ostatné subjekty verejnej správy</w:t>
            </w:r>
          </w:p>
        </w:tc>
        <w:tc>
          <w:tcPr>
            <w:tcW w:w="1267" w:type="dxa"/>
            <w:noWrap/>
            <w:vAlign w:val="center"/>
          </w:tcPr>
          <w:p w14:paraId="3504469B"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00156F1F"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51549E53"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c>
          <w:tcPr>
            <w:tcW w:w="1267" w:type="dxa"/>
            <w:noWrap/>
            <w:vAlign w:val="center"/>
          </w:tcPr>
          <w:p w14:paraId="364ABA7C" w14:textId="77777777" w:rsidR="00AD62CD" w:rsidRPr="00AD62CD" w:rsidRDefault="00AD62CD" w:rsidP="00AD62CD">
            <w:pPr>
              <w:spacing w:after="0" w:line="240" w:lineRule="auto"/>
              <w:jc w:val="right"/>
              <w:rPr>
                <w:rFonts w:ascii="Times New Roman" w:eastAsia="Times New Roman" w:hAnsi="Times New Roman" w:cs="Times New Roman"/>
                <w:b/>
                <w:bCs/>
                <w:iCs/>
                <w:kern w:val="0"/>
                <w:sz w:val="20"/>
                <w:szCs w:val="20"/>
                <w:lang w:eastAsia="sk-SK"/>
                <w14:ligatures w14:val="none"/>
              </w:rPr>
            </w:pPr>
            <w:r w:rsidRPr="00AD62CD">
              <w:rPr>
                <w:rFonts w:ascii="Times New Roman" w:eastAsia="Times New Roman" w:hAnsi="Times New Roman" w:cs="Times New Roman"/>
                <w:b/>
                <w:bCs/>
                <w:iCs/>
                <w:kern w:val="0"/>
                <w:sz w:val="20"/>
                <w:szCs w:val="20"/>
                <w:lang w:eastAsia="sk-SK"/>
                <w14:ligatures w14:val="none"/>
              </w:rPr>
              <w:t>0</w:t>
            </w:r>
          </w:p>
        </w:tc>
      </w:tr>
      <w:tr w:rsidR="00AD62CD" w:rsidRPr="00AD62CD" w14:paraId="1B5403F6" w14:textId="77777777" w:rsidTr="003627DF">
        <w:trPr>
          <w:trHeight w:val="70"/>
          <w:jc w:val="center"/>
        </w:trPr>
        <w:tc>
          <w:tcPr>
            <w:tcW w:w="5942" w:type="dxa"/>
            <w:shd w:val="clear" w:color="auto" w:fill="C0C0C0"/>
            <w:noWrap/>
            <w:vAlign w:val="center"/>
          </w:tcPr>
          <w:p w14:paraId="2F765276"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Financovanie zabezpečené v rozpočte</w:t>
            </w:r>
          </w:p>
        </w:tc>
        <w:tc>
          <w:tcPr>
            <w:tcW w:w="1267" w:type="dxa"/>
            <w:shd w:val="clear" w:color="auto" w:fill="C0C0C0"/>
            <w:noWrap/>
            <w:vAlign w:val="center"/>
          </w:tcPr>
          <w:p w14:paraId="6946401F"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C0C0C0"/>
            <w:noWrap/>
            <w:vAlign w:val="center"/>
          </w:tcPr>
          <w:p w14:paraId="4716DB80"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C0C0C0"/>
            <w:noWrap/>
            <w:vAlign w:val="center"/>
          </w:tcPr>
          <w:p w14:paraId="52EF891A"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C0C0C0"/>
            <w:noWrap/>
            <w:vAlign w:val="center"/>
          </w:tcPr>
          <w:p w14:paraId="4A6B8ED9"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r>
      <w:tr w:rsidR="00AD62CD" w:rsidRPr="00AD62CD" w14:paraId="6EF0BAB4" w14:textId="77777777" w:rsidTr="003627DF">
        <w:trPr>
          <w:trHeight w:val="70"/>
          <w:jc w:val="center"/>
        </w:trPr>
        <w:tc>
          <w:tcPr>
            <w:tcW w:w="5942" w:type="dxa"/>
            <w:noWrap/>
            <w:vAlign w:val="center"/>
          </w:tcPr>
          <w:p w14:paraId="0128A1C7"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v tom: za každý subjekt verejnej správy / program zvlášť</w:t>
            </w:r>
          </w:p>
        </w:tc>
        <w:tc>
          <w:tcPr>
            <w:tcW w:w="1267" w:type="dxa"/>
            <w:noWrap/>
            <w:vAlign w:val="center"/>
          </w:tcPr>
          <w:p w14:paraId="0ED3059F"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508B4C53"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0AFBEDE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c>
          <w:tcPr>
            <w:tcW w:w="1267" w:type="dxa"/>
            <w:noWrap/>
            <w:vAlign w:val="center"/>
          </w:tcPr>
          <w:p w14:paraId="7DE25556"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0</w:t>
            </w:r>
          </w:p>
        </w:tc>
      </w:tr>
      <w:tr w:rsidR="00AD62CD" w:rsidRPr="00AD62CD" w14:paraId="56AA5D93" w14:textId="77777777" w:rsidTr="00AD62CD">
        <w:trPr>
          <w:trHeight w:val="70"/>
          <w:jc w:val="center"/>
        </w:trPr>
        <w:tc>
          <w:tcPr>
            <w:tcW w:w="5942" w:type="dxa"/>
            <w:shd w:val="clear" w:color="auto" w:fill="BFBFBF"/>
            <w:noWrap/>
            <w:vAlign w:val="center"/>
          </w:tcPr>
          <w:p w14:paraId="24376BFA" w14:textId="77777777" w:rsidR="00AD62CD" w:rsidRPr="00AD62CD" w:rsidRDefault="00AD62CD" w:rsidP="00AD62CD">
            <w:pPr>
              <w:spacing w:after="0" w:line="240" w:lineRule="auto"/>
              <w:rPr>
                <w:rFonts w:ascii="Times New Roman" w:eastAsia="Times New Roman" w:hAnsi="Times New Roman" w:cs="Times New Roman"/>
                <w:b/>
                <w:kern w:val="0"/>
                <w:sz w:val="20"/>
                <w:szCs w:val="20"/>
                <w:lang w:eastAsia="sk-SK"/>
                <w14:ligatures w14:val="none"/>
              </w:rPr>
            </w:pPr>
            <w:r w:rsidRPr="00AD62CD">
              <w:rPr>
                <w:rFonts w:ascii="Times New Roman" w:eastAsia="Times New Roman" w:hAnsi="Times New Roman" w:cs="Times New Roman"/>
                <w:b/>
                <w:kern w:val="0"/>
                <w:sz w:val="20"/>
                <w:szCs w:val="20"/>
                <w:lang w:eastAsia="sk-SK"/>
                <w14:ligatures w14:val="none"/>
              </w:rPr>
              <w:t>Iné ako rozpočtové zdroje</w:t>
            </w:r>
          </w:p>
        </w:tc>
        <w:tc>
          <w:tcPr>
            <w:tcW w:w="1267" w:type="dxa"/>
            <w:shd w:val="clear" w:color="auto" w:fill="BFBFBF"/>
            <w:noWrap/>
            <w:vAlign w:val="center"/>
          </w:tcPr>
          <w:p w14:paraId="7D360E8A"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BFBFBF"/>
            <w:noWrap/>
            <w:vAlign w:val="center"/>
          </w:tcPr>
          <w:p w14:paraId="1DD8B13B"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BFBFBF"/>
            <w:noWrap/>
            <w:vAlign w:val="center"/>
          </w:tcPr>
          <w:p w14:paraId="1D13E9E5"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BFBFBF"/>
            <w:noWrap/>
            <w:vAlign w:val="center"/>
          </w:tcPr>
          <w:p w14:paraId="2000B848"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r>
      <w:tr w:rsidR="00AD62CD" w:rsidRPr="00AD62CD" w14:paraId="13CA9571" w14:textId="77777777" w:rsidTr="00AD62CD">
        <w:trPr>
          <w:trHeight w:val="70"/>
          <w:jc w:val="center"/>
        </w:trPr>
        <w:tc>
          <w:tcPr>
            <w:tcW w:w="5942" w:type="dxa"/>
            <w:shd w:val="clear" w:color="auto" w:fill="A6A6A6"/>
            <w:noWrap/>
            <w:vAlign w:val="center"/>
          </w:tcPr>
          <w:p w14:paraId="60D4ABD0"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Rozpočtovo nekrytý vplyv / úspora</w:t>
            </w:r>
          </w:p>
        </w:tc>
        <w:tc>
          <w:tcPr>
            <w:tcW w:w="1267" w:type="dxa"/>
            <w:shd w:val="clear" w:color="auto" w:fill="A6A6A6"/>
            <w:noWrap/>
            <w:vAlign w:val="center"/>
          </w:tcPr>
          <w:p w14:paraId="59D03B7A"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67" w:type="dxa"/>
            <w:shd w:val="clear" w:color="auto" w:fill="A6A6A6"/>
            <w:noWrap/>
            <w:vAlign w:val="center"/>
          </w:tcPr>
          <w:p w14:paraId="2486AD42"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-357 803 000</w:t>
            </w:r>
          </w:p>
        </w:tc>
        <w:tc>
          <w:tcPr>
            <w:tcW w:w="1267" w:type="dxa"/>
            <w:shd w:val="clear" w:color="auto" w:fill="A6A6A6"/>
            <w:noWrap/>
            <w:vAlign w:val="center"/>
          </w:tcPr>
          <w:p w14:paraId="5DB19311"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-374 273 000</w:t>
            </w:r>
          </w:p>
        </w:tc>
        <w:tc>
          <w:tcPr>
            <w:tcW w:w="1267" w:type="dxa"/>
            <w:shd w:val="clear" w:color="auto" w:fill="A6A6A6"/>
            <w:noWrap/>
            <w:vAlign w:val="center"/>
          </w:tcPr>
          <w:p w14:paraId="0063E811" w14:textId="77777777" w:rsidR="00AD62CD" w:rsidRPr="00AD62CD" w:rsidRDefault="00AD62CD" w:rsidP="00AD62CD">
            <w:pPr>
              <w:spacing w:after="0" w:line="240" w:lineRule="auto"/>
              <w:jc w:val="right"/>
              <w:rPr>
                <w:rFonts w:ascii="Times New Roman" w:eastAsia="Times New Roman" w:hAnsi="Times New Roman" w:cs="Times New Roman"/>
                <w:b/>
                <w:bCs/>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-388 973 000</w:t>
            </w:r>
          </w:p>
        </w:tc>
      </w:tr>
    </w:tbl>
    <w:p w14:paraId="5DD3CB8B" w14:textId="77777777" w:rsidR="00AD62CD" w:rsidRPr="00AD62CD" w:rsidRDefault="00AD62CD" w:rsidP="00AD62CD">
      <w:pPr>
        <w:spacing w:after="0" w:line="240" w:lineRule="auto"/>
        <w:rPr>
          <w:rFonts w:ascii="Times New Roman" w:eastAsia="Times New Roman" w:hAnsi="Times New Roman" w:cs="Times New Roman"/>
          <w:b/>
          <w:bCs/>
          <w:kern w:val="0"/>
          <w:sz w:val="22"/>
          <w:lang w:eastAsia="sk-SK"/>
          <w14:ligatures w14:val="none"/>
        </w:rPr>
      </w:pPr>
    </w:p>
    <w:p w14:paraId="2134843F" w14:textId="77777777" w:rsidR="00AD62CD" w:rsidRPr="00AD62CD" w:rsidRDefault="00AD62CD" w:rsidP="00AD62CD">
      <w:pPr>
        <w:spacing w:line="259" w:lineRule="auto"/>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br w:type="page"/>
      </w:r>
    </w:p>
    <w:p w14:paraId="76C22E63" w14:textId="77777777" w:rsidR="00AD62CD" w:rsidRPr="00AD62CD" w:rsidRDefault="00AD62CD" w:rsidP="00AD62CD">
      <w:pPr>
        <w:spacing w:after="0" w:line="276" w:lineRule="auto"/>
        <w:rPr>
          <w:rFonts w:ascii="Times New Roman" w:eastAsia="Times New Roman" w:hAnsi="Times New Roman" w:cs="Times New Roman"/>
          <w:bCs/>
          <w:kern w:val="0"/>
          <w:sz w:val="20"/>
          <w:szCs w:val="20"/>
          <w:lang w:eastAsia="sk-SK"/>
          <w14:ligatures w14:val="none"/>
        </w:rPr>
      </w:pPr>
    </w:p>
    <w:p w14:paraId="127A9370" w14:textId="77777777" w:rsidR="00AD62CD" w:rsidRPr="00AD62CD" w:rsidRDefault="00AD62CD" w:rsidP="00AD62CD">
      <w:pPr>
        <w:spacing w:after="0" w:line="276" w:lineRule="auto"/>
        <w:rPr>
          <w:rFonts w:ascii="Times New Roman" w:eastAsia="Times New Roman" w:hAnsi="Times New Roman" w:cs="Times New Roman"/>
          <w:bCs/>
          <w:kern w:val="0"/>
          <w:sz w:val="20"/>
          <w:szCs w:val="20"/>
          <w:lang w:eastAsia="sk-SK"/>
          <w14:ligatures w14:val="none"/>
        </w:rPr>
      </w:pPr>
    </w:p>
    <w:p w14:paraId="0376F2C1" w14:textId="77777777" w:rsidR="00AD62CD" w:rsidRPr="00AD62CD" w:rsidRDefault="00AD62CD" w:rsidP="00AD62CD">
      <w:pPr>
        <w:spacing w:after="0" w:line="276" w:lineRule="auto"/>
        <w:jc w:val="right"/>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Tabuľka č. 1/B</w:t>
      </w:r>
    </w:p>
    <w:tbl>
      <w:tblPr>
        <w:tblW w:w="9924" w:type="dxa"/>
        <w:tblInd w:w="-431" w:type="dxa"/>
        <w:tblCellMar>
          <w:left w:w="70" w:type="dxa"/>
          <w:right w:w="70" w:type="dxa"/>
        </w:tblCellMar>
        <w:tblLook w:val="04A0" w:firstRow="1" w:lastRow="0" w:firstColumn="1" w:lastColumn="0" w:noHBand="0" w:noVBand="1"/>
      </w:tblPr>
      <w:tblGrid>
        <w:gridCol w:w="4821"/>
        <w:gridCol w:w="992"/>
        <w:gridCol w:w="1417"/>
        <w:gridCol w:w="1276"/>
        <w:gridCol w:w="1418"/>
      </w:tblGrid>
      <w:tr w:rsidR="00AD62CD" w:rsidRPr="00AD62CD" w14:paraId="18AF777A" w14:textId="77777777" w:rsidTr="00AD62CD">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54B7909"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c>
          <w:tcPr>
            <w:tcW w:w="992" w:type="dxa"/>
            <w:tcBorders>
              <w:top w:val="single" w:sz="4" w:space="0" w:color="auto"/>
              <w:left w:val="nil"/>
              <w:bottom w:val="single" w:sz="4" w:space="0" w:color="auto"/>
              <w:right w:val="single" w:sz="4" w:space="0" w:color="auto"/>
            </w:tcBorders>
            <w:shd w:val="clear" w:color="auto" w:fill="BFBFBF"/>
            <w:noWrap/>
            <w:vAlign w:val="center"/>
            <w:hideMark/>
          </w:tcPr>
          <w:p w14:paraId="3B6EF41C"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2A97A59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276" w:type="dxa"/>
            <w:tcBorders>
              <w:top w:val="single" w:sz="4" w:space="0" w:color="auto"/>
              <w:left w:val="nil"/>
              <w:bottom w:val="single" w:sz="4" w:space="0" w:color="auto"/>
              <w:right w:val="single" w:sz="4" w:space="0" w:color="auto"/>
            </w:tcBorders>
            <w:shd w:val="clear" w:color="auto" w:fill="BFBFBF"/>
            <w:noWrap/>
            <w:vAlign w:val="center"/>
            <w:hideMark/>
          </w:tcPr>
          <w:p w14:paraId="16B8A6B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418" w:type="dxa"/>
            <w:tcBorders>
              <w:top w:val="single" w:sz="4" w:space="0" w:color="auto"/>
              <w:left w:val="nil"/>
              <w:bottom w:val="single" w:sz="4" w:space="0" w:color="auto"/>
              <w:right w:val="single" w:sz="4" w:space="0" w:color="auto"/>
            </w:tcBorders>
            <w:shd w:val="clear" w:color="auto" w:fill="BFBFBF"/>
            <w:noWrap/>
            <w:vAlign w:val="center"/>
            <w:hideMark/>
          </w:tcPr>
          <w:p w14:paraId="44E1776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r>
      <w:tr w:rsidR="00AD62CD" w:rsidRPr="00AD62CD" w14:paraId="4FBA080F"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1E8745DC"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Vplyvy na limit verejných výdavkov verejnej správy celkom (v metodike ESA 2010)</w:t>
            </w:r>
          </w:p>
        </w:tc>
        <w:tc>
          <w:tcPr>
            <w:tcW w:w="992" w:type="dxa"/>
            <w:tcBorders>
              <w:top w:val="nil"/>
              <w:left w:val="nil"/>
              <w:bottom w:val="single" w:sz="4" w:space="0" w:color="auto"/>
              <w:right w:val="single" w:sz="4" w:space="0" w:color="auto"/>
            </w:tcBorders>
            <w:shd w:val="clear" w:color="auto" w:fill="auto"/>
            <w:noWrap/>
            <w:vAlign w:val="center"/>
            <w:hideMark/>
          </w:tcPr>
          <w:p w14:paraId="468FC7C9"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Times New Roman" w:hAnsi="Times New Roman" w:cs="Times New Roman"/>
                <w:b/>
                <w:color w:val="000000"/>
                <w:kern w:val="0"/>
                <w:sz w:val="20"/>
                <w:szCs w:val="20"/>
                <w:lang w:eastAsia="sk-SK"/>
                <w14:ligatures w14:val="none"/>
              </w:rPr>
              <w:t>0</w:t>
            </w:r>
          </w:p>
        </w:tc>
        <w:tc>
          <w:tcPr>
            <w:tcW w:w="1417" w:type="dxa"/>
            <w:tcBorders>
              <w:top w:val="nil"/>
              <w:left w:val="nil"/>
              <w:bottom w:val="single" w:sz="4" w:space="0" w:color="auto"/>
              <w:right w:val="single" w:sz="4" w:space="0" w:color="auto"/>
            </w:tcBorders>
            <w:shd w:val="clear" w:color="auto" w:fill="auto"/>
            <w:noWrap/>
            <w:vAlign w:val="center"/>
            <w:hideMark/>
          </w:tcPr>
          <w:p w14:paraId="14F05312"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-357 803 000</w:t>
            </w:r>
          </w:p>
        </w:tc>
        <w:tc>
          <w:tcPr>
            <w:tcW w:w="1276" w:type="dxa"/>
            <w:tcBorders>
              <w:top w:val="nil"/>
              <w:left w:val="nil"/>
              <w:bottom w:val="single" w:sz="4" w:space="0" w:color="auto"/>
              <w:right w:val="single" w:sz="4" w:space="0" w:color="auto"/>
            </w:tcBorders>
            <w:shd w:val="clear" w:color="auto" w:fill="auto"/>
            <w:noWrap/>
            <w:vAlign w:val="center"/>
            <w:hideMark/>
          </w:tcPr>
          <w:p w14:paraId="62AFA657"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-374 273 000</w:t>
            </w:r>
          </w:p>
        </w:tc>
        <w:tc>
          <w:tcPr>
            <w:tcW w:w="1418" w:type="dxa"/>
            <w:tcBorders>
              <w:top w:val="nil"/>
              <w:left w:val="nil"/>
              <w:bottom w:val="single" w:sz="4" w:space="0" w:color="auto"/>
              <w:right w:val="single" w:sz="4" w:space="0" w:color="auto"/>
            </w:tcBorders>
            <w:shd w:val="clear" w:color="auto" w:fill="auto"/>
            <w:noWrap/>
            <w:vAlign w:val="center"/>
            <w:hideMark/>
          </w:tcPr>
          <w:p w14:paraId="078D386B"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-388 973 000</w:t>
            </w:r>
          </w:p>
        </w:tc>
      </w:tr>
      <w:tr w:rsidR="00AD62CD" w:rsidRPr="00AD62CD" w14:paraId="4A793B9B"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2ED40137"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v tom: za každý subjekt verejnej správy zvlášť / program zvlášť</w:t>
            </w:r>
          </w:p>
        </w:tc>
        <w:tc>
          <w:tcPr>
            <w:tcW w:w="992" w:type="dxa"/>
            <w:tcBorders>
              <w:top w:val="nil"/>
              <w:left w:val="nil"/>
              <w:bottom w:val="single" w:sz="4" w:space="0" w:color="auto"/>
              <w:right w:val="single" w:sz="4" w:space="0" w:color="auto"/>
            </w:tcBorders>
            <w:shd w:val="clear" w:color="auto" w:fill="auto"/>
            <w:noWrap/>
            <w:vAlign w:val="center"/>
            <w:hideMark/>
          </w:tcPr>
          <w:p w14:paraId="163F65B0"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17" w:type="dxa"/>
            <w:tcBorders>
              <w:top w:val="nil"/>
              <w:left w:val="nil"/>
              <w:bottom w:val="single" w:sz="4" w:space="0" w:color="auto"/>
              <w:right w:val="single" w:sz="4" w:space="0" w:color="auto"/>
            </w:tcBorders>
            <w:shd w:val="clear" w:color="auto" w:fill="auto"/>
            <w:noWrap/>
            <w:vAlign w:val="center"/>
            <w:hideMark/>
          </w:tcPr>
          <w:p w14:paraId="192CC816"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276" w:type="dxa"/>
            <w:tcBorders>
              <w:top w:val="nil"/>
              <w:left w:val="nil"/>
              <w:bottom w:val="single" w:sz="4" w:space="0" w:color="auto"/>
              <w:right w:val="single" w:sz="4" w:space="0" w:color="auto"/>
            </w:tcBorders>
            <w:shd w:val="clear" w:color="auto" w:fill="auto"/>
            <w:noWrap/>
            <w:vAlign w:val="center"/>
            <w:hideMark/>
          </w:tcPr>
          <w:p w14:paraId="6604C1D7"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18" w:type="dxa"/>
            <w:tcBorders>
              <w:top w:val="nil"/>
              <w:left w:val="nil"/>
              <w:bottom w:val="single" w:sz="4" w:space="0" w:color="auto"/>
              <w:right w:val="single" w:sz="4" w:space="0" w:color="auto"/>
            </w:tcBorders>
            <w:shd w:val="clear" w:color="auto" w:fill="auto"/>
            <w:noWrap/>
            <w:vAlign w:val="center"/>
            <w:hideMark/>
          </w:tcPr>
          <w:p w14:paraId="5F8D4ABE"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r>
      <w:tr w:rsidR="00AD62CD" w:rsidRPr="00AD62CD" w14:paraId="44B94FBB"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27F08852" w14:textId="77777777" w:rsidR="00AD62CD" w:rsidRPr="00AD62CD" w:rsidRDefault="00AD62CD" w:rsidP="00AD62CD">
            <w:pPr>
              <w:spacing w:after="0" w:line="240" w:lineRule="auto"/>
              <w:rPr>
                <w:rFonts w:ascii="Times New Roman" w:eastAsia="Times New Roman" w:hAnsi="Times New Roman" w:cs="Times New Roman"/>
                <w:b/>
                <w:color w:val="000000"/>
                <w:kern w:val="0"/>
                <w:sz w:val="20"/>
                <w:szCs w:val="20"/>
                <w:lang w:eastAsia="sk-SK"/>
                <w14:ligatures w14:val="none"/>
              </w:rPr>
            </w:pPr>
            <w:r w:rsidRPr="00AD62CD">
              <w:rPr>
                <w:rFonts w:ascii="Times New Roman" w:eastAsia="Times New Roman" w:hAnsi="Times New Roman" w:cs="Times New Roman"/>
                <w:b/>
                <w:color w:val="000000"/>
                <w:kern w:val="0"/>
                <w:sz w:val="20"/>
                <w:szCs w:val="20"/>
                <w:lang w:eastAsia="sk-SK"/>
                <w14:ligatures w14:val="none"/>
              </w:rPr>
              <w:t>z toho:</w:t>
            </w:r>
          </w:p>
        </w:tc>
        <w:tc>
          <w:tcPr>
            <w:tcW w:w="992" w:type="dxa"/>
            <w:tcBorders>
              <w:top w:val="nil"/>
              <w:left w:val="nil"/>
              <w:bottom w:val="single" w:sz="4" w:space="0" w:color="auto"/>
              <w:right w:val="single" w:sz="4" w:space="0" w:color="auto"/>
            </w:tcBorders>
            <w:shd w:val="clear" w:color="auto" w:fill="auto"/>
            <w:noWrap/>
            <w:vAlign w:val="center"/>
            <w:hideMark/>
          </w:tcPr>
          <w:p w14:paraId="51AA718D"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D31E2B"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c>
          <w:tcPr>
            <w:tcW w:w="1276" w:type="dxa"/>
            <w:tcBorders>
              <w:top w:val="nil"/>
              <w:left w:val="nil"/>
              <w:bottom w:val="single" w:sz="4" w:space="0" w:color="auto"/>
              <w:right w:val="single" w:sz="4" w:space="0" w:color="auto"/>
            </w:tcBorders>
            <w:shd w:val="clear" w:color="auto" w:fill="auto"/>
            <w:noWrap/>
            <w:vAlign w:val="center"/>
            <w:hideMark/>
          </w:tcPr>
          <w:p w14:paraId="48391955"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c>
          <w:tcPr>
            <w:tcW w:w="1418" w:type="dxa"/>
            <w:tcBorders>
              <w:top w:val="nil"/>
              <w:left w:val="nil"/>
              <w:bottom w:val="single" w:sz="4" w:space="0" w:color="auto"/>
              <w:right w:val="single" w:sz="4" w:space="0" w:color="auto"/>
            </w:tcBorders>
            <w:shd w:val="clear" w:color="auto" w:fill="auto"/>
            <w:noWrap/>
            <w:vAlign w:val="center"/>
            <w:hideMark/>
          </w:tcPr>
          <w:p w14:paraId="518DB72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72EB64BB"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1434819E"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ŠR</w:t>
            </w:r>
          </w:p>
        </w:tc>
        <w:tc>
          <w:tcPr>
            <w:tcW w:w="992" w:type="dxa"/>
            <w:tcBorders>
              <w:top w:val="nil"/>
              <w:left w:val="nil"/>
              <w:bottom w:val="single" w:sz="4" w:space="0" w:color="auto"/>
              <w:right w:val="single" w:sz="4" w:space="0" w:color="auto"/>
            </w:tcBorders>
            <w:shd w:val="clear" w:color="auto" w:fill="auto"/>
            <w:noWrap/>
            <w:vAlign w:val="center"/>
            <w:hideMark/>
          </w:tcPr>
          <w:p w14:paraId="3D5D4538"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Times New Roman" w:hAnsi="Times New Roman" w:cs="Times New Roman"/>
                <w:b/>
                <w:color w:val="000000"/>
                <w:kern w:val="0"/>
                <w:sz w:val="20"/>
                <w:szCs w:val="20"/>
                <w:lang w:eastAsia="sk-SK"/>
                <w14:ligatures w14:val="none"/>
              </w:rPr>
              <w:t>0</w:t>
            </w:r>
          </w:p>
        </w:tc>
        <w:tc>
          <w:tcPr>
            <w:tcW w:w="1417" w:type="dxa"/>
            <w:tcBorders>
              <w:top w:val="nil"/>
              <w:left w:val="nil"/>
              <w:bottom w:val="single" w:sz="4" w:space="0" w:color="auto"/>
              <w:right w:val="single" w:sz="4" w:space="0" w:color="auto"/>
            </w:tcBorders>
            <w:shd w:val="clear" w:color="auto" w:fill="auto"/>
            <w:noWrap/>
            <w:vAlign w:val="center"/>
            <w:hideMark/>
          </w:tcPr>
          <w:p w14:paraId="3E353F60"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25 207 000</w:t>
            </w:r>
          </w:p>
        </w:tc>
        <w:tc>
          <w:tcPr>
            <w:tcW w:w="1276" w:type="dxa"/>
            <w:tcBorders>
              <w:top w:val="nil"/>
              <w:left w:val="nil"/>
              <w:bottom w:val="single" w:sz="4" w:space="0" w:color="auto"/>
              <w:right w:val="single" w:sz="4" w:space="0" w:color="auto"/>
            </w:tcBorders>
            <w:shd w:val="clear" w:color="auto" w:fill="auto"/>
            <w:noWrap/>
            <w:vAlign w:val="center"/>
            <w:hideMark/>
          </w:tcPr>
          <w:p w14:paraId="1BCD0B09"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13 337 000</w:t>
            </w:r>
          </w:p>
        </w:tc>
        <w:tc>
          <w:tcPr>
            <w:tcW w:w="1418" w:type="dxa"/>
            <w:tcBorders>
              <w:top w:val="nil"/>
              <w:left w:val="nil"/>
              <w:bottom w:val="single" w:sz="4" w:space="0" w:color="auto"/>
              <w:right w:val="single" w:sz="4" w:space="0" w:color="auto"/>
            </w:tcBorders>
            <w:shd w:val="clear" w:color="auto" w:fill="auto"/>
            <w:noWrap/>
            <w:vAlign w:val="center"/>
            <w:hideMark/>
          </w:tcPr>
          <w:p w14:paraId="242D24D9"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13 785 000</w:t>
            </w:r>
          </w:p>
        </w:tc>
      </w:tr>
      <w:tr w:rsidR="00AD62CD" w:rsidRPr="00AD62CD" w14:paraId="484005D1" w14:textId="77777777" w:rsidTr="00AD62C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4B845A36"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ostatných subjektov verejnej správy</w:t>
            </w:r>
          </w:p>
          <w:p w14:paraId="2F85A242" w14:textId="77777777" w:rsidR="00AD62CD" w:rsidRPr="00AD62CD" w:rsidRDefault="00AD62CD" w:rsidP="00AD62CD">
            <w:pPr>
              <w:numPr>
                <w:ilvl w:val="0"/>
                <w:numId w:val="22"/>
              </w:numPr>
              <w:spacing w:after="0" w:line="240" w:lineRule="auto"/>
              <w:rPr>
                <w:rFonts w:ascii="Calibri" w:eastAsia="Calibri" w:hAnsi="Calibri" w:cs="Times New Roman"/>
                <w:color w:val="000000"/>
                <w:kern w:val="0"/>
                <w:sz w:val="20"/>
                <w:szCs w:val="20"/>
                <w:lang w:eastAsia="sk-SK"/>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34AE933F"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Times New Roman" w:hAnsi="Times New Roman" w:cs="Times New Roman"/>
                <w:b/>
                <w:color w:val="000000"/>
                <w:kern w:val="0"/>
                <w:sz w:val="20"/>
                <w:szCs w:val="20"/>
                <w:lang w:eastAsia="sk-SK"/>
                <w14:ligatures w14:val="none"/>
              </w:rPr>
              <w:t>0</w:t>
            </w:r>
          </w:p>
        </w:tc>
        <w:tc>
          <w:tcPr>
            <w:tcW w:w="1417" w:type="dxa"/>
            <w:tcBorders>
              <w:top w:val="nil"/>
              <w:left w:val="nil"/>
              <w:bottom w:val="single" w:sz="4" w:space="0" w:color="auto"/>
              <w:right w:val="single" w:sz="4" w:space="0" w:color="auto"/>
            </w:tcBorders>
            <w:shd w:val="clear" w:color="auto" w:fill="auto"/>
            <w:noWrap/>
            <w:vAlign w:val="center"/>
            <w:hideMark/>
          </w:tcPr>
          <w:p w14:paraId="2853A67D"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-436 707 000</w:t>
            </w:r>
          </w:p>
        </w:tc>
        <w:tc>
          <w:tcPr>
            <w:tcW w:w="1276" w:type="dxa"/>
            <w:tcBorders>
              <w:top w:val="nil"/>
              <w:left w:val="nil"/>
              <w:bottom w:val="single" w:sz="4" w:space="0" w:color="auto"/>
              <w:right w:val="single" w:sz="4" w:space="0" w:color="auto"/>
            </w:tcBorders>
            <w:shd w:val="clear" w:color="auto" w:fill="auto"/>
            <w:noWrap/>
            <w:vAlign w:val="center"/>
            <w:hideMark/>
          </w:tcPr>
          <w:p w14:paraId="2C26D1A4"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-456 872 000</w:t>
            </w:r>
          </w:p>
        </w:tc>
        <w:tc>
          <w:tcPr>
            <w:tcW w:w="1418" w:type="dxa"/>
            <w:tcBorders>
              <w:top w:val="nil"/>
              <w:left w:val="nil"/>
              <w:bottom w:val="single" w:sz="4" w:space="0" w:color="auto"/>
              <w:right w:val="single" w:sz="4" w:space="0" w:color="auto"/>
            </w:tcBorders>
            <w:shd w:val="clear" w:color="auto" w:fill="auto"/>
            <w:noWrap/>
            <w:vAlign w:val="center"/>
            <w:hideMark/>
          </w:tcPr>
          <w:p w14:paraId="68455E50"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-474 847 000</w:t>
            </w:r>
          </w:p>
        </w:tc>
      </w:tr>
      <w:tr w:rsidR="00AD62CD" w:rsidRPr="00AD62CD" w14:paraId="6636BD2F" w14:textId="77777777" w:rsidTr="00AD62CD">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5B2C0C33"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ďalších súčastí rozpočtu verejnej správy</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3DCE23C"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BDFEC3F"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53 697 000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76D533"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69 262 000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1DDD4B9" w14:textId="77777777" w:rsidR="00AD62CD" w:rsidRPr="00AD62CD" w:rsidRDefault="00AD62CD" w:rsidP="00AD62CD">
            <w:pPr>
              <w:spacing w:after="0" w:line="240" w:lineRule="auto"/>
              <w:jc w:val="center"/>
              <w:rPr>
                <w:rFonts w:ascii="Times New Roman" w:eastAsia="Times New Roman" w:hAnsi="Times New Roman" w:cs="Times New Roman"/>
                <w:b/>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72 089 000</w:t>
            </w:r>
          </w:p>
        </w:tc>
      </w:tr>
    </w:tbl>
    <w:p w14:paraId="5D049734"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p>
    <w:p w14:paraId="14298BA5"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2.1.1. Financovanie návrhu - Návrh na riešenie úbytku príjmov alebo zvýšených výdavkov podľa § 33 ods. 1 zákona č. 523/2004 Z. z. o rozpočtových pravidlách verejnej správy:</w:t>
      </w:r>
    </w:p>
    <w:p w14:paraId="18DF060C" w14:textId="77777777" w:rsidR="00AD62CD" w:rsidRPr="00AD62CD" w:rsidRDefault="00AD62CD" w:rsidP="00AD62CD">
      <w:pPr>
        <w:pBdr>
          <w:top w:val="single" w:sz="4" w:space="1" w:color="auto"/>
          <w:left w:val="single" w:sz="4" w:space="4" w:color="auto"/>
          <w:bottom w:val="single" w:sz="4" w:space="0" w:color="auto"/>
          <w:right w:val="single" w:sz="4" w:space="0" w:color="auto"/>
        </w:pBdr>
        <w:spacing w:after="0" w:line="240" w:lineRule="auto"/>
        <w:rPr>
          <w:rFonts w:ascii="Times New Roman" w:eastAsia="Times New Roman" w:hAnsi="Times New Roman" w:cs="Times New Roman"/>
          <w:bCs/>
          <w:kern w:val="0"/>
          <w:lang w:eastAsia="sk-SK"/>
          <w14:ligatures w14:val="none"/>
        </w:rPr>
      </w:pPr>
      <w:r w:rsidRPr="00AD62CD">
        <w:rPr>
          <w:rFonts w:ascii="Times New Roman" w:eastAsia="Times New Roman" w:hAnsi="Times New Roman" w:cs="Times New Roman"/>
          <w:bCs/>
          <w:kern w:val="0"/>
          <w:lang w:eastAsia="sk-SK"/>
          <w14:ligatures w14:val="none"/>
        </w:rPr>
        <w:t>Návrh nezakladá úbytok príjmov alebo zvýšenie výdavkov.</w:t>
      </w:r>
    </w:p>
    <w:p w14:paraId="3EF7AA50"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p>
    <w:p w14:paraId="3E4DA27E"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 Popis a charakteristika návrhu</w:t>
      </w:r>
    </w:p>
    <w:p w14:paraId="435F9709"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45321740" w14:textId="77777777" w:rsidR="00AD62CD" w:rsidRPr="00AD62CD" w:rsidRDefault="00AD62CD" w:rsidP="00AD62CD">
      <w:pPr>
        <w:spacing w:after="0" w:line="240" w:lineRule="auto"/>
        <w:jc w:val="both"/>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2.2.1. Popis návrhu:</w:t>
      </w:r>
    </w:p>
    <w:p w14:paraId="2DB2CA11" w14:textId="77777777" w:rsidR="00AD62CD" w:rsidRPr="00AD62CD" w:rsidRDefault="00AD62CD" w:rsidP="00AD62CD">
      <w:pPr>
        <w:spacing w:after="0" w:line="240" w:lineRule="auto"/>
        <w:jc w:val="both"/>
        <w:rPr>
          <w:rFonts w:ascii="Times New Roman" w:eastAsia="Times New Roman" w:hAnsi="Times New Roman" w:cs="Times New Roman"/>
          <w:b/>
          <w:bCs/>
          <w:kern w:val="0"/>
          <w:lang w:eastAsia="sk-SK"/>
          <w14:ligatures w14:val="none"/>
        </w:rPr>
      </w:pPr>
    </w:p>
    <w:p w14:paraId="3EFEC385" w14:textId="77777777" w:rsidR="00AD62CD" w:rsidRPr="00AD62CD" w:rsidRDefault="00AD62CD" w:rsidP="00AD62CD">
      <w:pPr>
        <w:spacing w:after="0" w:line="240" w:lineRule="auto"/>
        <w:jc w:val="both"/>
        <w:rPr>
          <w:rFonts w:ascii="Times New Roman" w:eastAsia="Calibri" w:hAnsi="Times New Roman" w:cs="Times New Roman"/>
          <w:kern w:val="0"/>
          <w:sz w:val="22"/>
          <w:szCs w:val="22"/>
          <w:u w:val="single"/>
          <w14:ligatures w14:val="none"/>
        </w:rPr>
      </w:pPr>
      <w:r w:rsidRPr="00AD62CD">
        <w:rPr>
          <w:rFonts w:ascii="Times New Roman" w:eastAsia="Calibri" w:hAnsi="Times New Roman" w:cs="Times New Roman"/>
          <w:kern w:val="0"/>
          <w:sz w:val="22"/>
          <w:szCs w:val="22"/>
          <w:u w:val="single"/>
          <w14:ligatures w14:val="none"/>
        </w:rPr>
        <w:t>K navrhovaným úpravám v opatrení, ktoré môžu mať vplyv na rozpočet:</w:t>
      </w:r>
    </w:p>
    <w:p w14:paraId="4E9F9AE2" w14:textId="77777777" w:rsidR="00AD62CD" w:rsidRPr="00AD62CD" w:rsidRDefault="00AD62CD" w:rsidP="00AD62CD">
      <w:pPr>
        <w:spacing w:after="0" w:line="240" w:lineRule="auto"/>
        <w:jc w:val="both"/>
        <w:rPr>
          <w:rFonts w:ascii="Times New Roman" w:eastAsia="Calibri" w:hAnsi="Times New Roman" w:cs="Times New Roman"/>
          <w:bCs/>
          <w:i/>
          <w:kern w:val="0"/>
          <w:sz w:val="22"/>
          <w:szCs w:val="22"/>
          <w14:ligatures w14:val="none"/>
        </w:rPr>
      </w:pPr>
      <w:r w:rsidRPr="00AD62CD">
        <w:rPr>
          <w:rFonts w:ascii="Times New Roman" w:eastAsia="Calibri" w:hAnsi="Times New Roman" w:cs="Times New Roman"/>
          <w:bCs/>
          <w:i/>
          <w:kern w:val="0"/>
          <w:sz w:val="22"/>
          <w:szCs w:val="22"/>
          <w14:ligatures w14:val="none"/>
        </w:rPr>
        <w:t>Zvýšenie sadzby pre odvod poistného na verejné zdravotné poistenie pre fyzické osoby o 1 percentuálny bod.</w:t>
      </w:r>
    </w:p>
    <w:p w14:paraId="5C05BA93" w14:textId="77777777" w:rsidR="00AD62CD" w:rsidRPr="00AD62CD" w:rsidRDefault="00AD62CD" w:rsidP="00AD62CD">
      <w:pPr>
        <w:spacing w:after="0" w:line="240" w:lineRule="auto"/>
        <w:jc w:val="both"/>
        <w:rPr>
          <w:rFonts w:ascii="Times New Roman" w:eastAsia="Calibri" w:hAnsi="Times New Roman" w:cs="Times New Roman"/>
          <w:bCs/>
          <w:kern w:val="0"/>
          <w14:ligatures w14:val="none"/>
        </w:rPr>
      </w:pPr>
      <w:r w:rsidRPr="00AD62CD">
        <w:rPr>
          <w:rFonts w:ascii="Times New Roman" w:eastAsia="Times New Roman" w:hAnsi="Times New Roman" w:cs="Times New Roman"/>
          <w:kern w:val="0"/>
          <w:lang w:eastAsia="sk-SK"/>
          <w14:ligatures w14:val="none"/>
        </w:rPr>
        <w:t>Navrhuje sa zvýšenie sadzby o 1 percentuálny bod (t. j. zamestnanci: 5%, samostatne zárobkovo činné osoby a samoplatitelia 15%). Opatrenie sa zavádza natrvalo a počas obmedzenej doby (rok 2026 a 2027) bude v súbehu s dočasným opatrením, ktorým sa zvyšuje sadzba zamestnávateľa, samostatne zárobkovo činnej osoby a samoplatiteľa z dôvodu potreby konsolidácie verejných financií Slovenskej republiky o ďalší percentuálny bod</w:t>
      </w:r>
      <w:r w:rsidRPr="00AD62CD">
        <w:rPr>
          <w:rFonts w:ascii="Times New Roman" w:eastAsia="Calibri" w:hAnsi="Times New Roman" w:cs="Times New Roman"/>
          <w:bCs/>
          <w:kern w:val="0"/>
          <w14:ligatures w14:val="none"/>
        </w:rPr>
        <w:t>.</w:t>
      </w:r>
    </w:p>
    <w:p w14:paraId="62D37783"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tbl>
      <w:tblPr>
        <w:tblW w:w="9918" w:type="dxa"/>
        <w:tblCellMar>
          <w:left w:w="70" w:type="dxa"/>
          <w:right w:w="70" w:type="dxa"/>
        </w:tblCellMar>
        <w:tblLook w:val="04A0" w:firstRow="1" w:lastRow="0" w:firstColumn="1" w:lastColumn="0" w:noHBand="0" w:noVBand="1"/>
      </w:tblPr>
      <w:tblGrid>
        <w:gridCol w:w="1838"/>
        <w:gridCol w:w="1985"/>
        <w:gridCol w:w="1984"/>
        <w:gridCol w:w="1985"/>
        <w:gridCol w:w="2126"/>
      </w:tblGrid>
      <w:tr w:rsidR="00AD62CD" w:rsidRPr="00AD62CD" w14:paraId="32E34A59" w14:textId="77777777" w:rsidTr="003627DF">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CBBD2"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Platiteľ poistného</w:t>
            </w:r>
          </w:p>
        </w:tc>
        <w:tc>
          <w:tcPr>
            <w:tcW w:w="39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DE6252"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Sadzba do 31. 12. 2025</w:t>
            </w:r>
          </w:p>
        </w:tc>
        <w:tc>
          <w:tcPr>
            <w:tcW w:w="4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6EC75F"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Sadzba od 1. 1. 2026 do 31. 12. 2027</w:t>
            </w:r>
          </w:p>
        </w:tc>
      </w:tr>
      <w:tr w:rsidR="00AD62CD" w:rsidRPr="00AD62CD" w14:paraId="15003AB2"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4A81312"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 </w:t>
            </w:r>
          </w:p>
        </w:tc>
        <w:tc>
          <w:tcPr>
            <w:tcW w:w="1985" w:type="dxa"/>
            <w:tcBorders>
              <w:top w:val="nil"/>
              <w:left w:val="nil"/>
              <w:bottom w:val="single" w:sz="4" w:space="0" w:color="auto"/>
              <w:right w:val="single" w:sz="4" w:space="0" w:color="auto"/>
            </w:tcBorders>
            <w:shd w:val="clear" w:color="auto" w:fill="auto"/>
            <w:noWrap/>
            <w:vAlign w:val="bottom"/>
            <w:hideMark/>
          </w:tcPr>
          <w:p w14:paraId="4EF0721B"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bez zdr. postihnutia</w:t>
            </w:r>
          </w:p>
        </w:tc>
        <w:tc>
          <w:tcPr>
            <w:tcW w:w="1984" w:type="dxa"/>
            <w:tcBorders>
              <w:top w:val="nil"/>
              <w:left w:val="nil"/>
              <w:bottom w:val="single" w:sz="4" w:space="0" w:color="auto"/>
              <w:right w:val="single" w:sz="4" w:space="0" w:color="auto"/>
            </w:tcBorders>
            <w:shd w:val="clear" w:color="auto" w:fill="auto"/>
            <w:noWrap/>
            <w:vAlign w:val="bottom"/>
            <w:hideMark/>
          </w:tcPr>
          <w:p w14:paraId="7956441B"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so zdr. postihnutím</w:t>
            </w:r>
          </w:p>
        </w:tc>
        <w:tc>
          <w:tcPr>
            <w:tcW w:w="1985" w:type="dxa"/>
            <w:tcBorders>
              <w:top w:val="nil"/>
              <w:left w:val="nil"/>
              <w:bottom w:val="single" w:sz="4" w:space="0" w:color="auto"/>
              <w:right w:val="single" w:sz="4" w:space="0" w:color="auto"/>
            </w:tcBorders>
            <w:shd w:val="clear" w:color="auto" w:fill="auto"/>
            <w:noWrap/>
            <w:vAlign w:val="bottom"/>
            <w:hideMark/>
          </w:tcPr>
          <w:p w14:paraId="7D7FB8E4"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bez zdr. postihnutia</w:t>
            </w:r>
          </w:p>
        </w:tc>
        <w:tc>
          <w:tcPr>
            <w:tcW w:w="2126" w:type="dxa"/>
            <w:tcBorders>
              <w:top w:val="nil"/>
              <w:left w:val="nil"/>
              <w:bottom w:val="single" w:sz="4" w:space="0" w:color="auto"/>
              <w:right w:val="single" w:sz="4" w:space="0" w:color="auto"/>
            </w:tcBorders>
            <w:shd w:val="clear" w:color="auto" w:fill="auto"/>
            <w:noWrap/>
            <w:vAlign w:val="bottom"/>
            <w:hideMark/>
          </w:tcPr>
          <w:p w14:paraId="27E4F10D"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so zdr. postihnutím</w:t>
            </w:r>
          </w:p>
        </w:tc>
      </w:tr>
      <w:tr w:rsidR="00AD62CD" w:rsidRPr="00AD62CD" w14:paraId="340B87AC"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D87044"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zamestnanec</w:t>
            </w:r>
          </w:p>
        </w:tc>
        <w:tc>
          <w:tcPr>
            <w:tcW w:w="1985" w:type="dxa"/>
            <w:tcBorders>
              <w:top w:val="nil"/>
              <w:left w:val="nil"/>
              <w:bottom w:val="single" w:sz="4" w:space="0" w:color="auto"/>
              <w:right w:val="single" w:sz="4" w:space="0" w:color="auto"/>
            </w:tcBorders>
            <w:shd w:val="clear" w:color="auto" w:fill="auto"/>
            <w:noWrap/>
            <w:vAlign w:val="bottom"/>
            <w:hideMark/>
          </w:tcPr>
          <w:p w14:paraId="3E57C3FC"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4%</w:t>
            </w:r>
          </w:p>
        </w:tc>
        <w:tc>
          <w:tcPr>
            <w:tcW w:w="1984" w:type="dxa"/>
            <w:tcBorders>
              <w:top w:val="nil"/>
              <w:left w:val="nil"/>
              <w:bottom w:val="single" w:sz="4" w:space="0" w:color="auto"/>
              <w:right w:val="single" w:sz="4" w:space="0" w:color="auto"/>
            </w:tcBorders>
            <w:shd w:val="clear" w:color="auto" w:fill="auto"/>
            <w:noWrap/>
            <w:vAlign w:val="bottom"/>
            <w:hideMark/>
          </w:tcPr>
          <w:p w14:paraId="480667DF"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2%</w:t>
            </w:r>
          </w:p>
        </w:tc>
        <w:tc>
          <w:tcPr>
            <w:tcW w:w="1985" w:type="dxa"/>
            <w:tcBorders>
              <w:top w:val="nil"/>
              <w:left w:val="nil"/>
              <w:bottom w:val="single" w:sz="4" w:space="0" w:color="auto"/>
              <w:right w:val="single" w:sz="4" w:space="0" w:color="auto"/>
            </w:tcBorders>
            <w:shd w:val="clear" w:color="auto" w:fill="auto"/>
            <w:noWrap/>
            <w:vAlign w:val="bottom"/>
            <w:hideMark/>
          </w:tcPr>
          <w:p w14:paraId="38CBC13C"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5%</w:t>
            </w:r>
          </w:p>
        </w:tc>
        <w:tc>
          <w:tcPr>
            <w:tcW w:w="2126" w:type="dxa"/>
            <w:tcBorders>
              <w:top w:val="nil"/>
              <w:left w:val="nil"/>
              <w:bottom w:val="single" w:sz="4" w:space="0" w:color="auto"/>
              <w:right w:val="single" w:sz="4" w:space="0" w:color="auto"/>
            </w:tcBorders>
            <w:shd w:val="clear" w:color="auto" w:fill="auto"/>
            <w:noWrap/>
            <w:vAlign w:val="bottom"/>
            <w:hideMark/>
          </w:tcPr>
          <w:p w14:paraId="7BC0F1DC"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2,5%</w:t>
            </w:r>
          </w:p>
        </w:tc>
      </w:tr>
      <w:tr w:rsidR="00AD62CD" w:rsidRPr="00AD62CD" w14:paraId="67EA9045"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60A9FA"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zamestnávateľ</w:t>
            </w:r>
          </w:p>
        </w:tc>
        <w:tc>
          <w:tcPr>
            <w:tcW w:w="1985" w:type="dxa"/>
            <w:tcBorders>
              <w:top w:val="nil"/>
              <w:left w:val="nil"/>
              <w:bottom w:val="single" w:sz="4" w:space="0" w:color="auto"/>
              <w:right w:val="single" w:sz="4" w:space="0" w:color="auto"/>
            </w:tcBorders>
            <w:shd w:val="clear" w:color="auto" w:fill="auto"/>
            <w:noWrap/>
            <w:vAlign w:val="bottom"/>
            <w:hideMark/>
          </w:tcPr>
          <w:p w14:paraId="4C65A327"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11%</w:t>
            </w:r>
          </w:p>
        </w:tc>
        <w:tc>
          <w:tcPr>
            <w:tcW w:w="1984" w:type="dxa"/>
            <w:tcBorders>
              <w:top w:val="nil"/>
              <w:left w:val="nil"/>
              <w:bottom w:val="single" w:sz="4" w:space="0" w:color="auto"/>
              <w:right w:val="single" w:sz="4" w:space="0" w:color="auto"/>
            </w:tcBorders>
            <w:shd w:val="clear" w:color="auto" w:fill="auto"/>
            <w:noWrap/>
            <w:vAlign w:val="bottom"/>
            <w:hideMark/>
          </w:tcPr>
          <w:p w14:paraId="7230E602"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5,5%</w:t>
            </w:r>
          </w:p>
        </w:tc>
        <w:tc>
          <w:tcPr>
            <w:tcW w:w="1985" w:type="dxa"/>
            <w:tcBorders>
              <w:top w:val="nil"/>
              <w:left w:val="nil"/>
              <w:bottom w:val="single" w:sz="4" w:space="0" w:color="auto"/>
              <w:right w:val="single" w:sz="4" w:space="0" w:color="auto"/>
            </w:tcBorders>
            <w:shd w:val="clear" w:color="auto" w:fill="auto"/>
            <w:noWrap/>
            <w:vAlign w:val="bottom"/>
            <w:hideMark/>
          </w:tcPr>
          <w:p w14:paraId="58F4C892"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11%</w:t>
            </w:r>
          </w:p>
        </w:tc>
        <w:tc>
          <w:tcPr>
            <w:tcW w:w="2126" w:type="dxa"/>
            <w:tcBorders>
              <w:top w:val="nil"/>
              <w:left w:val="nil"/>
              <w:bottom w:val="single" w:sz="4" w:space="0" w:color="auto"/>
              <w:right w:val="single" w:sz="4" w:space="0" w:color="auto"/>
            </w:tcBorders>
            <w:shd w:val="clear" w:color="auto" w:fill="auto"/>
            <w:noWrap/>
            <w:vAlign w:val="bottom"/>
            <w:hideMark/>
          </w:tcPr>
          <w:p w14:paraId="41BF6DF8"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5,5%</w:t>
            </w:r>
          </w:p>
        </w:tc>
      </w:tr>
      <w:tr w:rsidR="00AD62CD" w:rsidRPr="00AD62CD" w14:paraId="2CB6B18F"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CAD845B"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SZČO</w:t>
            </w:r>
          </w:p>
        </w:tc>
        <w:tc>
          <w:tcPr>
            <w:tcW w:w="1985" w:type="dxa"/>
            <w:tcBorders>
              <w:top w:val="nil"/>
              <w:left w:val="nil"/>
              <w:bottom w:val="single" w:sz="4" w:space="0" w:color="auto"/>
              <w:right w:val="single" w:sz="4" w:space="0" w:color="auto"/>
            </w:tcBorders>
            <w:shd w:val="clear" w:color="auto" w:fill="auto"/>
            <w:noWrap/>
            <w:vAlign w:val="bottom"/>
            <w:hideMark/>
          </w:tcPr>
          <w:p w14:paraId="17BB5002"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15%</w:t>
            </w:r>
          </w:p>
        </w:tc>
        <w:tc>
          <w:tcPr>
            <w:tcW w:w="1984" w:type="dxa"/>
            <w:tcBorders>
              <w:top w:val="nil"/>
              <w:left w:val="nil"/>
              <w:bottom w:val="single" w:sz="4" w:space="0" w:color="auto"/>
              <w:right w:val="single" w:sz="4" w:space="0" w:color="auto"/>
            </w:tcBorders>
            <w:shd w:val="clear" w:color="auto" w:fill="auto"/>
            <w:noWrap/>
            <w:vAlign w:val="bottom"/>
            <w:hideMark/>
          </w:tcPr>
          <w:p w14:paraId="07F91201"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7,5%</w:t>
            </w:r>
          </w:p>
        </w:tc>
        <w:tc>
          <w:tcPr>
            <w:tcW w:w="1985" w:type="dxa"/>
            <w:tcBorders>
              <w:top w:val="nil"/>
              <w:left w:val="nil"/>
              <w:bottom w:val="single" w:sz="4" w:space="0" w:color="auto"/>
              <w:right w:val="single" w:sz="4" w:space="0" w:color="auto"/>
            </w:tcBorders>
            <w:shd w:val="clear" w:color="auto" w:fill="auto"/>
            <w:noWrap/>
            <w:vAlign w:val="bottom"/>
            <w:hideMark/>
          </w:tcPr>
          <w:p w14:paraId="79346975"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16%</w:t>
            </w:r>
          </w:p>
        </w:tc>
        <w:tc>
          <w:tcPr>
            <w:tcW w:w="2126" w:type="dxa"/>
            <w:tcBorders>
              <w:top w:val="nil"/>
              <w:left w:val="nil"/>
              <w:bottom w:val="single" w:sz="4" w:space="0" w:color="auto"/>
              <w:right w:val="single" w:sz="4" w:space="0" w:color="auto"/>
            </w:tcBorders>
            <w:shd w:val="clear" w:color="auto" w:fill="auto"/>
            <w:noWrap/>
            <w:vAlign w:val="bottom"/>
            <w:hideMark/>
          </w:tcPr>
          <w:p w14:paraId="6ABE9713"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8%</w:t>
            </w:r>
          </w:p>
        </w:tc>
      </w:tr>
      <w:tr w:rsidR="00AD62CD" w:rsidRPr="00AD62CD" w14:paraId="3C9259D6"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C685E0"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samoplatiteľ</w:t>
            </w:r>
          </w:p>
        </w:tc>
        <w:tc>
          <w:tcPr>
            <w:tcW w:w="1985" w:type="dxa"/>
            <w:tcBorders>
              <w:top w:val="nil"/>
              <w:left w:val="nil"/>
              <w:bottom w:val="single" w:sz="4" w:space="0" w:color="auto"/>
              <w:right w:val="single" w:sz="4" w:space="0" w:color="auto"/>
            </w:tcBorders>
            <w:shd w:val="clear" w:color="auto" w:fill="auto"/>
            <w:noWrap/>
            <w:vAlign w:val="bottom"/>
            <w:hideMark/>
          </w:tcPr>
          <w:p w14:paraId="160AD4CB"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15%</w:t>
            </w:r>
          </w:p>
        </w:tc>
        <w:tc>
          <w:tcPr>
            <w:tcW w:w="1984" w:type="dxa"/>
            <w:tcBorders>
              <w:top w:val="nil"/>
              <w:left w:val="nil"/>
              <w:bottom w:val="single" w:sz="4" w:space="0" w:color="auto"/>
              <w:right w:val="single" w:sz="4" w:space="0" w:color="auto"/>
            </w:tcBorders>
            <w:shd w:val="clear" w:color="auto" w:fill="auto"/>
            <w:noWrap/>
            <w:vAlign w:val="bottom"/>
            <w:hideMark/>
          </w:tcPr>
          <w:p w14:paraId="3892314F"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7,5%</w:t>
            </w:r>
          </w:p>
        </w:tc>
        <w:tc>
          <w:tcPr>
            <w:tcW w:w="1985" w:type="dxa"/>
            <w:tcBorders>
              <w:top w:val="nil"/>
              <w:left w:val="nil"/>
              <w:bottom w:val="single" w:sz="4" w:space="0" w:color="auto"/>
              <w:right w:val="single" w:sz="4" w:space="0" w:color="auto"/>
            </w:tcBorders>
            <w:shd w:val="clear" w:color="auto" w:fill="auto"/>
            <w:noWrap/>
            <w:vAlign w:val="bottom"/>
            <w:hideMark/>
          </w:tcPr>
          <w:p w14:paraId="5B7A7B10"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16%</w:t>
            </w:r>
          </w:p>
        </w:tc>
        <w:tc>
          <w:tcPr>
            <w:tcW w:w="2126" w:type="dxa"/>
            <w:tcBorders>
              <w:top w:val="nil"/>
              <w:left w:val="nil"/>
              <w:bottom w:val="single" w:sz="4" w:space="0" w:color="auto"/>
              <w:right w:val="single" w:sz="4" w:space="0" w:color="auto"/>
            </w:tcBorders>
            <w:shd w:val="clear" w:color="auto" w:fill="auto"/>
            <w:noWrap/>
            <w:vAlign w:val="bottom"/>
            <w:hideMark/>
          </w:tcPr>
          <w:p w14:paraId="04D00D14"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8%</w:t>
            </w:r>
          </w:p>
        </w:tc>
      </w:tr>
    </w:tbl>
    <w:p w14:paraId="558D289A"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tbl>
      <w:tblPr>
        <w:tblW w:w="5807" w:type="dxa"/>
        <w:tblCellMar>
          <w:left w:w="70" w:type="dxa"/>
          <w:right w:w="70" w:type="dxa"/>
        </w:tblCellMar>
        <w:tblLook w:val="04A0" w:firstRow="1" w:lastRow="0" w:firstColumn="1" w:lastColumn="0" w:noHBand="0" w:noVBand="1"/>
      </w:tblPr>
      <w:tblGrid>
        <w:gridCol w:w="1838"/>
        <w:gridCol w:w="1985"/>
        <w:gridCol w:w="1984"/>
      </w:tblGrid>
      <w:tr w:rsidR="00AD62CD" w:rsidRPr="00AD62CD" w14:paraId="73CEA59F" w14:textId="77777777" w:rsidTr="003627DF">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B8F30"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Platiteľ poistného</w:t>
            </w:r>
          </w:p>
        </w:tc>
        <w:tc>
          <w:tcPr>
            <w:tcW w:w="39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90E5DA"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Sadzba od 1. 1. 2028</w:t>
            </w:r>
          </w:p>
        </w:tc>
      </w:tr>
      <w:tr w:rsidR="00AD62CD" w:rsidRPr="00AD62CD" w14:paraId="37A2B720"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B4C543"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 </w:t>
            </w:r>
          </w:p>
        </w:tc>
        <w:tc>
          <w:tcPr>
            <w:tcW w:w="1985" w:type="dxa"/>
            <w:tcBorders>
              <w:top w:val="nil"/>
              <w:left w:val="nil"/>
              <w:bottom w:val="single" w:sz="4" w:space="0" w:color="auto"/>
              <w:right w:val="single" w:sz="4" w:space="0" w:color="auto"/>
            </w:tcBorders>
            <w:shd w:val="clear" w:color="auto" w:fill="auto"/>
            <w:noWrap/>
            <w:vAlign w:val="bottom"/>
            <w:hideMark/>
          </w:tcPr>
          <w:p w14:paraId="070088F7"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bez zdr. postihnutia</w:t>
            </w:r>
          </w:p>
        </w:tc>
        <w:tc>
          <w:tcPr>
            <w:tcW w:w="1984" w:type="dxa"/>
            <w:tcBorders>
              <w:top w:val="nil"/>
              <w:left w:val="nil"/>
              <w:bottom w:val="single" w:sz="4" w:space="0" w:color="auto"/>
              <w:right w:val="single" w:sz="4" w:space="0" w:color="auto"/>
            </w:tcBorders>
            <w:shd w:val="clear" w:color="auto" w:fill="auto"/>
            <w:noWrap/>
            <w:vAlign w:val="bottom"/>
            <w:hideMark/>
          </w:tcPr>
          <w:p w14:paraId="3A93153E"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so zdr. postihnutím</w:t>
            </w:r>
          </w:p>
        </w:tc>
      </w:tr>
      <w:tr w:rsidR="00AD62CD" w:rsidRPr="00AD62CD" w14:paraId="3062E263"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582B07"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zamestnanec</w:t>
            </w:r>
          </w:p>
        </w:tc>
        <w:tc>
          <w:tcPr>
            <w:tcW w:w="1985" w:type="dxa"/>
            <w:tcBorders>
              <w:top w:val="nil"/>
              <w:left w:val="nil"/>
              <w:bottom w:val="single" w:sz="4" w:space="0" w:color="auto"/>
              <w:right w:val="single" w:sz="4" w:space="0" w:color="auto"/>
            </w:tcBorders>
            <w:shd w:val="clear" w:color="auto" w:fill="auto"/>
            <w:noWrap/>
            <w:vAlign w:val="bottom"/>
            <w:hideMark/>
          </w:tcPr>
          <w:p w14:paraId="697794AA"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5%</w:t>
            </w:r>
          </w:p>
        </w:tc>
        <w:tc>
          <w:tcPr>
            <w:tcW w:w="1984" w:type="dxa"/>
            <w:tcBorders>
              <w:top w:val="nil"/>
              <w:left w:val="nil"/>
              <w:bottom w:val="single" w:sz="4" w:space="0" w:color="auto"/>
              <w:right w:val="single" w:sz="4" w:space="0" w:color="auto"/>
            </w:tcBorders>
            <w:shd w:val="clear" w:color="auto" w:fill="auto"/>
            <w:noWrap/>
            <w:vAlign w:val="bottom"/>
            <w:hideMark/>
          </w:tcPr>
          <w:p w14:paraId="2B8F37F8"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2,5%</w:t>
            </w:r>
          </w:p>
        </w:tc>
      </w:tr>
      <w:tr w:rsidR="00AD62CD" w:rsidRPr="00AD62CD" w14:paraId="55B8113B"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93B9C5"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zamestnávateľ</w:t>
            </w:r>
          </w:p>
        </w:tc>
        <w:tc>
          <w:tcPr>
            <w:tcW w:w="1985" w:type="dxa"/>
            <w:tcBorders>
              <w:top w:val="nil"/>
              <w:left w:val="nil"/>
              <w:bottom w:val="single" w:sz="4" w:space="0" w:color="auto"/>
              <w:right w:val="single" w:sz="4" w:space="0" w:color="auto"/>
            </w:tcBorders>
            <w:shd w:val="clear" w:color="auto" w:fill="auto"/>
            <w:noWrap/>
            <w:vAlign w:val="bottom"/>
            <w:hideMark/>
          </w:tcPr>
          <w:p w14:paraId="2A4A912F"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10%</w:t>
            </w:r>
          </w:p>
        </w:tc>
        <w:tc>
          <w:tcPr>
            <w:tcW w:w="1984" w:type="dxa"/>
            <w:tcBorders>
              <w:top w:val="nil"/>
              <w:left w:val="nil"/>
              <w:bottom w:val="single" w:sz="4" w:space="0" w:color="auto"/>
              <w:right w:val="single" w:sz="4" w:space="0" w:color="auto"/>
            </w:tcBorders>
            <w:shd w:val="clear" w:color="auto" w:fill="auto"/>
            <w:noWrap/>
            <w:vAlign w:val="bottom"/>
            <w:hideMark/>
          </w:tcPr>
          <w:p w14:paraId="09B09105"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5%</w:t>
            </w:r>
          </w:p>
        </w:tc>
      </w:tr>
      <w:tr w:rsidR="00AD62CD" w:rsidRPr="00AD62CD" w14:paraId="333BBFC3"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179E8EA"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SZČO</w:t>
            </w:r>
          </w:p>
        </w:tc>
        <w:tc>
          <w:tcPr>
            <w:tcW w:w="1985" w:type="dxa"/>
            <w:tcBorders>
              <w:top w:val="nil"/>
              <w:left w:val="nil"/>
              <w:bottom w:val="single" w:sz="4" w:space="0" w:color="auto"/>
              <w:right w:val="single" w:sz="4" w:space="0" w:color="auto"/>
            </w:tcBorders>
            <w:shd w:val="clear" w:color="auto" w:fill="auto"/>
            <w:noWrap/>
            <w:vAlign w:val="bottom"/>
            <w:hideMark/>
          </w:tcPr>
          <w:p w14:paraId="0CE922BE"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15%</w:t>
            </w:r>
          </w:p>
        </w:tc>
        <w:tc>
          <w:tcPr>
            <w:tcW w:w="1984" w:type="dxa"/>
            <w:tcBorders>
              <w:top w:val="nil"/>
              <w:left w:val="nil"/>
              <w:bottom w:val="single" w:sz="4" w:space="0" w:color="auto"/>
              <w:right w:val="single" w:sz="4" w:space="0" w:color="auto"/>
            </w:tcBorders>
            <w:shd w:val="clear" w:color="auto" w:fill="auto"/>
            <w:noWrap/>
            <w:vAlign w:val="bottom"/>
            <w:hideMark/>
          </w:tcPr>
          <w:p w14:paraId="66E67C4F"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7,5%</w:t>
            </w:r>
          </w:p>
        </w:tc>
      </w:tr>
      <w:tr w:rsidR="00AD62CD" w:rsidRPr="00AD62CD" w14:paraId="6038EE3A"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38663F"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samoplatiteľ</w:t>
            </w:r>
          </w:p>
        </w:tc>
        <w:tc>
          <w:tcPr>
            <w:tcW w:w="1985" w:type="dxa"/>
            <w:tcBorders>
              <w:top w:val="nil"/>
              <w:left w:val="nil"/>
              <w:bottom w:val="single" w:sz="4" w:space="0" w:color="auto"/>
              <w:right w:val="single" w:sz="4" w:space="0" w:color="auto"/>
            </w:tcBorders>
            <w:shd w:val="clear" w:color="auto" w:fill="auto"/>
            <w:noWrap/>
            <w:vAlign w:val="bottom"/>
            <w:hideMark/>
          </w:tcPr>
          <w:p w14:paraId="0CB74087"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15%</w:t>
            </w:r>
          </w:p>
        </w:tc>
        <w:tc>
          <w:tcPr>
            <w:tcW w:w="1984" w:type="dxa"/>
            <w:tcBorders>
              <w:top w:val="nil"/>
              <w:left w:val="nil"/>
              <w:bottom w:val="single" w:sz="4" w:space="0" w:color="auto"/>
              <w:right w:val="single" w:sz="4" w:space="0" w:color="auto"/>
            </w:tcBorders>
            <w:shd w:val="clear" w:color="auto" w:fill="auto"/>
            <w:noWrap/>
            <w:vAlign w:val="bottom"/>
            <w:hideMark/>
          </w:tcPr>
          <w:p w14:paraId="6D333303" w14:textId="77777777" w:rsidR="00AD62CD" w:rsidRPr="00AD62CD" w:rsidRDefault="00AD62CD" w:rsidP="00AD62CD">
            <w:pPr>
              <w:spacing w:after="0" w:line="240" w:lineRule="auto"/>
              <w:jc w:val="both"/>
              <w:rPr>
                <w:rFonts w:ascii="Times New Roman" w:eastAsia="Times New Roman" w:hAnsi="Times New Roman" w:cs="Times New Roman"/>
                <w:i/>
                <w:color w:val="000000"/>
                <w:kern w:val="0"/>
                <w:sz w:val="22"/>
                <w:szCs w:val="22"/>
                <w:lang w:eastAsia="sk-SK"/>
                <w14:ligatures w14:val="none"/>
              </w:rPr>
            </w:pPr>
            <w:r w:rsidRPr="00AD62CD">
              <w:rPr>
                <w:rFonts w:ascii="Times New Roman" w:eastAsia="Times New Roman" w:hAnsi="Times New Roman" w:cs="Times New Roman"/>
                <w:i/>
                <w:color w:val="000000"/>
                <w:kern w:val="0"/>
                <w:sz w:val="22"/>
                <w:szCs w:val="22"/>
                <w:lang w:eastAsia="sk-SK"/>
                <w14:ligatures w14:val="none"/>
              </w:rPr>
              <w:t>7,5%</w:t>
            </w:r>
          </w:p>
        </w:tc>
      </w:tr>
    </w:tbl>
    <w:p w14:paraId="031815E5"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Pri realizácii akejkoľvek zásadnej zmeny v odvodovej povinnosti musia zmeny, spočívajúce v zmene sadzby realizovať vždy k 1. januáru. Hlavným dôvodom je existencia ročného zúčtovania poistného, pri ktorom akákoľvek takáto zmena v priebehu kalendárneho roka do značnej miery výrazne skomplikuje realizáciu ročného zúčtovania poistného.</w:t>
      </w:r>
    </w:p>
    <w:p w14:paraId="4E0C981B"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p w14:paraId="54341A34"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bookmarkStart w:id="6" w:name="_Hlk207875255"/>
      <w:r w:rsidRPr="00AD62CD">
        <w:rPr>
          <w:rFonts w:ascii="Times New Roman" w:eastAsia="Calibri" w:hAnsi="Times New Roman" w:cs="Times New Roman"/>
          <w:kern w:val="0"/>
          <w14:ligatures w14:val="none"/>
        </w:rPr>
        <w:t xml:space="preserve">Navrhovaná zmena predpokladá dodatočný výber na zdravotnom poistení (ESA2010) v roku  2026 vo výške 437 mil. eur, v roku 2027 vo výške 457 mil. eur a v roku 2028 vo výške 475 mil. eur. </w:t>
      </w:r>
    </w:p>
    <w:p w14:paraId="6DDE17ED"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Opatrenie negatívne ovplyvní výnos DPFO, keďže zvýšenie odvodu na strane zamestnanca a pre ostatných poistencov zníži čiastkový základ dane. Očakávaný výpadok DPFO v roku 2026 bude vo výške 79 mil. eur, v roku 2027 83 mil. eur a v roku 2028 vo výše 86 mil. eur.</w:t>
      </w:r>
    </w:p>
    <w:p w14:paraId="7C48D388" w14:textId="77777777" w:rsidR="00AD62CD" w:rsidRPr="00AD62CD" w:rsidRDefault="00AD62CD" w:rsidP="00AD62CD">
      <w:pPr>
        <w:spacing w:after="0" w:line="240" w:lineRule="auto"/>
        <w:jc w:val="both"/>
        <w:rPr>
          <w:rFonts w:ascii="Times New Roman" w:eastAsia="Calibri" w:hAnsi="Times New Roman" w:cs="Times New Roman"/>
          <w:kern w:val="0"/>
          <w14:ligatures w14:val="none"/>
        </w:rPr>
      </w:pPr>
    </w:p>
    <w:bookmarkEnd w:id="6"/>
    <w:p w14:paraId="10E8131A" w14:textId="77777777" w:rsidR="00AD62CD" w:rsidRPr="00AD62CD" w:rsidRDefault="00AD62CD" w:rsidP="00AD62CD">
      <w:pPr>
        <w:spacing w:after="0" w:line="240" w:lineRule="auto"/>
        <w:rPr>
          <w:rFonts w:ascii="Times New Roman" w:eastAsia="Calibri" w:hAnsi="Times New Roman" w:cs="Times New Roman"/>
          <w:kern w:val="0"/>
          <w14:ligatures w14:val="none"/>
        </w:rPr>
      </w:pPr>
    </w:p>
    <w:p w14:paraId="32318850"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2.2.2. Charakteristika návrhu:</w:t>
      </w:r>
    </w:p>
    <w:p w14:paraId="314743EC"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16058CE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kern w:val="0"/>
          <w:bdr w:val="single" w:sz="4" w:space="0" w:color="auto"/>
          <w:lang w:eastAsia="sk-SK"/>
          <w14:ligatures w14:val="none"/>
        </w:rPr>
        <w:t xml:space="preserve"> </w:t>
      </w:r>
      <w:r w:rsidRPr="00AD62CD">
        <w:rPr>
          <w:rFonts w:ascii="Arial" w:eastAsia="Times New Roman" w:hAnsi="Arial" w:cs="Arial"/>
          <w:b/>
          <w:kern w:val="0"/>
          <w:bdr w:val="single" w:sz="4" w:space="0" w:color="auto"/>
          <w:lang w:eastAsia="sk-SK"/>
          <w14:ligatures w14:val="none"/>
        </w:rPr>
        <w:t>X</w:t>
      </w:r>
      <w:r w:rsidRPr="00AD62CD">
        <w:rPr>
          <w:rFonts w:ascii="Times New Roman" w:eastAsia="Times New Roman" w:hAnsi="Times New Roman" w:cs="Times New Roman"/>
          <w:b/>
          <w:kern w:val="0"/>
          <w:bdr w:val="single" w:sz="4" w:space="0" w:color="auto"/>
          <w:lang w:eastAsia="sk-SK"/>
          <w14:ligatures w14:val="none"/>
        </w:rPr>
        <w:t xml:space="preserve"> </w:t>
      </w:r>
      <w:r w:rsidRPr="00AD62CD">
        <w:rPr>
          <w:rFonts w:ascii="Times New Roman" w:eastAsia="Times New Roman" w:hAnsi="Times New Roman" w:cs="Times New Roman"/>
          <w:b/>
          <w:kern w:val="0"/>
          <w:lang w:eastAsia="sk-SK"/>
          <w14:ligatures w14:val="none"/>
        </w:rPr>
        <w:t xml:space="preserve">  </w:t>
      </w:r>
      <w:r w:rsidRPr="00AD62CD">
        <w:rPr>
          <w:rFonts w:ascii="Times New Roman" w:eastAsia="Times New Roman" w:hAnsi="Times New Roman" w:cs="Times New Roman"/>
          <w:kern w:val="0"/>
          <w:lang w:eastAsia="sk-SK"/>
          <w14:ligatures w14:val="none"/>
        </w:rPr>
        <w:t>zmena sadzby</w:t>
      </w:r>
    </w:p>
    <w:p w14:paraId="6DFC31E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zmena v nároku</w:t>
      </w:r>
    </w:p>
    <w:p w14:paraId="7F13EBB2"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nová služba alebo nariadenie (alebo ich zrušenie)</w:t>
      </w:r>
    </w:p>
    <w:p w14:paraId="3A45F816"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kombinovaný návrh</w:t>
      </w:r>
    </w:p>
    <w:p w14:paraId="294B378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bdr w:val="single" w:sz="4" w:space="0" w:color="auto"/>
          <w:lang w:eastAsia="sk-SK"/>
          <w14:ligatures w14:val="none"/>
        </w:rPr>
        <w:t xml:space="preserve">     </w:t>
      </w:r>
      <w:r w:rsidRPr="00AD62CD">
        <w:rPr>
          <w:rFonts w:ascii="Times New Roman" w:eastAsia="Times New Roman" w:hAnsi="Times New Roman" w:cs="Times New Roman"/>
          <w:kern w:val="0"/>
          <w:lang w:eastAsia="sk-SK"/>
          <w14:ligatures w14:val="none"/>
        </w:rPr>
        <w:t xml:space="preserve">  iné </w:t>
      </w:r>
    </w:p>
    <w:p w14:paraId="459E70E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6A5E9B4B"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b/>
          <w:bCs/>
          <w:kern w:val="0"/>
          <w:lang w:eastAsia="sk-SK"/>
          <w14:ligatures w14:val="none"/>
        </w:rPr>
        <w:t>2.2.3. Predpoklady vývoja objemu aktivít:</w:t>
      </w:r>
    </w:p>
    <w:p w14:paraId="4A7887B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0CFBD19A" w14:textId="77777777" w:rsidR="00AD62CD" w:rsidRPr="00AD62CD" w:rsidRDefault="00AD62CD" w:rsidP="00AD62CD">
      <w:pPr>
        <w:spacing w:after="0" w:line="240" w:lineRule="auto"/>
        <w:ind w:firstLine="708"/>
        <w:jc w:val="both"/>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Jasne popíšte, v prípade potreby použite nižšie uvedenú tabuľku. Uveďte aj odhady základov daní a/alebo poplatkov, ak sa ich táto zmena týka.</w:t>
      </w:r>
    </w:p>
    <w:p w14:paraId="33A4AB0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D62CD" w:rsidRPr="00AD62CD" w14:paraId="2E19F85D" w14:textId="77777777" w:rsidTr="00AD62CD">
        <w:trPr>
          <w:cantSplit/>
          <w:trHeight w:val="70"/>
        </w:trPr>
        <w:tc>
          <w:tcPr>
            <w:tcW w:w="4530" w:type="dxa"/>
            <w:vMerge w:val="restart"/>
            <w:shd w:val="clear" w:color="auto" w:fill="BFBFBF"/>
            <w:vAlign w:val="center"/>
          </w:tcPr>
          <w:p w14:paraId="4F431512" w14:textId="77777777" w:rsidR="00AD62CD" w:rsidRPr="00AD62CD" w:rsidRDefault="00AD62CD" w:rsidP="00AD62CD">
            <w:pPr>
              <w:autoSpaceDE w:val="0"/>
              <w:autoSpaceDN w:val="0"/>
              <w:adjustRightInd w:val="0"/>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Objem aktivít</w:t>
            </w:r>
          </w:p>
        </w:tc>
        <w:tc>
          <w:tcPr>
            <w:tcW w:w="1134" w:type="dxa"/>
            <w:gridSpan w:val="4"/>
            <w:shd w:val="clear" w:color="auto" w:fill="BFBFBF"/>
            <w:vAlign w:val="center"/>
          </w:tcPr>
          <w:p w14:paraId="5B8C3D56" w14:textId="77777777" w:rsidR="00AD62CD" w:rsidRPr="00AD62CD" w:rsidRDefault="00AD62CD" w:rsidP="00AD62CD">
            <w:pPr>
              <w:autoSpaceDE w:val="0"/>
              <w:autoSpaceDN w:val="0"/>
              <w:adjustRightInd w:val="0"/>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Odhadované objemy</w:t>
            </w:r>
          </w:p>
        </w:tc>
      </w:tr>
      <w:tr w:rsidR="00AD62CD" w:rsidRPr="00AD62CD" w14:paraId="4BFBB5FC" w14:textId="77777777" w:rsidTr="00AD62CD">
        <w:trPr>
          <w:cantSplit/>
          <w:trHeight w:val="70"/>
        </w:trPr>
        <w:tc>
          <w:tcPr>
            <w:tcW w:w="4530" w:type="dxa"/>
            <w:vMerge/>
            <w:shd w:val="clear" w:color="auto" w:fill="BFBFBF"/>
          </w:tcPr>
          <w:p w14:paraId="3559E5BF" w14:textId="77777777" w:rsidR="00AD62CD" w:rsidRPr="00AD62CD" w:rsidRDefault="00AD62CD" w:rsidP="00AD62CD">
            <w:pPr>
              <w:autoSpaceDE w:val="0"/>
              <w:autoSpaceDN w:val="0"/>
              <w:adjustRightInd w:val="0"/>
              <w:spacing w:after="0" w:line="240" w:lineRule="auto"/>
              <w:jc w:val="center"/>
              <w:rPr>
                <w:rFonts w:ascii="Times New Roman" w:eastAsia="Times New Roman" w:hAnsi="Times New Roman" w:cs="Times New Roman"/>
                <w:b/>
                <w:bCs/>
                <w:kern w:val="0"/>
                <w:lang w:eastAsia="sk-SK"/>
                <w14:ligatures w14:val="none"/>
              </w:rPr>
            </w:pPr>
          </w:p>
        </w:tc>
        <w:tc>
          <w:tcPr>
            <w:tcW w:w="1134" w:type="dxa"/>
            <w:shd w:val="clear" w:color="auto" w:fill="BFBFBF"/>
            <w:vAlign w:val="center"/>
          </w:tcPr>
          <w:p w14:paraId="54CFA1AF" w14:textId="77777777" w:rsidR="00AD62CD" w:rsidRPr="00AD62CD" w:rsidRDefault="00AD62CD" w:rsidP="00AD62CD">
            <w:pPr>
              <w:autoSpaceDE w:val="0"/>
              <w:autoSpaceDN w:val="0"/>
              <w:adjustRightInd w:val="0"/>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2025</w:t>
            </w:r>
          </w:p>
        </w:tc>
        <w:tc>
          <w:tcPr>
            <w:tcW w:w="1134" w:type="dxa"/>
            <w:shd w:val="clear" w:color="auto" w:fill="BFBFBF"/>
            <w:vAlign w:val="center"/>
          </w:tcPr>
          <w:p w14:paraId="3C7A937C" w14:textId="77777777" w:rsidR="00AD62CD" w:rsidRPr="00AD62CD" w:rsidRDefault="00AD62CD" w:rsidP="00AD62CD">
            <w:pPr>
              <w:autoSpaceDE w:val="0"/>
              <w:autoSpaceDN w:val="0"/>
              <w:adjustRightInd w:val="0"/>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2026</w:t>
            </w:r>
          </w:p>
        </w:tc>
        <w:tc>
          <w:tcPr>
            <w:tcW w:w="1134" w:type="dxa"/>
            <w:shd w:val="clear" w:color="auto" w:fill="BFBFBF"/>
            <w:vAlign w:val="center"/>
          </w:tcPr>
          <w:p w14:paraId="4578DEE1" w14:textId="77777777" w:rsidR="00AD62CD" w:rsidRPr="00AD62CD" w:rsidRDefault="00AD62CD" w:rsidP="00AD62CD">
            <w:pPr>
              <w:autoSpaceDE w:val="0"/>
              <w:autoSpaceDN w:val="0"/>
              <w:adjustRightInd w:val="0"/>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2027</w:t>
            </w:r>
          </w:p>
        </w:tc>
        <w:tc>
          <w:tcPr>
            <w:tcW w:w="1134" w:type="dxa"/>
            <w:shd w:val="clear" w:color="auto" w:fill="BFBFBF"/>
            <w:vAlign w:val="center"/>
          </w:tcPr>
          <w:p w14:paraId="490B279E" w14:textId="77777777" w:rsidR="00AD62CD" w:rsidRPr="00AD62CD" w:rsidRDefault="00AD62CD" w:rsidP="00AD62CD">
            <w:pPr>
              <w:autoSpaceDE w:val="0"/>
              <w:autoSpaceDN w:val="0"/>
              <w:adjustRightInd w:val="0"/>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2028</w:t>
            </w:r>
          </w:p>
        </w:tc>
      </w:tr>
      <w:tr w:rsidR="00AD62CD" w:rsidRPr="00AD62CD" w14:paraId="57F787ED" w14:textId="77777777" w:rsidTr="003627DF">
        <w:trPr>
          <w:trHeight w:val="70"/>
        </w:trPr>
        <w:tc>
          <w:tcPr>
            <w:tcW w:w="4530" w:type="dxa"/>
          </w:tcPr>
          <w:p w14:paraId="1281595E" w14:textId="77777777" w:rsidR="00AD62CD" w:rsidRPr="00AD62CD" w:rsidRDefault="00AD62CD" w:rsidP="00AD62CD">
            <w:pPr>
              <w:autoSpaceDE w:val="0"/>
              <w:autoSpaceDN w:val="0"/>
              <w:adjustRightInd w:val="0"/>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Indikátor ABC</w:t>
            </w:r>
          </w:p>
        </w:tc>
        <w:tc>
          <w:tcPr>
            <w:tcW w:w="1134" w:type="dxa"/>
          </w:tcPr>
          <w:p w14:paraId="074E364E" w14:textId="77777777" w:rsidR="00AD62CD" w:rsidRPr="00AD62CD" w:rsidRDefault="00AD62CD" w:rsidP="00AD62CD">
            <w:pPr>
              <w:autoSpaceDE w:val="0"/>
              <w:autoSpaceDN w:val="0"/>
              <w:adjustRightInd w:val="0"/>
              <w:spacing w:after="0" w:line="240" w:lineRule="auto"/>
              <w:jc w:val="right"/>
              <w:rPr>
                <w:rFonts w:ascii="Times New Roman" w:eastAsia="Times New Roman" w:hAnsi="Times New Roman" w:cs="Times New Roman"/>
                <w:color w:val="000000"/>
                <w:kern w:val="0"/>
                <w:lang w:eastAsia="sk-SK"/>
                <w14:ligatures w14:val="none"/>
              </w:rPr>
            </w:pPr>
          </w:p>
        </w:tc>
        <w:tc>
          <w:tcPr>
            <w:tcW w:w="1134" w:type="dxa"/>
          </w:tcPr>
          <w:p w14:paraId="5E8608EE" w14:textId="77777777" w:rsidR="00AD62CD" w:rsidRPr="00AD62CD" w:rsidRDefault="00AD62CD" w:rsidP="00AD62CD">
            <w:pPr>
              <w:autoSpaceDE w:val="0"/>
              <w:autoSpaceDN w:val="0"/>
              <w:adjustRightInd w:val="0"/>
              <w:spacing w:after="0" w:line="240" w:lineRule="auto"/>
              <w:jc w:val="right"/>
              <w:rPr>
                <w:rFonts w:ascii="Times New Roman" w:eastAsia="Times New Roman" w:hAnsi="Times New Roman" w:cs="Times New Roman"/>
                <w:color w:val="000000"/>
                <w:kern w:val="0"/>
                <w:lang w:eastAsia="sk-SK"/>
                <w14:ligatures w14:val="none"/>
              </w:rPr>
            </w:pPr>
          </w:p>
        </w:tc>
        <w:tc>
          <w:tcPr>
            <w:tcW w:w="1134" w:type="dxa"/>
          </w:tcPr>
          <w:p w14:paraId="57116DF3" w14:textId="77777777" w:rsidR="00AD62CD" w:rsidRPr="00AD62CD" w:rsidRDefault="00AD62CD" w:rsidP="00AD62CD">
            <w:pPr>
              <w:autoSpaceDE w:val="0"/>
              <w:autoSpaceDN w:val="0"/>
              <w:adjustRightInd w:val="0"/>
              <w:spacing w:after="0" w:line="240" w:lineRule="auto"/>
              <w:jc w:val="right"/>
              <w:rPr>
                <w:rFonts w:ascii="Times New Roman" w:eastAsia="Times New Roman" w:hAnsi="Times New Roman" w:cs="Times New Roman"/>
                <w:color w:val="000000"/>
                <w:kern w:val="0"/>
                <w:lang w:eastAsia="sk-SK"/>
                <w14:ligatures w14:val="none"/>
              </w:rPr>
            </w:pPr>
          </w:p>
        </w:tc>
        <w:tc>
          <w:tcPr>
            <w:tcW w:w="1134" w:type="dxa"/>
          </w:tcPr>
          <w:p w14:paraId="52B3D4CC" w14:textId="77777777" w:rsidR="00AD62CD" w:rsidRPr="00AD62CD" w:rsidRDefault="00AD62CD" w:rsidP="00AD62CD">
            <w:pPr>
              <w:autoSpaceDE w:val="0"/>
              <w:autoSpaceDN w:val="0"/>
              <w:adjustRightInd w:val="0"/>
              <w:spacing w:after="0" w:line="240" w:lineRule="auto"/>
              <w:jc w:val="right"/>
              <w:rPr>
                <w:rFonts w:ascii="Times New Roman" w:eastAsia="Times New Roman" w:hAnsi="Times New Roman" w:cs="Times New Roman"/>
                <w:color w:val="000000"/>
                <w:kern w:val="0"/>
                <w:lang w:eastAsia="sk-SK"/>
                <w14:ligatures w14:val="none"/>
              </w:rPr>
            </w:pPr>
          </w:p>
        </w:tc>
      </w:tr>
      <w:tr w:rsidR="00AD62CD" w:rsidRPr="00AD62CD" w14:paraId="75219866" w14:textId="77777777" w:rsidTr="003627DF">
        <w:trPr>
          <w:trHeight w:val="70"/>
        </w:trPr>
        <w:tc>
          <w:tcPr>
            <w:tcW w:w="4530" w:type="dxa"/>
          </w:tcPr>
          <w:p w14:paraId="4E266590" w14:textId="77777777" w:rsidR="00AD62CD" w:rsidRPr="00AD62CD" w:rsidRDefault="00AD62CD" w:rsidP="00AD62CD">
            <w:pPr>
              <w:autoSpaceDE w:val="0"/>
              <w:autoSpaceDN w:val="0"/>
              <w:adjustRightInd w:val="0"/>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Indikátor KLM</w:t>
            </w:r>
          </w:p>
        </w:tc>
        <w:tc>
          <w:tcPr>
            <w:tcW w:w="1134" w:type="dxa"/>
          </w:tcPr>
          <w:p w14:paraId="321336AE" w14:textId="77777777" w:rsidR="00AD62CD" w:rsidRPr="00AD62CD" w:rsidRDefault="00AD62CD" w:rsidP="00AD62CD">
            <w:pPr>
              <w:autoSpaceDE w:val="0"/>
              <w:autoSpaceDN w:val="0"/>
              <w:adjustRightInd w:val="0"/>
              <w:spacing w:after="0" w:line="240" w:lineRule="auto"/>
              <w:jc w:val="right"/>
              <w:rPr>
                <w:rFonts w:ascii="Times New Roman" w:eastAsia="Times New Roman" w:hAnsi="Times New Roman" w:cs="Times New Roman"/>
                <w:color w:val="000000"/>
                <w:kern w:val="0"/>
                <w:lang w:eastAsia="sk-SK"/>
                <w14:ligatures w14:val="none"/>
              </w:rPr>
            </w:pPr>
          </w:p>
        </w:tc>
        <w:tc>
          <w:tcPr>
            <w:tcW w:w="1134" w:type="dxa"/>
          </w:tcPr>
          <w:p w14:paraId="2625843C" w14:textId="77777777" w:rsidR="00AD62CD" w:rsidRPr="00AD62CD" w:rsidRDefault="00AD62CD" w:rsidP="00AD62CD">
            <w:pPr>
              <w:autoSpaceDE w:val="0"/>
              <w:autoSpaceDN w:val="0"/>
              <w:adjustRightInd w:val="0"/>
              <w:spacing w:after="0" w:line="240" w:lineRule="auto"/>
              <w:jc w:val="right"/>
              <w:rPr>
                <w:rFonts w:ascii="Times New Roman" w:eastAsia="Times New Roman" w:hAnsi="Times New Roman" w:cs="Times New Roman"/>
                <w:color w:val="000000"/>
                <w:kern w:val="0"/>
                <w:lang w:eastAsia="sk-SK"/>
                <w14:ligatures w14:val="none"/>
              </w:rPr>
            </w:pPr>
          </w:p>
        </w:tc>
        <w:tc>
          <w:tcPr>
            <w:tcW w:w="1134" w:type="dxa"/>
          </w:tcPr>
          <w:p w14:paraId="084EAF2B" w14:textId="77777777" w:rsidR="00AD62CD" w:rsidRPr="00AD62CD" w:rsidRDefault="00AD62CD" w:rsidP="00AD62CD">
            <w:pPr>
              <w:autoSpaceDE w:val="0"/>
              <w:autoSpaceDN w:val="0"/>
              <w:adjustRightInd w:val="0"/>
              <w:spacing w:after="0" w:line="240" w:lineRule="auto"/>
              <w:jc w:val="right"/>
              <w:rPr>
                <w:rFonts w:ascii="Times New Roman" w:eastAsia="Times New Roman" w:hAnsi="Times New Roman" w:cs="Times New Roman"/>
                <w:color w:val="000000"/>
                <w:kern w:val="0"/>
                <w:lang w:eastAsia="sk-SK"/>
                <w14:ligatures w14:val="none"/>
              </w:rPr>
            </w:pPr>
          </w:p>
        </w:tc>
        <w:tc>
          <w:tcPr>
            <w:tcW w:w="1134" w:type="dxa"/>
          </w:tcPr>
          <w:p w14:paraId="4DA2AF08" w14:textId="77777777" w:rsidR="00AD62CD" w:rsidRPr="00AD62CD" w:rsidRDefault="00AD62CD" w:rsidP="00AD62CD">
            <w:pPr>
              <w:autoSpaceDE w:val="0"/>
              <w:autoSpaceDN w:val="0"/>
              <w:adjustRightInd w:val="0"/>
              <w:spacing w:after="0" w:line="240" w:lineRule="auto"/>
              <w:jc w:val="right"/>
              <w:rPr>
                <w:rFonts w:ascii="Times New Roman" w:eastAsia="Times New Roman" w:hAnsi="Times New Roman" w:cs="Times New Roman"/>
                <w:color w:val="000000"/>
                <w:kern w:val="0"/>
                <w:lang w:eastAsia="sk-SK"/>
                <w14:ligatures w14:val="none"/>
              </w:rPr>
            </w:pPr>
          </w:p>
        </w:tc>
      </w:tr>
      <w:tr w:rsidR="00AD62CD" w:rsidRPr="00AD62CD" w14:paraId="023042C4" w14:textId="77777777" w:rsidTr="003627DF">
        <w:trPr>
          <w:trHeight w:val="70"/>
        </w:trPr>
        <w:tc>
          <w:tcPr>
            <w:tcW w:w="4530" w:type="dxa"/>
          </w:tcPr>
          <w:p w14:paraId="24E080BC" w14:textId="77777777" w:rsidR="00AD62CD" w:rsidRPr="00AD62CD" w:rsidRDefault="00AD62CD" w:rsidP="00AD62CD">
            <w:pPr>
              <w:autoSpaceDE w:val="0"/>
              <w:autoSpaceDN w:val="0"/>
              <w:adjustRightInd w:val="0"/>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Indikátor XYZ</w:t>
            </w:r>
          </w:p>
        </w:tc>
        <w:tc>
          <w:tcPr>
            <w:tcW w:w="1134" w:type="dxa"/>
          </w:tcPr>
          <w:p w14:paraId="53B7738E" w14:textId="77777777" w:rsidR="00AD62CD" w:rsidRPr="00AD62CD" w:rsidRDefault="00AD62CD" w:rsidP="00AD62CD">
            <w:pPr>
              <w:autoSpaceDE w:val="0"/>
              <w:autoSpaceDN w:val="0"/>
              <w:adjustRightInd w:val="0"/>
              <w:spacing w:after="0" w:line="240" w:lineRule="auto"/>
              <w:jc w:val="right"/>
              <w:rPr>
                <w:rFonts w:ascii="Times New Roman" w:eastAsia="Times New Roman" w:hAnsi="Times New Roman" w:cs="Times New Roman"/>
                <w:color w:val="000000"/>
                <w:kern w:val="0"/>
                <w:lang w:eastAsia="sk-SK"/>
                <w14:ligatures w14:val="none"/>
              </w:rPr>
            </w:pPr>
          </w:p>
        </w:tc>
        <w:tc>
          <w:tcPr>
            <w:tcW w:w="1134" w:type="dxa"/>
          </w:tcPr>
          <w:p w14:paraId="3FD8DE76" w14:textId="77777777" w:rsidR="00AD62CD" w:rsidRPr="00AD62CD" w:rsidRDefault="00AD62CD" w:rsidP="00AD62CD">
            <w:pPr>
              <w:autoSpaceDE w:val="0"/>
              <w:autoSpaceDN w:val="0"/>
              <w:adjustRightInd w:val="0"/>
              <w:spacing w:after="0" w:line="240" w:lineRule="auto"/>
              <w:jc w:val="right"/>
              <w:rPr>
                <w:rFonts w:ascii="Times New Roman" w:eastAsia="Times New Roman" w:hAnsi="Times New Roman" w:cs="Times New Roman"/>
                <w:color w:val="000000"/>
                <w:kern w:val="0"/>
                <w:lang w:eastAsia="sk-SK"/>
                <w14:ligatures w14:val="none"/>
              </w:rPr>
            </w:pPr>
          </w:p>
        </w:tc>
        <w:tc>
          <w:tcPr>
            <w:tcW w:w="1134" w:type="dxa"/>
          </w:tcPr>
          <w:p w14:paraId="7DDB2077" w14:textId="77777777" w:rsidR="00AD62CD" w:rsidRPr="00AD62CD" w:rsidRDefault="00AD62CD" w:rsidP="00AD62CD">
            <w:pPr>
              <w:autoSpaceDE w:val="0"/>
              <w:autoSpaceDN w:val="0"/>
              <w:adjustRightInd w:val="0"/>
              <w:spacing w:after="0" w:line="240" w:lineRule="auto"/>
              <w:jc w:val="right"/>
              <w:rPr>
                <w:rFonts w:ascii="Times New Roman" w:eastAsia="Times New Roman" w:hAnsi="Times New Roman" w:cs="Times New Roman"/>
                <w:color w:val="000000"/>
                <w:kern w:val="0"/>
                <w:lang w:eastAsia="sk-SK"/>
                <w14:ligatures w14:val="none"/>
              </w:rPr>
            </w:pPr>
          </w:p>
        </w:tc>
        <w:tc>
          <w:tcPr>
            <w:tcW w:w="1134" w:type="dxa"/>
          </w:tcPr>
          <w:p w14:paraId="5A797FFF" w14:textId="77777777" w:rsidR="00AD62CD" w:rsidRPr="00AD62CD" w:rsidRDefault="00AD62CD" w:rsidP="00AD62CD">
            <w:pPr>
              <w:autoSpaceDE w:val="0"/>
              <w:autoSpaceDN w:val="0"/>
              <w:adjustRightInd w:val="0"/>
              <w:spacing w:after="0" w:line="240" w:lineRule="auto"/>
              <w:jc w:val="right"/>
              <w:rPr>
                <w:rFonts w:ascii="Times New Roman" w:eastAsia="Times New Roman" w:hAnsi="Times New Roman" w:cs="Times New Roman"/>
                <w:color w:val="000000"/>
                <w:kern w:val="0"/>
                <w:lang w:eastAsia="sk-SK"/>
                <w14:ligatures w14:val="none"/>
              </w:rPr>
            </w:pPr>
          </w:p>
        </w:tc>
      </w:tr>
    </w:tbl>
    <w:p w14:paraId="107E069D"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4DD06B5C" w14:textId="77777777" w:rsidR="00AD62CD" w:rsidRPr="00AD62CD" w:rsidRDefault="00AD62CD" w:rsidP="00AD62CD">
      <w:pPr>
        <w:spacing w:after="0" w:line="240" w:lineRule="auto"/>
        <w:ind w:firstLine="709"/>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Predloženým návrhom zmeny zákona nedochádza k zmene vývoja objemu aktivít.</w:t>
      </w:r>
    </w:p>
    <w:p w14:paraId="4FB38D5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p w14:paraId="364282DF"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2.2.4. Výpočty vplyvov na verejné financie</w:t>
      </w:r>
    </w:p>
    <w:p w14:paraId="30A3824C" w14:textId="77777777" w:rsidR="00AD62CD" w:rsidRPr="00AD62CD" w:rsidRDefault="00AD62CD" w:rsidP="00AD62CD">
      <w:pPr>
        <w:spacing w:after="0" w:line="240" w:lineRule="auto"/>
        <w:jc w:val="both"/>
        <w:rPr>
          <w:rFonts w:ascii="Times New Roman" w:eastAsia="Times New Roman" w:hAnsi="Times New Roman" w:cs="Times New Roman"/>
          <w:kern w:val="0"/>
          <w:lang w:eastAsia="sk-SK"/>
          <w14:ligatures w14:val="none"/>
        </w:rPr>
      </w:pPr>
    </w:p>
    <w:p w14:paraId="0BCA7CEC" w14:textId="77777777" w:rsidR="00AD62CD" w:rsidRPr="00AD62CD" w:rsidRDefault="00AD62CD" w:rsidP="00AD62CD">
      <w:pPr>
        <w:tabs>
          <w:tab w:val="num" w:pos="1080"/>
        </w:tabs>
        <w:spacing w:after="200" w:line="276" w:lineRule="auto"/>
        <w:jc w:val="both"/>
        <w:rPr>
          <w:rFonts w:ascii="Times New Roman" w:eastAsia="Calibri" w:hAnsi="Times New Roman" w:cs="Times New Roman"/>
          <w:bCs/>
          <w:kern w:val="0"/>
          <w:sz w:val="22"/>
          <w:szCs w:val="22"/>
          <w:lang w:eastAsia="sk-SK"/>
          <w14:ligatures w14:val="none"/>
        </w:rPr>
      </w:pPr>
      <w:r w:rsidRPr="00AD62CD">
        <w:rPr>
          <w:rFonts w:ascii="Times New Roman" w:eastAsia="Calibri" w:hAnsi="Times New Roman" w:cs="Times New Roman"/>
          <w:bCs/>
          <w:kern w:val="0"/>
          <w:sz w:val="22"/>
          <w:szCs w:val="22"/>
          <w14:ligatures w14:val="none"/>
        </w:rPr>
        <w:t xml:space="preserve">Zmena, popísaná v časti 2.2.1 tohto materiálu zvyšuje sadzba poistného na verejné zdravotné poistenie o 1 percentuálny bod, pričom táto trvalá zmena bude od 1. januára 2026 do 31. decembra 2027 v platnosti súbežne s dočasným zvýšením odvodu na verejné zdravotné poistenie o ďalší 1 percentuálny bod. </w:t>
      </w:r>
    </w:p>
    <w:p w14:paraId="72271F01" w14:textId="77777777" w:rsidR="00AD62CD" w:rsidRPr="00AD62CD" w:rsidRDefault="00AD62CD" w:rsidP="00AD62CD">
      <w:pPr>
        <w:tabs>
          <w:tab w:val="num" w:pos="1080"/>
        </w:tabs>
        <w:spacing w:after="200" w:line="276" w:lineRule="auto"/>
        <w:jc w:val="both"/>
        <w:rPr>
          <w:rFonts w:ascii="Times New Roman" w:eastAsia="Calibri" w:hAnsi="Times New Roman" w:cs="Times New Roman"/>
          <w:bCs/>
          <w:kern w:val="0"/>
          <w:sz w:val="22"/>
          <w:szCs w:val="22"/>
          <w:lang w:eastAsia="sk-SK"/>
          <w14:ligatures w14:val="none"/>
        </w:rPr>
      </w:pPr>
      <w:r w:rsidRPr="00AD62CD">
        <w:rPr>
          <w:rFonts w:ascii="Times New Roman" w:eastAsia="Calibri" w:hAnsi="Times New Roman" w:cs="Times New Roman"/>
          <w:bCs/>
          <w:kern w:val="0"/>
          <w:sz w:val="22"/>
          <w:szCs w:val="22"/>
          <w:lang w:eastAsia="sk-SK"/>
          <w14:ligatures w14:val="none"/>
        </w:rPr>
        <w:t>Predpokladá sa dodatočný výber poistného na verejné zdravotné poistenie  vo výške 437 mil. eur (ESA2010) resp. 400 mil. eur (cash) v prvom roku platnosti opatrenia.</w:t>
      </w:r>
    </w:p>
    <w:p w14:paraId="61DD6F2F" w14:textId="77777777" w:rsidR="00AD62CD" w:rsidRPr="00AD62CD" w:rsidRDefault="00AD62CD" w:rsidP="00AD62CD">
      <w:pPr>
        <w:tabs>
          <w:tab w:val="num" w:pos="1080"/>
        </w:tabs>
        <w:spacing w:after="200" w:line="276" w:lineRule="auto"/>
        <w:jc w:val="both"/>
        <w:rPr>
          <w:rFonts w:ascii="Times New Roman" w:eastAsia="Calibri" w:hAnsi="Times New Roman" w:cs="Times New Roman"/>
          <w:bCs/>
          <w:kern w:val="0"/>
          <w:sz w:val="22"/>
          <w:szCs w:val="22"/>
          <w:lang w:eastAsia="sk-SK"/>
          <w14:ligatures w14:val="none"/>
        </w:rPr>
      </w:pPr>
      <w:r w:rsidRPr="00AD62CD">
        <w:rPr>
          <w:rFonts w:ascii="Times New Roman" w:eastAsia="Calibri" w:hAnsi="Times New Roman" w:cs="Times New Roman"/>
          <w:bCs/>
          <w:kern w:val="0"/>
          <w:sz w:val="22"/>
          <w:szCs w:val="22"/>
          <w:lang w:eastAsia="sk-SK"/>
          <w14:ligatures w14:val="none"/>
        </w:rPr>
        <w:t xml:space="preserve">Opatrenie negatívne ovplyvní výnos dane z príjmov fyzických osôb, keďže zvýšenie odvodu poistného na verejné zdravotné poistenie zníži čiastkový základ dane. </w:t>
      </w:r>
    </w:p>
    <w:p w14:paraId="06FF47CD" w14:textId="77777777" w:rsidR="00AD62CD" w:rsidRPr="00AD62CD" w:rsidRDefault="00AD62CD" w:rsidP="00AD62CD">
      <w:pPr>
        <w:tabs>
          <w:tab w:val="num" w:pos="1080"/>
        </w:tabs>
        <w:spacing w:after="200" w:line="276" w:lineRule="auto"/>
        <w:jc w:val="both"/>
        <w:rPr>
          <w:rFonts w:ascii="Times New Roman" w:eastAsia="Calibri" w:hAnsi="Times New Roman" w:cs="Times New Roman"/>
          <w:bCs/>
          <w:kern w:val="0"/>
          <w:sz w:val="18"/>
          <w:szCs w:val="22"/>
          <w:lang w:eastAsia="sk-SK"/>
          <w14:ligatures w14:val="none"/>
        </w:rPr>
      </w:pPr>
      <w:r w:rsidRPr="00AD62CD">
        <w:rPr>
          <w:rFonts w:ascii="Times New Roman" w:eastAsia="Calibri" w:hAnsi="Times New Roman" w:cs="Times New Roman"/>
          <w:bCs/>
          <w:kern w:val="0"/>
          <w:sz w:val="18"/>
          <w:szCs w:val="22"/>
          <w:lang w:eastAsia="sk-SK"/>
          <w14:ligatures w14:val="none"/>
        </w:rPr>
        <w:t>Zdroj údajov a výpočet: IFP MF SR</w:t>
      </w:r>
    </w:p>
    <w:p w14:paraId="0A724244" w14:textId="77777777" w:rsidR="00AD62CD" w:rsidRPr="00AD62CD" w:rsidRDefault="00AD62CD" w:rsidP="00AD62CD">
      <w:pPr>
        <w:tabs>
          <w:tab w:val="num" w:pos="1080"/>
        </w:tabs>
        <w:spacing w:after="200" w:line="276" w:lineRule="auto"/>
        <w:jc w:val="both"/>
        <w:rPr>
          <w:rFonts w:ascii="Times New Roman" w:eastAsia="Calibri" w:hAnsi="Times New Roman" w:cs="Times New Roman"/>
          <w:bCs/>
          <w:kern w:val="0"/>
          <w:sz w:val="18"/>
          <w:szCs w:val="22"/>
          <w:lang w:eastAsia="sk-SK"/>
          <w14:ligatures w14:val="none"/>
        </w:rPr>
      </w:pPr>
    </w:p>
    <w:p w14:paraId="5C64E66B" w14:textId="77777777" w:rsidR="00AD62CD" w:rsidRPr="00AD62CD" w:rsidRDefault="00AD62CD" w:rsidP="00AD62CD">
      <w:pPr>
        <w:tabs>
          <w:tab w:val="num" w:pos="1080"/>
        </w:tabs>
        <w:spacing w:after="200" w:line="276" w:lineRule="auto"/>
        <w:jc w:val="both"/>
        <w:rPr>
          <w:rFonts w:ascii="Times New Roman" w:eastAsia="Calibri" w:hAnsi="Times New Roman" w:cs="Times New Roman"/>
          <w:bCs/>
          <w:kern w:val="0"/>
          <w:sz w:val="18"/>
          <w:szCs w:val="22"/>
          <w:lang w:eastAsia="sk-SK"/>
          <w14:ligatures w14:val="none"/>
        </w:rPr>
      </w:pPr>
    </w:p>
    <w:p w14:paraId="25E88E29" w14:textId="77777777" w:rsidR="00AD62CD" w:rsidRPr="00AD62CD" w:rsidRDefault="00AD62CD" w:rsidP="00AD62CD">
      <w:pPr>
        <w:tabs>
          <w:tab w:val="num" w:pos="1080"/>
        </w:tabs>
        <w:spacing w:after="200" w:line="276" w:lineRule="auto"/>
        <w:jc w:val="both"/>
        <w:rPr>
          <w:rFonts w:ascii="Times New Roman" w:eastAsia="Calibri" w:hAnsi="Times New Roman" w:cs="Times New Roman"/>
          <w:bCs/>
          <w:kern w:val="0"/>
          <w:sz w:val="18"/>
          <w:szCs w:val="22"/>
          <w:lang w:eastAsia="sk-SK"/>
          <w14:ligatures w14:val="none"/>
        </w:rPr>
        <w:sectPr w:rsidR="00AD62CD" w:rsidRPr="00AD62CD" w:rsidSect="00AD62CD">
          <w:pgSz w:w="11906" w:h="16838"/>
          <w:pgMar w:top="1417" w:right="1417" w:bottom="1417" w:left="1417" w:header="567" w:footer="283" w:gutter="0"/>
          <w:cols w:space="708"/>
          <w:docGrid w:linePitch="360"/>
        </w:sectPr>
      </w:pPr>
    </w:p>
    <w:p w14:paraId="65A274F6" w14:textId="77777777" w:rsidR="00AD62CD" w:rsidRPr="00AD62CD" w:rsidRDefault="00AD62CD" w:rsidP="00AD62CD">
      <w:pPr>
        <w:tabs>
          <w:tab w:val="num" w:pos="1080"/>
        </w:tabs>
        <w:spacing w:after="0" w:line="240" w:lineRule="auto"/>
        <w:jc w:val="right"/>
        <w:rPr>
          <w:rFonts w:ascii="Times New Roman" w:eastAsia="Times New Roman" w:hAnsi="Times New Roman" w:cs="Times New Roman"/>
          <w:bCs/>
          <w:kern w:val="0"/>
          <w:sz w:val="22"/>
          <w:lang w:eastAsia="sk-SK"/>
          <w14:ligatures w14:val="none"/>
        </w:rPr>
      </w:pPr>
      <w:r w:rsidRPr="00AD62CD">
        <w:rPr>
          <w:rFonts w:ascii="Times New Roman" w:eastAsia="Times New Roman" w:hAnsi="Times New Roman" w:cs="Times New Roman"/>
          <w:bCs/>
          <w:kern w:val="0"/>
          <w:sz w:val="22"/>
          <w:lang w:eastAsia="sk-SK"/>
          <w14:ligatures w14:val="none"/>
        </w:rPr>
        <w:t xml:space="preserve">Tabuľka č. 3 </w:t>
      </w:r>
    </w:p>
    <w:p w14:paraId="246DF8CE" w14:textId="77777777" w:rsidR="00AD62CD" w:rsidRPr="00AD62CD" w:rsidRDefault="00AD62CD" w:rsidP="00AD62CD">
      <w:pPr>
        <w:tabs>
          <w:tab w:val="num" w:pos="1080"/>
        </w:tabs>
        <w:spacing w:after="0" w:line="240" w:lineRule="auto"/>
        <w:jc w:val="right"/>
        <w:rPr>
          <w:rFonts w:ascii="Times New Roman" w:eastAsia="Times New Roman" w:hAnsi="Times New Roman" w:cs="Times New Roman"/>
          <w:bCs/>
          <w:kern w:val="0"/>
          <w:sz w:val="22"/>
          <w:lang w:eastAsia="sk-SK"/>
          <w14:ligatures w14:val="none"/>
        </w:rPr>
      </w:pPr>
    </w:p>
    <w:tbl>
      <w:tblPr>
        <w:tblW w:w="12260" w:type="dxa"/>
        <w:tblCellMar>
          <w:left w:w="70" w:type="dxa"/>
          <w:right w:w="70" w:type="dxa"/>
        </w:tblCellMar>
        <w:tblLook w:val="04A0" w:firstRow="1" w:lastRow="0" w:firstColumn="1" w:lastColumn="0" w:noHBand="0" w:noVBand="1"/>
      </w:tblPr>
      <w:tblGrid>
        <w:gridCol w:w="5160"/>
        <w:gridCol w:w="1880"/>
        <w:gridCol w:w="2020"/>
        <w:gridCol w:w="1600"/>
        <w:gridCol w:w="1600"/>
      </w:tblGrid>
      <w:tr w:rsidR="00AD62CD" w:rsidRPr="00AD62CD" w14:paraId="1F02ABBB" w14:textId="77777777" w:rsidTr="003627DF">
        <w:trPr>
          <w:trHeight w:val="270"/>
        </w:trPr>
        <w:tc>
          <w:tcPr>
            <w:tcW w:w="516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9EEBED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Príjmy štátneho rozpočtu (v eurách)</w:t>
            </w:r>
          </w:p>
        </w:tc>
        <w:tc>
          <w:tcPr>
            <w:tcW w:w="7100" w:type="dxa"/>
            <w:gridSpan w:val="4"/>
            <w:tcBorders>
              <w:top w:val="single" w:sz="8" w:space="0" w:color="auto"/>
              <w:left w:val="nil"/>
              <w:bottom w:val="single" w:sz="8" w:space="0" w:color="auto"/>
              <w:right w:val="single" w:sz="8" w:space="0" w:color="000000"/>
            </w:tcBorders>
            <w:shd w:val="clear" w:color="000000" w:fill="BFBFBF"/>
            <w:vAlign w:val="center"/>
            <w:hideMark/>
          </w:tcPr>
          <w:p w14:paraId="471C2D4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xml:space="preserve">Vplyv na štátny rozpočet </w:t>
            </w:r>
          </w:p>
        </w:tc>
      </w:tr>
      <w:tr w:rsidR="00AD62CD" w:rsidRPr="00AD62CD" w14:paraId="26155558" w14:textId="77777777" w:rsidTr="003627DF">
        <w:trPr>
          <w:trHeight w:val="270"/>
        </w:trPr>
        <w:tc>
          <w:tcPr>
            <w:tcW w:w="5160" w:type="dxa"/>
            <w:vMerge/>
            <w:tcBorders>
              <w:top w:val="single" w:sz="8" w:space="0" w:color="auto"/>
              <w:left w:val="single" w:sz="8" w:space="0" w:color="auto"/>
              <w:bottom w:val="single" w:sz="8" w:space="0" w:color="000000"/>
              <w:right w:val="single" w:sz="8" w:space="0" w:color="auto"/>
            </w:tcBorders>
            <w:vAlign w:val="center"/>
            <w:hideMark/>
          </w:tcPr>
          <w:p w14:paraId="4482E6B8"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880" w:type="dxa"/>
            <w:tcBorders>
              <w:top w:val="nil"/>
              <w:left w:val="nil"/>
              <w:bottom w:val="single" w:sz="8" w:space="0" w:color="auto"/>
              <w:right w:val="single" w:sz="8" w:space="0" w:color="auto"/>
            </w:tcBorders>
            <w:shd w:val="clear" w:color="000000" w:fill="BFBFBF"/>
            <w:vAlign w:val="center"/>
            <w:hideMark/>
          </w:tcPr>
          <w:p w14:paraId="6CDA0D1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2020" w:type="dxa"/>
            <w:tcBorders>
              <w:top w:val="nil"/>
              <w:left w:val="nil"/>
              <w:bottom w:val="single" w:sz="8" w:space="0" w:color="auto"/>
              <w:right w:val="single" w:sz="8" w:space="0" w:color="auto"/>
            </w:tcBorders>
            <w:shd w:val="clear" w:color="000000" w:fill="BFBFBF"/>
            <w:vAlign w:val="center"/>
            <w:hideMark/>
          </w:tcPr>
          <w:p w14:paraId="0435FD70"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600" w:type="dxa"/>
            <w:tcBorders>
              <w:top w:val="nil"/>
              <w:left w:val="nil"/>
              <w:bottom w:val="single" w:sz="8" w:space="0" w:color="auto"/>
              <w:right w:val="single" w:sz="8" w:space="0" w:color="auto"/>
            </w:tcBorders>
            <w:shd w:val="clear" w:color="000000" w:fill="BFBFBF"/>
            <w:vAlign w:val="center"/>
            <w:hideMark/>
          </w:tcPr>
          <w:p w14:paraId="2648546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600" w:type="dxa"/>
            <w:tcBorders>
              <w:top w:val="nil"/>
              <w:left w:val="nil"/>
              <w:bottom w:val="single" w:sz="8" w:space="0" w:color="auto"/>
              <w:right w:val="single" w:sz="8" w:space="0" w:color="auto"/>
            </w:tcBorders>
            <w:shd w:val="clear" w:color="000000" w:fill="BFBFBF"/>
            <w:vAlign w:val="center"/>
            <w:hideMark/>
          </w:tcPr>
          <w:p w14:paraId="3FD9EAE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r>
      <w:tr w:rsidR="00AD62CD" w:rsidRPr="00AD62CD" w14:paraId="073EC121" w14:textId="77777777" w:rsidTr="003627DF">
        <w:trPr>
          <w:trHeight w:val="330"/>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1B77D801"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Daňové príjmy (100)</w:t>
            </w:r>
            <w:r w:rsidRPr="00AD62CD">
              <w:rPr>
                <w:rFonts w:ascii="Times New Roman" w:eastAsia="Times New Roman" w:hAnsi="Times New Roman" w:cs="Times New Roman"/>
                <w:b/>
                <w:bCs/>
                <w:color w:val="000000"/>
                <w:kern w:val="0"/>
                <w:sz w:val="20"/>
                <w:szCs w:val="20"/>
                <w:vertAlign w:val="superscript"/>
                <w:lang w:eastAsia="sk-SK"/>
                <w14:ligatures w14:val="none"/>
              </w:rPr>
              <w:t>1</w:t>
            </w:r>
          </w:p>
        </w:tc>
        <w:tc>
          <w:tcPr>
            <w:tcW w:w="1880" w:type="dxa"/>
            <w:tcBorders>
              <w:top w:val="nil"/>
              <w:left w:val="nil"/>
              <w:bottom w:val="single" w:sz="8" w:space="0" w:color="auto"/>
              <w:right w:val="single" w:sz="8" w:space="0" w:color="auto"/>
            </w:tcBorders>
            <w:shd w:val="clear" w:color="auto" w:fill="auto"/>
            <w:vAlign w:val="center"/>
            <w:hideMark/>
          </w:tcPr>
          <w:p w14:paraId="5FA65955"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auto" w:fill="auto"/>
            <w:vAlign w:val="center"/>
            <w:hideMark/>
          </w:tcPr>
          <w:p w14:paraId="0BBDE9D9"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-25 207 000</w:t>
            </w:r>
          </w:p>
        </w:tc>
        <w:tc>
          <w:tcPr>
            <w:tcW w:w="1600" w:type="dxa"/>
            <w:tcBorders>
              <w:top w:val="nil"/>
              <w:left w:val="nil"/>
              <w:bottom w:val="single" w:sz="8" w:space="0" w:color="auto"/>
              <w:right w:val="single" w:sz="8" w:space="0" w:color="auto"/>
            </w:tcBorders>
            <w:shd w:val="clear" w:color="auto" w:fill="auto"/>
            <w:vAlign w:val="center"/>
            <w:hideMark/>
          </w:tcPr>
          <w:p w14:paraId="0FC0E6C1"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-13 337 000</w:t>
            </w:r>
          </w:p>
        </w:tc>
        <w:tc>
          <w:tcPr>
            <w:tcW w:w="1600" w:type="dxa"/>
            <w:tcBorders>
              <w:top w:val="nil"/>
              <w:left w:val="nil"/>
              <w:bottom w:val="single" w:sz="8" w:space="0" w:color="auto"/>
              <w:right w:val="single" w:sz="8" w:space="0" w:color="auto"/>
            </w:tcBorders>
            <w:shd w:val="clear" w:color="auto" w:fill="auto"/>
            <w:vAlign w:val="center"/>
            <w:hideMark/>
          </w:tcPr>
          <w:p w14:paraId="76612113"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-13 785 000</w:t>
            </w:r>
          </w:p>
        </w:tc>
      </w:tr>
      <w:tr w:rsidR="00AD62CD" w:rsidRPr="00AD62CD" w14:paraId="58A6F89D" w14:textId="77777777" w:rsidTr="003627DF">
        <w:trPr>
          <w:trHeight w:val="315"/>
        </w:trPr>
        <w:tc>
          <w:tcPr>
            <w:tcW w:w="5160" w:type="dxa"/>
            <w:tcBorders>
              <w:top w:val="nil"/>
              <w:left w:val="single" w:sz="8" w:space="0" w:color="auto"/>
              <w:bottom w:val="single" w:sz="8" w:space="0" w:color="auto"/>
              <w:right w:val="single" w:sz="8" w:space="0" w:color="auto"/>
            </w:tcBorders>
            <w:shd w:val="clear" w:color="auto" w:fill="auto"/>
            <w:noWrap/>
            <w:vAlign w:val="center"/>
            <w:hideMark/>
          </w:tcPr>
          <w:p w14:paraId="0D83BFC5"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v tom: (111) daň z príjmov fyzických osôb </w:t>
            </w:r>
          </w:p>
        </w:tc>
        <w:tc>
          <w:tcPr>
            <w:tcW w:w="1880" w:type="dxa"/>
            <w:tcBorders>
              <w:top w:val="nil"/>
              <w:left w:val="nil"/>
              <w:bottom w:val="single" w:sz="8" w:space="0" w:color="auto"/>
              <w:right w:val="single" w:sz="8" w:space="0" w:color="auto"/>
            </w:tcBorders>
            <w:shd w:val="clear" w:color="auto" w:fill="auto"/>
            <w:vAlign w:val="center"/>
            <w:hideMark/>
          </w:tcPr>
          <w:p w14:paraId="1260A590"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auto" w:fill="auto"/>
            <w:vAlign w:val="center"/>
            <w:hideMark/>
          </w:tcPr>
          <w:p w14:paraId="20BC333F"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-25 207 000</w:t>
            </w:r>
          </w:p>
        </w:tc>
        <w:tc>
          <w:tcPr>
            <w:tcW w:w="1600" w:type="dxa"/>
            <w:tcBorders>
              <w:top w:val="nil"/>
              <w:left w:val="nil"/>
              <w:bottom w:val="single" w:sz="8" w:space="0" w:color="auto"/>
              <w:right w:val="single" w:sz="8" w:space="0" w:color="auto"/>
            </w:tcBorders>
            <w:shd w:val="clear" w:color="auto" w:fill="auto"/>
            <w:vAlign w:val="center"/>
            <w:hideMark/>
          </w:tcPr>
          <w:p w14:paraId="6F06B89F"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-13 337 000</w:t>
            </w:r>
          </w:p>
        </w:tc>
        <w:tc>
          <w:tcPr>
            <w:tcW w:w="1600" w:type="dxa"/>
            <w:tcBorders>
              <w:top w:val="nil"/>
              <w:left w:val="nil"/>
              <w:bottom w:val="single" w:sz="8" w:space="0" w:color="auto"/>
              <w:right w:val="single" w:sz="8" w:space="0" w:color="auto"/>
            </w:tcBorders>
            <w:shd w:val="clear" w:color="auto" w:fill="auto"/>
            <w:vAlign w:val="center"/>
            <w:hideMark/>
          </w:tcPr>
          <w:p w14:paraId="6FE5A990"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-13 785 000</w:t>
            </w:r>
          </w:p>
        </w:tc>
      </w:tr>
      <w:tr w:rsidR="00AD62CD" w:rsidRPr="00AD62CD" w14:paraId="53DDE730" w14:textId="77777777" w:rsidTr="003627DF">
        <w:trPr>
          <w:trHeight w:val="330"/>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189C9041"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Nedaňové príjmy (200)</w:t>
            </w:r>
            <w:r w:rsidRPr="00AD62CD">
              <w:rPr>
                <w:rFonts w:ascii="Times New Roman" w:eastAsia="Times New Roman" w:hAnsi="Times New Roman" w:cs="Times New Roman"/>
                <w:b/>
                <w:bCs/>
                <w:color w:val="000000"/>
                <w:kern w:val="0"/>
                <w:sz w:val="20"/>
                <w:szCs w:val="20"/>
                <w:vertAlign w:val="superscript"/>
                <w:lang w:eastAsia="sk-SK"/>
                <w14:ligatures w14:val="none"/>
              </w:rPr>
              <w:t>1</w:t>
            </w:r>
          </w:p>
        </w:tc>
        <w:tc>
          <w:tcPr>
            <w:tcW w:w="1880" w:type="dxa"/>
            <w:tcBorders>
              <w:top w:val="nil"/>
              <w:left w:val="nil"/>
              <w:bottom w:val="single" w:sz="8" w:space="0" w:color="auto"/>
              <w:right w:val="single" w:sz="8" w:space="0" w:color="auto"/>
            </w:tcBorders>
            <w:shd w:val="clear" w:color="auto" w:fill="auto"/>
            <w:vAlign w:val="center"/>
            <w:hideMark/>
          </w:tcPr>
          <w:p w14:paraId="4956D2B2"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2020" w:type="dxa"/>
            <w:tcBorders>
              <w:top w:val="nil"/>
              <w:left w:val="nil"/>
              <w:bottom w:val="single" w:sz="8" w:space="0" w:color="auto"/>
              <w:right w:val="single" w:sz="8" w:space="0" w:color="auto"/>
            </w:tcBorders>
            <w:shd w:val="clear" w:color="auto" w:fill="auto"/>
            <w:vAlign w:val="center"/>
            <w:hideMark/>
          </w:tcPr>
          <w:p w14:paraId="22DDE2A3"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354C573D"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4CBB98B3"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r>
      <w:tr w:rsidR="00AD62CD" w:rsidRPr="00AD62CD" w14:paraId="1BBD0326" w14:textId="77777777" w:rsidTr="003627DF">
        <w:trPr>
          <w:trHeight w:val="525"/>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02FB0651"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Príjmy z transakcií s finančnými aktívami a finančnými pasívami (400)</w:t>
            </w:r>
          </w:p>
        </w:tc>
        <w:tc>
          <w:tcPr>
            <w:tcW w:w="1880" w:type="dxa"/>
            <w:tcBorders>
              <w:top w:val="nil"/>
              <w:left w:val="nil"/>
              <w:bottom w:val="single" w:sz="8" w:space="0" w:color="auto"/>
              <w:right w:val="single" w:sz="8" w:space="0" w:color="auto"/>
            </w:tcBorders>
            <w:shd w:val="clear" w:color="auto" w:fill="auto"/>
            <w:vAlign w:val="center"/>
            <w:hideMark/>
          </w:tcPr>
          <w:p w14:paraId="732DF7C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2020" w:type="dxa"/>
            <w:tcBorders>
              <w:top w:val="nil"/>
              <w:left w:val="nil"/>
              <w:bottom w:val="single" w:sz="8" w:space="0" w:color="auto"/>
              <w:right w:val="single" w:sz="8" w:space="0" w:color="auto"/>
            </w:tcBorders>
            <w:shd w:val="clear" w:color="auto" w:fill="auto"/>
            <w:vAlign w:val="center"/>
            <w:hideMark/>
          </w:tcPr>
          <w:p w14:paraId="4587DA39"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07CBA563"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2A9470ED"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r>
      <w:tr w:rsidR="00AD62CD" w:rsidRPr="00AD62CD" w14:paraId="3EA32E50" w14:textId="77777777" w:rsidTr="003627DF">
        <w:trPr>
          <w:trHeight w:val="270"/>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3D2E947C"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Prijaté úvery, pôžičky a návratné finančné výpomoci (500)</w:t>
            </w:r>
          </w:p>
        </w:tc>
        <w:tc>
          <w:tcPr>
            <w:tcW w:w="1880" w:type="dxa"/>
            <w:tcBorders>
              <w:top w:val="nil"/>
              <w:left w:val="nil"/>
              <w:bottom w:val="single" w:sz="8" w:space="0" w:color="auto"/>
              <w:right w:val="single" w:sz="8" w:space="0" w:color="auto"/>
            </w:tcBorders>
            <w:shd w:val="clear" w:color="auto" w:fill="auto"/>
            <w:vAlign w:val="center"/>
            <w:hideMark/>
          </w:tcPr>
          <w:p w14:paraId="3F031E0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2020" w:type="dxa"/>
            <w:tcBorders>
              <w:top w:val="nil"/>
              <w:left w:val="nil"/>
              <w:bottom w:val="single" w:sz="8" w:space="0" w:color="auto"/>
              <w:right w:val="single" w:sz="8" w:space="0" w:color="auto"/>
            </w:tcBorders>
            <w:shd w:val="clear" w:color="auto" w:fill="auto"/>
            <w:vAlign w:val="center"/>
            <w:hideMark/>
          </w:tcPr>
          <w:p w14:paraId="75A4E416"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51CF1A80"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113879BE"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r>
      <w:tr w:rsidR="00AD62CD" w:rsidRPr="00AD62CD" w14:paraId="7355A828" w14:textId="77777777" w:rsidTr="003627DF">
        <w:trPr>
          <w:trHeight w:val="270"/>
        </w:trPr>
        <w:tc>
          <w:tcPr>
            <w:tcW w:w="5160" w:type="dxa"/>
            <w:tcBorders>
              <w:top w:val="nil"/>
              <w:left w:val="single" w:sz="8" w:space="0" w:color="auto"/>
              <w:bottom w:val="single" w:sz="8" w:space="0" w:color="auto"/>
              <w:right w:val="single" w:sz="8" w:space="0" w:color="auto"/>
            </w:tcBorders>
            <w:shd w:val="clear" w:color="000000" w:fill="BFBFBF"/>
            <w:vAlign w:val="center"/>
            <w:hideMark/>
          </w:tcPr>
          <w:p w14:paraId="1534870F"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Dopad na príjmy štátneho rozpočtu celkom</w:t>
            </w:r>
          </w:p>
        </w:tc>
        <w:tc>
          <w:tcPr>
            <w:tcW w:w="1880" w:type="dxa"/>
            <w:tcBorders>
              <w:top w:val="nil"/>
              <w:left w:val="nil"/>
              <w:bottom w:val="single" w:sz="8" w:space="0" w:color="auto"/>
              <w:right w:val="single" w:sz="8" w:space="0" w:color="auto"/>
            </w:tcBorders>
            <w:shd w:val="clear" w:color="auto" w:fill="auto"/>
            <w:vAlign w:val="center"/>
            <w:hideMark/>
          </w:tcPr>
          <w:p w14:paraId="1B2E15A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auto" w:fill="auto"/>
            <w:vAlign w:val="center"/>
            <w:hideMark/>
          </w:tcPr>
          <w:p w14:paraId="520275C6"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-25 207 000</w:t>
            </w:r>
          </w:p>
        </w:tc>
        <w:tc>
          <w:tcPr>
            <w:tcW w:w="1600" w:type="dxa"/>
            <w:tcBorders>
              <w:top w:val="nil"/>
              <w:left w:val="nil"/>
              <w:bottom w:val="single" w:sz="8" w:space="0" w:color="auto"/>
              <w:right w:val="single" w:sz="8" w:space="0" w:color="auto"/>
            </w:tcBorders>
            <w:shd w:val="clear" w:color="auto" w:fill="auto"/>
            <w:vAlign w:val="center"/>
            <w:hideMark/>
          </w:tcPr>
          <w:p w14:paraId="436D044C"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-13 337 000</w:t>
            </w:r>
          </w:p>
        </w:tc>
        <w:tc>
          <w:tcPr>
            <w:tcW w:w="1600" w:type="dxa"/>
            <w:tcBorders>
              <w:top w:val="nil"/>
              <w:left w:val="nil"/>
              <w:bottom w:val="single" w:sz="8" w:space="0" w:color="auto"/>
              <w:right w:val="single" w:sz="8" w:space="0" w:color="auto"/>
            </w:tcBorders>
            <w:shd w:val="clear" w:color="auto" w:fill="auto"/>
            <w:vAlign w:val="center"/>
            <w:hideMark/>
          </w:tcPr>
          <w:p w14:paraId="484AA981"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-13 785 000</w:t>
            </w:r>
          </w:p>
        </w:tc>
      </w:tr>
      <w:tr w:rsidR="00AD62CD" w:rsidRPr="00AD62CD" w14:paraId="6B76765B" w14:textId="77777777" w:rsidTr="003627DF">
        <w:trPr>
          <w:trHeight w:val="255"/>
        </w:trPr>
        <w:tc>
          <w:tcPr>
            <w:tcW w:w="5160" w:type="dxa"/>
            <w:tcBorders>
              <w:top w:val="nil"/>
              <w:left w:val="nil"/>
              <w:bottom w:val="nil"/>
              <w:right w:val="nil"/>
            </w:tcBorders>
            <w:shd w:val="clear" w:color="auto" w:fill="auto"/>
            <w:noWrap/>
            <w:vAlign w:val="bottom"/>
            <w:hideMark/>
          </w:tcPr>
          <w:p w14:paraId="3820EEC2"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p>
        </w:tc>
        <w:tc>
          <w:tcPr>
            <w:tcW w:w="1880" w:type="dxa"/>
            <w:tcBorders>
              <w:top w:val="nil"/>
              <w:left w:val="nil"/>
              <w:bottom w:val="nil"/>
              <w:right w:val="nil"/>
            </w:tcBorders>
            <w:shd w:val="clear" w:color="auto" w:fill="auto"/>
            <w:noWrap/>
            <w:vAlign w:val="bottom"/>
            <w:hideMark/>
          </w:tcPr>
          <w:p w14:paraId="6274556D"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2020" w:type="dxa"/>
            <w:tcBorders>
              <w:top w:val="nil"/>
              <w:left w:val="nil"/>
              <w:bottom w:val="nil"/>
              <w:right w:val="nil"/>
            </w:tcBorders>
            <w:shd w:val="clear" w:color="auto" w:fill="auto"/>
            <w:noWrap/>
            <w:vAlign w:val="bottom"/>
            <w:hideMark/>
          </w:tcPr>
          <w:p w14:paraId="23FE2558"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600" w:type="dxa"/>
            <w:tcBorders>
              <w:top w:val="nil"/>
              <w:left w:val="nil"/>
              <w:bottom w:val="nil"/>
              <w:right w:val="nil"/>
            </w:tcBorders>
            <w:shd w:val="clear" w:color="auto" w:fill="auto"/>
            <w:noWrap/>
            <w:vAlign w:val="bottom"/>
            <w:hideMark/>
          </w:tcPr>
          <w:p w14:paraId="67EB6646"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600" w:type="dxa"/>
            <w:tcBorders>
              <w:top w:val="nil"/>
              <w:left w:val="nil"/>
              <w:bottom w:val="nil"/>
              <w:right w:val="nil"/>
            </w:tcBorders>
            <w:shd w:val="clear" w:color="auto" w:fill="auto"/>
            <w:noWrap/>
            <w:vAlign w:val="bottom"/>
            <w:hideMark/>
          </w:tcPr>
          <w:p w14:paraId="4CBF8C4E"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r>
      <w:tr w:rsidR="00AD62CD" w:rsidRPr="00AD62CD" w14:paraId="358C62BE" w14:textId="77777777" w:rsidTr="003627DF">
        <w:trPr>
          <w:trHeight w:val="270"/>
        </w:trPr>
        <w:tc>
          <w:tcPr>
            <w:tcW w:w="5160" w:type="dxa"/>
            <w:tcBorders>
              <w:top w:val="nil"/>
              <w:left w:val="nil"/>
              <w:bottom w:val="nil"/>
              <w:right w:val="nil"/>
            </w:tcBorders>
            <w:shd w:val="clear" w:color="auto" w:fill="auto"/>
            <w:noWrap/>
            <w:vAlign w:val="bottom"/>
            <w:hideMark/>
          </w:tcPr>
          <w:p w14:paraId="3AA78216"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880" w:type="dxa"/>
            <w:tcBorders>
              <w:top w:val="nil"/>
              <w:left w:val="nil"/>
              <w:bottom w:val="nil"/>
              <w:right w:val="nil"/>
            </w:tcBorders>
            <w:shd w:val="clear" w:color="auto" w:fill="auto"/>
            <w:noWrap/>
            <w:vAlign w:val="bottom"/>
            <w:hideMark/>
          </w:tcPr>
          <w:p w14:paraId="473657BD"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2020" w:type="dxa"/>
            <w:tcBorders>
              <w:top w:val="nil"/>
              <w:left w:val="nil"/>
              <w:bottom w:val="nil"/>
              <w:right w:val="nil"/>
            </w:tcBorders>
            <w:shd w:val="clear" w:color="auto" w:fill="auto"/>
            <w:noWrap/>
            <w:vAlign w:val="bottom"/>
            <w:hideMark/>
          </w:tcPr>
          <w:p w14:paraId="0AD0CE06"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600" w:type="dxa"/>
            <w:tcBorders>
              <w:top w:val="nil"/>
              <w:left w:val="nil"/>
              <w:bottom w:val="nil"/>
              <w:right w:val="nil"/>
            </w:tcBorders>
            <w:shd w:val="clear" w:color="auto" w:fill="auto"/>
            <w:noWrap/>
            <w:vAlign w:val="bottom"/>
            <w:hideMark/>
          </w:tcPr>
          <w:p w14:paraId="077C5FED"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600" w:type="dxa"/>
            <w:tcBorders>
              <w:top w:val="nil"/>
              <w:left w:val="nil"/>
              <w:bottom w:val="nil"/>
              <w:right w:val="nil"/>
            </w:tcBorders>
            <w:shd w:val="clear" w:color="auto" w:fill="auto"/>
            <w:noWrap/>
            <w:vAlign w:val="bottom"/>
            <w:hideMark/>
          </w:tcPr>
          <w:p w14:paraId="4978ACDC"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r>
      <w:tr w:rsidR="00AD62CD" w:rsidRPr="00AD62CD" w14:paraId="55DBD12F" w14:textId="77777777" w:rsidTr="003627DF">
        <w:trPr>
          <w:trHeight w:val="270"/>
        </w:trPr>
        <w:tc>
          <w:tcPr>
            <w:tcW w:w="516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5B4DF4C"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Príjmy obcí (v eurách)</w:t>
            </w:r>
          </w:p>
        </w:tc>
        <w:tc>
          <w:tcPr>
            <w:tcW w:w="7100" w:type="dxa"/>
            <w:gridSpan w:val="4"/>
            <w:tcBorders>
              <w:top w:val="single" w:sz="8" w:space="0" w:color="auto"/>
              <w:left w:val="nil"/>
              <w:bottom w:val="single" w:sz="8" w:space="0" w:color="auto"/>
              <w:right w:val="single" w:sz="8" w:space="0" w:color="000000"/>
            </w:tcBorders>
            <w:shd w:val="clear" w:color="000000" w:fill="BFBFBF"/>
            <w:vAlign w:val="center"/>
            <w:hideMark/>
          </w:tcPr>
          <w:p w14:paraId="66E7635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rozpočet obcí</w:t>
            </w:r>
          </w:p>
        </w:tc>
      </w:tr>
      <w:tr w:rsidR="00AD62CD" w:rsidRPr="00AD62CD" w14:paraId="756D5A68" w14:textId="77777777" w:rsidTr="003627DF">
        <w:trPr>
          <w:trHeight w:val="270"/>
        </w:trPr>
        <w:tc>
          <w:tcPr>
            <w:tcW w:w="5160" w:type="dxa"/>
            <w:vMerge/>
            <w:tcBorders>
              <w:top w:val="single" w:sz="8" w:space="0" w:color="auto"/>
              <w:left w:val="single" w:sz="8" w:space="0" w:color="auto"/>
              <w:bottom w:val="single" w:sz="8" w:space="0" w:color="000000"/>
              <w:right w:val="single" w:sz="8" w:space="0" w:color="auto"/>
            </w:tcBorders>
            <w:vAlign w:val="center"/>
            <w:hideMark/>
          </w:tcPr>
          <w:p w14:paraId="6CF4CF37"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880" w:type="dxa"/>
            <w:tcBorders>
              <w:top w:val="nil"/>
              <w:left w:val="nil"/>
              <w:bottom w:val="single" w:sz="8" w:space="0" w:color="auto"/>
              <w:right w:val="single" w:sz="8" w:space="0" w:color="auto"/>
            </w:tcBorders>
            <w:shd w:val="clear" w:color="000000" w:fill="BFBFBF"/>
            <w:vAlign w:val="center"/>
            <w:hideMark/>
          </w:tcPr>
          <w:p w14:paraId="06BE545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2020" w:type="dxa"/>
            <w:tcBorders>
              <w:top w:val="nil"/>
              <w:left w:val="nil"/>
              <w:bottom w:val="single" w:sz="8" w:space="0" w:color="auto"/>
              <w:right w:val="single" w:sz="8" w:space="0" w:color="auto"/>
            </w:tcBorders>
            <w:shd w:val="clear" w:color="000000" w:fill="BFBFBF"/>
            <w:vAlign w:val="center"/>
            <w:hideMark/>
          </w:tcPr>
          <w:p w14:paraId="4EB63BB0"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600" w:type="dxa"/>
            <w:tcBorders>
              <w:top w:val="nil"/>
              <w:left w:val="nil"/>
              <w:bottom w:val="single" w:sz="8" w:space="0" w:color="auto"/>
              <w:right w:val="single" w:sz="8" w:space="0" w:color="auto"/>
            </w:tcBorders>
            <w:shd w:val="clear" w:color="000000" w:fill="BFBFBF"/>
            <w:vAlign w:val="center"/>
            <w:hideMark/>
          </w:tcPr>
          <w:p w14:paraId="401C9D9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600" w:type="dxa"/>
            <w:tcBorders>
              <w:top w:val="nil"/>
              <w:left w:val="nil"/>
              <w:bottom w:val="single" w:sz="8" w:space="0" w:color="auto"/>
              <w:right w:val="single" w:sz="8" w:space="0" w:color="auto"/>
            </w:tcBorders>
            <w:shd w:val="clear" w:color="000000" w:fill="BFBFBF"/>
            <w:vAlign w:val="center"/>
            <w:hideMark/>
          </w:tcPr>
          <w:p w14:paraId="24D75F3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r>
      <w:tr w:rsidR="00AD62CD" w:rsidRPr="00AD62CD" w14:paraId="10833946" w14:textId="77777777" w:rsidTr="003627DF">
        <w:trPr>
          <w:trHeight w:val="330"/>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7F325145"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Daňové príjmy (100)</w:t>
            </w:r>
            <w:r w:rsidRPr="00AD62CD">
              <w:rPr>
                <w:rFonts w:ascii="Times New Roman" w:eastAsia="Times New Roman" w:hAnsi="Times New Roman" w:cs="Times New Roman"/>
                <w:b/>
                <w:bCs/>
                <w:color w:val="000000"/>
                <w:kern w:val="0"/>
                <w:sz w:val="20"/>
                <w:szCs w:val="20"/>
                <w:vertAlign w:val="superscript"/>
                <w:lang w:eastAsia="sk-SK"/>
                <w14:ligatures w14:val="none"/>
              </w:rPr>
              <w:t>1</w:t>
            </w:r>
          </w:p>
        </w:tc>
        <w:tc>
          <w:tcPr>
            <w:tcW w:w="1880" w:type="dxa"/>
            <w:tcBorders>
              <w:top w:val="nil"/>
              <w:left w:val="nil"/>
              <w:bottom w:val="single" w:sz="8" w:space="0" w:color="auto"/>
              <w:right w:val="single" w:sz="8" w:space="0" w:color="auto"/>
            </w:tcBorders>
            <w:shd w:val="clear" w:color="auto" w:fill="auto"/>
            <w:vAlign w:val="center"/>
            <w:hideMark/>
          </w:tcPr>
          <w:p w14:paraId="4864D042"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auto" w:fill="auto"/>
            <w:vAlign w:val="center"/>
            <w:hideMark/>
          </w:tcPr>
          <w:p w14:paraId="5E96481F"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-34 973 000</w:t>
            </w:r>
          </w:p>
        </w:tc>
        <w:tc>
          <w:tcPr>
            <w:tcW w:w="1600" w:type="dxa"/>
            <w:tcBorders>
              <w:top w:val="nil"/>
              <w:left w:val="nil"/>
              <w:bottom w:val="single" w:sz="8" w:space="0" w:color="auto"/>
              <w:right w:val="single" w:sz="8" w:space="0" w:color="auto"/>
            </w:tcBorders>
            <w:shd w:val="clear" w:color="auto" w:fill="auto"/>
            <w:vAlign w:val="center"/>
            <w:hideMark/>
          </w:tcPr>
          <w:p w14:paraId="4659A66D"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-45 110 000</w:t>
            </w:r>
          </w:p>
        </w:tc>
        <w:tc>
          <w:tcPr>
            <w:tcW w:w="1600" w:type="dxa"/>
            <w:tcBorders>
              <w:top w:val="nil"/>
              <w:left w:val="nil"/>
              <w:bottom w:val="single" w:sz="8" w:space="0" w:color="auto"/>
              <w:right w:val="single" w:sz="8" w:space="0" w:color="auto"/>
            </w:tcBorders>
            <w:shd w:val="clear" w:color="auto" w:fill="auto"/>
            <w:vAlign w:val="center"/>
            <w:hideMark/>
          </w:tcPr>
          <w:p w14:paraId="78528347"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-46 952 000</w:t>
            </w:r>
          </w:p>
        </w:tc>
      </w:tr>
      <w:tr w:rsidR="00AD62CD" w:rsidRPr="00AD62CD" w14:paraId="3430B799" w14:textId="77777777" w:rsidTr="003627DF">
        <w:trPr>
          <w:trHeight w:val="270"/>
        </w:trPr>
        <w:tc>
          <w:tcPr>
            <w:tcW w:w="5160" w:type="dxa"/>
            <w:tcBorders>
              <w:top w:val="nil"/>
              <w:left w:val="single" w:sz="8" w:space="0" w:color="auto"/>
              <w:bottom w:val="single" w:sz="8" w:space="0" w:color="auto"/>
              <w:right w:val="single" w:sz="8" w:space="0" w:color="auto"/>
            </w:tcBorders>
            <w:shd w:val="clear" w:color="auto" w:fill="auto"/>
            <w:noWrap/>
            <w:vAlign w:val="center"/>
            <w:hideMark/>
          </w:tcPr>
          <w:p w14:paraId="1538FD49"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v tom: (111) daň z príjmov fyzických osôb </w:t>
            </w:r>
          </w:p>
        </w:tc>
        <w:tc>
          <w:tcPr>
            <w:tcW w:w="1880" w:type="dxa"/>
            <w:tcBorders>
              <w:top w:val="nil"/>
              <w:left w:val="nil"/>
              <w:bottom w:val="single" w:sz="8" w:space="0" w:color="auto"/>
              <w:right w:val="single" w:sz="8" w:space="0" w:color="auto"/>
            </w:tcBorders>
            <w:shd w:val="clear" w:color="auto" w:fill="auto"/>
            <w:vAlign w:val="center"/>
            <w:hideMark/>
          </w:tcPr>
          <w:p w14:paraId="46599E9A"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auto" w:fill="auto"/>
            <w:vAlign w:val="center"/>
            <w:hideMark/>
          </w:tcPr>
          <w:p w14:paraId="772665EA"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-34 973 000</w:t>
            </w:r>
          </w:p>
        </w:tc>
        <w:tc>
          <w:tcPr>
            <w:tcW w:w="1600" w:type="dxa"/>
            <w:tcBorders>
              <w:top w:val="nil"/>
              <w:left w:val="nil"/>
              <w:bottom w:val="single" w:sz="8" w:space="0" w:color="auto"/>
              <w:right w:val="single" w:sz="8" w:space="0" w:color="auto"/>
            </w:tcBorders>
            <w:shd w:val="clear" w:color="auto" w:fill="auto"/>
            <w:vAlign w:val="center"/>
            <w:hideMark/>
          </w:tcPr>
          <w:p w14:paraId="1720B866"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-45 110 000</w:t>
            </w:r>
          </w:p>
        </w:tc>
        <w:tc>
          <w:tcPr>
            <w:tcW w:w="1600" w:type="dxa"/>
            <w:tcBorders>
              <w:top w:val="nil"/>
              <w:left w:val="nil"/>
              <w:bottom w:val="single" w:sz="8" w:space="0" w:color="auto"/>
              <w:right w:val="single" w:sz="8" w:space="0" w:color="auto"/>
            </w:tcBorders>
            <w:shd w:val="clear" w:color="auto" w:fill="auto"/>
            <w:vAlign w:val="center"/>
            <w:hideMark/>
          </w:tcPr>
          <w:p w14:paraId="5D4ED43B"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-46 952 000</w:t>
            </w:r>
          </w:p>
        </w:tc>
      </w:tr>
      <w:tr w:rsidR="00AD62CD" w:rsidRPr="00AD62CD" w14:paraId="34C4A0B0" w14:textId="77777777" w:rsidTr="003627DF">
        <w:trPr>
          <w:trHeight w:val="330"/>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4C002C18"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Nedaňové príjmy (200)</w:t>
            </w:r>
            <w:r w:rsidRPr="00AD62CD">
              <w:rPr>
                <w:rFonts w:ascii="Times New Roman" w:eastAsia="Times New Roman" w:hAnsi="Times New Roman" w:cs="Times New Roman"/>
                <w:b/>
                <w:bCs/>
                <w:color w:val="000000"/>
                <w:kern w:val="0"/>
                <w:sz w:val="20"/>
                <w:szCs w:val="20"/>
                <w:vertAlign w:val="superscript"/>
                <w:lang w:eastAsia="sk-SK"/>
                <w14:ligatures w14:val="none"/>
              </w:rPr>
              <w:t>1</w:t>
            </w:r>
          </w:p>
        </w:tc>
        <w:tc>
          <w:tcPr>
            <w:tcW w:w="1880" w:type="dxa"/>
            <w:tcBorders>
              <w:top w:val="nil"/>
              <w:left w:val="nil"/>
              <w:bottom w:val="single" w:sz="8" w:space="0" w:color="auto"/>
              <w:right w:val="single" w:sz="8" w:space="0" w:color="auto"/>
            </w:tcBorders>
            <w:shd w:val="clear" w:color="auto" w:fill="auto"/>
            <w:vAlign w:val="center"/>
            <w:hideMark/>
          </w:tcPr>
          <w:p w14:paraId="3DA86172"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auto" w:fill="auto"/>
            <w:vAlign w:val="center"/>
            <w:hideMark/>
          </w:tcPr>
          <w:p w14:paraId="7FAF2C40"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600" w:type="dxa"/>
            <w:tcBorders>
              <w:top w:val="nil"/>
              <w:left w:val="nil"/>
              <w:bottom w:val="single" w:sz="8" w:space="0" w:color="auto"/>
              <w:right w:val="single" w:sz="8" w:space="0" w:color="auto"/>
            </w:tcBorders>
            <w:shd w:val="clear" w:color="auto" w:fill="auto"/>
            <w:vAlign w:val="center"/>
            <w:hideMark/>
          </w:tcPr>
          <w:p w14:paraId="7E418B48"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600" w:type="dxa"/>
            <w:tcBorders>
              <w:top w:val="nil"/>
              <w:left w:val="nil"/>
              <w:bottom w:val="single" w:sz="8" w:space="0" w:color="auto"/>
              <w:right w:val="single" w:sz="8" w:space="0" w:color="auto"/>
            </w:tcBorders>
            <w:shd w:val="clear" w:color="auto" w:fill="auto"/>
            <w:vAlign w:val="center"/>
            <w:hideMark/>
          </w:tcPr>
          <w:p w14:paraId="3389490F"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2DF8F29F" w14:textId="77777777" w:rsidTr="003627DF">
        <w:trPr>
          <w:trHeight w:val="525"/>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76554A6A"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Príjmy z transakcií s finančnými aktívami a finančnými pasívami (400)</w:t>
            </w:r>
          </w:p>
        </w:tc>
        <w:tc>
          <w:tcPr>
            <w:tcW w:w="1880" w:type="dxa"/>
            <w:tcBorders>
              <w:top w:val="nil"/>
              <w:left w:val="nil"/>
              <w:bottom w:val="single" w:sz="8" w:space="0" w:color="auto"/>
              <w:right w:val="single" w:sz="8" w:space="0" w:color="auto"/>
            </w:tcBorders>
            <w:shd w:val="clear" w:color="auto" w:fill="auto"/>
            <w:vAlign w:val="center"/>
            <w:hideMark/>
          </w:tcPr>
          <w:p w14:paraId="4114B37A"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2020" w:type="dxa"/>
            <w:tcBorders>
              <w:top w:val="nil"/>
              <w:left w:val="nil"/>
              <w:bottom w:val="single" w:sz="8" w:space="0" w:color="auto"/>
              <w:right w:val="single" w:sz="8" w:space="0" w:color="auto"/>
            </w:tcBorders>
            <w:shd w:val="clear" w:color="auto" w:fill="auto"/>
            <w:vAlign w:val="center"/>
            <w:hideMark/>
          </w:tcPr>
          <w:p w14:paraId="5236299C"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02E71ACB"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76FB9E68"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r>
      <w:tr w:rsidR="00AD62CD" w:rsidRPr="00AD62CD" w14:paraId="31B30FBC" w14:textId="77777777" w:rsidTr="003627DF">
        <w:trPr>
          <w:trHeight w:val="270"/>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42808B76"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Prijaté úvery, pôžičky a návratné finančné výpomoci (500)</w:t>
            </w:r>
          </w:p>
        </w:tc>
        <w:tc>
          <w:tcPr>
            <w:tcW w:w="1880" w:type="dxa"/>
            <w:tcBorders>
              <w:top w:val="nil"/>
              <w:left w:val="nil"/>
              <w:bottom w:val="single" w:sz="8" w:space="0" w:color="auto"/>
              <w:right w:val="single" w:sz="8" w:space="0" w:color="auto"/>
            </w:tcBorders>
            <w:shd w:val="clear" w:color="auto" w:fill="auto"/>
            <w:vAlign w:val="center"/>
            <w:hideMark/>
          </w:tcPr>
          <w:p w14:paraId="5873159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2020" w:type="dxa"/>
            <w:tcBorders>
              <w:top w:val="nil"/>
              <w:left w:val="nil"/>
              <w:bottom w:val="single" w:sz="8" w:space="0" w:color="auto"/>
              <w:right w:val="single" w:sz="8" w:space="0" w:color="auto"/>
            </w:tcBorders>
            <w:shd w:val="clear" w:color="auto" w:fill="auto"/>
            <w:vAlign w:val="center"/>
            <w:hideMark/>
          </w:tcPr>
          <w:p w14:paraId="520F4480"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2EC3C0C3"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26C6BFA6"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r>
      <w:tr w:rsidR="00AD62CD" w:rsidRPr="00AD62CD" w14:paraId="0CFBFF1B" w14:textId="77777777" w:rsidTr="003627DF">
        <w:trPr>
          <w:trHeight w:val="270"/>
        </w:trPr>
        <w:tc>
          <w:tcPr>
            <w:tcW w:w="5160" w:type="dxa"/>
            <w:tcBorders>
              <w:top w:val="nil"/>
              <w:left w:val="single" w:sz="8" w:space="0" w:color="auto"/>
              <w:bottom w:val="single" w:sz="8" w:space="0" w:color="auto"/>
              <w:right w:val="single" w:sz="8" w:space="0" w:color="auto"/>
            </w:tcBorders>
            <w:shd w:val="clear" w:color="000000" w:fill="BFBFBF"/>
            <w:vAlign w:val="center"/>
            <w:hideMark/>
          </w:tcPr>
          <w:p w14:paraId="3D6F5D43"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Dopad na príjmy obcí</w:t>
            </w:r>
          </w:p>
        </w:tc>
        <w:tc>
          <w:tcPr>
            <w:tcW w:w="1880" w:type="dxa"/>
            <w:tcBorders>
              <w:top w:val="nil"/>
              <w:left w:val="nil"/>
              <w:bottom w:val="single" w:sz="8" w:space="0" w:color="auto"/>
              <w:right w:val="single" w:sz="8" w:space="0" w:color="auto"/>
            </w:tcBorders>
            <w:shd w:val="clear" w:color="000000" w:fill="BFBFBF"/>
            <w:vAlign w:val="center"/>
            <w:hideMark/>
          </w:tcPr>
          <w:p w14:paraId="7459B57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000000" w:fill="BFBFBF"/>
            <w:vAlign w:val="center"/>
            <w:hideMark/>
          </w:tcPr>
          <w:p w14:paraId="3094A10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-34 973 000</w:t>
            </w:r>
          </w:p>
        </w:tc>
        <w:tc>
          <w:tcPr>
            <w:tcW w:w="1600" w:type="dxa"/>
            <w:tcBorders>
              <w:top w:val="nil"/>
              <w:left w:val="nil"/>
              <w:bottom w:val="single" w:sz="8" w:space="0" w:color="auto"/>
              <w:right w:val="single" w:sz="8" w:space="0" w:color="auto"/>
            </w:tcBorders>
            <w:shd w:val="clear" w:color="000000" w:fill="BFBFBF"/>
            <w:vAlign w:val="center"/>
            <w:hideMark/>
          </w:tcPr>
          <w:p w14:paraId="50F265E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-45 110 000</w:t>
            </w:r>
          </w:p>
        </w:tc>
        <w:tc>
          <w:tcPr>
            <w:tcW w:w="1600" w:type="dxa"/>
            <w:tcBorders>
              <w:top w:val="nil"/>
              <w:left w:val="nil"/>
              <w:bottom w:val="single" w:sz="8" w:space="0" w:color="auto"/>
              <w:right w:val="single" w:sz="8" w:space="0" w:color="auto"/>
            </w:tcBorders>
            <w:shd w:val="clear" w:color="000000" w:fill="BFBFBF"/>
            <w:vAlign w:val="center"/>
            <w:hideMark/>
          </w:tcPr>
          <w:p w14:paraId="7E3D33D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-46 952 000</w:t>
            </w:r>
          </w:p>
        </w:tc>
      </w:tr>
      <w:tr w:rsidR="00AD62CD" w:rsidRPr="00AD62CD" w14:paraId="386B26FB" w14:textId="77777777" w:rsidTr="003627DF">
        <w:trPr>
          <w:trHeight w:val="255"/>
        </w:trPr>
        <w:tc>
          <w:tcPr>
            <w:tcW w:w="5160" w:type="dxa"/>
            <w:tcBorders>
              <w:top w:val="nil"/>
              <w:left w:val="nil"/>
              <w:bottom w:val="nil"/>
              <w:right w:val="nil"/>
            </w:tcBorders>
            <w:shd w:val="clear" w:color="auto" w:fill="auto"/>
            <w:noWrap/>
            <w:vAlign w:val="bottom"/>
            <w:hideMark/>
          </w:tcPr>
          <w:p w14:paraId="3A76637C"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880" w:type="dxa"/>
            <w:tcBorders>
              <w:top w:val="nil"/>
              <w:left w:val="nil"/>
              <w:bottom w:val="nil"/>
              <w:right w:val="nil"/>
            </w:tcBorders>
            <w:shd w:val="clear" w:color="auto" w:fill="auto"/>
            <w:noWrap/>
            <w:vAlign w:val="bottom"/>
            <w:hideMark/>
          </w:tcPr>
          <w:p w14:paraId="6AD35A1F"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2020" w:type="dxa"/>
            <w:tcBorders>
              <w:top w:val="nil"/>
              <w:left w:val="nil"/>
              <w:bottom w:val="nil"/>
              <w:right w:val="nil"/>
            </w:tcBorders>
            <w:shd w:val="clear" w:color="auto" w:fill="auto"/>
            <w:noWrap/>
            <w:vAlign w:val="bottom"/>
            <w:hideMark/>
          </w:tcPr>
          <w:p w14:paraId="49353B71"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600" w:type="dxa"/>
            <w:tcBorders>
              <w:top w:val="nil"/>
              <w:left w:val="nil"/>
              <w:bottom w:val="nil"/>
              <w:right w:val="nil"/>
            </w:tcBorders>
            <w:shd w:val="clear" w:color="auto" w:fill="auto"/>
            <w:noWrap/>
            <w:vAlign w:val="bottom"/>
            <w:hideMark/>
          </w:tcPr>
          <w:p w14:paraId="1A363259"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600" w:type="dxa"/>
            <w:tcBorders>
              <w:top w:val="nil"/>
              <w:left w:val="nil"/>
              <w:bottom w:val="nil"/>
              <w:right w:val="nil"/>
            </w:tcBorders>
            <w:shd w:val="clear" w:color="auto" w:fill="auto"/>
            <w:noWrap/>
            <w:vAlign w:val="bottom"/>
            <w:hideMark/>
          </w:tcPr>
          <w:p w14:paraId="2C364112"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r>
      <w:tr w:rsidR="00AD62CD" w:rsidRPr="00AD62CD" w14:paraId="6726DA48" w14:textId="77777777" w:rsidTr="003627DF">
        <w:trPr>
          <w:trHeight w:val="270"/>
        </w:trPr>
        <w:tc>
          <w:tcPr>
            <w:tcW w:w="5160" w:type="dxa"/>
            <w:tcBorders>
              <w:top w:val="nil"/>
              <w:left w:val="nil"/>
              <w:bottom w:val="nil"/>
              <w:right w:val="nil"/>
            </w:tcBorders>
            <w:shd w:val="clear" w:color="auto" w:fill="auto"/>
            <w:noWrap/>
            <w:vAlign w:val="bottom"/>
            <w:hideMark/>
          </w:tcPr>
          <w:p w14:paraId="01C3440D"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880" w:type="dxa"/>
            <w:tcBorders>
              <w:top w:val="nil"/>
              <w:left w:val="nil"/>
              <w:bottom w:val="nil"/>
              <w:right w:val="nil"/>
            </w:tcBorders>
            <w:shd w:val="clear" w:color="auto" w:fill="auto"/>
            <w:noWrap/>
            <w:vAlign w:val="bottom"/>
            <w:hideMark/>
          </w:tcPr>
          <w:p w14:paraId="3B166A89"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2020" w:type="dxa"/>
            <w:tcBorders>
              <w:top w:val="nil"/>
              <w:left w:val="nil"/>
              <w:bottom w:val="nil"/>
              <w:right w:val="nil"/>
            </w:tcBorders>
            <w:shd w:val="clear" w:color="auto" w:fill="auto"/>
            <w:noWrap/>
            <w:vAlign w:val="bottom"/>
            <w:hideMark/>
          </w:tcPr>
          <w:p w14:paraId="6601CC02"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600" w:type="dxa"/>
            <w:tcBorders>
              <w:top w:val="nil"/>
              <w:left w:val="nil"/>
              <w:bottom w:val="nil"/>
              <w:right w:val="nil"/>
            </w:tcBorders>
            <w:shd w:val="clear" w:color="auto" w:fill="auto"/>
            <w:noWrap/>
            <w:vAlign w:val="bottom"/>
            <w:hideMark/>
          </w:tcPr>
          <w:p w14:paraId="6DFC4915"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600" w:type="dxa"/>
            <w:tcBorders>
              <w:top w:val="nil"/>
              <w:left w:val="nil"/>
              <w:bottom w:val="nil"/>
              <w:right w:val="nil"/>
            </w:tcBorders>
            <w:shd w:val="clear" w:color="auto" w:fill="auto"/>
            <w:noWrap/>
            <w:vAlign w:val="bottom"/>
            <w:hideMark/>
          </w:tcPr>
          <w:p w14:paraId="028C9B1A"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r>
      <w:tr w:rsidR="00AD62CD" w:rsidRPr="00AD62CD" w14:paraId="21D5969B" w14:textId="77777777" w:rsidTr="003627DF">
        <w:trPr>
          <w:trHeight w:val="270"/>
        </w:trPr>
        <w:tc>
          <w:tcPr>
            <w:tcW w:w="516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890F1F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Príjmy vyšších územných celkov (v eurách)</w:t>
            </w:r>
          </w:p>
        </w:tc>
        <w:tc>
          <w:tcPr>
            <w:tcW w:w="7100" w:type="dxa"/>
            <w:gridSpan w:val="4"/>
            <w:tcBorders>
              <w:top w:val="single" w:sz="8" w:space="0" w:color="auto"/>
              <w:left w:val="nil"/>
              <w:bottom w:val="single" w:sz="8" w:space="0" w:color="auto"/>
              <w:right w:val="single" w:sz="8" w:space="0" w:color="000000"/>
            </w:tcBorders>
            <w:shd w:val="clear" w:color="000000" w:fill="BFBFBF"/>
            <w:vAlign w:val="center"/>
            <w:hideMark/>
          </w:tcPr>
          <w:p w14:paraId="4B9EB01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rozpočet vyšších územných celkov</w:t>
            </w:r>
          </w:p>
        </w:tc>
      </w:tr>
      <w:tr w:rsidR="00AD62CD" w:rsidRPr="00AD62CD" w14:paraId="7C0B878E" w14:textId="77777777" w:rsidTr="003627DF">
        <w:trPr>
          <w:trHeight w:val="270"/>
        </w:trPr>
        <w:tc>
          <w:tcPr>
            <w:tcW w:w="5160" w:type="dxa"/>
            <w:vMerge/>
            <w:tcBorders>
              <w:top w:val="single" w:sz="8" w:space="0" w:color="auto"/>
              <w:left w:val="single" w:sz="8" w:space="0" w:color="auto"/>
              <w:bottom w:val="single" w:sz="8" w:space="0" w:color="000000"/>
              <w:right w:val="single" w:sz="8" w:space="0" w:color="auto"/>
            </w:tcBorders>
            <w:vAlign w:val="center"/>
            <w:hideMark/>
          </w:tcPr>
          <w:p w14:paraId="19FF79A6"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880" w:type="dxa"/>
            <w:tcBorders>
              <w:top w:val="nil"/>
              <w:left w:val="nil"/>
              <w:bottom w:val="single" w:sz="8" w:space="0" w:color="auto"/>
              <w:right w:val="single" w:sz="8" w:space="0" w:color="auto"/>
            </w:tcBorders>
            <w:shd w:val="clear" w:color="000000" w:fill="BFBFBF"/>
            <w:vAlign w:val="center"/>
            <w:hideMark/>
          </w:tcPr>
          <w:p w14:paraId="78EA97C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2020" w:type="dxa"/>
            <w:tcBorders>
              <w:top w:val="nil"/>
              <w:left w:val="nil"/>
              <w:bottom w:val="single" w:sz="8" w:space="0" w:color="auto"/>
              <w:right w:val="single" w:sz="8" w:space="0" w:color="auto"/>
            </w:tcBorders>
            <w:shd w:val="clear" w:color="000000" w:fill="BFBFBF"/>
            <w:vAlign w:val="center"/>
            <w:hideMark/>
          </w:tcPr>
          <w:p w14:paraId="5ACD187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600" w:type="dxa"/>
            <w:tcBorders>
              <w:top w:val="nil"/>
              <w:left w:val="nil"/>
              <w:bottom w:val="single" w:sz="8" w:space="0" w:color="auto"/>
              <w:right w:val="single" w:sz="8" w:space="0" w:color="auto"/>
            </w:tcBorders>
            <w:shd w:val="clear" w:color="000000" w:fill="BFBFBF"/>
            <w:vAlign w:val="center"/>
            <w:hideMark/>
          </w:tcPr>
          <w:p w14:paraId="0930543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600" w:type="dxa"/>
            <w:tcBorders>
              <w:top w:val="nil"/>
              <w:left w:val="nil"/>
              <w:bottom w:val="single" w:sz="8" w:space="0" w:color="auto"/>
              <w:right w:val="single" w:sz="8" w:space="0" w:color="auto"/>
            </w:tcBorders>
            <w:shd w:val="clear" w:color="000000" w:fill="BFBFBF"/>
            <w:vAlign w:val="center"/>
            <w:hideMark/>
          </w:tcPr>
          <w:p w14:paraId="1E1A8FC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r>
      <w:tr w:rsidR="00AD62CD" w:rsidRPr="00AD62CD" w14:paraId="144291B2" w14:textId="77777777" w:rsidTr="003627DF">
        <w:trPr>
          <w:trHeight w:val="330"/>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615C5BDA"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Daňové príjmy (100)</w:t>
            </w:r>
            <w:r w:rsidRPr="00AD62CD">
              <w:rPr>
                <w:rFonts w:ascii="Times New Roman" w:eastAsia="Times New Roman" w:hAnsi="Times New Roman" w:cs="Times New Roman"/>
                <w:b/>
                <w:bCs/>
                <w:color w:val="000000"/>
                <w:kern w:val="0"/>
                <w:sz w:val="20"/>
                <w:szCs w:val="20"/>
                <w:vertAlign w:val="superscript"/>
                <w:lang w:eastAsia="sk-SK"/>
                <w14:ligatures w14:val="none"/>
              </w:rPr>
              <w:t>1</w:t>
            </w:r>
          </w:p>
        </w:tc>
        <w:tc>
          <w:tcPr>
            <w:tcW w:w="1880" w:type="dxa"/>
            <w:tcBorders>
              <w:top w:val="nil"/>
              <w:left w:val="nil"/>
              <w:bottom w:val="single" w:sz="8" w:space="0" w:color="auto"/>
              <w:right w:val="single" w:sz="8" w:space="0" w:color="auto"/>
            </w:tcBorders>
            <w:shd w:val="clear" w:color="auto" w:fill="auto"/>
            <w:vAlign w:val="center"/>
            <w:hideMark/>
          </w:tcPr>
          <w:p w14:paraId="2F3CB168"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auto" w:fill="auto"/>
            <w:vAlign w:val="center"/>
            <w:hideMark/>
          </w:tcPr>
          <w:p w14:paraId="466EBC3F"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-18 724 000</w:t>
            </w:r>
          </w:p>
        </w:tc>
        <w:tc>
          <w:tcPr>
            <w:tcW w:w="1600" w:type="dxa"/>
            <w:tcBorders>
              <w:top w:val="nil"/>
              <w:left w:val="nil"/>
              <w:bottom w:val="single" w:sz="8" w:space="0" w:color="auto"/>
              <w:right w:val="single" w:sz="8" w:space="0" w:color="auto"/>
            </w:tcBorders>
            <w:shd w:val="clear" w:color="auto" w:fill="auto"/>
            <w:vAlign w:val="center"/>
            <w:hideMark/>
          </w:tcPr>
          <w:p w14:paraId="21389215"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-24 152 000</w:t>
            </w:r>
          </w:p>
        </w:tc>
        <w:tc>
          <w:tcPr>
            <w:tcW w:w="1600" w:type="dxa"/>
            <w:tcBorders>
              <w:top w:val="nil"/>
              <w:left w:val="nil"/>
              <w:bottom w:val="single" w:sz="8" w:space="0" w:color="auto"/>
              <w:right w:val="single" w:sz="8" w:space="0" w:color="auto"/>
            </w:tcBorders>
            <w:shd w:val="clear" w:color="auto" w:fill="auto"/>
            <w:vAlign w:val="center"/>
            <w:hideMark/>
          </w:tcPr>
          <w:p w14:paraId="1248F743"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-25 137 000</w:t>
            </w:r>
          </w:p>
        </w:tc>
      </w:tr>
      <w:tr w:rsidR="00AD62CD" w:rsidRPr="00AD62CD" w14:paraId="17F8D7F0" w14:textId="77777777" w:rsidTr="003627DF">
        <w:trPr>
          <w:trHeight w:val="270"/>
        </w:trPr>
        <w:tc>
          <w:tcPr>
            <w:tcW w:w="5160" w:type="dxa"/>
            <w:tcBorders>
              <w:top w:val="nil"/>
              <w:left w:val="single" w:sz="8" w:space="0" w:color="auto"/>
              <w:bottom w:val="single" w:sz="8" w:space="0" w:color="auto"/>
              <w:right w:val="single" w:sz="8" w:space="0" w:color="auto"/>
            </w:tcBorders>
            <w:shd w:val="clear" w:color="auto" w:fill="auto"/>
            <w:noWrap/>
            <w:vAlign w:val="center"/>
            <w:hideMark/>
          </w:tcPr>
          <w:p w14:paraId="58DC10A9"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v tom: (111) daň z príjmov fyzických osôb </w:t>
            </w:r>
          </w:p>
        </w:tc>
        <w:tc>
          <w:tcPr>
            <w:tcW w:w="1880" w:type="dxa"/>
            <w:tcBorders>
              <w:top w:val="nil"/>
              <w:left w:val="nil"/>
              <w:bottom w:val="single" w:sz="8" w:space="0" w:color="auto"/>
              <w:right w:val="single" w:sz="8" w:space="0" w:color="auto"/>
            </w:tcBorders>
            <w:shd w:val="clear" w:color="auto" w:fill="auto"/>
            <w:vAlign w:val="center"/>
            <w:hideMark/>
          </w:tcPr>
          <w:p w14:paraId="0D7809AD"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auto" w:fill="auto"/>
            <w:vAlign w:val="center"/>
            <w:hideMark/>
          </w:tcPr>
          <w:p w14:paraId="5117E300"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-18 724 000</w:t>
            </w:r>
          </w:p>
        </w:tc>
        <w:tc>
          <w:tcPr>
            <w:tcW w:w="1600" w:type="dxa"/>
            <w:tcBorders>
              <w:top w:val="nil"/>
              <w:left w:val="nil"/>
              <w:bottom w:val="single" w:sz="8" w:space="0" w:color="auto"/>
              <w:right w:val="single" w:sz="8" w:space="0" w:color="auto"/>
            </w:tcBorders>
            <w:shd w:val="clear" w:color="auto" w:fill="auto"/>
            <w:vAlign w:val="center"/>
            <w:hideMark/>
          </w:tcPr>
          <w:p w14:paraId="1C6C56D6"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-24 152 000</w:t>
            </w:r>
          </w:p>
        </w:tc>
        <w:tc>
          <w:tcPr>
            <w:tcW w:w="1600" w:type="dxa"/>
            <w:tcBorders>
              <w:top w:val="nil"/>
              <w:left w:val="nil"/>
              <w:bottom w:val="single" w:sz="8" w:space="0" w:color="auto"/>
              <w:right w:val="single" w:sz="8" w:space="0" w:color="auto"/>
            </w:tcBorders>
            <w:shd w:val="clear" w:color="auto" w:fill="auto"/>
            <w:vAlign w:val="center"/>
            <w:hideMark/>
          </w:tcPr>
          <w:p w14:paraId="034C0F6F"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-25 137 000</w:t>
            </w:r>
          </w:p>
        </w:tc>
      </w:tr>
      <w:tr w:rsidR="00AD62CD" w:rsidRPr="00AD62CD" w14:paraId="660819D2" w14:textId="77777777" w:rsidTr="003627DF">
        <w:trPr>
          <w:trHeight w:val="330"/>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4080D806"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Nedaňové príjmy (200)</w:t>
            </w:r>
            <w:r w:rsidRPr="00AD62CD">
              <w:rPr>
                <w:rFonts w:ascii="Times New Roman" w:eastAsia="Times New Roman" w:hAnsi="Times New Roman" w:cs="Times New Roman"/>
                <w:b/>
                <w:bCs/>
                <w:color w:val="000000"/>
                <w:kern w:val="0"/>
                <w:sz w:val="20"/>
                <w:szCs w:val="20"/>
                <w:vertAlign w:val="superscript"/>
                <w:lang w:eastAsia="sk-SK"/>
                <w14:ligatures w14:val="none"/>
              </w:rPr>
              <w:t>1</w:t>
            </w:r>
          </w:p>
        </w:tc>
        <w:tc>
          <w:tcPr>
            <w:tcW w:w="1880" w:type="dxa"/>
            <w:tcBorders>
              <w:top w:val="nil"/>
              <w:left w:val="nil"/>
              <w:bottom w:val="single" w:sz="8" w:space="0" w:color="auto"/>
              <w:right w:val="single" w:sz="8" w:space="0" w:color="auto"/>
            </w:tcBorders>
            <w:shd w:val="clear" w:color="auto" w:fill="auto"/>
            <w:vAlign w:val="center"/>
            <w:hideMark/>
          </w:tcPr>
          <w:p w14:paraId="29EC33C0"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auto" w:fill="auto"/>
            <w:vAlign w:val="center"/>
            <w:hideMark/>
          </w:tcPr>
          <w:p w14:paraId="658A10DC"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600" w:type="dxa"/>
            <w:tcBorders>
              <w:top w:val="nil"/>
              <w:left w:val="nil"/>
              <w:bottom w:val="single" w:sz="8" w:space="0" w:color="auto"/>
              <w:right w:val="single" w:sz="8" w:space="0" w:color="auto"/>
            </w:tcBorders>
            <w:shd w:val="clear" w:color="auto" w:fill="auto"/>
            <w:vAlign w:val="center"/>
            <w:hideMark/>
          </w:tcPr>
          <w:p w14:paraId="7CB5A607"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600" w:type="dxa"/>
            <w:tcBorders>
              <w:top w:val="nil"/>
              <w:left w:val="nil"/>
              <w:bottom w:val="single" w:sz="8" w:space="0" w:color="auto"/>
              <w:right w:val="single" w:sz="8" w:space="0" w:color="auto"/>
            </w:tcBorders>
            <w:shd w:val="clear" w:color="auto" w:fill="auto"/>
            <w:vAlign w:val="center"/>
            <w:hideMark/>
          </w:tcPr>
          <w:p w14:paraId="5FAF6023"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5E50F2B1" w14:textId="77777777" w:rsidTr="003627DF">
        <w:trPr>
          <w:trHeight w:val="525"/>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5FD377D6"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Príjmy z transakcií s finančnými aktívami a finančnými pasívami (400)</w:t>
            </w:r>
          </w:p>
        </w:tc>
        <w:tc>
          <w:tcPr>
            <w:tcW w:w="1880" w:type="dxa"/>
            <w:tcBorders>
              <w:top w:val="nil"/>
              <w:left w:val="nil"/>
              <w:bottom w:val="single" w:sz="8" w:space="0" w:color="auto"/>
              <w:right w:val="single" w:sz="8" w:space="0" w:color="auto"/>
            </w:tcBorders>
            <w:shd w:val="clear" w:color="auto" w:fill="auto"/>
            <w:vAlign w:val="center"/>
            <w:hideMark/>
          </w:tcPr>
          <w:p w14:paraId="4EA931D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2020" w:type="dxa"/>
            <w:tcBorders>
              <w:top w:val="nil"/>
              <w:left w:val="nil"/>
              <w:bottom w:val="single" w:sz="8" w:space="0" w:color="auto"/>
              <w:right w:val="single" w:sz="8" w:space="0" w:color="auto"/>
            </w:tcBorders>
            <w:shd w:val="clear" w:color="auto" w:fill="auto"/>
            <w:vAlign w:val="center"/>
            <w:hideMark/>
          </w:tcPr>
          <w:p w14:paraId="4BE92067"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498CE476"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3D2562ED"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r>
      <w:tr w:rsidR="00AD62CD" w:rsidRPr="00AD62CD" w14:paraId="1331B3E0" w14:textId="77777777" w:rsidTr="003627DF">
        <w:trPr>
          <w:trHeight w:val="270"/>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627B4CE9"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Prijaté úvery, pôžičky a návratné finančné výpomoci (500)</w:t>
            </w:r>
          </w:p>
        </w:tc>
        <w:tc>
          <w:tcPr>
            <w:tcW w:w="1880" w:type="dxa"/>
            <w:tcBorders>
              <w:top w:val="nil"/>
              <w:left w:val="nil"/>
              <w:bottom w:val="single" w:sz="8" w:space="0" w:color="auto"/>
              <w:right w:val="single" w:sz="8" w:space="0" w:color="auto"/>
            </w:tcBorders>
            <w:shd w:val="clear" w:color="auto" w:fill="auto"/>
            <w:vAlign w:val="center"/>
            <w:hideMark/>
          </w:tcPr>
          <w:p w14:paraId="2F4273F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2020" w:type="dxa"/>
            <w:tcBorders>
              <w:top w:val="nil"/>
              <w:left w:val="nil"/>
              <w:bottom w:val="single" w:sz="8" w:space="0" w:color="auto"/>
              <w:right w:val="single" w:sz="8" w:space="0" w:color="auto"/>
            </w:tcBorders>
            <w:shd w:val="clear" w:color="auto" w:fill="auto"/>
            <w:vAlign w:val="center"/>
            <w:hideMark/>
          </w:tcPr>
          <w:p w14:paraId="2367A519"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5A3565CE"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4D8F72BE"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r>
      <w:tr w:rsidR="00AD62CD" w:rsidRPr="00AD62CD" w14:paraId="01854793" w14:textId="77777777" w:rsidTr="003627DF">
        <w:trPr>
          <w:trHeight w:val="270"/>
        </w:trPr>
        <w:tc>
          <w:tcPr>
            <w:tcW w:w="5160" w:type="dxa"/>
            <w:tcBorders>
              <w:top w:val="nil"/>
              <w:left w:val="single" w:sz="8" w:space="0" w:color="auto"/>
              <w:bottom w:val="single" w:sz="8" w:space="0" w:color="auto"/>
              <w:right w:val="single" w:sz="8" w:space="0" w:color="auto"/>
            </w:tcBorders>
            <w:shd w:val="clear" w:color="000000" w:fill="BFBFBF"/>
            <w:vAlign w:val="center"/>
            <w:hideMark/>
          </w:tcPr>
          <w:p w14:paraId="74CE4B79"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Dopad na príjmy vyšších územných celkov</w:t>
            </w:r>
          </w:p>
        </w:tc>
        <w:tc>
          <w:tcPr>
            <w:tcW w:w="1880" w:type="dxa"/>
            <w:tcBorders>
              <w:top w:val="nil"/>
              <w:left w:val="nil"/>
              <w:bottom w:val="single" w:sz="8" w:space="0" w:color="auto"/>
              <w:right w:val="single" w:sz="8" w:space="0" w:color="auto"/>
            </w:tcBorders>
            <w:shd w:val="clear" w:color="000000" w:fill="BFBFBF"/>
            <w:vAlign w:val="center"/>
            <w:hideMark/>
          </w:tcPr>
          <w:p w14:paraId="29325C8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000000" w:fill="BFBFBF"/>
            <w:vAlign w:val="center"/>
            <w:hideMark/>
          </w:tcPr>
          <w:p w14:paraId="0C13FBAA"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-18 724 000</w:t>
            </w:r>
          </w:p>
        </w:tc>
        <w:tc>
          <w:tcPr>
            <w:tcW w:w="1600" w:type="dxa"/>
            <w:tcBorders>
              <w:top w:val="nil"/>
              <w:left w:val="nil"/>
              <w:bottom w:val="single" w:sz="8" w:space="0" w:color="auto"/>
              <w:right w:val="single" w:sz="8" w:space="0" w:color="auto"/>
            </w:tcBorders>
            <w:shd w:val="clear" w:color="000000" w:fill="BFBFBF"/>
            <w:vAlign w:val="center"/>
            <w:hideMark/>
          </w:tcPr>
          <w:p w14:paraId="75AA55B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-24 152 000</w:t>
            </w:r>
          </w:p>
        </w:tc>
        <w:tc>
          <w:tcPr>
            <w:tcW w:w="1600" w:type="dxa"/>
            <w:tcBorders>
              <w:top w:val="nil"/>
              <w:left w:val="nil"/>
              <w:bottom w:val="single" w:sz="8" w:space="0" w:color="auto"/>
              <w:right w:val="single" w:sz="8" w:space="0" w:color="auto"/>
            </w:tcBorders>
            <w:shd w:val="clear" w:color="000000" w:fill="BFBFBF"/>
            <w:vAlign w:val="center"/>
            <w:hideMark/>
          </w:tcPr>
          <w:p w14:paraId="22A726B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-25 137 000</w:t>
            </w:r>
          </w:p>
        </w:tc>
      </w:tr>
      <w:tr w:rsidR="00AD62CD" w:rsidRPr="00AD62CD" w14:paraId="33949D55" w14:textId="77777777" w:rsidTr="003627DF">
        <w:trPr>
          <w:trHeight w:val="255"/>
        </w:trPr>
        <w:tc>
          <w:tcPr>
            <w:tcW w:w="5160" w:type="dxa"/>
            <w:tcBorders>
              <w:top w:val="nil"/>
              <w:left w:val="nil"/>
              <w:bottom w:val="nil"/>
              <w:right w:val="nil"/>
            </w:tcBorders>
            <w:shd w:val="clear" w:color="auto" w:fill="auto"/>
            <w:noWrap/>
            <w:vAlign w:val="bottom"/>
            <w:hideMark/>
          </w:tcPr>
          <w:p w14:paraId="71178700"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880" w:type="dxa"/>
            <w:tcBorders>
              <w:top w:val="nil"/>
              <w:left w:val="nil"/>
              <w:bottom w:val="nil"/>
              <w:right w:val="nil"/>
            </w:tcBorders>
            <w:shd w:val="clear" w:color="auto" w:fill="auto"/>
            <w:noWrap/>
            <w:vAlign w:val="bottom"/>
            <w:hideMark/>
          </w:tcPr>
          <w:p w14:paraId="2EA2F879"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2020" w:type="dxa"/>
            <w:tcBorders>
              <w:top w:val="nil"/>
              <w:left w:val="nil"/>
              <w:bottom w:val="nil"/>
              <w:right w:val="nil"/>
            </w:tcBorders>
            <w:shd w:val="clear" w:color="auto" w:fill="auto"/>
            <w:noWrap/>
            <w:vAlign w:val="bottom"/>
            <w:hideMark/>
          </w:tcPr>
          <w:p w14:paraId="3D230782"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600" w:type="dxa"/>
            <w:tcBorders>
              <w:top w:val="nil"/>
              <w:left w:val="nil"/>
              <w:bottom w:val="nil"/>
              <w:right w:val="nil"/>
            </w:tcBorders>
            <w:shd w:val="clear" w:color="auto" w:fill="auto"/>
            <w:noWrap/>
            <w:vAlign w:val="bottom"/>
            <w:hideMark/>
          </w:tcPr>
          <w:p w14:paraId="03E3DFFF"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600" w:type="dxa"/>
            <w:tcBorders>
              <w:top w:val="nil"/>
              <w:left w:val="nil"/>
              <w:bottom w:val="nil"/>
              <w:right w:val="nil"/>
            </w:tcBorders>
            <w:shd w:val="clear" w:color="auto" w:fill="auto"/>
            <w:noWrap/>
            <w:vAlign w:val="bottom"/>
            <w:hideMark/>
          </w:tcPr>
          <w:p w14:paraId="5814DDFA"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r>
      <w:tr w:rsidR="00AD62CD" w:rsidRPr="00AD62CD" w14:paraId="01F52152" w14:textId="77777777" w:rsidTr="003627DF">
        <w:trPr>
          <w:trHeight w:val="270"/>
        </w:trPr>
        <w:tc>
          <w:tcPr>
            <w:tcW w:w="5160" w:type="dxa"/>
            <w:tcBorders>
              <w:top w:val="nil"/>
              <w:left w:val="nil"/>
              <w:bottom w:val="nil"/>
              <w:right w:val="nil"/>
            </w:tcBorders>
            <w:shd w:val="clear" w:color="auto" w:fill="auto"/>
            <w:noWrap/>
            <w:vAlign w:val="bottom"/>
            <w:hideMark/>
          </w:tcPr>
          <w:p w14:paraId="676493BA"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880" w:type="dxa"/>
            <w:tcBorders>
              <w:top w:val="nil"/>
              <w:left w:val="nil"/>
              <w:bottom w:val="nil"/>
              <w:right w:val="nil"/>
            </w:tcBorders>
            <w:shd w:val="clear" w:color="auto" w:fill="auto"/>
            <w:noWrap/>
            <w:vAlign w:val="bottom"/>
            <w:hideMark/>
          </w:tcPr>
          <w:p w14:paraId="18843C36"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2020" w:type="dxa"/>
            <w:tcBorders>
              <w:top w:val="nil"/>
              <w:left w:val="nil"/>
              <w:bottom w:val="nil"/>
              <w:right w:val="nil"/>
            </w:tcBorders>
            <w:shd w:val="clear" w:color="auto" w:fill="auto"/>
            <w:noWrap/>
            <w:vAlign w:val="bottom"/>
            <w:hideMark/>
          </w:tcPr>
          <w:p w14:paraId="24069DD7"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600" w:type="dxa"/>
            <w:tcBorders>
              <w:top w:val="nil"/>
              <w:left w:val="nil"/>
              <w:bottom w:val="nil"/>
              <w:right w:val="nil"/>
            </w:tcBorders>
            <w:shd w:val="clear" w:color="auto" w:fill="auto"/>
            <w:noWrap/>
            <w:vAlign w:val="bottom"/>
            <w:hideMark/>
          </w:tcPr>
          <w:p w14:paraId="2CE1F9C1"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c>
          <w:tcPr>
            <w:tcW w:w="1600" w:type="dxa"/>
            <w:tcBorders>
              <w:top w:val="nil"/>
              <w:left w:val="nil"/>
              <w:bottom w:val="nil"/>
              <w:right w:val="nil"/>
            </w:tcBorders>
            <w:shd w:val="clear" w:color="auto" w:fill="auto"/>
            <w:noWrap/>
            <w:vAlign w:val="bottom"/>
            <w:hideMark/>
          </w:tcPr>
          <w:p w14:paraId="743720E0"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p>
        </w:tc>
      </w:tr>
      <w:tr w:rsidR="00AD62CD" w:rsidRPr="00AD62CD" w14:paraId="4C8BC246" w14:textId="77777777" w:rsidTr="003627DF">
        <w:trPr>
          <w:trHeight w:val="270"/>
        </w:trPr>
        <w:tc>
          <w:tcPr>
            <w:tcW w:w="516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40C08A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Príjmy zdravotných poisťovní (v eurách)</w:t>
            </w:r>
          </w:p>
        </w:tc>
        <w:tc>
          <w:tcPr>
            <w:tcW w:w="7100" w:type="dxa"/>
            <w:gridSpan w:val="4"/>
            <w:tcBorders>
              <w:top w:val="single" w:sz="8" w:space="0" w:color="auto"/>
              <w:left w:val="nil"/>
              <w:bottom w:val="single" w:sz="8" w:space="0" w:color="auto"/>
              <w:right w:val="single" w:sz="8" w:space="0" w:color="000000"/>
            </w:tcBorders>
            <w:shd w:val="clear" w:color="000000" w:fill="BFBFBF"/>
            <w:vAlign w:val="center"/>
            <w:hideMark/>
          </w:tcPr>
          <w:p w14:paraId="4CB4BB8C"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rozpočet zdravotných poisťovní</w:t>
            </w:r>
          </w:p>
        </w:tc>
      </w:tr>
      <w:tr w:rsidR="00AD62CD" w:rsidRPr="00AD62CD" w14:paraId="50389BA1" w14:textId="77777777" w:rsidTr="003627DF">
        <w:trPr>
          <w:trHeight w:val="270"/>
        </w:trPr>
        <w:tc>
          <w:tcPr>
            <w:tcW w:w="5160" w:type="dxa"/>
            <w:vMerge/>
            <w:tcBorders>
              <w:top w:val="single" w:sz="8" w:space="0" w:color="auto"/>
              <w:left w:val="single" w:sz="8" w:space="0" w:color="auto"/>
              <w:bottom w:val="single" w:sz="8" w:space="0" w:color="000000"/>
              <w:right w:val="single" w:sz="8" w:space="0" w:color="auto"/>
            </w:tcBorders>
            <w:vAlign w:val="center"/>
            <w:hideMark/>
          </w:tcPr>
          <w:p w14:paraId="28A8DE28"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880" w:type="dxa"/>
            <w:tcBorders>
              <w:top w:val="nil"/>
              <w:left w:val="nil"/>
              <w:bottom w:val="single" w:sz="8" w:space="0" w:color="auto"/>
              <w:right w:val="single" w:sz="8" w:space="0" w:color="auto"/>
            </w:tcBorders>
            <w:shd w:val="clear" w:color="000000" w:fill="BFBFBF"/>
            <w:vAlign w:val="center"/>
            <w:hideMark/>
          </w:tcPr>
          <w:p w14:paraId="715F7F7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2020" w:type="dxa"/>
            <w:tcBorders>
              <w:top w:val="nil"/>
              <w:left w:val="nil"/>
              <w:bottom w:val="single" w:sz="8" w:space="0" w:color="auto"/>
              <w:right w:val="single" w:sz="8" w:space="0" w:color="auto"/>
            </w:tcBorders>
            <w:shd w:val="clear" w:color="000000" w:fill="BFBFBF"/>
            <w:vAlign w:val="center"/>
            <w:hideMark/>
          </w:tcPr>
          <w:p w14:paraId="77AAF23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600" w:type="dxa"/>
            <w:tcBorders>
              <w:top w:val="nil"/>
              <w:left w:val="nil"/>
              <w:bottom w:val="single" w:sz="8" w:space="0" w:color="auto"/>
              <w:right w:val="single" w:sz="8" w:space="0" w:color="auto"/>
            </w:tcBorders>
            <w:shd w:val="clear" w:color="000000" w:fill="BFBFBF"/>
            <w:vAlign w:val="center"/>
            <w:hideMark/>
          </w:tcPr>
          <w:p w14:paraId="741C1CE5"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600" w:type="dxa"/>
            <w:tcBorders>
              <w:top w:val="nil"/>
              <w:left w:val="nil"/>
              <w:bottom w:val="single" w:sz="8" w:space="0" w:color="auto"/>
              <w:right w:val="single" w:sz="8" w:space="0" w:color="auto"/>
            </w:tcBorders>
            <w:shd w:val="clear" w:color="000000" w:fill="BFBFBF"/>
            <w:vAlign w:val="center"/>
            <w:hideMark/>
          </w:tcPr>
          <w:p w14:paraId="758D7E7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r>
      <w:tr w:rsidR="00AD62CD" w:rsidRPr="00AD62CD" w14:paraId="661419C0" w14:textId="77777777" w:rsidTr="003627DF">
        <w:trPr>
          <w:trHeight w:val="330"/>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26B73C97"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Daňové príjmy (100)</w:t>
            </w:r>
            <w:r w:rsidRPr="00AD62CD">
              <w:rPr>
                <w:rFonts w:ascii="Times New Roman" w:eastAsia="Times New Roman" w:hAnsi="Times New Roman" w:cs="Times New Roman"/>
                <w:b/>
                <w:bCs/>
                <w:color w:val="000000"/>
                <w:kern w:val="0"/>
                <w:sz w:val="20"/>
                <w:szCs w:val="20"/>
                <w:vertAlign w:val="superscript"/>
                <w:lang w:eastAsia="sk-SK"/>
                <w14:ligatures w14:val="none"/>
              </w:rPr>
              <w:t>1</w:t>
            </w:r>
          </w:p>
        </w:tc>
        <w:tc>
          <w:tcPr>
            <w:tcW w:w="1880" w:type="dxa"/>
            <w:tcBorders>
              <w:top w:val="nil"/>
              <w:left w:val="nil"/>
              <w:bottom w:val="single" w:sz="8" w:space="0" w:color="auto"/>
              <w:right w:val="single" w:sz="8" w:space="0" w:color="auto"/>
            </w:tcBorders>
            <w:shd w:val="clear" w:color="auto" w:fill="auto"/>
            <w:vAlign w:val="center"/>
            <w:hideMark/>
          </w:tcPr>
          <w:p w14:paraId="5E9C432C"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auto" w:fill="auto"/>
            <w:vAlign w:val="center"/>
            <w:hideMark/>
          </w:tcPr>
          <w:p w14:paraId="2BC9D26A"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436 707 000</w:t>
            </w:r>
          </w:p>
        </w:tc>
        <w:tc>
          <w:tcPr>
            <w:tcW w:w="1600" w:type="dxa"/>
            <w:tcBorders>
              <w:top w:val="nil"/>
              <w:left w:val="nil"/>
              <w:bottom w:val="single" w:sz="8" w:space="0" w:color="auto"/>
              <w:right w:val="single" w:sz="8" w:space="0" w:color="auto"/>
            </w:tcBorders>
            <w:shd w:val="clear" w:color="auto" w:fill="auto"/>
            <w:vAlign w:val="center"/>
            <w:hideMark/>
          </w:tcPr>
          <w:p w14:paraId="789A07C4"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456 872 000</w:t>
            </w:r>
          </w:p>
        </w:tc>
        <w:tc>
          <w:tcPr>
            <w:tcW w:w="1600" w:type="dxa"/>
            <w:tcBorders>
              <w:top w:val="nil"/>
              <w:left w:val="nil"/>
              <w:bottom w:val="single" w:sz="8" w:space="0" w:color="auto"/>
              <w:right w:val="single" w:sz="8" w:space="0" w:color="auto"/>
            </w:tcBorders>
            <w:shd w:val="clear" w:color="auto" w:fill="auto"/>
            <w:vAlign w:val="center"/>
            <w:hideMark/>
          </w:tcPr>
          <w:p w14:paraId="4828F38C"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474 847 000</w:t>
            </w:r>
          </w:p>
        </w:tc>
      </w:tr>
      <w:tr w:rsidR="00AD62CD" w:rsidRPr="00AD62CD" w14:paraId="023188A9" w14:textId="77777777" w:rsidTr="003627DF">
        <w:trPr>
          <w:trHeight w:val="270"/>
        </w:trPr>
        <w:tc>
          <w:tcPr>
            <w:tcW w:w="5160" w:type="dxa"/>
            <w:tcBorders>
              <w:top w:val="nil"/>
              <w:left w:val="single" w:sz="8" w:space="0" w:color="auto"/>
              <w:bottom w:val="single" w:sz="8" w:space="0" w:color="auto"/>
              <w:right w:val="single" w:sz="8" w:space="0" w:color="auto"/>
            </w:tcBorders>
            <w:shd w:val="clear" w:color="auto" w:fill="auto"/>
            <w:noWrap/>
            <w:vAlign w:val="center"/>
            <w:hideMark/>
          </w:tcPr>
          <w:p w14:paraId="2C2CB710"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v tom: (154) poistné na zdravotné odvody</w:t>
            </w:r>
          </w:p>
        </w:tc>
        <w:tc>
          <w:tcPr>
            <w:tcW w:w="1880" w:type="dxa"/>
            <w:tcBorders>
              <w:top w:val="nil"/>
              <w:left w:val="nil"/>
              <w:bottom w:val="single" w:sz="8" w:space="0" w:color="auto"/>
              <w:right w:val="single" w:sz="8" w:space="0" w:color="auto"/>
            </w:tcBorders>
            <w:shd w:val="clear" w:color="auto" w:fill="auto"/>
            <w:vAlign w:val="center"/>
            <w:hideMark/>
          </w:tcPr>
          <w:p w14:paraId="4A77B242"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auto" w:fill="auto"/>
            <w:vAlign w:val="center"/>
            <w:hideMark/>
          </w:tcPr>
          <w:p w14:paraId="6CFE78D2"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436 707 000</w:t>
            </w:r>
          </w:p>
        </w:tc>
        <w:tc>
          <w:tcPr>
            <w:tcW w:w="1600" w:type="dxa"/>
            <w:tcBorders>
              <w:top w:val="nil"/>
              <w:left w:val="nil"/>
              <w:bottom w:val="single" w:sz="8" w:space="0" w:color="auto"/>
              <w:right w:val="single" w:sz="8" w:space="0" w:color="auto"/>
            </w:tcBorders>
            <w:shd w:val="clear" w:color="auto" w:fill="auto"/>
            <w:vAlign w:val="center"/>
            <w:hideMark/>
          </w:tcPr>
          <w:p w14:paraId="796E113D"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456 872 000</w:t>
            </w:r>
          </w:p>
        </w:tc>
        <w:tc>
          <w:tcPr>
            <w:tcW w:w="1600" w:type="dxa"/>
            <w:tcBorders>
              <w:top w:val="nil"/>
              <w:left w:val="nil"/>
              <w:bottom w:val="single" w:sz="8" w:space="0" w:color="auto"/>
              <w:right w:val="single" w:sz="8" w:space="0" w:color="auto"/>
            </w:tcBorders>
            <w:shd w:val="clear" w:color="auto" w:fill="auto"/>
            <w:vAlign w:val="center"/>
            <w:hideMark/>
          </w:tcPr>
          <w:p w14:paraId="0E98423B"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474 847 000</w:t>
            </w:r>
          </w:p>
        </w:tc>
      </w:tr>
      <w:tr w:rsidR="00AD62CD" w:rsidRPr="00AD62CD" w14:paraId="564508F8" w14:textId="77777777" w:rsidTr="003627DF">
        <w:trPr>
          <w:trHeight w:val="330"/>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415469DA"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Nedaňové príjmy (200)</w:t>
            </w:r>
            <w:r w:rsidRPr="00AD62CD">
              <w:rPr>
                <w:rFonts w:ascii="Times New Roman" w:eastAsia="Times New Roman" w:hAnsi="Times New Roman" w:cs="Times New Roman"/>
                <w:b/>
                <w:bCs/>
                <w:color w:val="000000"/>
                <w:kern w:val="0"/>
                <w:sz w:val="20"/>
                <w:szCs w:val="20"/>
                <w:vertAlign w:val="superscript"/>
                <w:lang w:eastAsia="sk-SK"/>
                <w14:ligatures w14:val="none"/>
              </w:rPr>
              <w:t>1</w:t>
            </w:r>
          </w:p>
        </w:tc>
        <w:tc>
          <w:tcPr>
            <w:tcW w:w="1880" w:type="dxa"/>
            <w:tcBorders>
              <w:top w:val="nil"/>
              <w:left w:val="nil"/>
              <w:bottom w:val="single" w:sz="8" w:space="0" w:color="auto"/>
              <w:right w:val="single" w:sz="8" w:space="0" w:color="auto"/>
            </w:tcBorders>
            <w:shd w:val="clear" w:color="auto" w:fill="auto"/>
            <w:vAlign w:val="center"/>
            <w:hideMark/>
          </w:tcPr>
          <w:p w14:paraId="5E6D9B59"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auto" w:fill="auto"/>
            <w:vAlign w:val="center"/>
            <w:hideMark/>
          </w:tcPr>
          <w:p w14:paraId="2DED9D4B"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0FB818AC"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600" w:type="dxa"/>
            <w:tcBorders>
              <w:top w:val="nil"/>
              <w:left w:val="nil"/>
              <w:bottom w:val="single" w:sz="8" w:space="0" w:color="auto"/>
              <w:right w:val="single" w:sz="8" w:space="0" w:color="auto"/>
            </w:tcBorders>
            <w:shd w:val="clear" w:color="auto" w:fill="auto"/>
            <w:vAlign w:val="center"/>
            <w:hideMark/>
          </w:tcPr>
          <w:p w14:paraId="24972A78"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11A2A447" w14:textId="77777777" w:rsidTr="003627DF">
        <w:trPr>
          <w:trHeight w:val="525"/>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317607F5"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Príjmy z transakcií s finančnými aktívami a finančnými pasívami (400)</w:t>
            </w:r>
          </w:p>
        </w:tc>
        <w:tc>
          <w:tcPr>
            <w:tcW w:w="1880" w:type="dxa"/>
            <w:tcBorders>
              <w:top w:val="nil"/>
              <w:left w:val="nil"/>
              <w:bottom w:val="single" w:sz="8" w:space="0" w:color="auto"/>
              <w:right w:val="single" w:sz="8" w:space="0" w:color="auto"/>
            </w:tcBorders>
            <w:shd w:val="clear" w:color="auto" w:fill="auto"/>
            <w:vAlign w:val="center"/>
            <w:hideMark/>
          </w:tcPr>
          <w:p w14:paraId="181C112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2020" w:type="dxa"/>
            <w:tcBorders>
              <w:top w:val="nil"/>
              <w:left w:val="nil"/>
              <w:bottom w:val="single" w:sz="8" w:space="0" w:color="auto"/>
              <w:right w:val="single" w:sz="8" w:space="0" w:color="auto"/>
            </w:tcBorders>
            <w:shd w:val="clear" w:color="auto" w:fill="auto"/>
            <w:vAlign w:val="center"/>
            <w:hideMark/>
          </w:tcPr>
          <w:p w14:paraId="07C9F1A3"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6947BB1A"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7FE1B9D2"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r>
      <w:tr w:rsidR="00AD62CD" w:rsidRPr="00AD62CD" w14:paraId="792A068D" w14:textId="77777777" w:rsidTr="003627DF">
        <w:trPr>
          <w:trHeight w:val="270"/>
        </w:trPr>
        <w:tc>
          <w:tcPr>
            <w:tcW w:w="5160" w:type="dxa"/>
            <w:tcBorders>
              <w:top w:val="nil"/>
              <w:left w:val="single" w:sz="8" w:space="0" w:color="auto"/>
              <w:bottom w:val="single" w:sz="8" w:space="0" w:color="auto"/>
              <w:right w:val="single" w:sz="8" w:space="0" w:color="auto"/>
            </w:tcBorders>
            <w:shd w:val="clear" w:color="auto" w:fill="auto"/>
            <w:vAlign w:val="center"/>
            <w:hideMark/>
          </w:tcPr>
          <w:p w14:paraId="2784FC5B"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Prijaté úvery, pôžičky a návratné finančné výpomoci (500)</w:t>
            </w:r>
          </w:p>
        </w:tc>
        <w:tc>
          <w:tcPr>
            <w:tcW w:w="1880" w:type="dxa"/>
            <w:tcBorders>
              <w:top w:val="nil"/>
              <w:left w:val="nil"/>
              <w:bottom w:val="single" w:sz="8" w:space="0" w:color="auto"/>
              <w:right w:val="single" w:sz="8" w:space="0" w:color="auto"/>
            </w:tcBorders>
            <w:shd w:val="clear" w:color="auto" w:fill="auto"/>
            <w:vAlign w:val="center"/>
            <w:hideMark/>
          </w:tcPr>
          <w:p w14:paraId="33D1EA4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2020" w:type="dxa"/>
            <w:tcBorders>
              <w:top w:val="nil"/>
              <w:left w:val="nil"/>
              <w:bottom w:val="single" w:sz="8" w:space="0" w:color="auto"/>
              <w:right w:val="single" w:sz="8" w:space="0" w:color="auto"/>
            </w:tcBorders>
            <w:shd w:val="clear" w:color="auto" w:fill="auto"/>
            <w:vAlign w:val="center"/>
            <w:hideMark/>
          </w:tcPr>
          <w:p w14:paraId="17148620"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096A2A2F"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600" w:type="dxa"/>
            <w:tcBorders>
              <w:top w:val="nil"/>
              <w:left w:val="nil"/>
              <w:bottom w:val="single" w:sz="8" w:space="0" w:color="auto"/>
              <w:right w:val="single" w:sz="8" w:space="0" w:color="auto"/>
            </w:tcBorders>
            <w:shd w:val="clear" w:color="auto" w:fill="auto"/>
            <w:vAlign w:val="center"/>
            <w:hideMark/>
          </w:tcPr>
          <w:p w14:paraId="48E0F529" w14:textId="77777777" w:rsidR="00AD62CD" w:rsidRPr="00AD62CD" w:rsidRDefault="00AD62CD" w:rsidP="00AD62CD">
            <w:pPr>
              <w:spacing w:after="0" w:line="240" w:lineRule="auto"/>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r>
      <w:tr w:rsidR="00AD62CD" w:rsidRPr="00AD62CD" w14:paraId="1462E708" w14:textId="77777777" w:rsidTr="003627DF">
        <w:trPr>
          <w:trHeight w:val="270"/>
        </w:trPr>
        <w:tc>
          <w:tcPr>
            <w:tcW w:w="5160" w:type="dxa"/>
            <w:tcBorders>
              <w:top w:val="nil"/>
              <w:left w:val="single" w:sz="8" w:space="0" w:color="auto"/>
              <w:bottom w:val="single" w:sz="8" w:space="0" w:color="auto"/>
              <w:right w:val="single" w:sz="8" w:space="0" w:color="auto"/>
            </w:tcBorders>
            <w:shd w:val="clear" w:color="000000" w:fill="BFBFBF"/>
            <w:vAlign w:val="center"/>
            <w:hideMark/>
          </w:tcPr>
          <w:p w14:paraId="5C4A3533"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Dopad na príjmy zdravotných poisťovní</w:t>
            </w:r>
          </w:p>
        </w:tc>
        <w:tc>
          <w:tcPr>
            <w:tcW w:w="1880" w:type="dxa"/>
            <w:tcBorders>
              <w:top w:val="nil"/>
              <w:left w:val="nil"/>
              <w:bottom w:val="single" w:sz="8" w:space="0" w:color="auto"/>
              <w:right w:val="single" w:sz="8" w:space="0" w:color="auto"/>
            </w:tcBorders>
            <w:shd w:val="clear" w:color="000000" w:fill="BFBFBF"/>
            <w:vAlign w:val="center"/>
            <w:hideMark/>
          </w:tcPr>
          <w:p w14:paraId="25E7C79C"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2020" w:type="dxa"/>
            <w:tcBorders>
              <w:top w:val="nil"/>
              <w:left w:val="nil"/>
              <w:bottom w:val="single" w:sz="8" w:space="0" w:color="auto"/>
              <w:right w:val="single" w:sz="8" w:space="0" w:color="auto"/>
            </w:tcBorders>
            <w:shd w:val="clear" w:color="000000" w:fill="BFBFBF"/>
            <w:vAlign w:val="center"/>
            <w:hideMark/>
          </w:tcPr>
          <w:p w14:paraId="47E17C9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436 707 000</w:t>
            </w:r>
          </w:p>
        </w:tc>
        <w:tc>
          <w:tcPr>
            <w:tcW w:w="1600" w:type="dxa"/>
            <w:tcBorders>
              <w:top w:val="nil"/>
              <w:left w:val="nil"/>
              <w:bottom w:val="single" w:sz="8" w:space="0" w:color="auto"/>
              <w:right w:val="single" w:sz="8" w:space="0" w:color="auto"/>
            </w:tcBorders>
            <w:shd w:val="clear" w:color="000000" w:fill="BFBFBF"/>
            <w:vAlign w:val="center"/>
            <w:hideMark/>
          </w:tcPr>
          <w:p w14:paraId="3075B3A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456 872 000</w:t>
            </w:r>
          </w:p>
        </w:tc>
        <w:tc>
          <w:tcPr>
            <w:tcW w:w="1600" w:type="dxa"/>
            <w:tcBorders>
              <w:top w:val="nil"/>
              <w:left w:val="nil"/>
              <w:bottom w:val="single" w:sz="8" w:space="0" w:color="auto"/>
              <w:right w:val="single" w:sz="8" w:space="0" w:color="auto"/>
            </w:tcBorders>
            <w:shd w:val="clear" w:color="000000" w:fill="BFBFBF"/>
            <w:vAlign w:val="center"/>
            <w:hideMark/>
          </w:tcPr>
          <w:p w14:paraId="2E79DEB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474 847 000</w:t>
            </w:r>
          </w:p>
        </w:tc>
      </w:tr>
    </w:tbl>
    <w:p w14:paraId="3145E6BD"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18"/>
          <w:szCs w:val="20"/>
          <w:lang w:eastAsia="sk-SK"/>
          <w14:ligatures w14:val="none"/>
        </w:rPr>
      </w:pPr>
      <w:r w:rsidRPr="00AD62CD">
        <w:rPr>
          <w:rFonts w:ascii="Times New Roman" w:eastAsia="Times New Roman" w:hAnsi="Times New Roman" w:cs="Times New Roman"/>
          <w:bCs/>
          <w:kern w:val="0"/>
          <w:sz w:val="18"/>
          <w:szCs w:val="20"/>
          <w:lang w:eastAsia="sk-SK"/>
          <w14:ligatures w14:val="none"/>
        </w:rPr>
        <w:t>1 –  príjmy rozpísať až do položiek platnej ekonomickej klasifikácie</w:t>
      </w:r>
    </w:p>
    <w:p w14:paraId="61B1A96A"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2"/>
          <w:szCs w:val="20"/>
          <w:lang w:eastAsia="sk-SK"/>
          <w14:ligatures w14:val="none"/>
        </w:rPr>
      </w:pPr>
    </w:p>
    <w:p w14:paraId="77BD2FA8"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
          <w:bCs/>
          <w:kern w:val="0"/>
          <w:sz w:val="22"/>
          <w:szCs w:val="20"/>
          <w:lang w:eastAsia="sk-SK"/>
          <w14:ligatures w14:val="none"/>
        </w:rPr>
      </w:pPr>
      <w:r w:rsidRPr="00AD62CD">
        <w:rPr>
          <w:rFonts w:ascii="Times New Roman" w:eastAsia="Times New Roman" w:hAnsi="Times New Roman" w:cs="Times New Roman"/>
          <w:b/>
          <w:bCs/>
          <w:kern w:val="0"/>
          <w:sz w:val="22"/>
          <w:szCs w:val="20"/>
          <w:lang w:eastAsia="sk-SK"/>
          <w14:ligatures w14:val="none"/>
        </w:rPr>
        <w:t>Poznámka:</w:t>
      </w:r>
    </w:p>
    <w:p w14:paraId="2FDA2C4E"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2"/>
          <w:szCs w:val="20"/>
          <w:lang w:eastAsia="sk-SK"/>
          <w14:ligatures w14:val="none"/>
        </w:rPr>
      </w:pPr>
      <w:r w:rsidRPr="00AD62CD">
        <w:rPr>
          <w:rFonts w:ascii="Times New Roman" w:eastAsia="Times New Roman" w:hAnsi="Times New Roman" w:cs="Times New Roman"/>
          <w:bCs/>
          <w:kern w:val="0"/>
          <w:sz w:val="22"/>
          <w:szCs w:val="20"/>
          <w:lang w:eastAsia="sk-SK"/>
          <w14:ligatures w14:val="none"/>
        </w:rPr>
        <w:t>Ak sa vplyv týka viacerých subjektov verejnej správy, vypĺňa sa samostatná tabuľka za každý subjekt.</w:t>
      </w:r>
    </w:p>
    <w:p w14:paraId="5FE271F1"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2"/>
          <w:szCs w:val="20"/>
          <w:lang w:eastAsia="sk-SK"/>
          <w14:ligatures w14:val="none"/>
        </w:rPr>
      </w:pPr>
    </w:p>
    <w:p w14:paraId="0D3A20F1"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2"/>
          <w:szCs w:val="20"/>
          <w:lang w:eastAsia="sk-SK"/>
          <w14:ligatures w14:val="none"/>
        </w:rPr>
      </w:pPr>
    </w:p>
    <w:p w14:paraId="0A0E70BB" w14:textId="77777777" w:rsidR="00AD62CD" w:rsidRPr="00AD62CD" w:rsidRDefault="00AD62CD" w:rsidP="00AD62CD">
      <w:pPr>
        <w:tabs>
          <w:tab w:val="num" w:pos="1080"/>
        </w:tabs>
        <w:spacing w:after="0" w:line="240" w:lineRule="auto"/>
        <w:ind w:right="-578"/>
        <w:jc w:val="right"/>
        <w:rPr>
          <w:rFonts w:ascii="Times New Roman" w:eastAsia="Times New Roman" w:hAnsi="Times New Roman" w:cs="Times New Roman"/>
          <w:bCs/>
          <w:kern w:val="0"/>
          <w:lang w:eastAsia="sk-SK"/>
          <w14:ligatures w14:val="none"/>
        </w:rPr>
      </w:pPr>
      <w:r w:rsidRPr="00AD62CD">
        <w:rPr>
          <w:rFonts w:ascii="Times New Roman" w:eastAsia="Times New Roman" w:hAnsi="Times New Roman" w:cs="Times New Roman"/>
          <w:bCs/>
          <w:kern w:val="0"/>
          <w:lang w:eastAsia="sk-SK"/>
          <w14:ligatures w14:val="none"/>
        </w:rPr>
        <w:t xml:space="preserve"> </w:t>
      </w:r>
    </w:p>
    <w:p w14:paraId="67076BBB" w14:textId="77777777" w:rsidR="00AD62CD" w:rsidRPr="00AD62CD" w:rsidRDefault="00AD62CD" w:rsidP="00AD62CD">
      <w:pPr>
        <w:spacing w:after="200" w:line="276" w:lineRule="auto"/>
        <w:rPr>
          <w:rFonts w:ascii="Times New Roman" w:eastAsia="Times New Roman" w:hAnsi="Times New Roman" w:cs="Times New Roman"/>
          <w:bCs/>
          <w:kern w:val="0"/>
          <w:lang w:eastAsia="sk-SK"/>
          <w14:ligatures w14:val="none"/>
        </w:rPr>
      </w:pPr>
      <w:r w:rsidRPr="00AD62CD">
        <w:rPr>
          <w:rFonts w:ascii="Times New Roman" w:eastAsia="Times New Roman" w:hAnsi="Times New Roman" w:cs="Times New Roman"/>
          <w:bCs/>
          <w:kern w:val="0"/>
          <w:lang w:eastAsia="sk-SK"/>
          <w14:ligatures w14:val="none"/>
        </w:rPr>
        <w:br w:type="page"/>
      </w:r>
    </w:p>
    <w:p w14:paraId="22BCCECF" w14:textId="77777777" w:rsidR="00AD62CD" w:rsidRPr="00AD62CD" w:rsidRDefault="00AD62CD" w:rsidP="00AD62CD">
      <w:pPr>
        <w:tabs>
          <w:tab w:val="num" w:pos="1080"/>
        </w:tabs>
        <w:spacing w:after="0" w:line="240" w:lineRule="auto"/>
        <w:ind w:right="-32"/>
        <w:jc w:val="right"/>
        <w:rPr>
          <w:rFonts w:ascii="Times New Roman" w:eastAsia="Times New Roman" w:hAnsi="Times New Roman" w:cs="Times New Roman"/>
          <w:bCs/>
          <w:kern w:val="0"/>
          <w:lang w:eastAsia="sk-SK"/>
          <w14:ligatures w14:val="none"/>
        </w:rPr>
      </w:pPr>
      <w:r w:rsidRPr="00AD62CD">
        <w:rPr>
          <w:rFonts w:ascii="Times New Roman" w:eastAsia="Times New Roman" w:hAnsi="Times New Roman" w:cs="Times New Roman"/>
          <w:bCs/>
          <w:kern w:val="0"/>
          <w:lang w:eastAsia="sk-SK"/>
          <w14:ligatures w14:val="none"/>
        </w:rPr>
        <w:t>Tabuľka č. 4 /A</w:t>
      </w:r>
    </w:p>
    <w:p w14:paraId="4056A7ED"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Cs w:val="20"/>
          <w:lang w:eastAsia="sk-SK"/>
          <w14:ligatures w14:val="none"/>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147"/>
        <w:gridCol w:w="1276"/>
        <w:gridCol w:w="1275"/>
        <w:gridCol w:w="1276"/>
        <w:gridCol w:w="3406"/>
      </w:tblGrid>
      <w:tr w:rsidR="00AD62CD" w:rsidRPr="00AD62CD" w14:paraId="1841E84A"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577508F0"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(v eurách)</w:t>
            </w:r>
          </w:p>
        </w:tc>
        <w:tc>
          <w:tcPr>
            <w:tcW w:w="4974" w:type="dxa"/>
            <w:gridSpan w:val="4"/>
            <w:tcBorders>
              <w:top w:val="single" w:sz="4" w:space="0" w:color="auto"/>
              <w:left w:val="nil"/>
              <w:bottom w:val="single" w:sz="4" w:space="0" w:color="auto"/>
              <w:right w:val="single" w:sz="4" w:space="0" w:color="auto"/>
            </w:tcBorders>
            <w:shd w:val="clear" w:color="auto" w:fill="BFBFBF"/>
          </w:tcPr>
          <w:p w14:paraId="3FE4B0DC"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Vplyv na rozpočet verejnej správy</w:t>
            </w:r>
          </w:p>
        </w:tc>
        <w:tc>
          <w:tcPr>
            <w:tcW w:w="3406"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361C150"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poznámka</w:t>
            </w:r>
          </w:p>
        </w:tc>
      </w:tr>
      <w:tr w:rsidR="00AD62CD" w:rsidRPr="00AD62CD" w14:paraId="319FC546"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3792AA3"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0"/>
                <w:szCs w:val="20"/>
                <w:lang w:eastAsia="sk-SK"/>
                <w14:ligatures w14:val="none"/>
              </w:rPr>
            </w:pPr>
          </w:p>
        </w:tc>
        <w:tc>
          <w:tcPr>
            <w:tcW w:w="1147" w:type="dxa"/>
            <w:tcBorders>
              <w:top w:val="nil"/>
              <w:left w:val="nil"/>
              <w:bottom w:val="single" w:sz="4" w:space="0" w:color="auto"/>
              <w:right w:val="single" w:sz="4" w:space="0" w:color="auto"/>
            </w:tcBorders>
            <w:shd w:val="clear" w:color="auto" w:fill="BFBFBF"/>
          </w:tcPr>
          <w:p w14:paraId="4A657B31"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2025</w:t>
            </w:r>
          </w:p>
        </w:tc>
        <w:tc>
          <w:tcPr>
            <w:tcW w:w="1276" w:type="dxa"/>
            <w:tcBorders>
              <w:top w:val="nil"/>
              <w:left w:val="nil"/>
              <w:bottom w:val="single" w:sz="4" w:space="0" w:color="auto"/>
              <w:right w:val="single" w:sz="4" w:space="0" w:color="auto"/>
            </w:tcBorders>
            <w:shd w:val="clear" w:color="auto" w:fill="BFBFBF"/>
          </w:tcPr>
          <w:p w14:paraId="3233E7AF"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2026</w:t>
            </w:r>
          </w:p>
        </w:tc>
        <w:tc>
          <w:tcPr>
            <w:tcW w:w="1275" w:type="dxa"/>
            <w:tcBorders>
              <w:top w:val="nil"/>
              <w:left w:val="nil"/>
              <w:bottom w:val="single" w:sz="4" w:space="0" w:color="auto"/>
              <w:right w:val="single" w:sz="4" w:space="0" w:color="auto"/>
            </w:tcBorders>
            <w:shd w:val="clear" w:color="auto" w:fill="BFBFBF"/>
          </w:tcPr>
          <w:p w14:paraId="0C4BF919"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2027</w:t>
            </w:r>
          </w:p>
        </w:tc>
        <w:tc>
          <w:tcPr>
            <w:tcW w:w="1276" w:type="dxa"/>
            <w:tcBorders>
              <w:top w:val="nil"/>
              <w:left w:val="nil"/>
              <w:bottom w:val="single" w:sz="4" w:space="0" w:color="auto"/>
              <w:right w:val="single" w:sz="4" w:space="0" w:color="auto"/>
            </w:tcBorders>
            <w:shd w:val="clear" w:color="auto" w:fill="BFBFBF"/>
          </w:tcPr>
          <w:p w14:paraId="599FE35C"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sz w:val="22"/>
                <w:lang w:eastAsia="sk-SK"/>
                <w14:ligatures w14:val="none"/>
              </w:rPr>
              <w:t>2028</w:t>
            </w:r>
          </w:p>
        </w:tc>
        <w:tc>
          <w:tcPr>
            <w:tcW w:w="3406" w:type="dxa"/>
            <w:vMerge/>
            <w:tcBorders>
              <w:top w:val="single" w:sz="4" w:space="0" w:color="auto"/>
              <w:left w:val="single" w:sz="4" w:space="0" w:color="auto"/>
              <w:bottom w:val="single" w:sz="4" w:space="0" w:color="auto"/>
              <w:right w:val="single" w:sz="4" w:space="0" w:color="auto"/>
            </w:tcBorders>
            <w:vAlign w:val="center"/>
          </w:tcPr>
          <w:p w14:paraId="65E231DC" w14:textId="77777777" w:rsidR="00AD62CD" w:rsidRPr="00AD62CD" w:rsidRDefault="00AD62CD" w:rsidP="00AD62CD">
            <w:pPr>
              <w:spacing w:after="0" w:line="240" w:lineRule="auto"/>
              <w:rPr>
                <w:rFonts w:ascii="Times New Roman" w:eastAsia="Times New Roman" w:hAnsi="Times New Roman" w:cs="Times New Roman"/>
                <w:b/>
                <w:bCs/>
                <w:color w:val="FFFFFF"/>
                <w:kern w:val="0"/>
                <w:lang w:eastAsia="sk-SK"/>
                <w14:ligatures w14:val="none"/>
              </w:rPr>
            </w:pPr>
          </w:p>
        </w:tc>
      </w:tr>
      <w:tr w:rsidR="00AD62CD" w:rsidRPr="00AD62CD" w14:paraId="7FFF92E0" w14:textId="77777777" w:rsidTr="003627DF">
        <w:trPr>
          <w:trHeight w:val="255"/>
        </w:trPr>
        <w:tc>
          <w:tcPr>
            <w:tcW w:w="7070" w:type="dxa"/>
            <w:tcBorders>
              <w:top w:val="nil"/>
              <w:left w:val="single" w:sz="4" w:space="0" w:color="auto"/>
              <w:bottom w:val="single" w:sz="4" w:space="0" w:color="auto"/>
              <w:right w:val="single" w:sz="4" w:space="0" w:color="auto"/>
            </w:tcBorders>
          </w:tcPr>
          <w:p w14:paraId="595FEE09"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Bežné výdavky (600)</w:t>
            </w:r>
          </w:p>
        </w:tc>
        <w:tc>
          <w:tcPr>
            <w:tcW w:w="1147" w:type="dxa"/>
            <w:tcBorders>
              <w:top w:val="nil"/>
              <w:left w:val="nil"/>
              <w:bottom w:val="single" w:sz="4" w:space="0" w:color="auto"/>
              <w:right w:val="single" w:sz="4" w:space="0" w:color="auto"/>
            </w:tcBorders>
          </w:tcPr>
          <w:p w14:paraId="503BC6C8"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2045B5A2"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2D55CC90"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4F957971"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3406" w:type="dxa"/>
            <w:tcBorders>
              <w:top w:val="nil"/>
              <w:left w:val="nil"/>
              <w:bottom w:val="single" w:sz="4" w:space="0" w:color="auto"/>
              <w:right w:val="single" w:sz="4" w:space="0" w:color="auto"/>
            </w:tcBorders>
            <w:noWrap/>
            <w:vAlign w:val="bottom"/>
          </w:tcPr>
          <w:p w14:paraId="3460C8A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1C062D9D" w14:textId="77777777" w:rsidTr="003627DF">
        <w:trPr>
          <w:trHeight w:val="255"/>
        </w:trPr>
        <w:tc>
          <w:tcPr>
            <w:tcW w:w="7070" w:type="dxa"/>
            <w:tcBorders>
              <w:top w:val="nil"/>
              <w:left w:val="single" w:sz="4" w:space="0" w:color="auto"/>
              <w:bottom w:val="single" w:sz="4" w:space="0" w:color="auto"/>
              <w:right w:val="single" w:sz="4" w:space="0" w:color="auto"/>
            </w:tcBorders>
          </w:tcPr>
          <w:p w14:paraId="0AB28926"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Mzdy, platy, služobné príjmy a ostatné osobné vyrovnania (610)</w:t>
            </w:r>
          </w:p>
        </w:tc>
        <w:tc>
          <w:tcPr>
            <w:tcW w:w="1147" w:type="dxa"/>
            <w:tcBorders>
              <w:top w:val="nil"/>
              <w:left w:val="nil"/>
              <w:bottom w:val="single" w:sz="4" w:space="0" w:color="auto"/>
              <w:right w:val="single" w:sz="4" w:space="0" w:color="auto"/>
            </w:tcBorders>
          </w:tcPr>
          <w:p w14:paraId="7E442E53"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18B216D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03233D81"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79FB39F4"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3406" w:type="dxa"/>
            <w:tcBorders>
              <w:top w:val="nil"/>
              <w:left w:val="nil"/>
              <w:bottom w:val="single" w:sz="4" w:space="0" w:color="auto"/>
              <w:right w:val="single" w:sz="4" w:space="0" w:color="auto"/>
            </w:tcBorders>
            <w:noWrap/>
            <w:vAlign w:val="bottom"/>
          </w:tcPr>
          <w:p w14:paraId="35EB396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01974E3A" w14:textId="77777777" w:rsidTr="003627DF">
        <w:trPr>
          <w:trHeight w:val="255"/>
        </w:trPr>
        <w:tc>
          <w:tcPr>
            <w:tcW w:w="7070" w:type="dxa"/>
            <w:tcBorders>
              <w:top w:val="nil"/>
              <w:left w:val="single" w:sz="4" w:space="0" w:color="auto"/>
              <w:bottom w:val="single" w:sz="4" w:space="0" w:color="auto"/>
              <w:right w:val="single" w:sz="4" w:space="0" w:color="auto"/>
            </w:tcBorders>
          </w:tcPr>
          <w:p w14:paraId="3410A9EA"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Poistné a príspevok do poisťovní (620)</w:t>
            </w:r>
          </w:p>
        </w:tc>
        <w:tc>
          <w:tcPr>
            <w:tcW w:w="1147" w:type="dxa"/>
            <w:tcBorders>
              <w:top w:val="nil"/>
              <w:left w:val="nil"/>
              <w:bottom w:val="single" w:sz="4" w:space="0" w:color="auto"/>
              <w:right w:val="single" w:sz="4" w:space="0" w:color="auto"/>
            </w:tcBorders>
          </w:tcPr>
          <w:p w14:paraId="7E535397"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5DBAC30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60D921C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04F1FCFB"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3406" w:type="dxa"/>
            <w:tcBorders>
              <w:top w:val="nil"/>
              <w:left w:val="nil"/>
              <w:bottom w:val="single" w:sz="4" w:space="0" w:color="auto"/>
              <w:right w:val="single" w:sz="4" w:space="0" w:color="auto"/>
            </w:tcBorders>
            <w:noWrap/>
            <w:vAlign w:val="bottom"/>
          </w:tcPr>
          <w:p w14:paraId="5282DE4F"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D5D0D60" w14:textId="77777777" w:rsidTr="003627DF">
        <w:trPr>
          <w:trHeight w:val="255"/>
        </w:trPr>
        <w:tc>
          <w:tcPr>
            <w:tcW w:w="7070" w:type="dxa"/>
            <w:tcBorders>
              <w:top w:val="nil"/>
              <w:left w:val="single" w:sz="4" w:space="0" w:color="auto"/>
              <w:bottom w:val="single" w:sz="4" w:space="0" w:color="auto"/>
              <w:right w:val="single" w:sz="4" w:space="0" w:color="auto"/>
            </w:tcBorders>
          </w:tcPr>
          <w:p w14:paraId="24A0AC29" w14:textId="77777777" w:rsidR="00AD62CD" w:rsidRPr="00AD62CD" w:rsidRDefault="00AD62CD" w:rsidP="00AD62CD">
            <w:pPr>
              <w:spacing w:after="0" w:line="240" w:lineRule="auto"/>
              <w:rPr>
                <w:rFonts w:ascii="Times New Roman" w:eastAsia="Times New Roman" w:hAnsi="Times New Roman" w:cs="Times New Roman"/>
                <w:kern w:val="0"/>
                <w:sz w:val="20"/>
                <w:szCs w:val="20"/>
                <w:vertAlign w:val="superscript"/>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Tovary a služby (630)</w:t>
            </w:r>
            <w:r w:rsidRPr="00AD62CD">
              <w:rPr>
                <w:rFonts w:ascii="Times New Roman" w:eastAsia="Times New Roman" w:hAnsi="Times New Roman" w:cs="Times New Roman"/>
                <w:kern w:val="0"/>
                <w:sz w:val="20"/>
                <w:szCs w:val="20"/>
                <w:vertAlign w:val="superscript"/>
                <w:lang w:eastAsia="sk-SK"/>
                <w14:ligatures w14:val="none"/>
              </w:rPr>
              <w:t>2</w:t>
            </w:r>
          </w:p>
        </w:tc>
        <w:tc>
          <w:tcPr>
            <w:tcW w:w="1147" w:type="dxa"/>
            <w:tcBorders>
              <w:top w:val="nil"/>
              <w:left w:val="nil"/>
              <w:bottom w:val="single" w:sz="4" w:space="0" w:color="auto"/>
              <w:right w:val="single" w:sz="4" w:space="0" w:color="auto"/>
            </w:tcBorders>
          </w:tcPr>
          <w:p w14:paraId="42F9775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77650149"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78EF5596"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10B3564E"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3406" w:type="dxa"/>
            <w:tcBorders>
              <w:top w:val="nil"/>
              <w:left w:val="nil"/>
              <w:bottom w:val="single" w:sz="4" w:space="0" w:color="auto"/>
              <w:right w:val="single" w:sz="4" w:space="0" w:color="auto"/>
            </w:tcBorders>
            <w:noWrap/>
            <w:vAlign w:val="bottom"/>
          </w:tcPr>
          <w:p w14:paraId="4B0296B9"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2ED52E29" w14:textId="77777777" w:rsidTr="003627DF">
        <w:trPr>
          <w:trHeight w:val="255"/>
        </w:trPr>
        <w:tc>
          <w:tcPr>
            <w:tcW w:w="7070" w:type="dxa"/>
            <w:tcBorders>
              <w:top w:val="nil"/>
              <w:left w:val="single" w:sz="4" w:space="0" w:color="auto"/>
              <w:bottom w:val="single" w:sz="4" w:space="0" w:color="auto"/>
              <w:right w:val="single" w:sz="4" w:space="0" w:color="auto"/>
            </w:tcBorders>
          </w:tcPr>
          <w:p w14:paraId="35D6F15E"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Bežné transfery (640)</w:t>
            </w:r>
            <w:r w:rsidRPr="00AD62CD">
              <w:rPr>
                <w:rFonts w:ascii="Times New Roman" w:eastAsia="Times New Roman" w:hAnsi="Times New Roman" w:cs="Times New Roman"/>
                <w:kern w:val="0"/>
                <w:sz w:val="20"/>
                <w:szCs w:val="20"/>
                <w:vertAlign w:val="superscript"/>
                <w:lang w:eastAsia="sk-SK"/>
                <w14:ligatures w14:val="none"/>
              </w:rPr>
              <w:t>2</w:t>
            </w:r>
          </w:p>
        </w:tc>
        <w:tc>
          <w:tcPr>
            <w:tcW w:w="1147" w:type="dxa"/>
            <w:tcBorders>
              <w:top w:val="nil"/>
              <w:left w:val="nil"/>
              <w:bottom w:val="single" w:sz="4" w:space="0" w:color="auto"/>
              <w:right w:val="single" w:sz="4" w:space="0" w:color="auto"/>
            </w:tcBorders>
          </w:tcPr>
          <w:p w14:paraId="11F686A8"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vAlign w:val="bottom"/>
          </w:tcPr>
          <w:p w14:paraId="399896E6" w14:textId="77777777" w:rsidR="00AD62CD" w:rsidRPr="00AD62CD" w:rsidRDefault="00AD62CD" w:rsidP="00AD62CD">
            <w:pPr>
              <w:spacing w:after="0" w:line="240" w:lineRule="auto"/>
              <w:rPr>
                <w:rFonts w:ascii="Times New Roman" w:eastAsia="Times New Roman" w:hAnsi="Times New Roman" w:cs="Times New Roman"/>
                <w:color w:val="000000"/>
                <w:kern w:val="0"/>
                <w:sz w:val="22"/>
                <w:szCs w:val="40"/>
                <w:lang w:eastAsia="sk-SK"/>
                <w14:ligatures w14:val="none"/>
              </w:rPr>
            </w:pPr>
          </w:p>
        </w:tc>
        <w:tc>
          <w:tcPr>
            <w:tcW w:w="1275" w:type="dxa"/>
            <w:tcBorders>
              <w:top w:val="nil"/>
              <w:left w:val="nil"/>
              <w:bottom w:val="single" w:sz="4" w:space="0" w:color="auto"/>
              <w:right w:val="single" w:sz="4" w:space="0" w:color="auto"/>
            </w:tcBorders>
            <w:vAlign w:val="bottom"/>
          </w:tcPr>
          <w:p w14:paraId="2DE1D46A"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2"/>
                <w:szCs w:val="40"/>
                <w:lang w:eastAsia="sk-SK"/>
                <w14:ligatures w14:val="none"/>
              </w:rPr>
            </w:pPr>
          </w:p>
        </w:tc>
        <w:tc>
          <w:tcPr>
            <w:tcW w:w="1276" w:type="dxa"/>
            <w:tcBorders>
              <w:top w:val="nil"/>
              <w:left w:val="nil"/>
              <w:bottom w:val="single" w:sz="4" w:space="0" w:color="auto"/>
              <w:right w:val="single" w:sz="4" w:space="0" w:color="auto"/>
            </w:tcBorders>
            <w:vAlign w:val="bottom"/>
          </w:tcPr>
          <w:p w14:paraId="4B9EBEB3"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2"/>
                <w:szCs w:val="40"/>
                <w:lang w:eastAsia="sk-SK"/>
                <w14:ligatures w14:val="none"/>
              </w:rPr>
            </w:pPr>
          </w:p>
        </w:tc>
        <w:tc>
          <w:tcPr>
            <w:tcW w:w="3406" w:type="dxa"/>
            <w:tcBorders>
              <w:top w:val="nil"/>
              <w:left w:val="nil"/>
              <w:bottom w:val="single" w:sz="4" w:space="0" w:color="auto"/>
              <w:right w:val="single" w:sz="4" w:space="0" w:color="auto"/>
            </w:tcBorders>
            <w:noWrap/>
            <w:vAlign w:val="bottom"/>
          </w:tcPr>
          <w:p w14:paraId="2406AADA"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1F8685AD" w14:textId="77777777" w:rsidTr="003627DF">
        <w:trPr>
          <w:trHeight w:val="255"/>
        </w:trPr>
        <w:tc>
          <w:tcPr>
            <w:tcW w:w="7070" w:type="dxa"/>
            <w:tcBorders>
              <w:top w:val="nil"/>
              <w:left w:val="single" w:sz="4" w:space="0" w:color="auto"/>
              <w:bottom w:val="single" w:sz="4" w:space="0" w:color="auto"/>
              <w:right w:val="single" w:sz="4" w:space="0" w:color="auto"/>
            </w:tcBorders>
          </w:tcPr>
          <w:p w14:paraId="4358A0E1" w14:textId="77777777" w:rsidR="00AD62CD" w:rsidRPr="00AD62CD" w:rsidRDefault="00AD62CD" w:rsidP="00AD62CD">
            <w:pPr>
              <w:numPr>
                <w:ilvl w:val="0"/>
                <w:numId w:val="23"/>
              </w:numPr>
              <w:spacing w:after="0" w:line="240" w:lineRule="auto"/>
              <w:contextualSpacing/>
              <w:rPr>
                <w:rFonts w:ascii="Calibri" w:eastAsia="Calibri" w:hAnsi="Calibri" w:cs="Times New Roman"/>
                <w:kern w:val="0"/>
                <w:sz w:val="20"/>
                <w:szCs w:val="20"/>
                <w:lang w:eastAsia="sk-SK"/>
                <w14:ligatures w14:val="none"/>
              </w:rPr>
            </w:pPr>
            <w:r w:rsidRPr="00AD62CD">
              <w:rPr>
                <w:rFonts w:ascii="Calibri" w:eastAsia="Calibri" w:hAnsi="Calibri" w:cs="Times New Roman"/>
                <w:kern w:val="0"/>
                <w:sz w:val="20"/>
                <w:szCs w:val="20"/>
                <w:lang w:eastAsia="sk-SK"/>
                <w14:ligatures w14:val="none"/>
              </w:rPr>
              <w:t>Sociálnej poisťovni a zdravotným poisťovniam (641003)</w:t>
            </w:r>
          </w:p>
        </w:tc>
        <w:tc>
          <w:tcPr>
            <w:tcW w:w="1147" w:type="dxa"/>
            <w:tcBorders>
              <w:top w:val="nil"/>
              <w:left w:val="nil"/>
              <w:bottom w:val="single" w:sz="4" w:space="0" w:color="auto"/>
              <w:right w:val="single" w:sz="4" w:space="0" w:color="auto"/>
            </w:tcBorders>
          </w:tcPr>
          <w:p w14:paraId="3A20A43E"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vAlign w:val="bottom"/>
          </w:tcPr>
          <w:p w14:paraId="1149A376" w14:textId="77777777" w:rsidR="00AD62CD" w:rsidRPr="00AD62CD" w:rsidRDefault="00AD62CD" w:rsidP="00AD62CD">
            <w:pPr>
              <w:spacing w:after="0" w:line="240" w:lineRule="auto"/>
              <w:rPr>
                <w:rFonts w:ascii="Times New Roman" w:eastAsia="Times New Roman" w:hAnsi="Times New Roman" w:cs="Times New Roman"/>
                <w:color w:val="000000"/>
                <w:kern w:val="0"/>
                <w:sz w:val="22"/>
                <w:szCs w:val="40"/>
                <w:lang w:eastAsia="sk-SK"/>
                <w14:ligatures w14:val="none"/>
              </w:rPr>
            </w:pPr>
          </w:p>
        </w:tc>
        <w:tc>
          <w:tcPr>
            <w:tcW w:w="1275" w:type="dxa"/>
            <w:tcBorders>
              <w:top w:val="nil"/>
              <w:left w:val="nil"/>
              <w:bottom w:val="single" w:sz="4" w:space="0" w:color="auto"/>
              <w:right w:val="single" w:sz="4" w:space="0" w:color="auto"/>
            </w:tcBorders>
            <w:vAlign w:val="bottom"/>
          </w:tcPr>
          <w:p w14:paraId="51109D8A"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2"/>
                <w:szCs w:val="40"/>
                <w:lang w:eastAsia="sk-SK"/>
                <w14:ligatures w14:val="none"/>
              </w:rPr>
            </w:pPr>
          </w:p>
        </w:tc>
        <w:tc>
          <w:tcPr>
            <w:tcW w:w="1276" w:type="dxa"/>
            <w:tcBorders>
              <w:top w:val="nil"/>
              <w:left w:val="nil"/>
              <w:bottom w:val="single" w:sz="4" w:space="0" w:color="auto"/>
              <w:right w:val="single" w:sz="4" w:space="0" w:color="auto"/>
            </w:tcBorders>
            <w:vAlign w:val="bottom"/>
          </w:tcPr>
          <w:p w14:paraId="05788F67" w14:textId="77777777" w:rsidR="00AD62CD" w:rsidRPr="00AD62CD" w:rsidRDefault="00AD62CD" w:rsidP="00AD62CD">
            <w:pPr>
              <w:spacing w:after="0" w:line="240" w:lineRule="auto"/>
              <w:jc w:val="right"/>
              <w:rPr>
                <w:rFonts w:ascii="Times New Roman" w:eastAsia="Times New Roman" w:hAnsi="Times New Roman" w:cs="Times New Roman"/>
                <w:color w:val="000000"/>
                <w:kern w:val="0"/>
                <w:sz w:val="22"/>
                <w:szCs w:val="40"/>
                <w:lang w:eastAsia="sk-SK"/>
                <w14:ligatures w14:val="none"/>
              </w:rPr>
            </w:pPr>
          </w:p>
        </w:tc>
        <w:tc>
          <w:tcPr>
            <w:tcW w:w="3406" w:type="dxa"/>
            <w:tcBorders>
              <w:top w:val="nil"/>
              <w:left w:val="nil"/>
              <w:bottom w:val="single" w:sz="4" w:space="0" w:color="auto"/>
              <w:right w:val="single" w:sz="4" w:space="0" w:color="auto"/>
            </w:tcBorders>
            <w:noWrap/>
            <w:vAlign w:val="bottom"/>
          </w:tcPr>
          <w:p w14:paraId="7D2214D7"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23ED2CB6"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06C30436"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Splácanie úrokov a ostatné platby súvisiace s </w:t>
            </w:r>
            <w:r w:rsidRPr="00AD62CD">
              <w:rPr>
                <w:rFonts w:ascii="Times New Roman" w:eastAsia="Calibri" w:hAnsi="Times New Roman" w:cs="Times New Roman"/>
                <w:kern w:val="0"/>
                <w:sz w:val="22"/>
                <w:szCs w:val="22"/>
                <w14:ligatures w14:val="none"/>
              </w:rPr>
              <w:t xml:space="preserve"> </w:t>
            </w:r>
            <w:r w:rsidRPr="00AD62CD">
              <w:rPr>
                <w:rFonts w:ascii="Times New Roman" w:eastAsia="Times New Roman" w:hAnsi="Times New Roman" w:cs="Times New Roman"/>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kern w:val="0"/>
                <w:sz w:val="20"/>
                <w:szCs w:val="20"/>
                <w:vertAlign w:val="superscript"/>
                <w:lang w:eastAsia="sk-SK"/>
                <w14:ligatures w14:val="none"/>
              </w:rPr>
              <w:t>2</w:t>
            </w:r>
          </w:p>
        </w:tc>
        <w:tc>
          <w:tcPr>
            <w:tcW w:w="1147" w:type="dxa"/>
            <w:tcBorders>
              <w:top w:val="nil"/>
              <w:left w:val="nil"/>
              <w:bottom w:val="single" w:sz="4" w:space="0" w:color="auto"/>
              <w:right w:val="single" w:sz="4" w:space="0" w:color="auto"/>
            </w:tcBorders>
          </w:tcPr>
          <w:p w14:paraId="02852E3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4A4B8A7D"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4F0CBD52"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36C7D073"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3406" w:type="dxa"/>
            <w:tcBorders>
              <w:top w:val="nil"/>
              <w:left w:val="nil"/>
              <w:bottom w:val="single" w:sz="4" w:space="0" w:color="auto"/>
              <w:right w:val="single" w:sz="4" w:space="0" w:color="auto"/>
            </w:tcBorders>
            <w:noWrap/>
            <w:vAlign w:val="bottom"/>
          </w:tcPr>
          <w:p w14:paraId="2A94A79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p>
        </w:tc>
      </w:tr>
      <w:tr w:rsidR="00AD62CD" w:rsidRPr="00AD62CD" w14:paraId="50A47368" w14:textId="77777777" w:rsidTr="003627DF">
        <w:trPr>
          <w:trHeight w:val="255"/>
        </w:trPr>
        <w:tc>
          <w:tcPr>
            <w:tcW w:w="7070" w:type="dxa"/>
            <w:tcBorders>
              <w:top w:val="nil"/>
              <w:left w:val="single" w:sz="4" w:space="0" w:color="auto"/>
              <w:bottom w:val="single" w:sz="4" w:space="0" w:color="auto"/>
              <w:right w:val="single" w:sz="4" w:space="0" w:color="auto"/>
            </w:tcBorders>
          </w:tcPr>
          <w:p w14:paraId="5CD8FD16"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Kapitálové výdavky (700)</w:t>
            </w:r>
          </w:p>
        </w:tc>
        <w:tc>
          <w:tcPr>
            <w:tcW w:w="1147" w:type="dxa"/>
            <w:tcBorders>
              <w:top w:val="nil"/>
              <w:left w:val="nil"/>
              <w:bottom w:val="single" w:sz="4" w:space="0" w:color="auto"/>
              <w:right w:val="single" w:sz="4" w:space="0" w:color="auto"/>
            </w:tcBorders>
          </w:tcPr>
          <w:p w14:paraId="0B720CF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3167F649"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7C601BD8"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0E1918B2"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p>
        </w:tc>
        <w:tc>
          <w:tcPr>
            <w:tcW w:w="3406" w:type="dxa"/>
            <w:tcBorders>
              <w:top w:val="nil"/>
              <w:left w:val="nil"/>
              <w:bottom w:val="single" w:sz="4" w:space="0" w:color="auto"/>
              <w:right w:val="single" w:sz="4" w:space="0" w:color="auto"/>
            </w:tcBorders>
            <w:noWrap/>
            <w:vAlign w:val="bottom"/>
          </w:tcPr>
          <w:p w14:paraId="73D51571"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5D0D6285" w14:textId="77777777" w:rsidTr="003627DF">
        <w:trPr>
          <w:trHeight w:val="255"/>
        </w:trPr>
        <w:tc>
          <w:tcPr>
            <w:tcW w:w="7070" w:type="dxa"/>
            <w:tcBorders>
              <w:top w:val="nil"/>
              <w:left w:val="single" w:sz="4" w:space="0" w:color="auto"/>
              <w:bottom w:val="single" w:sz="4" w:space="0" w:color="auto"/>
              <w:right w:val="single" w:sz="4" w:space="0" w:color="auto"/>
            </w:tcBorders>
          </w:tcPr>
          <w:p w14:paraId="4FEC313A"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Obstarávanie kapitálových aktív (710)</w:t>
            </w:r>
            <w:r w:rsidRPr="00AD62CD">
              <w:rPr>
                <w:rFonts w:ascii="Times New Roman" w:eastAsia="Times New Roman" w:hAnsi="Times New Roman" w:cs="Times New Roman"/>
                <w:kern w:val="0"/>
                <w:sz w:val="20"/>
                <w:szCs w:val="20"/>
                <w:vertAlign w:val="superscript"/>
                <w:lang w:eastAsia="sk-SK"/>
                <w14:ligatures w14:val="none"/>
              </w:rPr>
              <w:t>2</w:t>
            </w:r>
          </w:p>
        </w:tc>
        <w:tc>
          <w:tcPr>
            <w:tcW w:w="1147" w:type="dxa"/>
            <w:tcBorders>
              <w:top w:val="nil"/>
              <w:left w:val="nil"/>
              <w:bottom w:val="single" w:sz="4" w:space="0" w:color="auto"/>
              <w:right w:val="single" w:sz="4" w:space="0" w:color="auto"/>
            </w:tcBorders>
          </w:tcPr>
          <w:p w14:paraId="33294CBF"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52720A96"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7C0CF61A"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184A4CF1"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3406" w:type="dxa"/>
            <w:tcBorders>
              <w:top w:val="nil"/>
              <w:left w:val="nil"/>
              <w:bottom w:val="single" w:sz="4" w:space="0" w:color="auto"/>
              <w:right w:val="single" w:sz="4" w:space="0" w:color="auto"/>
            </w:tcBorders>
            <w:noWrap/>
            <w:vAlign w:val="bottom"/>
          </w:tcPr>
          <w:p w14:paraId="75767903"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2A2B5DCA" w14:textId="77777777" w:rsidTr="003627DF">
        <w:trPr>
          <w:trHeight w:val="255"/>
        </w:trPr>
        <w:tc>
          <w:tcPr>
            <w:tcW w:w="7070" w:type="dxa"/>
            <w:tcBorders>
              <w:top w:val="nil"/>
              <w:left w:val="single" w:sz="4" w:space="0" w:color="auto"/>
              <w:bottom w:val="single" w:sz="4" w:space="0" w:color="auto"/>
              <w:right w:val="single" w:sz="4" w:space="0" w:color="auto"/>
            </w:tcBorders>
          </w:tcPr>
          <w:p w14:paraId="65898106" w14:textId="77777777" w:rsidR="00AD62CD" w:rsidRPr="00AD62CD" w:rsidRDefault="00AD62CD" w:rsidP="00AD62CD">
            <w:pPr>
              <w:spacing w:after="0" w:line="240" w:lineRule="auto"/>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  Kapitálové transfery (720)</w:t>
            </w:r>
            <w:r w:rsidRPr="00AD62CD">
              <w:rPr>
                <w:rFonts w:ascii="Times New Roman" w:eastAsia="Times New Roman" w:hAnsi="Times New Roman" w:cs="Times New Roman"/>
                <w:kern w:val="0"/>
                <w:sz w:val="20"/>
                <w:szCs w:val="20"/>
                <w:vertAlign w:val="superscript"/>
                <w:lang w:eastAsia="sk-SK"/>
                <w14:ligatures w14:val="none"/>
              </w:rPr>
              <w:t>2</w:t>
            </w:r>
          </w:p>
        </w:tc>
        <w:tc>
          <w:tcPr>
            <w:tcW w:w="1147" w:type="dxa"/>
            <w:tcBorders>
              <w:top w:val="nil"/>
              <w:left w:val="nil"/>
              <w:bottom w:val="single" w:sz="4" w:space="0" w:color="auto"/>
              <w:right w:val="single" w:sz="4" w:space="0" w:color="auto"/>
            </w:tcBorders>
          </w:tcPr>
          <w:p w14:paraId="6727B4EB"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7954913B"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3C5479EC" w14:textId="77777777" w:rsidR="00AD62CD" w:rsidRPr="00AD62CD" w:rsidRDefault="00AD62CD" w:rsidP="00AD62CD">
            <w:pPr>
              <w:spacing w:after="0" w:line="240" w:lineRule="auto"/>
              <w:jc w:val="center"/>
              <w:rPr>
                <w:rFonts w:ascii="Times New Roman" w:eastAsia="Times New Roman" w:hAnsi="Times New Roman" w:cs="Times New Roman"/>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0FD62562" w14:textId="77777777" w:rsidR="00AD62CD" w:rsidRPr="00AD62CD" w:rsidRDefault="00AD62CD" w:rsidP="00AD62CD">
            <w:pPr>
              <w:spacing w:after="0" w:line="240" w:lineRule="auto"/>
              <w:jc w:val="center"/>
              <w:rPr>
                <w:rFonts w:ascii="Times New Roman" w:eastAsia="Times New Roman" w:hAnsi="Times New Roman" w:cs="Times New Roman"/>
                <w:kern w:val="0"/>
                <w:lang w:eastAsia="sk-SK"/>
                <w14:ligatures w14:val="none"/>
              </w:rPr>
            </w:pPr>
          </w:p>
        </w:tc>
        <w:tc>
          <w:tcPr>
            <w:tcW w:w="3406" w:type="dxa"/>
            <w:tcBorders>
              <w:top w:val="nil"/>
              <w:left w:val="nil"/>
              <w:bottom w:val="single" w:sz="4" w:space="0" w:color="auto"/>
              <w:right w:val="single" w:sz="4" w:space="0" w:color="auto"/>
            </w:tcBorders>
            <w:noWrap/>
            <w:vAlign w:val="bottom"/>
          </w:tcPr>
          <w:p w14:paraId="2564E17E"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354DB2E4" w14:textId="77777777" w:rsidTr="003627DF">
        <w:trPr>
          <w:trHeight w:val="255"/>
        </w:trPr>
        <w:tc>
          <w:tcPr>
            <w:tcW w:w="7070" w:type="dxa"/>
            <w:tcBorders>
              <w:top w:val="nil"/>
              <w:left w:val="single" w:sz="4" w:space="0" w:color="auto"/>
              <w:bottom w:val="single" w:sz="4" w:space="0" w:color="auto"/>
              <w:right w:val="single" w:sz="4" w:space="0" w:color="auto"/>
            </w:tcBorders>
          </w:tcPr>
          <w:p w14:paraId="5CB9DF01"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Výdavky z transakcií s finančnými aktívami a finančnými pasívami (800)</w:t>
            </w:r>
          </w:p>
        </w:tc>
        <w:tc>
          <w:tcPr>
            <w:tcW w:w="1147" w:type="dxa"/>
            <w:tcBorders>
              <w:top w:val="nil"/>
              <w:left w:val="nil"/>
              <w:bottom w:val="single" w:sz="4" w:space="0" w:color="auto"/>
              <w:right w:val="single" w:sz="4" w:space="0" w:color="auto"/>
            </w:tcBorders>
            <w:shd w:val="clear" w:color="auto" w:fill="auto"/>
          </w:tcPr>
          <w:p w14:paraId="61AD1449"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276" w:type="dxa"/>
            <w:tcBorders>
              <w:top w:val="nil"/>
              <w:left w:val="nil"/>
              <w:bottom w:val="single" w:sz="4" w:space="0" w:color="auto"/>
              <w:right w:val="single" w:sz="4" w:space="0" w:color="auto"/>
            </w:tcBorders>
            <w:shd w:val="clear" w:color="auto" w:fill="auto"/>
          </w:tcPr>
          <w:p w14:paraId="47F01613"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275" w:type="dxa"/>
            <w:tcBorders>
              <w:top w:val="nil"/>
              <w:left w:val="nil"/>
              <w:bottom w:val="single" w:sz="4" w:space="0" w:color="auto"/>
              <w:right w:val="single" w:sz="4" w:space="0" w:color="auto"/>
            </w:tcBorders>
            <w:shd w:val="clear" w:color="auto" w:fill="auto"/>
          </w:tcPr>
          <w:p w14:paraId="608BC3C6"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 </w:t>
            </w:r>
          </w:p>
        </w:tc>
        <w:tc>
          <w:tcPr>
            <w:tcW w:w="1276" w:type="dxa"/>
            <w:tcBorders>
              <w:top w:val="nil"/>
              <w:left w:val="nil"/>
              <w:bottom w:val="single" w:sz="4" w:space="0" w:color="auto"/>
              <w:right w:val="single" w:sz="4" w:space="0" w:color="auto"/>
            </w:tcBorders>
            <w:shd w:val="clear" w:color="auto" w:fill="auto"/>
          </w:tcPr>
          <w:p w14:paraId="6CE259D8" w14:textId="77777777" w:rsidR="00AD62CD" w:rsidRPr="00AD62CD" w:rsidRDefault="00AD62CD" w:rsidP="00AD62CD">
            <w:pPr>
              <w:spacing w:after="0" w:line="240" w:lineRule="auto"/>
              <w:jc w:val="center"/>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 </w:t>
            </w:r>
          </w:p>
        </w:tc>
        <w:tc>
          <w:tcPr>
            <w:tcW w:w="3406" w:type="dxa"/>
            <w:tcBorders>
              <w:top w:val="nil"/>
              <w:left w:val="nil"/>
              <w:bottom w:val="single" w:sz="4" w:space="0" w:color="auto"/>
              <w:right w:val="single" w:sz="4" w:space="0" w:color="auto"/>
            </w:tcBorders>
            <w:noWrap/>
            <w:vAlign w:val="bottom"/>
          </w:tcPr>
          <w:p w14:paraId="429DA848"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r w:rsidR="00AD62CD" w:rsidRPr="00AD62CD" w14:paraId="6BB3C85D"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00D49B6A" w14:textId="77777777" w:rsidR="00AD62CD" w:rsidRPr="00AD62CD" w:rsidRDefault="00AD62CD" w:rsidP="00AD62CD">
            <w:pPr>
              <w:spacing w:after="0" w:line="240" w:lineRule="auto"/>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Dopad na výdavky verejnej správy celkom</w:t>
            </w:r>
          </w:p>
        </w:tc>
        <w:tc>
          <w:tcPr>
            <w:tcW w:w="1147" w:type="dxa"/>
            <w:tcBorders>
              <w:top w:val="single" w:sz="4" w:space="0" w:color="auto"/>
              <w:left w:val="nil"/>
              <w:bottom w:val="single" w:sz="4" w:space="0" w:color="auto"/>
              <w:right w:val="single" w:sz="4" w:space="0" w:color="auto"/>
            </w:tcBorders>
            <w:shd w:val="clear" w:color="auto" w:fill="BFBFBF"/>
          </w:tcPr>
          <w:p w14:paraId="775AE907" w14:textId="77777777" w:rsidR="00AD62CD" w:rsidRPr="00AD62CD" w:rsidRDefault="00AD62CD" w:rsidP="00AD62CD">
            <w:pPr>
              <w:spacing w:after="0" w:line="240" w:lineRule="auto"/>
              <w:jc w:val="center"/>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 w:val="20"/>
                <w:szCs w:val="20"/>
                <w:lang w:eastAsia="sk-SK"/>
                <w14:ligatures w14:val="none"/>
              </w:rPr>
              <w:t>0</w:t>
            </w:r>
          </w:p>
        </w:tc>
        <w:tc>
          <w:tcPr>
            <w:tcW w:w="1276" w:type="dxa"/>
            <w:tcBorders>
              <w:top w:val="single" w:sz="4" w:space="0" w:color="auto"/>
              <w:left w:val="nil"/>
              <w:bottom w:val="single" w:sz="4" w:space="0" w:color="auto"/>
              <w:right w:val="single" w:sz="4" w:space="0" w:color="auto"/>
            </w:tcBorders>
            <w:shd w:val="clear" w:color="auto" w:fill="BFBFBF"/>
          </w:tcPr>
          <w:p w14:paraId="75AAA23C" w14:textId="77777777" w:rsidR="00AD62CD" w:rsidRPr="00AD62CD" w:rsidRDefault="00AD62CD" w:rsidP="00AD62CD">
            <w:pPr>
              <w:spacing w:after="200" w:line="276" w:lineRule="auto"/>
              <w:jc w:val="center"/>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kern w:val="0"/>
                <w:sz w:val="22"/>
                <w:szCs w:val="22"/>
                <w14:ligatures w14:val="none"/>
              </w:rPr>
              <w:t>0</w:t>
            </w:r>
          </w:p>
        </w:tc>
        <w:tc>
          <w:tcPr>
            <w:tcW w:w="1275" w:type="dxa"/>
            <w:tcBorders>
              <w:top w:val="single" w:sz="4" w:space="0" w:color="auto"/>
              <w:left w:val="nil"/>
              <w:bottom w:val="single" w:sz="4" w:space="0" w:color="auto"/>
              <w:right w:val="single" w:sz="4" w:space="0" w:color="auto"/>
            </w:tcBorders>
            <w:shd w:val="clear" w:color="auto" w:fill="BFBFBF"/>
          </w:tcPr>
          <w:p w14:paraId="2E1EC45F" w14:textId="77777777" w:rsidR="00AD62CD" w:rsidRPr="00AD62CD" w:rsidRDefault="00AD62CD" w:rsidP="00AD62CD">
            <w:pPr>
              <w:spacing w:after="200" w:line="276" w:lineRule="auto"/>
              <w:jc w:val="center"/>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kern w:val="0"/>
                <w:sz w:val="22"/>
                <w:szCs w:val="22"/>
                <w14:ligatures w14:val="none"/>
              </w:rPr>
              <w:t>0</w:t>
            </w:r>
          </w:p>
        </w:tc>
        <w:tc>
          <w:tcPr>
            <w:tcW w:w="1276" w:type="dxa"/>
            <w:tcBorders>
              <w:top w:val="single" w:sz="4" w:space="0" w:color="auto"/>
              <w:left w:val="nil"/>
              <w:bottom w:val="single" w:sz="4" w:space="0" w:color="auto"/>
              <w:right w:val="single" w:sz="4" w:space="0" w:color="auto"/>
            </w:tcBorders>
            <w:shd w:val="clear" w:color="auto" w:fill="BFBFBF"/>
          </w:tcPr>
          <w:p w14:paraId="6D602BA1" w14:textId="77777777" w:rsidR="00AD62CD" w:rsidRPr="00AD62CD" w:rsidRDefault="00AD62CD" w:rsidP="00AD62CD">
            <w:pPr>
              <w:spacing w:after="200" w:line="276" w:lineRule="auto"/>
              <w:jc w:val="center"/>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b/>
                <w:kern w:val="0"/>
                <w:sz w:val="22"/>
                <w:szCs w:val="22"/>
                <w14:ligatures w14:val="none"/>
              </w:rPr>
              <w:t>0</w:t>
            </w:r>
          </w:p>
        </w:tc>
        <w:tc>
          <w:tcPr>
            <w:tcW w:w="3406" w:type="dxa"/>
            <w:tcBorders>
              <w:top w:val="single" w:sz="4" w:space="0" w:color="auto"/>
              <w:left w:val="nil"/>
              <w:bottom w:val="single" w:sz="4" w:space="0" w:color="auto"/>
              <w:right w:val="single" w:sz="4" w:space="0" w:color="auto"/>
            </w:tcBorders>
            <w:shd w:val="clear" w:color="auto" w:fill="BFBFBF"/>
            <w:noWrap/>
            <w:vAlign w:val="bottom"/>
          </w:tcPr>
          <w:p w14:paraId="1D76A565" w14:textId="77777777" w:rsidR="00AD62CD" w:rsidRPr="00AD62CD" w:rsidRDefault="00AD62CD" w:rsidP="00AD62CD">
            <w:pPr>
              <w:spacing w:after="0" w:line="240" w:lineRule="auto"/>
              <w:rPr>
                <w:rFonts w:ascii="Times New Roman" w:eastAsia="Times New Roman" w:hAnsi="Times New Roman" w:cs="Times New Roman"/>
                <w:kern w:val="0"/>
                <w:lang w:eastAsia="sk-SK"/>
                <w14:ligatures w14:val="none"/>
              </w:rPr>
            </w:pPr>
            <w:r w:rsidRPr="00AD62CD">
              <w:rPr>
                <w:rFonts w:ascii="Times New Roman" w:eastAsia="Times New Roman" w:hAnsi="Times New Roman" w:cs="Times New Roman"/>
                <w:kern w:val="0"/>
                <w:lang w:eastAsia="sk-SK"/>
                <w14:ligatures w14:val="none"/>
              </w:rPr>
              <w:t> </w:t>
            </w:r>
          </w:p>
        </w:tc>
      </w:tr>
    </w:tbl>
    <w:p w14:paraId="6B1A8C39"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2 –  výdavky rozpísať až do položiek platnej ekonomickej klasifikácie</w:t>
      </w:r>
    </w:p>
    <w:p w14:paraId="74824B08"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2"/>
          <w:szCs w:val="20"/>
          <w:lang w:eastAsia="sk-SK"/>
          <w14:ligatures w14:val="none"/>
        </w:rPr>
      </w:pPr>
    </w:p>
    <w:p w14:paraId="45857A80"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
          <w:bCs/>
          <w:kern w:val="0"/>
          <w:sz w:val="18"/>
          <w:szCs w:val="20"/>
          <w:lang w:eastAsia="sk-SK"/>
          <w14:ligatures w14:val="none"/>
        </w:rPr>
      </w:pPr>
      <w:r w:rsidRPr="00AD62CD">
        <w:rPr>
          <w:rFonts w:ascii="Times New Roman" w:eastAsia="Times New Roman" w:hAnsi="Times New Roman" w:cs="Times New Roman"/>
          <w:b/>
          <w:bCs/>
          <w:kern w:val="0"/>
          <w:sz w:val="22"/>
          <w:szCs w:val="20"/>
          <w:lang w:eastAsia="sk-SK"/>
          <w14:ligatures w14:val="none"/>
        </w:rPr>
        <w:t>Poznámka:</w:t>
      </w:r>
    </w:p>
    <w:p w14:paraId="2CB95F70"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18"/>
          <w:szCs w:val="20"/>
          <w:lang w:eastAsia="sk-SK"/>
          <w14:ligatures w14:val="none"/>
        </w:rPr>
      </w:pPr>
      <w:r w:rsidRPr="00AD62CD">
        <w:rPr>
          <w:rFonts w:ascii="Times New Roman" w:eastAsia="Times New Roman" w:hAnsi="Times New Roman" w:cs="Times New Roman"/>
          <w:bCs/>
          <w:kern w:val="0"/>
          <w:sz w:val="22"/>
          <w:szCs w:val="20"/>
          <w:lang w:eastAsia="sk-SK"/>
          <w14:ligatures w14:val="none"/>
        </w:rPr>
        <w:t>Ak sa vplyv týka viacerých subjektov verejnej správy, vypĺňa sa samostatná tabuľka za každý subjekt.</w:t>
      </w:r>
    </w:p>
    <w:p w14:paraId="5E8F047B"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2FABD6C0"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6E5A4516"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p>
    <w:p w14:paraId="181945D2" w14:textId="77777777" w:rsidR="00AD62CD" w:rsidRPr="00AD62CD" w:rsidRDefault="00AD62CD" w:rsidP="00AD62CD">
      <w:pPr>
        <w:spacing w:line="259" w:lineRule="auto"/>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br w:type="page"/>
      </w:r>
    </w:p>
    <w:p w14:paraId="1C984143"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005"/>
        <w:gridCol w:w="1418"/>
        <w:gridCol w:w="1275"/>
        <w:gridCol w:w="1276"/>
        <w:gridCol w:w="2835"/>
      </w:tblGrid>
      <w:tr w:rsidR="00AD62CD" w:rsidRPr="00AD62CD" w14:paraId="214340DB"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180C751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Vplyvy (v metodike ESA 2010)</w:t>
            </w:r>
          </w:p>
        </w:tc>
        <w:tc>
          <w:tcPr>
            <w:tcW w:w="4974" w:type="dxa"/>
            <w:gridSpan w:val="4"/>
            <w:tcBorders>
              <w:top w:val="single" w:sz="4" w:space="0" w:color="auto"/>
              <w:left w:val="nil"/>
              <w:bottom w:val="single" w:sz="4" w:space="0" w:color="auto"/>
              <w:right w:val="single" w:sz="4" w:space="0" w:color="auto"/>
            </w:tcBorders>
            <w:shd w:val="clear" w:color="auto" w:fill="BFBFBF"/>
          </w:tcPr>
          <w:p w14:paraId="30F5C835"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subjektu verejnej správy</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600E579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poznámka</w:t>
            </w:r>
          </w:p>
        </w:tc>
      </w:tr>
      <w:tr w:rsidR="00AD62CD" w:rsidRPr="00AD62CD" w14:paraId="066DB676"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C1BD4D9"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005" w:type="dxa"/>
            <w:tcBorders>
              <w:top w:val="nil"/>
              <w:left w:val="nil"/>
              <w:bottom w:val="single" w:sz="4" w:space="0" w:color="auto"/>
              <w:right w:val="single" w:sz="4" w:space="0" w:color="auto"/>
            </w:tcBorders>
            <w:shd w:val="clear" w:color="auto" w:fill="BFBFBF"/>
          </w:tcPr>
          <w:p w14:paraId="42C140A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1418" w:type="dxa"/>
            <w:tcBorders>
              <w:top w:val="nil"/>
              <w:left w:val="nil"/>
              <w:bottom w:val="single" w:sz="4" w:space="0" w:color="auto"/>
              <w:right w:val="single" w:sz="4" w:space="0" w:color="auto"/>
            </w:tcBorders>
            <w:shd w:val="clear" w:color="auto" w:fill="BFBFBF"/>
          </w:tcPr>
          <w:p w14:paraId="0ADA2CE0"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275" w:type="dxa"/>
            <w:tcBorders>
              <w:top w:val="nil"/>
              <w:left w:val="nil"/>
              <w:bottom w:val="single" w:sz="4" w:space="0" w:color="auto"/>
              <w:right w:val="single" w:sz="4" w:space="0" w:color="auto"/>
            </w:tcBorders>
            <w:shd w:val="clear" w:color="auto" w:fill="BFBFBF"/>
          </w:tcPr>
          <w:p w14:paraId="6EF8378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276" w:type="dxa"/>
            <w:tcBorders>
              <w:top w:val="nil"/>
              <w:left w:val="nil"/>
              <w:bottom w:val="single" w:sz="4" w:space="0" w:color="auto"/>
              <w:right w:val="single" w:sz="4" w:space="0" w:color="auto"/>
            </w:tcBorders>
            <w:shd w:val="clear" w:color="auto" w:fill="BFBFBF"/>
          </w:tcPr>
          <w:p w14:paraId="43784CE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Times New Roman" w:hAnsi="Times New Roman" w:cs="Times New Roman"/>
                <w:b/>
                <w:bCs/>
                <w:color w:val="000000"/>
                <w:kern w:val="0"/>
                <w:lang w:eastAsia="sk-SK"/>
                <w14:ligatures w14:val="none"/>
              </w:rPr>
              <w:t>2028</w:t>
            </w:r>
          </w:p>
        </w:tc>
        <w:tc>
          <w:tcPr>
            <w:tcW w:w="2835" w:type="dxa"/>
            <w:vMerge/>
            <w:tcBorders>
              <w:top w:val="single" w:sz="4" w:space="0" w:color="auto"/>
              <w:left w:val="single" w:sz="4" w:space="0" w:color="auto"/>
              <w:bottom w:val="single" w:sz="4" w:space="0" w:color="auto"/>
              <w:right w:val="single" w:sz="4" w:space="0" w:color="auto"/>
            </w:tcBorders>
            <w:vAlign w:val="center"/>
          </w:tcPr>
          <w:p w14:paraId="792B1FBE" w14:textId="77777777" w:rsidR="00AD62CD" w:rsidRPr="00AD62CD" w:rsidRDefault="00AD62CD" w:rsidP="00AD62CD">
            <w:pPr>
              <w:spacing w:after="0" w:line="240" w:lineRule="auto"/>
              <w:rPr>
                <w:rFonts w:ascii="Times New Roman" w:eastAsia="Times New Roman" w:hAnsi="Times New Roman" w:cs="Times New Roman"/>
                <w:b/>
                <w:bCs/>
                <w:color w:val="000000"/>
                <w:kern w:val="0"/>
                <w:lang w:eastAsia="sk-SK"/>
                <w14:ligatures w14:val="none"/>
              </w:rPr>
            </w:pPr>
          </w:p>
        </w:tc>
      </w:tr>
      <w:tr w:rsidR="00AD62CD" w:rsidRPr="00AD62CD" w14:paraId="07790166" w14:textId="77777777" w:rsidTr="003627DF">
        <w:trPr>
          <w:trHeight w:val="255"/>
        </w:trPr>
        <w:tc>
          <w:tcPr>
            <w:tcW w:w="7070" w:type="dxa"/>
            <w:tcBorders>
              <w:top w:val="nil"/>
              <w:left w:val="single" w:sz="4" w:space="0" w:color="auto"/>
              <w:bottom w:val="single" w:sz="4" w:space="0" w:color="auto"/>
              <w:right w:val="single" w:sz="4" w:space="0" w:color="auto"/>
            </w:tcBorders>
          </w:tcPr>
          <w:p w14:paraId="39FD78DA"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Bežné výdavky (600)</w:t>
            </w:r>
          </w:p>
        </w:tc>
        <w:tc>
          <w:tcPr>
            <w:tcW w:w="1005" w:type="dxa"/>
            <w:tcBorders>
              <w:top w:val="nil"/>
              <w:left w:val="nil"/>
              <w:bottom w:val="single" w:sz="4" w:space="0" w:color="auto"/>
              <w:right w:val="single" w:sz="4" w:space="0" w:color="auto"/>
            </w:tcBorders>
          </w:tcPr>
          <w:p w14:paraId="4C120E9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418" w:type="dxa"/>
            <w:tcBorders>
              <w:top w:val="nil"/>
              <w:left w:val="nil"/>
              <w:bottom w:val="single" w:sz="4" w:space="0" w:color="auto"/>
              <w:right w:val="single" w:sz="4" w:space="0" w:color="auto"/>
            </w:tcBorders>
          </w:tcPr>
          <w:p w14:paraId="6BC5ECE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231E290B"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57195DA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p>
        </w:tc>
        <w:tc>
          <w:tcPr>
            <w:tcW w:w="2835" w:type="dxa"/>
            <w:tcBorders>
              <w:top w:val="nil"/>
              <w:left w:val="nil"/>
              <w:bottom w:val="single" w:sz="4" w:space="0" w:color="auto"/>
              <w:right w:val="single" w:sz="4" w:space="0" w:color="auto"/>
            </w:tcBorders>
            <w:noWrap/>
            <w:vAlign w:val="bottom"/>
          </w:tcPr>
          <w:p w14:paraId="032A43D5"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79C216AD" w14:textId="77777777" w:rsidTr="003627DF">
        <w:trPr>
          <w:trHeight w:val="255"/>
        </w:trPr>
        <w:tc>
          <w:tcPr>
            <w:tcW w:w="7070" w:type="dxa"/>
            <w:tcBorders>
              <w:top w:val="nil"/>
              <w:left w:val="single" w:sz="4" w:space="0" w:color="auto"/>
              <w:bottom w:val="single" w:sz="4" w:space="0" w:color="auto"/>
              <w:right w:val="single" w:sz="4" w:space="0" w:color="auto"/>
            </w:tcBorders>
          </w:tcPr>
          <w:p w14:paraId="48375051"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Mzdy, platy, služobné príjmy a ostatné osobné vyrovnania (610)</w:t>
            </w:r>
          </w:p>
        </w:tc>
        <w:tc>
          <w:tcPr>
            <w:tcW w:w="1005" w:type="dxa"/>
            <w:tcBorders>
              <w:top w:val="nil"/>
              <w:left w:val="nil"/>
              <w:bottom w:val="single" w:sz="4" w:space="0" w:color="auto"/>
              <w:right w:val="single" w:sz="4" w:space="0" w:color="auto"/>
            </w:tcBorders>
          </w:tcPr>
          <w:p w14:paraId="0D110EFB"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418" w:type="dxa"/>
            <w:tcBorders>
              <w:top w:val="nil"/>
              <w:left w:val="nil"/>
              <w:bottom w:val="single" w:sz="4" w:space="0" w:color="auto"/>
              <w:right w:val="single" w:sz="4" w:space="0" w:color="auto"/>
            </w:tcBorders>
          </w:tcPr>
          <w:p w14:paraId="62787C63"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4348CD90"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5B02E0DB"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2835" w:type="dxa"/>
            <w:tcBorders>
              <w:top w:val="nil"/>
              <w:left w:val="nil"/>
              <w:bottom w:val="single" w:sz="4" w:space="0" w:color="auto"/>
              <w:right w:val="single" w:sz="4" w:space="0" w:color="auto"/>
            </w:tcBorders>
            <w:noWrap/>
            <w:vAlign w:val="bottom"/>
          </w:tcPr>
          <w:p w14:paraId="18791FB5"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1208BB16" w14:textId="77777777" w:rsidTr="003627DF">
        <w:trPr>
          <w:trHeight w:val="255"/>
        </w:trPr>
        <w:tc>
          <w:tcPr>
            <w:tcW w:w="7070" w:type="dxa"/>
            <w:tcBorders>
              <w:top w:val="nil"/>
              <w:left w:val="single" w:sz="4" w:space="0" w:color="auto"/>
              <w:bottom w:val="single" w:sz="4" w:space="0" w:color="auto"/>
              <w:right w:val="single" w:sz="4" w:space="0" w:color="auto"/>
            </w:tcBorders>
          </w:tcPr>
          <w:p w14:paraId="25ECE655"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vertAlign w:val="superscript"/>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Poistné a príspevok do poisťovní (620)</w:t>
            </w:r>
          </w:p>
        </w:tc>
        <w:tc>
          <w:tcPr>
            <w:tcW w:w="1005" w:type="dxa"/>
            <w:tcBorders>
              <w:top w:val="nil"/>
              <w:left w:val="nil"/>
              <w:bottom w:val="single" w:sz="4" w:space="0" w:color="auto"/>
              <w:right w:val="single" w:sz="4" w:space="0" w:color="auto"/>
            </w:tcBorders>
          </w:tcPr>
          <w:p w14:paraId="0C4D0B8C"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418" w:type="dxa"/>
            <w:tcBorders>
              <w:top w:val="nil"/>
              <w:left w:val="nil"/>
              <w:bottom w:val="single" w:sz="4" w:space="0" w:color="auto"/>
              <w:right w:val="single" w:sz="4" w:space="0" w:color="auto"/>
            </w:tcBorders>
          </w:tcPr>
          <w:p w14:paraId="02C0A3F9"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335F3E15"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67DD6F11"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2835" w:type="dxa"/>
            <w:tcBorders>
              <w:top w:val="nil"/>
              <w:left w:val="nil"/>
              <w:bottom w:val="single" w:sz="4" w:space="0" w:color="auto"/>
              <w:right w:val="single" w:sz="4" w:space="0" w:color="auto"/>
            </w:tcBorders>
            <w:noWrap/>
            <w:vAlign w:val="bottom"/>
          </w:tcPr>
          <w:p w14:paraId="34FABBF0"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5A4CA9A0" w14:textId="77777777" w:rsidTr="003627DF">
        <w:trPr>
          <w:trHeight w:val="255"/>
        </w:trPr>
        <w:tc>
          <w:tcPr>
            <w:tcW w:w="7070" w:type="dxa"/>
            <w:tcBorders>
              <w:top w:val="nil"/>
              <w:left w:val="single" w:sz="4" w:space="0" w:color="auto"/>
              <w:bottom w:val="single" w:sz="4" w:space="0" w:color="auto"/>
              <w:right w:val="single" w:sz="4" w:space="0" w:color="auto"/>
            </w:tcBorders>
          </w:tcPr>
          <w:p w14:paraId="73FDE6BF"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vertAlign w:val="superscript"/>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Tovary a služby (630)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005" w:type="dxa"/>
            <w:tcBorders>
              <w:top w:val="nil"/>
              <w:left w:val="nil"/>
              <w:bottom w:val="single" w:sz="4" w:space="0" w:color="auto"/>
              <w:right w:val="single" w:sz="4" w:space="0" w:color="auto"/>
            </w:tcBorders>
          </w:tcPr>
          <w:p w14:paraId="6E8A3095"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418" w:type="dxa"/>
            <w:tcBorders>
              <w:top w:val="nil"/>
              <w:left w:val="nil"/>
              <w:bottom w:val="single" w:sz="4" w:space="0" w:color="auto"/>
              <w:right w:val="single" w:sz="4" w:space="0" w:color="auto"/>
            </w:tcBorders>
          </w:tcPr>
          <w:p w14:paraId="4676C66E"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55A73F01"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0C28E96D"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2835" w:type="dxa"/>
            <w:tcBorders>
              <w:top w:val="nil"/>
              <w:left w:val="nil"/>
              <w:bottom w:val="single" w:sz="4" w:space="0" w:color="auto"/>
              <w:right w:val="single" w:sz="4" w:space="0" w:color="auto"/>
            </w:tcBorders>
            <w:noWrap/>
            <w:vAlign w:val="bottom"/>
          </w:tcPr>
          <w:p w14:paraId="188FA8D5"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437E5065" w14:textId="77777777" w:rsidTr="003627DF">
        <w:trPr>
          <w:trHeight w:val="255"/>
        </w:trPr>
        <w:tc>
          <w:tcPr>
            <w:tcW w:w="7070" w:type="dxa"/>
            <w:tcBorders>
              <w:top w:val="nil"/>
              <w:left w:val="single" w:sz="4" w:space="0" w:color="auto"/>
              <w:bottom w:val="single" w:sz="4" w:space="0" w:color="auto"/>
              <w:right w:val="single" w:sz="4" w:space="0" w:color="auto"/>
            </w:tcBorders>
          </w:tcPr>
          <w:p w14:paraId="4A144C72"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Bežné transfery (640)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005" w:type="dxa"/>
            <w:tcBorders>
              <w:top w:val="nil"/>
              <w:left w:val="nil"/>
              <w:bottom w:val="single" w:sz="4" w:space="0" w:color="auto"/>
              <w:right w:val="single" w:sz="4" w:space="0" w:color="auto"/>
            </w:tcBorders>
          </w:tcPr>
          <w:p w14:paraId="07C58BC8"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418" w:type="dxa"/>
            <w:tcBorders>
              <w:top w:val="nil"/>
              <w:left w:val="nil"/>
              <w:bottom w:val="single" w:sz="4" w:space="0" w:color="auto"/>
              <w:right w:val="single" w:sz="4" w:space="0" w:color="auto"/>
            </w:tcBorders>
          </w:tcPr>
          <w:p w14:paraId="40902D61"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7629C524"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3B7CED4A"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2835" w:type="dxa"/>
            <w:tcBorders>
              <w:top w:val="nil"/>
              <w:left w:val="nil"/>
              <w:bottom w:val="single" w:sz="4" w:space="0" w:color="auto"/>
              <w:right w:val="single" w:sz="4" w:space="0" w:color="auto"/>
            </w:tcBorders>
            <w:noWrap/>
            <w:vAlign w:val="bottom"/>
          </w:tcPr>
          <w:p w14:paraId="42A8096C"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655A163B"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5FDF1C90"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Splácanie úrokov a ostatné platby súvisiace s </w:t>
            </w:r>
            <w:r w:rsidRPr="00AD62CD">
              <w:rPr>
                <w:rFonts w:ascii="Calibri" w:eastAsia="Calibri" w:hAnsi="Calibri" w:cs="Times New Roman"/>
                <w:color w:val="000000"/>
                <w:kern w:val="0"/>
                <w:sz w:val="22"/>
                <w:szCs w:val="22"/>
                <w14:ligatures w14:val="none"/>
              </w:rPr>
              <w:t xml:space="preserve"> </w:t>
            </w:r>
            <w:r w:rsidRPr="00AD62CD">
              <w:rPr>
                <w:rFonts w:ascii="Times New Roman" w:eastAsia="Times New Roman" w:hAnsi="Times New Roman" w:cs="Times New Roman"/>
                <w:color w:val="000000"/>
                <w:kern w:val="0"/>
                <w:sz w:val="20"/>
                <w:szCs w:val="20"/>
                <w:lang w:eastAsia="sk-SK"/>
                <w14:ligatures w14:val="none"/>
              </w:rPr>
              <w:t>úverom, pôžičkou, návratnou finančnou výpomocou a finančným prenájmom (650)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005" w:type="dxa"/>
            <w:tcBorders>
              <w:top w:val="nil"/>
              <w:left w:val="nil"/>
              <w:bottom w:val="single" w:sz="4" w:space="0" w:color="auto"/>
              <w:right w:val="single" w:sz="4" w:space="0" w:color="auto"/>
            </w:tcBorders>
          </w:tcPr>
          <w:p w14:paraId="0D57B368"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418" w:type="dxa"/>
            <w:tcBorders>
              <w:top w:val="nil"/>
              <w:left w:val="nil"/>
              <w:bottom w:val="single" w:sz="4" w:space="0" w:color="auto"/>
              <w:right w:val="single" w:sz="4" w:space="0" w:color="auto"/>
            </w:tcBorders>
          </w:tcPr>
          <w:p w14:paraId="788A5041"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6D35C5A5"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42EC4AD8"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2835" w:type="dxa"/>
            <w:tcBorders>
              <w:top w:val="nil"/>
              <w:left w:val="nil"/>
              <w:bottom w:val="single" w:sz="4" w:space="0" w:color="auto"/>
              <w:right w:val="single" w:sz="4" w:space="0" w:color="auto"/>
            </w:tcBorders>
            <w:noWrap/>
            <w:vAlign w:val="bottom"/>
          </w:tcPr>
          <w:p w14:paraId="7E001CB4"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p>
        </w:tc>
      </w:tr>
      <w:tr w:rsidR="00AD62CD" w:rsidRPr="00AD62CD" w14:paraId="7A8B31F2" w14:textId="77777777" w:rsidTr="003627DF">
        <w:trPr>
          <w:trHeight w:val="255"/>
        </w:trPr>
        <w:tc>
          <w:tcPr>
            <w:tcW w:w="7070" w:type="dxa"/>
            <w:tcBorders>
              <w:top w:val="nil"/>
              <w:left w:val="single" w:sz="4" w:space="0" w:color="auto"/>
              <w:bottom w:val="single" w:sz="4" w:space="0" w:color="auto"/>
              <w:right w:val="single" w:sz="4" w:space="0" w:color="auto"/>
            </w:tcBorders>
          </w:tcPr>
          <w:p w14:paraId="4C13C48D"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Kapitálové výdavky (700)</w:t>
            </w:r>
          </w:p>
        </w:tc>
        <w:tc>
          <w:tcPr>
            <w:tcW w:w="1005" w:type="dxa"/>
            <w:tcBorders>
              <w:top w:val="nil"/>
              <w:left w:val="nil"/>
              <w:bottom w:val="single" w:sz="4" w:space="0" w:color="auto"/>
              <w:right w:val="single" w:sz="4" w:space="0" w:color="auto"/>
            </w:tcBorders>
          </w:tcPr>
          <w:p w14:paraId="2D683D60"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418" w:type="dxa"/>
            <w:tcBorders>
              <w:top w:val="nil"/>
              <w:left w:val="nil"/>
              <w:bottom w:val="single" w:sz="4" w:space="0" w:color="auto"/>
              <w:right w:val="single" w:sz="4" w:space="0" w:color="auto"/>
            </w:tcBorders>
          </w:tcPr>
          <w:p w14:paraId="130751C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1AD9518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1E1A7DA5"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p>
        </w:tc>
        <w:tc>
          <w:tcPr>
            <w:tcW w:w="2835" w:type="dxa"/>
            <w:tcBorders>
              <w:top w:val="nil"/>
              <w:left w:val="nil"/>
              <w:bottom w:val="single" w:sz="4" w:space="0" w:color="auto"/>
              <w:right w:val="single" w:sz="4" w:space="0" w:color="auto"/>
            </w:tcBorders>
            <w:noWrap/>
            <w:vAlign w:val="bottom"/>
          </w:tcPr>
          <w:p w14:paraId="7952DA3C"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3E3DB078" w14:textId="77777777" w:rsidTr="003627DF">
        <w:trPr>
          <w:trHeight w:val="255"/>
        </w:trPr>
        <w:tc>
          <w:tcPr>
            <w:tcW w:w="7070" w:type="dxa"/>
            <w:tcBorders>
              <w:top w:val="nil"/>
              <w:left w:val="single" w:sz="4" w:space="0" w:color="auto"/>
              <w:bottom w:val="single" w:sz="4" w:space="0" w:color="auto"/>
              <w:right w:val="single" w:sz="4" w:space="0" w:color="auto"/>
            </w:tcBorders>
          </w:tcPr>
          <w:p w14:paraId="4907FE62"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Obstarávanie kapitálových aktív (710)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005" w:type="dxa"/>
            <w:tcBorders>
              <w:top w:val="nil"/>
              <w:left w:val="nil"/>
              <w:bottom w:val="single" w:sz="4" w:space="0" w:color="auto"/>
              <w:right w:val="single" w:sz="4" w:space="0" w:color="auto"/>
            </w:tcBorders>
          </w:tcPr>
          <w:p w14:paraId="52B6DDFA"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418" w:type="dxa"/>
            <w:tcBorders>
              <w:top w:val="nil"/>
              <w:left w:val="nil"/>
              <w:bottom w:val="single" w:sz="4" w:space="0" w:color="auto"/>
              <w:right w:val="single" w:sz="4" w:space="0" w:color="auto"/>
            </w:tcBorders>
          </w:tcPr>
          <w:p w14:paraId="4C6E9AA2"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4A2F1863"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0BC75826"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2835" w:type="dxa"/>
            <w:tcBorders>
              <w:top w:val="nil"/>
              <w:left w:val="nil"/>
              <w:bottom w:val="single" w:sz="4" w:space="0" w:color="auto"/>
              <w:right w:val="single" w:sz="4" w:space="0" w:color="auto"/>
            </w:tcBorders>
            <w:noWrap/>
            <w:vAlign w:val="bottom"/>
          </w:tcPr>
          <w:p w14:paraId="798D5689"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3C0944D9" w14:textId="77777777" w:rsidTr="003627DF">
        <w:trPr>
          <w:trHeight w:val="255"/>
        </w:trPr>
        <w:tc>
          <w:tcPr>
            <w:tcW w:w="7070" w:type="dxa"/>
            <w:tcBorders>
              <w:top w:val="nil"/>
              <w:left w:val="single" w:sz="4" w:space="0" w:color="auto"/>
              <w:bottom w:val="single" w:sz="4" w:space="0" w:color="auto"/>
              <w:right w:val="single" w:sz="4" w:space="0" w:color="auto"/>
            </w:tcBorders>
          </w:tcPr>
          <w:p w14:paraId="5FA7B83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Kapitálové transfery (720)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005" w:type="dxa"/>
            <w:tcBorders>
              <w:top w:val="nil"/>
              <w:left w:val="nil"/>
              <w:bottom w:val="single" w:sz="4" w:space="0" w:color="auto"/>
              <w:right w:val="single" w:sz="4" w:space="0" w:color="auto"/>
            </w:tcBorders>
          </w:tcPr>
          <w:p w14:paraId="40541BC2"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418" w:type="dxa"/>
            <w:tcBorders>
              <w:top w:val="nil"/>
              <w:left w:val="nil"/>
              <w:bottom w:val="single" w:sz="4" w:space="0" w:color="auto"/>
              <w:right w:val="single" w:sz="4" w:space="0" w:color="auto"/>
            </w:tcBorders>
          </w:tcPr>
          <w:p w14:paraId="75B9B744"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5" w:type="dxa"/>
            <w:tcBorders>
              <w:top w:val="nil"/>
              <w:left w:val="nil"/>
              <w:bottom w:val="single" w:sz="4" w:space="0" w:color="auto"/>
              <w:right w:val="single" w:sz="4" w:space="0" w:color="auto"/>
            </w:tcBorders>
          </w:tcPr>
          <w:p w14:paraId="70B8AB14"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sz w:val="20"/>
                <w:szCs w:val="20"/>
                <w:lang w:eastAsia="sk-SK"/>
                <w14:ligatures w14:val="none"/>
              </w:rPr>
            </w:pPr>
          </w:p>
        </w:tc>
        <w:tc>
          <w:tcPr>
            <w:tcW w:w="1276" w:type="dxa"/>
            <w:tcBorders>
              <w:top w:val="nil"/>
              <w:left w:val="nil"/>
              <w:bottom w:val="single" w:sz="4" w:space="0" w:color="auto"/>
              <w:right w:val="single" w:sz="4" w:space="0" w:color="auto"/>
            </w:tcBorders>
          </w:tcPr>
          <w:p w14:paraId="7788165F" w14:textId="77777777" w:rsidR="00AD62CD" w:rsidRPr="00AD62CD" w:rsidRDefault="00AD62CD" w:rsidP="00AD62CD">
            <w:pPr>
              <w:spacing w:after="0" w:line="240" w:lineRule="auto"/>
              <w:jc w:val="center"/>
              <w:rPr>
                <w:rFonts w:ascii="Times New Roman" w:eastAsia="Times New Roman" w:hAnsi="Times New Roman" w:cs="Times New Roman"/>
                <w:color w:val="000000"/>
                <w:kern w:val="0"/>
                <w:lang w:eastAsia="sk-SK"/>
                <w14:ligatures w14:val="none"/>
              </w:rPr>
            </w:pPr>
          </w:p>
        </w:tc>
        <w:tc>
          <w:tcPr>
            <w:tcW w:w="2835" w:type="dxa"/>
            <w:tcBorders>
              <w:top w:val="nil"/>
              <w:left w:val="nil"/>
              <w:bottom w:val="single" w:sz="4" w:space="0" w:color="auto"/>
              <w:right w:val="single" w:sz="4" w:space="0" w:color="auto"/>
            </w:tcBorders>
            <w:noWrap/>
            <w:vAlign w:val="bottom"/>
          </w:tcPr>
          <w:p w14:paraId="3ACF414F"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r w:rsidR="00AD62CD" w:rsidRPr="00AD62CD" w14:paraId="0186C4A6"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4AA307CE"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subjektu verejnej správy celkom</w:t>
            </w:r>
          </w:p>
        </w:tc>
        <w:tc>
          <w:tcPr>
            <w:tcW w:w="1005" w:type="dxa"/>
            <w:tcBorders>
              <w:top w:val="single" w:sz="4" w:space="0" w:color="auto"/>
              <w:left w:val="nil"/>
              <w:bottom w:val="single" w:sz="4" w:space="0" w:color="auto"/>
              <w:right w:val="single" w:sz="4" w:space="0" w:color="auto"/>
            </w:tcBorders>
            <w:shd w:val="clear" w:color="auto" w:fill="BFBFBF"/>
          </w:tcPr>
          <w:p w14:paraId="6B6F54E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18" w:type="dxa"/>
            <w:tcBorders>
              <w:top w:val="single" w:sz="4" w:space="0" w:color="auto"/>
              <w:left w:val="nil"/>
              <w:bottom w:val="single" w:sz="4" w:space="0" w:color="auto"/>
              <w:right w:val="single" w:sz="4" w:space="0" w:color="auto"/>
            </w:tcBorders>
            <w:shd w:val="clear" w:color="auto" w:fill="BFBFBF"/>
          </w:tcPr>
          <w:p w14:paraId="291937C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2"/>
                <w:szCs w:val="22"/>
                <w14:ligatures w14:val="none"/>
              </w:rPr>
              <w:t>0</w:t>
            </w:r>
          </w:p>
        </w:tc>
        <w:tc>
          <w:tcPr>
            <w:tcW w:w="1275" w:type="dxa"/>
            <w:tcBorders>
              <w:top w:val="single" w:sz="4" w:space="0" w:color="auto"/>
              <w:left w:val="nil"/>
              <w:bottom w:val="single" w:sz="4" w:space="0" w:color="auto"/>
              <w:right w:val="single" w:sz="4" w:space="0" w:color="auto"/>
            </w:tcBorders>
            <w:shd w:val="clear" w:color="auto" w:fill="BFBFBF"/>
          </w:tcPr>
          <w:p w14:paraId="477D8B8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kern w:val="0"/>
                <w:sz w:val="22"/>
                <w:szCs w:val="22"/>
                <w14:ligatures w14:val="none"/>
              </w:rPr>
              <w:t>0</w:t>
            </w:r>
          </w:p>
        </w:tc>
        <w:tc>
          <w:tcPr>
            <w:tcW w:w="1276" w:type="dxa"/>
            <w:tcBorders>
              <w:top w:val="single" w:sz="4" w:space="0" w:color="auto"/>
              <w:left w:val="nil"/>
              <w:bottom w:val="single" w:sz="4" w:space="0" w:color="auto"/>
              <w:right w:val="single" w:sz="4" w:space="0" w:color="auto"/>
            </w:tcBorders>
            <w:shd w:val="clear" w:color="auto" w:fill="BFBFBF"/>
          </w:tcPr>
          <w:p w14:paraId="365FC49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lang w:eastAsia="sk-SK"/>
                <w14:ligatures w14:val="none"/>
              </w:rPr>
            </w:pPr>
            <w:r w:rsidRPr="00AD62CD">
              <w:rPr>
                <w:rFonts w:ascii="Times New Roman" w:eastAsia="Calibri" w:hAnsi="Times New Roman" w:cs="Times New Roman"/>
                <w:b/>
                <w:bCs/>
                <w:kern w:val="0"/>
                <w:sz w:val="22"/>
                <w:szCs w:val="22"/>
                <w14:ligatures w14:val="none"/>
              </w:rPr>
              <w:t>0</w:t>
            </w:r>
          </w:p>
        </w:tc>
        <w:tc>
          <w:tcPr>
            <w:tcW w:w="2835" w:type="dxa"/>
            <w:tcBorders>
              <w:top w:val="single" w:sz="4" w:space="0" w:color="auto"/>
              <w:left w:val="nil"/>
              <w:bottom w:val="single" w:sz="4" w:space="0" w:color="auto"/>
              <w:right w:val="single" w:sz="4" w:space="0" w:color="auto"/>
            </w:tcBorders>
            <w:shd w:val="clear" w:color="auto" w:fill="BFBFBF"/>
            <w:noWrap/>
            <w:vAlign w:val="bottom"/>
          </w:tcPr>
          <w:p w14:paraId="1306A8CF" w14:textId="77777777" w:rsidR="00AD62CD" w:rsidRPr="00AD62CD" w:rsidRDefault="00AD62CD" w:rsidP="00AD62CD">
            <w:pPr>
              <w:spacing w:after="0" w:line="240" w:lineRule="auto"/>
              <w:rPr>
                <w:rFonts w:ascii="Times New Roman" w:eastAsia="Times New Roman" w:hAnsi="Times New Roman" w:cs="Times New Roman"/>
                <w:color w:val="000000"/>
                <w:kern w:val="0"/>
                <w:lang w:eastAsia="sk-SK"/>
                <w14:ligatures w14:val="none"/>
              </w:rPr>
            </w:pPr>
            <w:r w:rsidRPr="00AD62CD">
              <w:rPr>
                <w:rFonts w:ascii="Times New Roman" w:eastAsia="Times New Roman" w:hAnsi="Times New Roman" w:cs="Times New Roman"/>
                <w:color w:val="000000"/>
                <w:kern w:val="0"/>
                <w:lang w:eastAsia="sk-SK"/>
                <w14:ligatures w14:val="none"/>
              </w:rPr>
              <w:t> </w:t>
            </w:r>
          </w:p>
        </w:tc>
      </w:tr>
    </w:tbl>
    <w:p w14:paraId="2A32D7AB"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color w:val="000000"/>
          <w:kern w:val="0"/>
          <w:sz w:val="20"/>
          <w:szCs w:val="20"/>
          <w:lang w:eastAsia="sk-SK"/>
          <w14:ligatures w14:val="none"/>
        </w:rPr>
        <w:t xml:space="preserve">  2 –  výdavky rozpísať až do podpo</w:t>
      </w:r>
      <w:r w:rsidRPr="00AD62CD">
        <w:rPr>
          <w:rFonts w:ascii="Times New Roman" w:eastAsia="Times New Roman" w:hAnsi="Times New Roman" w:cs="Times New Roman"/>
          <w:bCs/>
          <w:kern w:val="0"/>
          <w:sz w:val="20"/>
          <w:szCs w:val="20"/>
          <w:lang w:eastAsia="sk-SK"/>
          <w14:ligatures w14:val="none"/>
        </w:rPr>
        <w:t>ložiek platnej ekonomickej klasifikácie</w:t>
      </w:r>
    </w:p>
    <w:p w14:paraId="7B8879E9"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Cs w:val="20"/>
          <w:lang w:eastAsia="sk-SK"/>
          <w14:ligatures w14:val="none"/>
        </w:rPr>
      </w:pPr>
    </w:p>
    <w:p w14:paraId="3DB9CD3A"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
          <w:bCs/>
          <w:kern w:val="0"/>
          <w:sz w:val="20"/>
          <w:szCs w:val="20"/>
          <w:lang w:eastAsia="sk-SK"/>
          <w14:ligatures w14:val="none"/>
        </w:rPr>
      </w:pPr>
      <w:r w:rsidRPr="00AD62CD">
        <w:rPr>
          <w:rFonts w:ascii="Times New Roman" w:eastAsia="Times New Roman" w:hAnsi="Times New Roman" w:cs="Times New Roman"/>
          <w:b/>
          <w:bCs/>
          <w:kern w:val="0"/>
          <w:szCs w:val="20"/>
          <w:lang w:eastAsia="sk-SK"/>
          <w14:ligatures w14:val="none"/>
        </w:rPr>
        <w:t xml:space="preserve">  Poznámka:</w:t>
      </w:r>
    </w:p>
    <w:p w14:paraId="1C0309C2" w14:textId="77777777" w:rsidR="00AD62CD" w:rsidRPr="00AD62CD" w:rsidRDefault="00AD62CD" w:rsidP="00AD62CD">
      <w:pPr>
        <w:tabs>
          <w:tab w:val="num" w:pos="1080"/>
        </w:tabs>
        <w:spacing w:after="0" w:line="240" w:lineRule="auto"/>
        <w:ind w:left="-900"/>
        <w:jc w:val="both"/>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Cs w:val="20"/>
          <w:lang w:eastAsia="sk-SK"/>
          <w14:ligatures w14:val="none"/>
        </w:rPr>
        <w:t xml:space="preserve">  Ak sa vplyv týka viacerých subjektov verejnej správy, vypĺňa sa samostatná tabuľka za každý subjekt.</w:t>
      </w:r>
    </w:p>
    <w:p w14:paraId="3B9A093B" w14:textId="77777777" w:rsidR="00AD62CD" w:rsidRPr="00AD62CD" w:rsidRDefault="00AD62CD" w:rsidP="00AD62CD">
      <w:pPr>
        <w:spacing w:after="200" w:line="276" w:lineRule="auto"/>
        <w:rPr>
          <w:rFonts w:ascii="Times New Roman" w:eastAsia="Times New Roman" w:hAnsi="Times New Roman" w:cs="Times New Roman"/>
          <w:bCs/>
          <w:kern w:val="0"/>
          <w:sz w:val="20"/>
          <w:szCs w:val="20"/>
          <w:lang w:eastAsia="sk-SK"/>
          <w14:ligatures w14:val="none"/>
        </w:rPr>
      </w:pPr>
      <w:r w:rsidRPr="00AD62CD">
        <w:rPr>
          <w:rFonts w:ascii="Times New Roman" w:eastAsia="Times New Roman" w:hAnsi="Times New Roman" w:cs="Times New Roman"/>
          <w:bCs/>
          <w:kern w:val="0"/>
          <w:sz w:val="20"/>
          <w:szCs w:val="20"/>
          <w:lang w:eastAsia="sk-SK"/>
          <w14:ligatures w14:val="none"/>
        </w:rPr>
        <w:br w:type="page"/>
      </w:r>
    </w:p>
    <w:p w14:paraId="1F60E74A" w14:textId="77777777" w:rsidR="00AD62CD" w:rsidRPr="00AD62CD" w:rsidRDefault="00AD62CD" w:rsidP="00AD62CD">
      <w:pPr>
        <w:tabs>
          <w:tab w:val="num" w:pos="1080"/>
        </w:tabs>
        <w:spacing w:after="0" w:line="240" w:lineRule="auto"/>
        <w:jc w:val="right"/>
        <w:rPr>
          <w:rFonts w:ascii="Times New Roman" w:eastAsia="Times New Roman" w:hAnsi="Times New Roman" w:cs="Times New Roman"/>
          <w:bCs/>
          <w:kern w:val="0"/>
          <w:lang w:eastAsia="sk-SK"/>
          <w14:ligatures w14:val="none"/>
        </w:rPr>
      </w:pPr>
      <w:r w:rsidRPr="00AD62CD">
        <w:rPr>
          <w:rFonts w:ascii="Times New Roman" w:eastAsia="Times New Roman" w:hAnsi="Times New Roman" w:cs="Times New Roman"/>
          <w:bCs/>
          <w:kern w:val="0"/>
          <w:lang w:eastAsia="sk-SK"/>
          <w14:ligatures w14:val="none"/>
        </w:rPr>
        <w:t xml:space="preserve">          Tabuľka č. 5 </w:t>
      </w: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AD62CD" w:rsidRPr="00AD62CD" w14:paraId="0FAB460D" w14:textId="77777777" w:rsidTr="00AD62CD">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395C6F7"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14:paraId="03FEDDB5"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638C126A"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poznámka</w:t>
            </w:r>
          </w:p>
        </w:tc>
      </w:tr>
      <w:tr w:rsidR="00AD62CD" w:rsidRPr="00AD62CD" w14:paraId="3EF3B617" w14:textId="77777777" w:rsidTr="00AD62CD">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8AB1686" w14:textId="77777777" w:rsidR="00AD62CD" w:rsidRPr="00AD62CD" w:rsidRDefault="00AD62CD" w:rsidP="00AD62CD">
            <w:pPr>
              <w:spacing w:after="0" w:line="240" w:lineRule="auto"/>
              <w:rPr>
                <w:rFonts w:ascii="Times New Roman" w:eastAsia="Times New Roman" w:hAnsi="Times New Roman" w:cs="Times New Roman"/>
                <w:b/>
                <w:bCs/>
                <w:kern w:val="0"/>
                <w:sz w:val="22"/>
                <w:lang w:eastAsia="sk-SK"/>
                <w14:ligatures w14:val="none"/>
              </w:rPr>
            </w:pPr>
          </w:p>
        </w:tc>
        <w:tc>
          <w:tcPr>
            <w:tcW w:w="1698" w:type="dxa"/>
            <w:tcBorders>
              <w:top w:val="nil"/>
              <w:left w:val="nil"/>
              <w:bottom w:val="single" w:sz="4" w:space="0" w:color="auto"/>
              <w:right w:val="single" w:sz="4" w:space="0" w:color="auto"/>
            </w:tcBorders>
            <w:shd w:val="clear" w:color="auto" w:fill="BFBFBF"/>
          </w:tcPr>
          <w:p w14:paraId="168BD631"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2025</w:t>
            </w:r>
          </w:p>
        </w:tc>
        <w:tc>
          <w:tcPr>
            <w:tcW w:w="1788" w:type="dxa"/>
            <w:tcBorders>
              <w:top w:val="nil"/>
              <w:left w:val="nil"/>
              <w:bottom w:val="single" w:sz="4" w:space="0" w:color="auto"/>
              <w:right w:val="single" w:sz="4" w:space="0" w:color="auto"/>
            </w:tcBorders>
            <w:shd w:val="clear" w:color="auto" w:fill="BFBFBF"/>
          </w:tcPr>
          <w:p w14:paraId="0DA4E288"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2026</w:t>
            </w:r>
          </w:p>
        </w:tc>
        <w:tc>
          <w:tcPr>
            <w:tcW w:w="2418" w:type="dxa"/>
            <w:gridSpan w:val="2"/>
            <w:tcBorders>
              <w:top w:val="nil"/>
              <w:left w:val="nil"/>
              <w:bottom w:val="single" w:sz="4" w:space="0" w:color="auto"/>
              <w:right w:val="single" w:sz="4" w:space="0" w:color="auto"/>
            </w:tcBorders>
            <w:shd w:val="clear" w:color="auto" w:fill="BFBFBF"/>
          </w:tcPr>
          <w:p w14:paraId="09932EE3"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2027</w:t>
            </w:r>
          </w:p>
        </w:tc>
        <w:tc>
          <w:tcPr>
            <w:tcW w:w="1722" w:type="dxa"/>
            <w:tcBorders>
              <w:top w:val="nil"/>
              <w:left w:val="nil"/>
              <w:bottom w:val="single" w:sz="4" w:space="0" w:color="auto"/>
              <w:right w:val="single" w:sz="4" w:space="0" w:color="auto"/>
            </w:tcBorders>
            <w:shd w:val="clear" w:color="auto" w:fill="BFBFBF"/>
          </w:tcPr>
          <w:p w14:paraId="6E7A65C5"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2028</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689F3651" w14:textId="77777777" w:rsidR="00AD62CD" w:rsidRPr="00AD62CD" w:rsidRDefault="00AD62CD" w:rsidP="00AD62CD">
            <w:pPr>
              <w:spacing w:after="0" w:line="240" w:lineRule="auto"/>
              <w:rPr>
                <w:rFonts w:ascii="Times New Roman" w:eastAsia="Times New Roman" w:hAnsi="Times New Roman" w:cs="Times New Roman"/>
                <w:b/>
                <w:bCs/>
                <w:color w:val="FFFFFF"/>
                <w:kern w:val="0"/>
                <w:sz w:val="22"/>
                <w:lang w:eastAsia="sk-SK"/>
                <w14:ligatures w14:val="none"/>
              </w:rPr>
            </w:pPr>
          </w:p>
        </w:tc>
      </w:tr>
      <w:tr w:rsidR="00AD62CD" w:rsidRPr="00AD62CD" w14:paraId="355A58DD" w14:textId="77777777" w:rsidTr="003627DF">
        <w:trPr>
          <w:trHeight w:val="255"/>
        </w:trPr>
        <w:tc>
          <w:tcPr>
            <w:tcW w:w="6188" w:type="dxa"/>
            <w:tcBorders>
              <w:top w:val="nil"/>
              <w:left w:val="single" w:sz="4" w:space="0" w:color="auto"/>
              <w:bottom w:val="single" w:sz="4" w:space="0" w:color="auto"/>
              <w:right w:val="single" w:sz="4" w:space="0" w:color="auto"/>
            </w:tcBorders>
          </w:tcPr>
          <w:p w14:paraId="269D6314" w14:textId="77777777" w:rsidR="00AD62CD" w:rsidRPr="00AD62CD" w:rsidRDefault="00AD62CD" w:rsidP="00AD62CD">
            <w:pPr>
              <w:spacing w:after="0" w:line="240" w:lineRule="auto"/>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Počet zamestnancov celkom</w:t>
            </w:r>
          </w:p>
        </w:tc>
        <w:tc>
          <w:tcPr>
            <w:tcW w:w="1698" w:type="dxa"/>
            <w:tcBorders>
              <w:top w:val="nil"/>
              <w:left w:val="nil"/>
              <w:bottom w:val="single" w:sz="4" w:space="0" w:color="auto"/>
              <w:right w:val="single" w:sz="4" w:space="0" w:color="auto"/>
            </w:tcBorders>
          </w:tcPr>
          <w:p w14:paraId="7EEEBE1E"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788" w:type="dxa"/>
            <w:tcBorders>
              <w:top w:val="nil"/>
              <w:left w:val="nil"/>
              <w:bottom w:val="single" w:sz="4" w:space="0" w:color="auto"/>
              <w:right w:val="single" w:sz="4" w:space="0" w:color="auto"/>
            </w:tcBorders>
          </w:tcPr>
          <w:p w14:paraId="28008C85"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2418" w:type="dxa"/>
            <w:gridSpan w:val="2"/>
            <w:tcBorders>
              <w:top w:val="nil"/>
              <w:left w:val="nil"/>
              <w:bottom w:val="single" w:sz="4" w:space="0" w:color="auto"/>
              <w:right w:val="single" w:sz="4" w:space="0" w:color="auto"/>
            </w:tcBorders>
          </w:tcPr>
          <w:p w14:paraId="381B9B77"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722" w:type="dxa"/>
            <w:tcBorders>
              <w:top w:val="nil"/>
              <w:left w:val="nil"/>
              <w:bottom w:val="single" w:sz="4" w:space="0" w:color="auto"/>
              <w:right w:val="single" w:sz="4" w:space="0" w:color="auto"/>
            </w:tcBorders>
          </w:tcPr>
          <w:p w14:paraId="1627F335"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620" w:type="dxa"/>
            <w:gridSpan w:val="2"/>
            <w:tcBorders>
              <w:top w:val="nil"/>
              <w:left w:val="nil"/>
              <w:bottom w:val="single" w:sz="4" w:space="0" w:color="auto"/>
              <w:right w:val="single" w:sz="4" w:space="0" w:color="auto"/>
            </w:tcBorders>
            <w:noWrap/>
            <w:vAlign w:val="bottom"/>
          </w:tcPr>
          <w:p w14:paraId="15A9FCF7"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kern w:val="0"/>
                <w:sz w:val="22"/>
                <w:lang w:eastAsia="sk-SK"/>
                <w14:ligatures w14:val="none"/>
              </w:rPr>
              <w:t> </w:t>
            </w:r>
          </w:p>
        </w:tc>
      </w:tr>
      <w:tr w:rsidR="00AD62CD" w:rsidRPr="00AD62CD" w14:paraId="694A2266" w14:textId="77777777" w:rsidTr="003627DF">
        <w:trPr>
          <w:trHeight w:val="255"/>
        </w:trPr>
        <w:tc>
          <w:tcPr>
            <w:tcW w:w="6188" w:type="dxa"/>
            <w:tcBorders>
              <w:top w:val="nil"/>
              <w:left w:val="single" w:sz="4" w:space="0" w:color="auto"/>
              <w:bottom w:val="single" w:sz="4" w:space="0" w:color="auto"/>
              <w:right w:val="single" w:sz="4" w:space="0" w:color="auto"/>
            </w:tcBorders>
          </w:tcPr>
          <w:p w14:paraId="660FD48C" w14:textId="77777777" w:rsidR="00AD62CD" w:rsidRPr="00AD62CD" w:rsidRDefault="00AD62CD" w:rsidP="00AD62CD">
            <w:pPr>
              <w:spacing w:after="0" w:line="240" w:lineRule="auto"/>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 xml:space="preserve">   z toho vplyv na ŠR</w:t>
            </w:r>
          </w:p>
        </w:tc>
        <w:tc>
          <w:tcPr>
            <w:tcW w:w="1698" w:type="dxa"/>
            <w:tcBorders>
              <w:top w:val="single" w:sz="4" w:space="0" w:color="auto"/>
              <w:left w:val="nil"/>
              <w:bottom w:val="single" w:sz="4" w:space="0" w:color="auto"/>
              <w:right w:val="single" w:sz="4" w:space="0" w:color="auto"/>
            </w:tcBorders>
          </w:tcPr>
          <w:p w14:paraId="0859FCE4"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788" w:type="dxa"/>
            <w:tcBorders>
              <w:top w:val="single" w:sz="4" w:space="0" w:color="auto"/>
              <w:left w:val="nil"/>
              <w:bottom w:val="single" w:sz="4" w:space="0" w:color="auto"/>
              <w:right w:val="single" w:sz="4" w:space="0" w:color="auto"/>
            </w:tcBorders>
          </w:tcPr>
          <w:p w14:paraId="7F477E3B"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2418" w:type="dxa"/>
            <w:gridSpan w:val="2"/>
            <w:tcBorders>
              <w:top w:val="single" w:sz="4" w:space="0" w:color="auto"/>
              <w:left w:val="nil"/>
              <w:bottom w:val="single" w:sz="4" w:space="0" w:color="auto"/>
              <w:right w:val="single" w:sz="4" w:space="0" w:color="auto"/>
            </w:tcBorders>
          </w:tcPr>
          <w:p w14:paraId="74C2A19B"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722" w:type="dxa"/>
            <w:tcBorders>
              <w:top w:val="single" w:sz="4" w:space="0" w:color="auto"/>
              <w:left w:val="nil"/>
              <w:bottom w:val="single" w:sz="4" w:space="0" w:color="auto"/>
              <w:right w:val="single" w:sz="4" w:space="0" w:color="auto"/>
            </w:tcBorders>
          </w:tcPr>
          <w:p w14:paraId="69BEA108"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620" w:type="dxa"/>
            <w:gridSpan w:val="2"/>
            <w:tcBorders>
              <w:top w:val="nil"/>
              <w:left w:val="nil"/>
              <w:bottom w:val="single" w:sz="4" w:space="0" w:color="auto"/>
              <w:right w:val="single" w:sz="4" w:space="0" w:color="auto"/>
            </w:tcBorders>
            <w:noWrap/>
            <w:vAlign w:val="bottom"/>
          </w:tcPr>
          <w:p w14:paraId="51349522"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r>
      <w:tr w:rsidR="00AD62CD" w:rsidRPr="00AD62CD" w14:paraId="2C6AD299" w14:textId="77777777" w:rsidTr="003627DF">
        <w:trPr>
          <w:trHeight w:val="255"/>
        </w:trPr>
        <w:tc>
          <w:tcPr>
            <w:tcW w:w="6188" w:type="dxa"/>
            <w:tcBorders>
              <w:top w:val="nil"/>
              <w:left w:val="single" w:sz="4" w:space="0" w:color="auto"/>
              <w:bottom w:val="single" w:sz="4" w:space="0" w:color="auto"/>
              <w:right w:val="single" w:sz="4" w:space="0" w:color="auto"/>
            </w:tcBorders>
          </w:tcPr>
          <w:p w14:paraId="5C169638" w14:textId="77777777" w:rsidR="00AD62CD" w:rsidRPr="00AD62CD" w:rsidRDefault="00AD62CD" w:rsidP="00AD62CD">
            <w:pPr>
              <w:spacing w:after="0" w:line="240" w:lineRule="auto"/>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Priemerný mzdový výdavok (v eurách)</w:t>
            </w:r>
          </w:p>
        </w:tc>
        <w:tc>
          <w:tcPr>
            <w:tcW w:w="1698" w:type="dxa"/>
            <w:tcBorders>
              <w:top w:val="single" w:sz="4" w:space="0" w:color="auto"/>
              <w:left w:val="nil"/>
              <w:bottom w:val="single" w:sz="4" w:space="0" w:color="auto"/>
              <w:right w:val="single" w:sz="4" w:space="0" w:color="auto"/>
            </w:tcBorders>
          </w:tcPr>
          <w:p w14:paraId="698DC326"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788" w:type="dxa"/>
            <w:tcBorders>
              <w:top w:val="single" w:sz="4" w:space="0" w:color="auto"/>
              <w:left w:val="nil"/>
              <w:bottom w:val="single" w:sz="4" w:space="0" w:color="auto"/>
              <w:right w:val="single" w:sz="4" w:space="0" w:color="auto"/>
            </w:tcBorders>
          </w:tcPr>
          <w:p w14:paraId="7E847CB7"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2418" w:type="dxa"/>
            <w:gridSpan w:val="2"/>
            <w:tcBorders>
              <w:top w:val="single" w:sz="4" w:space="0" w:color="auto"/>
              <w:left w:val="nil"/>
              <w:bottom w:val="single" w:sz="4" w:space="0" w:color="auto"/>
              <w:right w:val="single" w:sz="4" w:space="0" w:color="auto"/>
            </w:tcBorders>
          </w:tcPr>
          <w:p w14:paraId="3BB1789C"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722" w:type="dxa"/>
            <w:tcBorders>
              <w:top w:val="single" w:sz="4" w:space="0" w:color="auto"/>
              <w:left w:val="nil"/>
              <w:bottom w:val="single" w:sz="4" w:space="0" w:color="auto"/>
              <w:right w:val="single" w:sz="4" w:space="0" w:color="auto"/>
            </w:tcBorders>
          </w:tcPr>
          <w:p w14:paraId="226CC387"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620" w:type="dxa"/>
            <w:gridSpan w:val="2"/>
            <w:tcBorders>
              <w:top w:val="nil"/>
              <w:left w:val="nil"/>
              <w:bottom w:val="single" w:sz="4" w:space="0" w:color="auto"/>
              <w:right w:val="single" w:sz="4" w:space="0" w:color="auto"/>
            </w:tcBorders>
            <w:noWrap/>
            <w:vAlign w:val="bottom"/>
          </w:tcPr>
          <w:p w14:paraId="4195D721"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kern w:val="0"/>
                <w:sz w:val="22"/>
                <w:lang w:eastAsia="sk-SK"/>
                <w14:ligatures w14:val="none"/>
              </w:rPr>
              <w:t> </w:t>
            </w:r>
          </w:p>
        </w:tc>
      </w:tr>
      <w:tr w:rsidR="00AD62CD" w:rsidRPr="00AD62CD" w14:paraId="1DAE9174" w14:textId="77777777" w:rsidTr="003627DF">
        <w:trPr>
          <w:trHeight w:val="255"/>
        </w:trPr>
        <w:tc>
          <w:tcPr>
            <w:tcW w:w="6188" w:type="dxa"/>
            <w:tcBorders>
              <w:top w:val="nil"/>
              <w:left w:val="single" w:sz="4" w:space="0" w:color="auto"/>
              <w:bottom w:val="single" w:sz="4" w:space="0" w:color="auto"/>
              <w:right w:val="single" w:sz="4" w:space="0" w:color="auto"/>
            </w:tcBorders>
          </w:tcPr>
          <w:p w14:paraId="191E079C"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 xml:space="preserve">   z toho vplyv na ŠR</w:t>
            </w:r>
          </w:p>
        </w:tc>
        <w:tc>
          <w:tcPr>
            <w:tcW w:w="1698" w:type="dxa"/>
            <w:tcBorders>
              <w:top w:val="single" w:sz="4" w:space="0" w:color="auto"/>
              <w:left w:val="nil"/>
              <w:bottom w:val="single" w:sz="4" w:space="0" w:color="auto"/>
              <w:right w:val="single" w:sz="4" w:space="0" w:color="auto"/>
            </w:tcBorders>
          </w:tcPr>
          <w:p w14:paraId="30169ED9" w14:textId="77777777" w:rsidR="00AD62CD" w:rsidRPr="00AD62CD" w:rsidRDefault="00AD62CD" w:rsidP="00AD62CD">
            <w:pPr>
              <w:spacing w:after="0" w:line="240" w:lineRule="auto"/>
              <w:jc w:val="center"/>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kern w:val="0"/>
                <w:sz w:val="22"/>
                <w:lang w:eastAsia="sk-SK"/>
                <w14:ligatures w14:val="none"/>
              </w:rPr>
              <w:t> </w:t>
            </w:r>
          </w:p>
        </w:tc>
        <w:tc>
          <w:tcPr>
            <w:tcW w:w="1788" w:type="dxa"/>
            <w:tcBorders>
              <w:top w:val="single" w:sz="4" w:space="0" w:color="auto"/>
              <w:left w:val="nil"/>
              <w:bottom w:val="single" w:sz="4" w:space="0" w:color="auto"/>
              <w:right w:val="single" w:sz="4" w:space="0" w:color="auto"/>
            </w:tcBorders>
          </w:tcPr>
          <w:p w14:paraId="6ED8C6FE" w14:textId="77777777" w:rsidR="00AD62CD" w:rsidRPr="00AD62CD" w:rsidRDefault="00AD62CD" w:rsidP="00AD62CD">
            <w:pPr>
              <w:spacing w:after="0" w:line="240" w:lineRule="auto"/>
              <w:jc w:val="center"/>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kern w:val="0"/>
                <w:sz w:val="22"/>
                <w:lang w:eastAsia="sk-SK"/>
                <w14:ligatures w14:val="none"/>
              </w:rPr>
              <w:t> </w:t>
            </w:r>
          </w:p>
        </w:tc>
        <w:tc>
          <w:tcPr>
            <w:tcW w:w="2418" w:type="dxa"/>
            <w:gridSpan w:val="2"/>
            <w:tcBorders>
              <w:top w:val="single" w:sz="4" w:space="0" w:color="auto"/>
              <w:left w:val="nil"/>
              <w:bottom w:val="single" w:sz="4" w:space="0" w:color="auto"/>
              <w:right w:val="single" w:sz="4" w:space="0" w:color="auto"/>
            </w:tcBorders>
          </w:tcPr>
          <w:p w14:paraId="0D56E827" w14:textId="77777777" w:rsidR="00AD62CD" w:rsidRPr="00AD62CD" w:rsidRDefault="00AD62CD" w:rsidP="00AD62CD">
            <w:pPr>
              <w:spacing w:after="0" w:line="240" w:lineRule="auto"/>
              <w:jc w:val="center"/>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kern w:val="0"/>
                <w:sz w:val="22"/>
                <w:lang w:eastAsia="sk-SK"/>
                <w14:ligatures w14:val="none"/>
              </w:rPr>
              <w:t> </w:t>
            </w:r>
          </w:p>
        </w:tc>
        <w:tc>
          <w:tcPr>
            <w:tcW w:w="1722" w:type="dxa"/>
            <w:tcBorders>
              <w:top w:val="single" w:sz="4" w:space="0" w:color="auto"/>
              <w:left w:val="nil"/>
              <w:bottom w:val="single" w:sz="4" w:space="0" w:color="auto"/>
              <w:right w:val="single" w:sz="4" w:space="0" w:color="auto"/>
            </w:tcBorders>
          </w:tcPr>
          <w:p w14:paraId="5A14C69B" w14:textId="77777777" w:rsidR="00AD62CD" w:rsidRPr="00AD62CD" w:rsidRDefault="00AD62CD" w:rsidP="00AD62CD">
            <w:pPr>
              <w:spacing w:after="0" w:line="240" w:lineRule="auto"/>
              <w:jc w:val="center"/>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kern w:val="0"/>
                <w:sz w:val="22"/>
                <w:lang w:eastAsia="sk-SK"/>
                <w14:ligatures w14:val="none"/>
              </w:rPr>
              <w:t> </w:t>
            </w:r>
          </w:p>
        </w:tc>
        <w:tc>
          <w:tcPr>
            <w:tcW w:w="1620" w:type="dxa"/>
            <w:gridSpan w:val="2"/>
            <w:tcBorders>
              <w:top w:val="nil"/>
              <w:left w:val="nil"/>
              <w:bottom w:val="single" w:sz="4" w:space="0" w:color="auto"/>
              <w:right w:val="single" w:sz="4" w:space="0" w:color="auto"/>
            </w:tcBorders>
            <w:noWrap/>
            <w:vAlign w:val="bottom"/>
          </w:tcPr>
          <w:p w14:paraId="6A14091D"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kern w:val="0"/>
                <w:sz w:val="22"/>
                <w:lang w:eastAsia="sk-SK"/>
                <w14:ligatures w14:val="none"/>
              </w:rPr>
              <w:t> </w:t>
            </w:r>
          </w:p>
        </w:tc>
      </w:tr>
      <w:tr w:rsidR="00AD62CD" w:rsidRPr="00AD62CD" w14:paraId="3965A986" w14:textId="77777777" w:rsidTr="00AD62CD">
        <w:trPr>
          <w:trHeight w:val="255"/>
        </w:trPr>
        <w:tc>
          <w:tcPr>
            <w:tcW w:w="6188" w:type="dxa"/>
            <w:tcBorders>
              <w:top w:val="nil"/>
              <w:left w:val="single" w:sz="4" w:space="0" w:color="auto"/>
              <w:bottom w:val="single" w:sz="4" w:space="0" w:color="auto"/>
              <w:right w:val="single" w:sz="4" w:space="0" w:color="auto"/>
            </w:tcBorders>
            <w:shd w:val="clear" w:color="auto" w:fill="BFBFBF"/>
          </w:tcPr>
          <w:p w14:paraId="4D0EC28A" w14:textId="77777777" w:rsidR="00AD62CD" w:rsidRPr="00AD62CD" w:rsidRDefault="00AD62CD" w:rsidP="00AD62CD">
            <w:pPr>
              <w:spacing w:after="0" w:line="240" w:lineRule="auto"/>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Osobné výdavky celkom (v eurách)</w:t>
            </w:r>
          </w:p>
        </w:tc>
        <w:tc>
          <w:tcPr>
            <w:tcW w:w="1698" w:type="dxa"/>
            <w:tcBorders>
              <w:top w:val="nil"/>
              <w:left w:val="nil"/>
              <w:bottom w:val="single" w:sz="4" w:space="0" w:color="auto"/>
              <w:right w:val="single" w:sz="4" w:space="0" w:color="auto"/>
            </w:tcBorders>
            <w:shd w:val="clear" w:color="auto" w:fill="BFBFBF"/>
          </w:tcPr>
          <w:p w14:paraId="4A4A1933"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0</w:t>
            </w:r>
          </w:p>
        </w:tc>
        <w:tc>
          <w:tcPr>
            <w:tcW w:w="1788" w:type="dxa"/>
            <w:tcBorders>
              <w:top w:val="nil"/>
              <w:left w:val="nil"/>
              <w:bottom w:val="single" w:sz="4" w:space="0" w:color="auto"/>
              <w:right w:val="single" w:sz="4" w:space="0" w:color="auto"/>
            </w:tcBorders>
            <w:shd w:val="clear" w:color="auto" w:fill="BFBFBF"/>
          </w:tcPr>
          <w:p w14:paraId="17B5970A"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0</w:t>
            </w:r>
          </w:p>
        </w:tc>
        <w:tc>
          <w:tcPr>
            <w:tcW w:w="2418" w:type="dxa"/>
            <w:gridSpan w:val="2"/>
            <w:tcBorders>
              <w:top w:val="nil"/>
              <w:left w:val="nil"/>
              <w:bottom w:val="single" w:sz="4" w:space="0" w:color="auto"/>
              <w:right w:val="single" w:sz="4" w:space="0" w:color="auto"/>
            </w:tcBorders>
            <w:shd w:val="clear" w:color="auto" w:fill="BFBFBF"/>
          </w:tcPr>
          <w:p w14:paraId="2C70287C"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0</w:t>
            </w:r>
          </w:p>
        </w:tc>
        <w:tc>
          <w:tcPr>
            <w:tcW w:w="1722" w:type="dxa"/>
            <w:tcBorders>
              <w:top w:val="nil"/>
              <w:left w:val="nil"/>
              <w:bottom w:val="single" w:sz="4" w:space="0" w:color="auto"/>
              <w:right w:val="single" w:sz="4" w:space="0" w:color="auto"/>
            </w:tcBorders>
            <w:shd w:val="clear" w:color="auto" w:fill="BFBFBF"/>
          </w:tcPr>
          <w:p w14:paraId="65CDEC52"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0</w:t>
            </w:r>
          </w:p>
        </w:tc>
        <w:tc>
          <w:tcPr>
            <w:tcW w:w="1620" w:type="dxa"/>
            <w:gridSpan w:val="2"/>
            <w:tcBorders>
              <w:top w:val="nil"/>
              <w:left w:val="nil"/>
              <w:bottom w:val="single" w:sz="4" w:space="0" w:color="auto"/>
              <w:right w:val="single" w:sz="4" w:space="0" w:color="auto"/>
            </w:tcBorders>
            <w:shd w:val="clear" w:color="auto" w:fill="BFBFBF"/>
            <w:noWrap/>
            <w:vAlign w:val="bottom"/>
          </w:tcPr>
          <w:p w14:paraId="27EFE660" w14:textId="77777777" w:rsidR="00AD62CD" w:rsidRPr="00AD62CD" w:rsidRDefault="00AD62CD" w:rsidP="00AD62CD">
            <w:pPr>
              <w:spacing w:after="0" w:line="240" w:lineRule="auto"/>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 </w:t>
            </w:r>
          </w:p>
        </w:tc>
      </w:tr>
      <w:tr w:rsidR="00AD62CD" w:rsidRPr="00AD62CD" w14:paraId="3F380A7C" w14:textId="77777777" w:rsidTr="003627DF">
        <w:trPr>
          <w:trHeight w:val="255"/>
        </w:trPr>
        <w:tc>
          <w:tcPr>
            <w:tcW w:w="6188" w:type="dxa"/>
            <w:tcBorders>
              <w:top w:val="nil"/>
              <w:left w:val="single" w:sz="4" w:space="0" w:color="auto"/>
              <w:bottom w:val="single" w:sz="4" w:space="0" w:color="auto"/>
              <w:right w:val="single" w:sz="4" w:space="0" w:color="auto"/>
            </w:tcBorders>
          </w:tcPr>
          <w:p w14:paraId="0C253972" w14:textId="77777777" w:rsidR="00AD62CD" w:rsidRPr="00AD62CD" w:rsidRDefault="00AD62CD" w:rsidP="00AD62CD">
            <w:pPr>
              <w:spacing w:after="0" w:line="240" w:lineRule="auto"/>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Mzdy, platy, služobné príjmy a ostatné osobné vyrovnania (610)</w:t>
            </w:r>
          </w:p>
        </w:tc>
        <w:tc>
          <w:tcPr>
            <w:tcW w:w="1698" w:type="dxa"/>
            <w:tcBorders>
              <w:top w:val="nil"/>
              <w:left w:val="nil"/>
              <w:bottom w:val="single" w:sz="4" w:space="0" w:color="auto"/>
              <w:right w:val="single" w:sz="4" w:space="0" w:color="auto"/>
            </w:tcBorders>
          </w:tcPr>
          <w:p w14:paraId="0B1993FF"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788" w:type="dxa"/>
            <w:tcBorders>
              <w:top w:val="nil"/>
              <w:left w:val="nil"/>
              <w:bottom w:val="single" w:sz="4" w:space="0" w:color="auto"/>
              <w:right w:val="single" w:sz="4" w:space="0" w:color="auto"/>
            </w:tcBorders>
          </w:tcPr>
          <w:p w14:paraId="6F4F5F59"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2418" w:type="dxa"/>
            <w:gridSpan w:val="2"/>
            <w:tcBorders>
              <w:top w:val="nil"/>
              <w:left w:val="nil"/>
              <w:bottom w:val="single" w:sz="4" w:space="0" w:color="auto"/>
              <w:right w:val="single" w:sz="4" w:space="0" w:color="auto"/>
            </w:tcBorders>
          </w:tcPr>
          <w:p w14:paraId="5309BEA2"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722" w:type="dxa"/>
            <w:tcBorders>
              <w:top w:val="nil"/>
              <w:left w:val="nil"/>
              <w:bottom w:val="single" w:sz="4" w:space="0" w:color="auto"/>
              <w:right w:val="single" w:sz="4" w:space="0" w:color="auto"/>
            </w:tcBorders>
          </w:tcPr>
          <w:p w14:paraId="37E33CDF"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620" w:type="dxa"/>
            <w:gridSpan w:val="2"/>
            <w:tcBorders>
              <w:top w:val="nil"/>
              <w:left w:val="nil"/>
              <w:bottom w:val="single" w:sz="4" w:space="0" w:color="auto"/>
              <w:right w:val="single" w:sz="4" w:space="0" w:color="auto"/>
            </w:tcBorders>
            <w:noWrap/>
            <w:vAlign w:val="bottom"/>
          </w:tcPr>
          <w:p w14:paraId="23A2FFB2" w14:textId="77777777" w:rsidR="00AD62CD" w:rsidRPr="00AD62CD" w:rsidRDefault="00AD62CD" w:rsidP="00AD62CD">
            <w:pPr>
              <w:spacing w:after="0" w:line="240" w:lineRule="auto"/>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 </w:t>
            </w:r>
          </w:p>
        </w:tc>
      </w:tr>
      <w:tr w:rsidR="00AD62CD" w:rsidRPr="00AD62CD" w14:paraId="6480BDD2" w14:textId="77777777" w:rsidTr="003627DF">
        <w:trPr>
          <w:trHeight w:val="255"/>
        </w:trPr>
        <w:tc>
          <w:tcPr>
            <w:tcW w:w="6188" w:type="dxa"/>
            <w:tcBorders>
              <w:top w:val="nil"/>
              <w:left w:val="single" w:sz="4" w:space="0" w:color="auto"/>
              <w:bottom w:val="single" w:sz="4" w:space="0" w:color="auto"/>
              <w:right w:val="single" w:sz="4" w:space="0" w:color="auto"/>
            </w:tcBorders>
          </w:tcPr>
          <w:p w14:paraId="63F70113"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 xml:space="preserve">   z toho vplyv na ŠR</w:t>
            </w:r>
          </w:p>
        </w:tc>
        <w:tc>
          <w:tcPr>
            <w:tcW w:w="1698" w:type="dxa"/>
            <w:tcBorders>
              <w:top w:val="nil"/>
              <w:left w:val="nil"/>
              <w:bottom w:val="single" w:sz="4" w:space="0" w:color="auto"/>
              <w:right w:val="single" w:sz="4" w:space="0" w:color="auto"/>
            </w:tcBorders>
          </w:tcPr>
          <w:p w14:paraId="15F1216D" w14:textId="77777777" w:rsidR="00AD62CD" w:rsidRPr="00AD62CD" w:rsidRDefault="00AD62CD" w:rsidP="00AD62CD">
            <w:pPr>
              <w:spacing w:after="0" w:line="240" w:lineRule="auto"/>
              <w:jc w:val="center"/>
              <w:rPr>
                <w:rFonts w:ascii="Times New Roman" w:eastAsia="Times New Roman" w:hAnsi="Times New Roman" w:cs="Times New Roman"/>
                <w:kern w:val="0"/>
                <w:sz w:val="22"/>
                <w:lang w:eastAsia="sk-SK"/>
                <w14:ligatures w14:val="none"/>
              </w:rPr>
            </w:pPr>
          </w:p>
        </w:tc>
        <w:tc>
          <w:tcPr>
            <w:tcW w:w="1788" w:type="dxa"/>
            <w:tcBorders>
              <w:top w:val="nil"/>
              <w:left w:val="nil"/>
              <w:bottom w:val="single" w:sz="4" w:space="0" w:color="auto"/>
              <w:right w:val="single" w:sz="4" w:space="0" w:color="auto"/>
            </w:tcBorders>
          </w:tcPr>
          <w:p w14:paraId="5E9C1F2C" w14:textId="77777777" w:rsidR="00AD62CD" w:rsidRPr="00AD62CD" w:rsidRDefault="00AD62CD" w:rsidP="00AD62CD">
            <w:pPr>
              <w:spacing w:after="0" w:line="240" w:lineRule="auto"/>
              <w:jc w:val="center"/>
              <w:rPr>
                <w:rFonts w:ascii="Times New Roman" w:eastAsia="Times New Roman" w:hAnsi="Times New Roman" w:cs="Times New Roman"/>
                <w:kern w:val="0"/>
                <w:sz w:val="22"/>
                <w:lang w:eastAsia="sk-SK"/>
                <w14:ligatures w14:val="none"/>
              </w:rPr>
            </w:pPr>
          </w:p>
        </w:tc>
        <w:tc>
          <w:tcPr>
            <w:tcW w:w="2418" w:type="dxa"/>
            <w:gridSpan w:val="2"/>
            <w:tcBorders>
              <w:top w:val="nil"/>
              <w:left w:val="nil"/>
              <w:bottom w:val="single" w:sz="4" w:space="0" w:color="auto"/>
              <w:right w:val="single" w:sz="4" w:space="0" w:color="auto"/>
            </w:tcBorders>
          </w:tcPr>
          <w:p w14:paraId="2664CD40" w14:textId="77777777" w:rsidR="00AD62CD" w:rsidRPr="00AD62CD" w:rsidRDefault="00AD62CD" w:rsidP="00AD62CD">
            <w:pPr>
              <w:spacing w:after="0" w:line="240" w:lineRule="auto"/>
              <w:jc w:val="center"/>
              <w:rPr>
                <w:rFonts w:ascii="Times New Roman" w:eastAsia="Times New Roman" w:hAnsi="Times New Roman" w:cs="Times New Roman"/>
                <w:kern w:val="0"/>
                <w:sz w:val="22"/>
                <w:lang w:eastAsia="sk-SK"/>
                <w14:ligatures w14:val="none"/>
              </w:rPr>
            </w:pPr>
          </w:p>
        </w:tc>
        <w:tc>
          <w:tcPr>
            <w:tcW w:w="1722" w:type="dxa"/>
            <w:tcBorders>
              <w:top w:val="nil"/>
              <w:left w:val="nil"/>
              <w:bottom w:val="single" w:sz="4" w:space="0" w:color="auto"/>
              <w:right w:val="single" w:sz="4" w:space="0" w:color="auto"/>
            </w:tcBorders>
          </w:tcPr>
          <w:p w14:paraId="0422EA2B" w14:textId="77777777" w:rsidR="00AD62CD" w:rsidRPr="00AD62CD" w:rsidRDefault="00AD62CD" w:rsidP="00AD62CD">
            <w:pPr>
              <w:spacing w:after="0" w:line="240" w:lineRule="auto"/>
              <w:jc w:val="center"/>
              <w:rPr>
                <w:rFonts w:ascii="Times New Roman" w:eastAsia="Times New Roman" w:hAnsi="Times New Roman" w:cs="Times New Roman"/>
                <w:kern w:val="0"/>
                <w:sz w:val="22"/>
                <w:lang w:eastAsia="sk-SK"/>
                <w14:ligatures w14:val="none"/>
              </w:rPr>
            </w:pPr>
          </w:p>
        </w:tc>
        <w:tc>
          <w:tcPr>
            <w:tcW w:w="1620" w:type="dxa"/>
            <w:gridSpan w:val="2"/>
            <w:tcBorders>
              <w:top w:val="nil"/>
              <w:left w:val="nil"/>
              <w:bottom w:val="single" w:sz="4" w:space="0" w:color="auto"/>
              <w:right w:val="single" w:sz="4" w:space="0" w:color="auto"/>
            </w:tcBorders>
            <w:noWrap/>
            <w:vAlign w:val="bottom"/>
          </w:tcPr>
          <w:p w14:paraId="4A7E25E6"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kern w:val="0"/>
                <w:sz w:val="22"/>
                <w:lang w:eastAsia="sk-SK"/>
                <w14:ligatures w14:val="none"/>
              </w:rPr>
              <w:t> </w:t>
            </w:r>
          </w:p>
        </w:tc>
      </w:tr>
      <w:tr w:rsidR="00AD62CD" w:rsidRPr="00AD62CD" w14:paraId="51411662" w14:textId="77777777" w:rsidTr="003627DF">
        <w:trPr>
          <w:trHeight w:val="255"/>
        </w:trPr>
        <w:tc>
          <w:tcPr>
            <w:tcW w:w="6188" w:type="dxa"/>
            <w:tcBorders>
              <w:top w:val="nil"/>
              <w:left w:val="single" w:sz="4" w:space="0" w:color="auto"/>
              <w:bottom w:val="single" w:sz="4" w:space="0" w:color="auto"/>
              <w:right w:val="single" w:sz="4" w:space="0" w:color="auto"/>
            </w:tcBorders>
          </w:tcPr>
          <w:p w14:paraId="39FF1641" w14:textId="77777777" w:rsidR="00AD62CD" w:rsidRPr="00AD62CD" w:rsidRDefault="00AD62CD" w:rsidP="00AD62CD">
            <w:pPr>
              <w:spacing w:after="0" w:line="240" w:lineRule="auto"/>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Poistné a príspevok do poisťovní (620)</w:t>
            </w:r>
          </w:p>
        </w:tc>
        <w:tc>
          <w:tcPr>
            <w:tcW w:w="1698" w:type="dxa"/>
            <w:tcBorders>
              <w:top w:val="nil"/>
              <w:left w:val="nil"/>
              <w:bottom w:val="single" w:sz="4" w:space="0" w:color="auto"/>
              <w:right w:val="single" w:sz="4" w:space="0" w:color="auto"/>
            </w:tcBorders>
          </w:tcPr>
          <w:p w14:paraId="0A0583D9"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788" w:type="dxa"/>
            <w:tcBorders>
              <w:top w:val="nil"/>
              <w:left w:val="nil"/>
              <w:bottom w:val="single" w:sz="4" w:space="0" w:color="auto"/>
              <w:right w:val="single" w:sz="4" w:space="0" w:color="auto"/>
            </w:tcBorders>
          </w:tcPr>
          <w:p w14:paraId="109FD335"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2418" w:type="dxa"/>
            <w:gridSpan w:val="2"/>
            <w:tcBorders>
              <w:top w:val="nil"/>
              <w:left w:val="nil"/>
              <w:bottom w:val="single" w:sz="4" w:space="0" w:color="auto"/>
              <w:right w:val="single" w:sz="4" w:space="0" w:color="auto"/>
            </w:tcBorders>
          </w:tcPr>
          <w:p w14:paraId="5E7654A5"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722" w:type="dxa"/>
            <w:tcBorders>
              <w:top w:val="nil"/>
              <w:left w:val="nil"/>
              <w:bottom w:val="single" w:sz="4" w:space="0" w:color="auto"/>
              <w:right w:val="single" w:sz="4" w:space="0" w:color="auto"/>
            </w:tcBorders>
          </w:tcPr>
          <w:p w14:paraId="7C9A2736"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lang w:eastAsia="sk-SK"/>
                <w14:ligatures w14:val="none"/>
              </w:rPr>
            </w:pPr>
          </w:p>
        </w:tc>
        <w:tc>
          <w:tcPr>
            <w:tcW w:w="1620" w:type="dxa"/>
            <w:gridSpan w:val="2"/>
            <w:tcBorders>
              <w:top w:val="nil"/>
              <w:left w:val="nil"/>
              <w:bottom w:val="single" w:sz="4" w:space="0" w:color="auto"/>
              <w:right w:val="single" w:sz="4" w:space="0" w:color="auto"/>
            </w:tcBorders>
            <w:noWrap/>
            <w:vAlign w:val="bottom"/>
          </w:tcPr>
          <w:p w14:paraId="40DF4AB0" w14:textId="77777777" w:rsidR="00AD62CD" w:rsidRPr="00AD62CD" w:rsidRDefault="00AD62CD" w:rsidP="00AD62CD">
            <w:pPr>
              <w:spacing w:after="0" w:line="240" w:lineRule="auto"/>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 </w:t>
            </w:r>
          </w:p>
        </w:tc>
      </w:tr>
      <w:tr w:rsidR="00AD62CD" w:rsidRPr="00AD62CD" w14:paraId="41F13B57" w14:textId="77777777" w:rsidTr="003627DF">
        <w:trPr>
          <w:trHeight w:val="255"/>
        </w:trPr>
        <w:tc>
          <w:tcPr>
            <w:tcW w:w="6188" w:type="dxa"/>
            <w:tcBorders>
              <w:top w:val="nil"/>
              <w:left w:val="single" w:sz="4" w:space="0" w:color="auto"/>
              <w:bottom w:val="single" w:sz="4" w:space="0" w:color="auto"/>
              <w:right w:val="single" w:sz="4" w:space="0" w:color="auto"/>
            </w:tcBorders>
          </w:tcPr>
          <w:p w14:paraId="49047C47"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 xml:space="preserve">   z toho vplyv na ŠR</w:t>
            </w:r>
          </w:p>
        </w:tc>
        <w:tc>
          <w:tcPr>
            <w:tcW w:w="1698" w:type="dxa"/>
            <w:tcBorders>
              <w:top w:val="nil"/>
              <w:left w:val="nil"/>
              <w:bottom w:val="single" w:sz="4" w:space="0" w:color="auto"/>
              <w:right w:val="single" w:sz="4" w:space="0" w:color="auto"/>
            </w:tcBorders>
          </w:tcPr>
          <w:p w14:paraId="4C207EFE" w14:textId="77777777" w:rsidR="00AD62CD" w:rsidRPr="00AD62CD" w:rsidRDefault="00AD62CD" w:rsidP="00AD62CD">
            <w:pPr>
              <w:spacing w:after="0" w:line="240" w:lineRule="auto"/>
              <w:jc w:val="center"/>
              <w:rPr>
                <w:rFonts w:ascii="Times New Roman" w:eastAsia="Times New Roman" w:hAnsi="Times New Roman" w:cs="Times New Roman"/>
                <w:kern w:val="0"/>
                <w:sz w:val="22"/>
                <w:lang w:eastAsia="sk-SK"/>
                <w14:ligatures w14:val="none"/>
              </w:rPr>
            </w:pPr>
          </w:p>
        </w:tc>
        <w:tc>
          <w:tcPr>
            <w:tcW w:w="1788" w:type="dxa"/>
            <w:tcBorders>
              <w:top w:val="nil"/>
              <w:left w:val="nil"/>
              <w:bottom w:val="single" w:sz="4" w:space="0" w:color="auto"/>
              <w:right w:val="single" w:sz="4" w:space="0" w:color="auto"/>
            </w:tcBorders>
          </w:tcPr>
          <w:p w14:paraId="15B4AFE4" w14:textId="77777777" w:rsidR="00AD62CD" w:rsidRPr="00AD62CD" w:rsidRDefault="00AD62CD" w:rsidP="00AD62CD">
            <w:pPr>
              <w:spacing w:after="0" w:line="240" w:lineRule="auto"/>
              <w:jc w:val="center"/>
              <w:rPr>
                <w:rFonts w:ascii="Times New Roman" w:eastAsia="Times New Roman" w:hAnsi="Times New Roman" w:cs="Times New Roman"/>
                <w:kern w:val="0"/>
                <w:sz w:val="22"/>
                <w:lang w:eastAsia="sk-SK"/>
                <w14:ligatures w14:val="none"/>
              </w:rPr>
            </w:pPr>
          </w:p>
        </w:tc>
        <w:tc>
          <w:tcPr>
            <w:tcW w:w="2418" w:type="dxa"/>
            <w:gridSpan w:val="2"/>
            <w:tcBorders>
              <w:top w:val="nil"/>
              <w:left w:val="nil"/>
              <w:bottom w:val="single" w:sz="4" w:space="0" w:color="auto"/>
              <w:right w:val="single" w:sz="4" w:space="0" w:color="auto"/>
            </w:tcBorders>
          </w:tcPr>
          <w:p w14:paraId="4FCC7A98" w14:textId="77777777" w:rsidR="00AD62CD" w:rsidRPr="00AD62CD" w:rsidRDefault="00AD62CD" w:rsidP="00AD62CD">
            <w:pPr>
              <w:spacing w:after="0" w:line="240" w:lineRule="auto"/>
              <w:jc w:val="center"/>
              <w:rPr>
                <w:rFonts w:ascii="Times New Roman" w:eastAsia="Times New Roman" w:hAnsi="Times New Roman" w:cs="Times New Roman"/>
                <w:kern w:val="0"/>
                <w:sz w:val="22"/>
                <w:lang w:eastAsia="sk-SK"/>
                <w14:ligatures w14:val="none"/>
              </w:rPr>
            </w:pPr>
          </w:p>
        </w:tc>
        <w:tc>
          <w:tcPr>
            <w:tcW w:w="1722" w:type="dxa"/>
            <w:tcBorders>
              <w:top w:val="nil"/>
              <w:left w:val="nil"/>
              <w:bottom w:val="single" w:sz="4" w:space="0" w:color="auto"/>
              <w:right w:val="single" w:sz="4" w:space="0" w:color="auto"/>
            </w:tcBorders>
          </w:tcPr>
          <w:p w14:paraId="7287FEF8" w14:textId="77777777" w:rsidR="00AD62CD" w:rsidRPr="00AD62CD" w:rsidRDefault="00AD62CD" w:rsidP="00AD62CD">
            <w:pPr>
              <w:spacing w:after="0" w:line="240" w:lineRule="auto"/>
              <w:jc w:val="center"/>
              <w:rPr>
                <w:rFonts w:ascii="Times New Roman" w:eastAsia="Times New Roman" w:hAnsi="Times New Roman" w:cs="Times New Roman"/>
                <w:kern w:val="0"/>
                <w:sz w:val="22"/>
                <w:lang w:eastAsia="sk-SK"/>
                <w14:ligatures w14:val="none"/>
              </w:rPr>
            </w:pPr>
          </w:p>
        </w:tc>
        <w:tc>
          <w:tcPr>
            <w:tcW w:w="1620" w:type="dxa"/>
            <w:gridSpan w:val="2"/>
            <w:tcBorders>
              <w:top w:val="nil"/>
              <w:left w:val="nil"/>
              <w:bottom w:val="single" w:sz="4" w:space="0" w:color="auto"/>
              <w:right w:val="single" w:sz="4" w:space="0" w:color="auto"/>
            </w:tcBorders>
            <w:noWrap/>
            <w:vAlign w:val="bottom"/>
          </w:tcPr>
          <w:p w14:paraId="664D638E"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kern w:val="0"/>
                <w:sz w:val="22"/>
                <w:lang w:eastAsia="sk-SK"/>
                <w14:ligatures w14:val="none"/>
              </w:rPr>
              <w:t> </w:t>
            </w:r>
          </w:p>
        </w:tc>
      </w:tr>
      <w:tr w:rsidR="00AD62CD" w:rsidRPr="00AD62CD" w14:paraId="77499783" w14:textId="77777777" w:rsidTr="003627DF">
        <w:trPr>
          <w:trHeight w:val="255"/>
        </w:trPr>
        <w:tc>
          <w:tcPr>
            <w:tcW w:w="6188" w:type="dxa"/>
            <w:tcBorders>
              <w:top w:val="nil"/>
              <w:left w:val="nil"/>
              <w:bottom w:val="nil"/>
              <w:right w:val="nil"/>
            </w:tcBorders>
            <w:noWrap/>
            <w:vAlign w:val="bottom"/>
          </w:tcPr>
          <w:p w14:paraId="5E7E6301"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c>
          <w:tcPr>
            <w:tcW w:w="1698" w:type="dxa"/>
            <w:tcBorders>
              <w:top w:val="nil"/>
              <w:left w:val="nil"/>
              <w:bottom w:val="nil"/>
              <w:right w:val="nil"/>
            </w:tcBorders>
            <w:noWrap/>
            <w:vAlign w:val="bottom"/>
          </w:tcPr>
          <w:p w14:paraId="31A8F482"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c>
          <w:tcPr>
            <w:tcW w:w="1788" w:type="dxa"/>
            <w:tcBorders>
              <w:top w:val="nil"/>
              <w:left w:val="nil"/>
              <w:bottom w:val="nil"/>
              <w:right w:val="nil"/>
            </w:tcBorders>
            <w:noWrap/>
            <w:vAlign w:val="bottom"/>
          </w:tcPr>
          <w:p w14:paraId="39B8DC38"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c>
          <w:tcPr>
            <w:tcW w:w="2418" w:type="dxa"/>
            <w:gridSpan w:val="2"/>
            <w:tcBorders>
              <w:top w:val="nil"/>
              <w:left w:val="nil"/>
              <w:bottom w:val="nil"/>
              <w:right w:val="nil"/>
            </w:tcBorders>
            <w:noWrap/>
            <w:vAlign w:val="bottom"/>
          </w:tcPr>
          <w:p w14:paraId="03E524A4"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c>
          <w:tcPr>
            <w:tcW w:w="1722" w:type="dxa"/>
            <w:tcBorders>
              <w:top w:val="nil"/>
              <w:left w:val="nil"/>
              <w:bottom w:val="nil"/>
              <w:right w:val="nil"/>
            </w:tcBorders>
            <w:noWrap/>
            <w:vAlign w:val="bottom"/>
          </w:tcPr>
          <w:p w14:paraId="08BB6852"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c>
          <w:tcPr>
            <w:tcW w:w="1620" w:type="dxa"/>
            <w:gridSpan w:val="2"/>
            <w:tcBorders>
              <w:top w:val="nil"/>
              <w:left w:val="nil"/>
              <w:bottom w:val="nil"/>
              <w:right w:val="nil"/>
            </w:tcBorders>
            <w:noWrap/>
            <w:vAlign w:val="bottom"/>
          </w:tcPr>
          <w:p w14:paraId="189DC2DF"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r>
      <w:tr w:rsidR="00AD62CD" w:rsidRPr="00AD62CD" w14:paraId="1522BD92" w14:textId="77777777" w:rsidTr="003627DF">
        <w:trPr>
          <w:trHeight w:val="255"/>
        </w:trPr>
        <w:tc>
          <w:tcPr>
            <w:tcW w:w="6188" w:type="dxa"/>
            <w:tcBorders>
              <w:top w:val="nil"/>
              <w:left w:val="nil"/>
              <w:bottom w:val="nil"/>
              <w:right w:val="nil"/>
            </w:tcBorders>
          </w:tcPr>
          <w:p w14:paraId="5D4666C3" w14:textId="77777777" w:rsidR="00AD62CD" w:rsidRPr="00AD62CD" w:rsidRDefault="00AD62CD" w:rsidP="00AD62CD">
            <w:pPr>
              <w:spacing w:after="0" w:line="240" w:lineRule="auto"/>
              <w:rPr>
                <w:rFonts w:ascii="Times New Roman" w:eastAsia="Times New Roman" w:hAnsi="Times New Roman" w:cs="Times New Roman"/>
                <w:b/>
                <w:bCs/>
                <w:kern w:val="0"/>
                <w:sz w:val="22"/>
                <w:lang w:eastAsia="sk-SK"/>
                <w14:ligatures w14:val="none"/>
              </w:rPr>
            </w:pPr>
            <w:r w:rsidRPr="00AD62CD">
              <w:rPr>
                <w:rFonts w:ascii="Times New Roman" w:eastAsia="Times New Roman" w:hAnsi="Times New Roman" w:cs="Times New Roman"/>
                <w:b/>
                <w:bCs/>
                <w:kern w:val="0"/>
                <w:sz w:val="22"/>
                <w:lang w:eastAsia="sk-SK"/>
                <w14:ligatures w14:val="none"/>
              </w:rPr>
              <w:t>Poznámky:</w:t>
            </w:r>
          </w:p>
        </w:tc>
        <w:tc>
          <w:tcPr>
            <w:tcW w:w="1698" w:type="dxa"/>
            <w:tcBorders>
              <w:top w:val="nil"/>
              <w:left w:val="nil"/>
              <w:bottom w:val="nil"/>
              <w:right w:val="nil"/>
            </w:tcBorders>
            <w:noWrap/>
            <w:vAlign w:val="bottom"/>
          </w:tcPr>
          <w:p w14:paraId="70E12F83"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c>
          <w:tcPr>
            <w:tcW w:w="1788" w:type="dxa"/>
            <w:tcBorders>
              <w:top w:val="nil"/>
              <w:left w:val="nil"/>
              <w:bottom w:val="nil"/>
              <w:right w:val="nil"/>
            </w:tcBorders>
            <w:noWrap/>
            <w:vAlign w:val="bottom"/>
          </w:tcPr>
          <w:p w14:paraId="09E8AB48"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c>
          <w:tcPr>
            <w:tcW w:w="2418" w:type="dxa"/>
            <w:gridSpan w:val="2"/>
            <w:tcBorders>
              <w:top w:val="nil"/>
              <w:left w:val="nil"/>
              <w:bottom w:val="nil"/>
              <w:right w:val="nil"/>
            </w:tcBorders>
            <w:noWrap/>
            <w:vAlign w:val="bottom"/>
          </w:tcPr>
          <w:p w14:paraId="3DFF91D8"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c>
          <w:tcPr>
            <w:tcW w:w="1722" w:type="dxa"/>
            <w:tcBorders>
              <w:top w:val="nil"/>
              <w:left w:val="nil"/>
              <w:bottom w:val="nil"/>
              <w:right w:val="nil"/>
            </w:tcBorders>
            <w:noWrap/>
            <w:vAlign w:val="bottom"/>
          </w:tcPr>
          <w:p w14:paraId="108AD726"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c>
          <w:tcPr>
            <w:tcW w:w="1620" w:type="dxa"/>
            <w:gridSpan w:val="2"/>
            <w:tcBorders>
              <w:top w:val="nil"/>
              <w:left w:val="nil"/>
              <w:bottom w:val="nil"/>
              <w:right w:val="nil"/>
            </w:tcBorders>
            <w:noWrap/>
            <w:vAlign w:val="bottom"/>
          </w:tcPr>
          <w:p w14:paraId="396C91D0"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r>
      <w:tr w:rsidR="00AD62CD" w:rsidRPr="00AD62CD" w14:paraId="5B727F82" w14:textId="77777777" w:rsidTr="003627DF">
        <w:trPr>
          <w:trHeight w:val="255"/>
        </w:trPr>
        <w:tc>
          <w:tcPr>
            <w:tcW w:w="13814" w:type="dxa"/>
            <w:gridSpan w:val="6"/>
            <w:tcBorders>
              <w:top w:val="nil"/>
              <w:left w:val="nil"/>
              <w:bottom w:val="nil"/>
              <w:right w:val="nil"/>
            </w:tcBorders>
            <w:noWrap/>
          </w:tcPr>
          <w:p w14:paraId="70CF37D1" w14:textId="77777777" w:rsidR="00AD62CD" w:rsidRPr="00AD62CD" w:rsidRDefault="00AD62CD" w:rsidP="00AD62CD">
            <w:pPr>
              <w:tabs>
                <w:tab w:val="num" w:pos="1080"/>
              </w:tabs>
              <w:spacing w:after="0" w:line="240" w:lineRule="auto"/>
              <w:jc w:val="both"/>
              <w:rPr>
                <w:rFonts w:ascii="Times New Roman" w:eastAsia="Times New Roman" w:hAnsi="Times New Roman" w:cs="Times New Roman"/>
                <w:bCs/>
                <w:kern w:val="0"/>
                <w:sz w:val="22"/>
                <w:szCs w:val="20"/>
                <w:lang w:eastAsia="sk-SK"/>
                <w14:ligatures w14:val="none"/>
              </w:rPr>
            </w:pPr>
            <w:r w:rsidRPr="00AD62CD">
              <w:rPr>
                <w:rFonts w:ascii="Times New Roman" w:eastAsia="Times New Roman" w:hAnsi="Times New Roman" w:cs="Times New Roman"/>
                <w:bCs/>
                <w:kern w:val="0"/>
                <w:sz w:val="22"/>
                <w:szCs w:val="20"/>
                <w:lang w:eastAsia="sk-SK"/>
                <w14:ligatures w14:val="none"/>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589D4C74"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kern w:val="0"/>
                <w:sz w:val="22"/>
                <w:lang w:eastAsia="sk-SK"/>
                <w14:ligatures w14:val="none"/>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258ADDFA"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r>
      <w:tr w:rsidR="00AD62CD" w:rsidRPr="00AD62CD" w14:paraId="55C11C1D" w14:textId="77777777" w:rsidTr="003627DF">
        <w:trPr>
          <w:trHeight w:val="255"/>
        </w:trPr>
        <w:tc>
          <w:tcPr>
            <w:tcW w:w="10394" w:type="dxa"/>
            <w:gridSpan w:val="4"/>
            <w:tcBorders>
              <w:top w:val="nil"/>
              <w:left w:val="nil"/>
              <w:bottom w:val="nil"/>
              <w:right w:val="nil"/>
            </w:tcBorders>
            <w:noWrap/>
            <w:vAlign w:val="bottom"/>
          </w:tcPr>
          <w:p w14:paraId="52928733"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r w:rsidRPr="00AD62CD">
              <w:rPr>
                <w:rFonts w:ascii="Times New Roman" w:eastAsia="Times New Roman" w:hAnsi="Times New Roman" w:cs="Times New Roman"/>
                <w:kern w:val="0"/>
                <w:sz w:val="22"/>
                <w:lang w:eastAsia="sk-SK"/>
                <w14:ligatures w14:val="none"/>
              </w:rPr>
              <w:t>Kategórie 610 a 620 sú z tejto prílohy prenášané do príslušných kategórií prílohy „výdavky“</w:t>
            </w:r>
          </w:p>
        </w:tc>
        <w:tc>
          <w:tcPr>
            <w:tcW w:w="1698" w:type="dxa"/>
            <w:tcBorders>
              <w:top w:val="nil"/>
              <w:left w:val="nil"/>
              <w:bottom w:val="nil"/>
              <w:right w:val="nil"/>
            </w:tcBorders>
            <w:noWrap/>
            <w:vAlign w:val="bottom"/>
          </w:tcPr>
          <w:p w14:paraId="5A599BB9"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c>
          <w:tcPr>
            <w:tcW w:w="2352" w:type="dxa"/>
            <w:gridSpan w:val="2"/>
            <w:tcBorders>
              <w:top w:val="nil"/>
              <w:left w:val="nil"/>
              <w:bottom w:val="nil"/>
              <w:right w:val="nil"/>
            </w:tcBorders>
            <w:noWrap/>
            <w:vAlign w:val="bottom"/>
          </w:tcPr>
          <w:p w14:paraId="3AB7ED23"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c>
          <w:tcPr>
            <w:tcW w:w="990" w:type="dxa"/>
            <w:tcBorders>
              <w:top w:val="nil"/>
              <w:left w:val="nil"/>
              <w:bottom w:val="nil"/>
              <w:right w:val="nil"/>
            </w:tcBorders>
            <w:noWrap/>
            <w:vAlign w:val="bottom"/>
          </w:tcPr>
          <w:p w14:paraId="3D1124E4" w14:textId="77777777" w:rsidR="00AD62CD" w:rsidRPr="00AD62CD" w:rsidRDefault="00AD62CD" w:rsidP="00AD62CD">
            <w:pPr>
              <w:spacing w:after="0" w:line="240" w:lineRule="auto"/>
              <w:rPr>
                <w:rFonts w:ascii="Times New Roman" w:eastAsia="Times New Roman" w:hAnsi="Times New Roman" w:cs="Times New Roman"/>
                <w:kern w:val="0"/>
                <w:sz w:val="22"/>
                <w:lang w:eastAsia="sk-SK"/>
                <w14:ligatures w14:val="none"/>
              </w:rPr>
            </w:pPr>
          </w:p>
        </w:tc>
      </w:tr>
    </w:tbl>
    <w:p w14:paraId="6C6063D7" w14:textId="77777777" w:rsidR="00AD62CD" w:rsidRPr="00AD62CD" w:rsidRDefault="00AD62CD" w:rsidP="00AD62CD">
      <w:pPr>
        <w:spacing w:after="200" w:line="276" w:lineRule="auto"/>
        <w:rPr>
          <w:rFonts w:ascii="Times New Roman" w:eastAsia="Calibri" w:hAnsi="Times New Roman" w:cs="Times New Roman"/>
          <w:kern w:val="0"/>
          <w:sz w:val="22"/>
          <w:szCs w:val="22"/>
          <w14:ligatures w14:val="none"/>
        </w:rPr>
      </w:pPr>
    </w:p>
    <w:p w14:paraId="48E3311B" w14:textId="77777777" w:rsidR="00AD62CD" w:rsidRPr="00AD62CD" w:rsidRDefault="00AD62CD" w:rsidP="00AD62CD">
      <w:pPr>
        <w:spacing w:after="0" w:line="240" w:lineRule="auto"/>
        <w:rPr>
          <w:rFonts w:ascii="Times New Roman" w:eastAsia="Calibri" w:hAnsi="Times New Roman" w:cs="Times New Roman"/>
          <w:b/>
          <w:caps/>
          <w:spacing w:val="30"/>
          <w:kern w:val="0"/>
          <w:sz w:val="22"/>
          <w:szCs w:val="22"/>
          <w14:ligatures w14:val="none"/>
        </w:rPr>
      </w:pPr>
    </w:p>
    <w:p w14:paraId="4EDFB857" w14:textId="77777777" w:rsidR="00AD62CD" w:rsidRPr="00AD62CD" w:rsidRDefault="00AD62CD" w:rsidP="00AD62CD">
      <w:pPr>
        <w:spacing w:after="200" w:line="276" w:lineRule="auto"/>
        <w:jc w:val="center"/>
        <w:rPr>
          <w:rFonts w:ascii="Times New Roman" w:eastAsia="Calibri" w:hAnsi="Times New Roman" w:cs="Times New Roman"/>
          <w:b/>
          <w:caps/>
          <w:spacing w:val="30"/>
          <w:kern w:val="0"/>
          <w:sz w:val="22"/>
          <w:szCs w:val="22"/>
          <w14:ligatures w14:val="none"/>
        </w:rPr>
        <w:sectPr w:rsidR="00AD62CD" w:rsidRPr="00AD62CD" w:rsidSect="00AD62CD">
          <w:headerReference w:type="default" r:id="rId28"/>
          <w:pgSz w:w="16838" w:h="11906" w:orient="landscape"/>
          <w:pgMar w:top="1417" w:right="1417" w:bottom="1417" w:left="1417" w:header="567" w:footer="283" w:gutter="0"/>
          <w:cols w:space="708"/>
          <w:docGrid w:linePitch="360"/>
        </w:sectPr>
      </w:pPr>
    </w:p>
    <w:p w14:paraId="77AFD225" w14:textId="77777777" w:rsidR="00AD62CD" w:rsidRPr="00AD62CD" w:rsidRDefault="00AD62CD" w:rsidP="00AD62CD">
      <w:pPr>
        <w:spacing w:after="0" w:line="240" w:lineRule="auto"/>
        <w:jc w:val="center"/>
        <w:rPr>
          <w:rFonts w:ascii="Times New Roman" w:eastAsia="Calibri" w:hAnsi="Times New Roman" w:cs="Times New Roman"/>
          <w:b/>
          <w:bCs/>
          <w:kern w:val="0"/>
          <w:sz w:val="28"/>
          <w:szCs w:val="28"/>
          <w:lang w:eastAsia="sk-SK"/>
          <w14:ligatures w14:val="none"/>
        </w:rPr>
      </w:pPr>
      <w:r w:rsidRPr="00AD62CD">
        <w:rPr>
          <w:rFonts w:ascii="Times New Roman" w:eastAsia="Calibri" w:hAnsi="Times New Roman" w:cs="Times New Roman"/>
          <w:b/>
          <w:bCs/>
          <w:kern w:val="0"/>
          <w:sz w:val="28"/>
          <w:szCs w:val="28"/>
          <w:lang w:eastAsia="sk-SK"/>
          <w14:ligatures w14:val="none"/>
        </w:rPr>
        <w:t>Analýza vplyvov na rozpočet verejnej správy,</w:t>
      </w:r>
    </w:p>
    <w:p w14:paraId="2F1DCEE7" w14:textId="77777777" w:rsidR="00AD62CD" w:rsidRPr="00AD62CD" w:rsidRDefault="00AD62CD" w:rsidP="00AD62CD">
      <w:pPr>
        <w:spacing w:after="0" w:line="240" w:lineRule="auto"/>
        <w:jc w:val="center"/>
        <w:rPr>
          <w:rFonts w:ascii="Times New Roman" w:eastAsia="Calibri" w:hAnsi="Times New Roman" w:cs="Times New Roman"/>
          <w:b/>
          <w:bCs/>
          <w:kern w:val="0"/>
          <w:sz w:val="28"/>
          <w:szCs w:val="28"/>
          <w:lang w:eastAsia="sk-SK"/>
          <w14:ligatures w14:val="none"/>
        </w:rPr>
      </w:pPr>
      <w:r w:rsidRPr="00AD62CD">
        <w:rPr>
          <w:rFonts w:ascii="Times New Roman" w:eastAsia="Calibri" w:hAnsi="Times New Roman" w:cs="Times New Roman"/>
          <w:b/>
          <w:bCs/>
          <w:kern w:val="0"/>
          <w:sz w:val="28"/>
          <w:szCs w:val="28"/>
          <w:lang w:eastAsia="sk-SK"/>
          <w14:ligatures w14:val="none"/>
        </w:rPr>
        <w:t>na zamestnanosť vo verejnej správe a financovanie návrhu</w:t>
      </w:r>
    </w:p>
    <w:p w14:paraId="25973854" w14:textId="77777777" w:rsidR="00AD62CD" w:rsidRPr="00AD62CD" w:rsidRDefault="00AD62CD" w:rsidP="00AD62CD">
      <w:pPr>
        <w:spacing w:after="0" w:line="240" w:lineRule="auto"/>
        <w:jc w:val="center"/>
        <w:rPr>
          <w:rFonts w:ascii="Times New Roman" w:eastAsia="Calibri" w:hAnsi="Times New Roman" w:cs="Times New Roman"/>
          <w:b/>
          <w:bCs/>
          <w:kern w:val="0"/>
          <w:sz w:val="28"/>
          <w:szCs w:val="28"/>
          <w:lang w:eastAsia="sk-SK"/>
          <w14:ligatures w14:val="none"/>
        </w:rPr>
      </w:pPr>
      <w:r w:rsidRPr="00AD62CD">
        <w:rPr>
          <w:rFonts w:ascii="Times New Roman" w:eastAsia="Calibri" w:hAnsi="Times New Roman" w:cs="Times New Roman"/>
          <w:b/>
          <w:bCs/>
          <w:kern w:val="0"/>
          <w:sz w:val="28"/>
          <w:szCs w:val="28"/>
          <w:lang w:eastAsia="sk-SK"/>
          <w14:ligatures w14:val="none"/>
        </w:rPr>
        <w:t>(Zákon o zdravotnej starostlivosti)</w:t>
      </w:r>
      <w:r w:rsidRPr="00AD62CD">
        <w:rPr>
          <w:rFonts w:ascii="Times New Roman" w:eastAsia="Calibri" w:hAnsi="Times New Roman" w:cs="Times New Roman"/>
          <w:b/>
          <w:bCs/>
          <w:kern w:val="0"/>
          <w:sz w:val="28"/>
          <w:szCs w:val="28"/>
          <w:lang w:eastAsia="sk-SK"/>
          <w14:ligatures w14:val="none"/>
        </w:rPr>
        <w:br/>
      </w:r>
    </w:p>
    <w:p w14:paraId="3558C223" w14:textId="77777777" w:rsidR="00AD62CD" w:rsidRPr="00AD62CD" w:rsidRDefault="00AD62CD" w:rsidP="00AD62CD">
      <w:pPr>
        <w:spacing w:after="0" w:line="240" w:lineRule="auto"/>
        <w:jc w:val="right"/>
        <w:rPr>
          <w:rFonts w:ascii="Times New Roman" w:eastAsia="Calibri" w:hAnsi="Times New Roman" w:cs="Times New Roman"/>
          <w:b/>
          <w:bCs/>
          <w:kern w:val="0"/>
          <w:lang w:eastAsia="sk-SK"/>
          <w14:ligatures w14:val="none"/>
        </w:rPr>
      </w:pPr>
    </w:p>
    <w:p w14:paraId="291C8777" w14:textId="77777777" w:rsidR="00AD62CD" w:rsidRPr="00AD62CD" w:rsidRDefault="00AD62CD" w:rsidP="00AD62CD">
      <w:pPr>
        <w:spacing w:after="0" w:line="240" w:lineRule="auto"/>
        <w:jc w:val="right"/>
        <w:rPr>
          <w:rFonts w:ascii="Times New Roman" w:eastAsia="Calibri" w:hAnsi="Times New Roman" w:cs="Times New Roman"/>
          <w:b/>
          <w:bCs/>
          <w:kern w:val="0"/>
          <w:lang w:eastAsia="sk-SK"/>
          <w14:ligatures w14:val="none"/>
        </w:rPr>
      </w:pPr>
    </w:p>
    <w:p w14:paraId="4685B666"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2.1 Zhrnutie vplyvov na rozpočet verejnej správy v návrhu</w:t>
      </w:r>
    </w:p>
    <w:p w14:paraId="12B33C8D"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0126AA5E"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val="en-GB" w:eastAsia="sk-SK"/>
          <w14:ligatures w14:val="none"/>
        </w:rPr>
      </w:pPr>
      <w:r w:rsidRPr="00AD62CD">
        <w:rPr>
          <w:rFonts w:ascii="Times New Roman" w:eastAsia="Calibri" w:hAnsi="Times New Roman" w:cs="Times New Roman"/>
          <w:kern w:val="0"/>
          <w:sz w:val="20"/>
          <w:szCs w:val="20"/>
          <w:lang w:eastAsia="sk-SK"/>
          <w14:ligatures w14:val="none"/>
        </w:rPr>
        <w:t xml:space="preserve">Tabuľka č. 1/A </w:t>
      </w:r>
    </w:p>
    <w:tbl>
      <w:tblPr>
        <w:tblW w:w="9449" w:type="dxa"/>
        <w:tblInd w:w="-10" w:type="dxa"/>
        <w:tblCellMar>
          <w:left w:w="70" w:type="dxa"/>
          <w:right w:w="70" w:type="dxa"/>
        </w:tblCellMar>
        <w:tblLook w:val="04A0" w:firstRow="1" w:lastRow="0" w:firstColumn="1" w:lastColumn="0" w:noHBand="0" w:noVBand="1"/>
      </w:tblPr>
      <w:tblGrid>
        <w:gridCol w:w="3969"/>
        <w:gridCol w:w="1280"/>
        <w:gridCol w:w="1360"/>
        <w:gridCol w:w="1420"/>
        <w:gridCol w:w="1420"/>
      </w:tblGrid>
      <w:tr w:rsidR="00AD62CD" w:rsidRPr="00AD62CD" w14:paraId="0A77ACB9" w14:textId="77777777" w:rsidTr="003627DF">
        <w:trPr>
          <w:trHeight w:val="889"/>
        </w:trPr>
        <w:tc>
          <w:tcPr>
            <w:tcW w:w="396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362940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bookmarkStart w:id="7" w:name="RANGE!A3"/>
            <w:r w:rsidRPr="00AD62CD">
              <w:rPr>
                <w:rFonts w:ascii="Times New Roman" w:eastAsia="Calibri" w:hAnsi="Times New Roman" w:cs="Times New Roman"/>
                <w:b/>
                <w:bCs/>
                <w:color w:val="000000"/>
                <w:kern w:val="0"/>
                <w:sz w:val="22"/>
                <w:szCs w:val="22"/>
                <w:lang w:eastAsia="sk-SK"/>
                <w14:ligatures w14:val="none"/>
              </w:rPr>
              <w:t>Vplyvy na rozpočet verejnej správy</w:t>
            </w:r>
            <w:bookmarkEnd w:id="7"/>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37D53C5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Vplyv na rozpočet verejnej správy (v eurách, v metodike ESA)</w:t>
            </w:r>
          </w:p>
        </w:tc>
      </w:tr>
      <w:tr w:rsidR="00AD62CD" w:rsidRPr="00AD62CD" w14:paraId="177EF50A" w14:textId="77777777" w:rsidTr="003627DF">
        <w:trPr>
          <w:trHeight w:val="270"/>
        </w:trPr>
        <w:tc>
          <w:tcPr>
            <w:tcW w:w="3969" w:type="dxa"/>
            <w:vMerge/>
            <w:tcBorders>
              <w:top w:val="single" w:sz="8" w:space="0" w:color="auto"/>
              <w:left w:val="single" w:sz="8" w:space="0" w:color="auto"/>
              <w:bottom w:val="single" w:sz="8" w:space="0" w:color="000000"/>
              <w:right w:val="single" w:sz="8" w:space="0" w:color="auto"/>
            </w:tcBorders>
            <w:vAlign w:val="center"/>
            <w:hideMark/>
          </w:tcPr>
          <w:p w14:paraId="2C29D8A6"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5C692EE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4A39ECAD" w14:textId="77777777" w:rsidR="00AD62CD" w:rsidRPr="00AD62CD" w:rsidRDefault="00AD62CD" w:rsidP="00AD62CD">
            <w:pPr>
              <w:spacing w:after="0" w:line="240" w:lineRule="auto"/>
              <w:ind w:left="-78"/>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2B3973A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5615A59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2028</w:t>
            </w:r>
          </w:p>
        </w:tc>
      </w:tr>
      <w:tr w:rsidR="00AD62CD" w:rsidRPr="00AD62CD" w14:paraId="4852A827"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C0C0C0"/>
            <w:noWrap/>
            <w:vAlign w:val="center"/>
            <w:hideMark/>
          </w:tcPr>
          <w:p w14:paraId="7C8B5047"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Príjmy verejnej správy celkom</w:t>
            </w:r>
          </w:p>
        </w:tc>
        <w:tc>
          <w:tcPr>
            <w:tcW w:w="1280" w:type="dxa"/>
            <w:tcBorders>
              <w:top w:val="nil"/>
              <w:left w:val="nil"/>
              <w:bottom w:val="single" w:sz="8" w:space="0" w:color="auto"/>
              <w:right w:val="single" w:sz="8" w:space="0" w:color="auto"/>
            </w:tcBorders>
            <w:shd w:val="clear" w:color="000000" w:fill="C0C0C0"/>
            <w:vAlign w:val="center"/>
            <w:hideMark/>
          </w:tcPr>
          <w:p w14:paraId="0793B739"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shd w:val="clear" w:color="000000" w:fill="C0C0C0"/>
            <w:vAlign w:val="center"/>
          </w:tcPr>
          <w:p w14:paraId="48E8A9E6"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6 842 517</w:t>
            </w:r>
          </w:p>
        </w:tc>
        <w:tc>
          <w:tcPr>
            <w:tcW w:w="1420" w:type="dxa"/>
            <w:tcBorders>
              <w:top w:val="nil"/>
              <w:left w:val="nil"/>
              <w:bottom w:val="single" w:sz="8" w:space="0" w:color="auto"/>
              <w:right w:val="single" w:sz="8" w:space="0" w:color="auto"/>
            </w:tcBorders>
            <w:shd w:val="clear" w:color="000000" w:fill="C0C0C0"/>
            <w:vAlign w:val="center"/>
          </w:tcPr>
          <w:p w14:paraId="20CAAC21"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8 216 966</w:t>
            </w:r>
          </w:p>
        </w:tc>
        <w:tc>
          <w:tcPr>
            <w:tcW w:w="1420" w:type="dxa"/>
            <w:tcBorders>
              <w:top w:val="nil"/>
              <w:left w:val="nil"/>
              <w:bottom w:val="single" w:sz="8" w:space="0" w:color="auto"/>
              <w:right w:val="single" w:sz="8" w:space="0" w:color="auto"/>
            </w:tcBorders>
            <w:shd w:val="clear" w:color="000000" w:fill="C0C0C0"/>
            <w:vAlign w:val="center"/>
          </w:tcPr>
          <w:p w14:paraId="1A3A4415"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8 577 058</w:t>
            </w:r>
          </w:p>
        </w:tc>
      </w:tr>
      <w:tr w:rsidR="00AD62CD" w:rsidRPr="00AD62CD" w14:paraId="31D2B7B8"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2609C7CC"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xml:space="preserve">z toho:  </w:t>
            </w:r>
          </w:p>
        </w:tc>
        <w:tc>
          <w:tcPr>
            <w:tcW w:w="1280" w:type="dxa"/>
            <w:tcBorders>
              <w:top w:val="nil"/>
              <w:left w:val="nil"/>
              <w:bottom w:val="single" w:sz="8" w:space="0" w:color="auto"/>
              <w:right w:val="single" w:sz="8" w:space="0" w:color="auto"/>
            </w:tcBorders>
            <w:noWrap/>
            <w:vAlign w:val="center"/>
            <w:hideMark/>
          </w:tcPr>
          <w:p w14:paraId="6042989A"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 </w:t>
            </w:r>
          </w:p>
        </w:tc>
        <w:tc>
          <w:tcPr>
            <w:tcW w:w="1360" w:type="dxa"/>
            <w:tcBorders>
              <w:top w:val="nil"/>
              <w:left w:val="nil"/>
              <w:bottom w:val="single" w:sz="8" w:space="0" w:color="auto"/>
              <w:right w:val="single" w:sz="8" w:space="0" w:color="auto"/>
            </w:tcBorders>
            <w:noWrap/>
            <w:vAlign w:val="center"/>
          </w:tcPr>
          <w:p w14:paraId="75E52E53" w14:textId="77777777" w:rsidR="00AD62CD" w:rsidRPr="00AD62CD" w:rsidRDefault="00AD62CD" w:rsidP="00AD62CD">
            <w:pPr>
              <w:spacing w:after="0" w:line="240" w:lineRule="auto"/>
              <w:ind w:left="-78"/>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 </w:t>
            </w:r>
          </w:p>
        </w:tc>
        <w:tc>
          <w:tcPr>
            <w:tcW w:w="1420" w:type="dxa"/>
            <w:tcBorders>
              <w:top w:val="nil"/>
              <w:left w:val="nil"/>
              <w:bottom w:val="single" w:sz="8" w:space="0" w:color="auto"/>
              <w:right w:val="single" w:sz="8" w:space="0" w:color="auto"/>
            </w:tcBorders>
            <w:noWrap/>
            <w:vAlign w:val="center"/>
          </w:tcPr>
          <w:p w14:paraId="742F12F2"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 </w:t>
            </w:r>
          </w:p>
        </w:tc>
        <w:tc>
          <w:tcPr>
            <w:tcW w:w="1420" w:type="dxa"/>
            <w:tcBorders>
              <w:top w:val="nil"/>
              <w:left w:val="nil"/>
              <w:bottom w:val="single" w:sz="8" w:space="0" w:color="auto"/>
              <w:right w:val="single" w:sz="8" w:space="0" w:color="auto"/>
            </w:tcBorders>
            <w:noWrap/>
            <w:vAlign w:val="center"/>
          </w:tcPr>
          <w:p w14:paraId="4CF6C43A"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 </w:t>
            </w:r>
          </w:p>
        </w:tc>
      </w:tr>
      <w:tr w:rsidR="00AD62CD" w:rsidRPr="00AD62CD" w14:paraId="7B163E5F"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7BDECEBA"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ŠR</w:t>
            </w:r>
          </w:p>
        </w:tc>
        <w:tc>
          <w:tcPr>
            <w:tcW w:w="1280" w:type="dxa"/>
            <w:tcBorders>
              <w:top w:val="nil"/>
              <w:left w:val="nil"/>
              <w:bottom w:val="single" w:sz="8" w:space="0" w:color="auto"/>
              <w:right w:val="single" w:sz="8" w:space="0" w:color="auto"/>
            </w:tcBorders>
            <w:noWrap/>
            <w:vAlign w:val="center"/>
            <w:hideMark/>
          </w:tcPr>
          <w:p w14:paraId="2DADC150"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7DDDEAC2"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440 676</w:t>
            </w:r>
          </w:p>
        </w:tc>
        <w:tc>
          <w:tcPr>
            <w:tcW w:w="1420" w:type="dxa"/>
            <w:tcBorders>
              <w:top w:val="nil"/>
              <w:left w:val="nil"/>
              <w:bottom w:val="single" w:sz="8" w:space="0" w:color="auto"/>
              <w:right w:val="single" w:sz="8" w:space="0" w:color="auto"/>
            </w:tcBorders>
            <w:noWrap/>
            <w:vAlign w:val="center"/>
          </w:tcPr>
          <w:p w14:paraId="4584065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323 054</w:t>
            </w:r>
          </w:p>
        </w:tc>
        <w:tc>
          <w:tcPr>
            <w:tcW w:w="1420" w:type="dxa"/>
            <w:tcBorders>
              <w:top w:val="nil"/>
              <w:left w:val="nil"/>
              <w:bottom w:val="single" w:sz="8" w:space="0" w:color="auto"/>
              <w:right w:val="single" w:sz="8" w:space="0" w:color="auto"/>
            </w:tcBorders>
            <w:noWrap/>
            <w:vAlign w:val="center"/>
          </w:tcPr>
          <w:p w14:paraId="74F52195"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306 378</w:t>
            </w:r>
          </w:p>
        </w:tc>
      </w:tr>
      <w:tr w:rsidR="00AD62CD" w:rsidRPr="00AD62CD" w14:paraId="442A7FA7" w14:textId="77777777" w:rsidTr="003627DF">
        <w:trPr>
          <w:trHeight w:val="270"/>
        </w:trPr>
        <w:tc>
          <w:tcPr>
            <w:tcW w:w="3969" w:type="dxa"/>
            <w:tcBorders>
              <w:top w:val="nil"/>
              <w:left w:val="single" w:sz="8" w:space="0" w:color="auto"/>
              <w:bottom w:val="single" w:sz="8" w:space="0" w:color="auto"/>
              <w:right w:val="single" w:sz="8" w:space="0" w:color="auto"/>
            </w:tcBorders>
            <w:noWrap/>
            <w:vAlign w:val="center"/>
            <w:hideMark/>
          </w:tcPr>
          <w:p w14:paraId="1F63BC6C" w14:textId="77777777" w:rsidR="00AD62CD" w:rsidRPr="00AD62CD" w:rsidRDefault="00AD62CD" w:rsidP="00AD62CD">
            <w:pPr>
              <w:spacing w:after="0" w:line="240" w:lineRule="auto"/>
              <w:ind w:firstLineChars="100" w:firstLine="22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Rozpočtové prostriedky</w:t>
            </w:r>
          </w:p>
        </w:tc>
        <w:tc>
          <w:tcPr>
            <w:tcW w:w="1280" w:type="dxa"/>
            <w:tcBorders>
              <w:top w:val="nil"/>
              <w:left w:val="nil"/>
              <w:bottom w:val="single" w:sz="8" w:space="0" w:color="auto"/>
              <w:right w:val="single" w:sz="8" w:space="0" w:color="auto"/>
            </w:tcBorders>
            <w:noWrap/>
            <w:vAlign w:val="center"/>
            <w:hideMark/>
          </w:tcPr>
          <w:p w14:paraId="50404317"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4C5AAA9D" w14:textId="77777777" w:rsidR="00AD62CD" w:rsidRPr="00AD62CD" w:rsidRDefault="00AD62CD" w:rsidP="00AD62CD">
            <w:pPr>
              <w:spacing w:after="0" w:line="240" w:lineRule="auto"/>
              <w:ind w:left="-78"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440 676</w:t>
            </w:r>
          </w:p>
        </w:tc>
        <w:tc>
          <w:tcPr>
            <w:tcW w:w="1420" w:type="dxa"/>
            <w:tcBorders>
              <w:top w:val="nil"/>
              <w:left w:val="nil"/>
              <w:bottom w:val="single" w:sz="8" w:space="0" w:color="auto"/>
              <w:right w:val="single" w:sz="8" w:space="0" w:color="auto"/>
            </w:tcBorders>
            <w:noWrap/>
            <w:vAlign w:val="center"/>
          </w:tcPr>
          <w:p w14:paraId="4D501A08"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323 054</w:t>
            </w:r>
          </w:p>
        </w:tc>
        <w:tc>
          <w:tcPr>
            <w:tcW w:w="1420" w:type="dxa"/>
            <w:tcBorders>
              <w:top w:val="nil"/>
              <w:left w:val="nil"/>
              <w:bottom w:val="single" w:sz="8" w:space="0" w:color="auto"/>
              <w:right w:val="single" w:sz="8" w:space="0" w:color="auto"/>
            </w:tcBorders>
            <w:noWrap/>
            <w:vAlign w:val="center"/>
          </w:tcPr>
          <w:p w14:paraId="15038C4F"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306 378</w:t>
            </w:r>
          </w:p>
        </w:tc>
      </w:tr>
      <w:tr w:rsidR="00AD62CD" w:rsidRPr="00AD62CD" w14:paraId="2FEEA707" w14:textId="77777777" w:rsidTr="003627DF">
        <w:trPr>
          <w:trHeight w:val="270"/>
        </w:trPr>
        <w:tc>
          <w:tcPr>
            <w:tcW w:w="3969" w:type="dxa"/>
            <w:tcBorders>
              <w:top w:val="nil"/>
              <w:left w:val="single" w:sz="8" w:space="0" w:color="auto"/>
              <w:bottom w:val="single" w:sz="8" w:space="0" w:color="auto"/>
              <w:right w:val="single" w:sz="8" w:space="0" w:color="auto"/>
            </w:tcBorders>
            <w:noWrap/>
            <w:vAlign w:val="center"/>
            <w:hideMark/>
          </w:tcPr>
          <w:p w14:paraId="2D6FF20D" w14:textId="77777777" w:rsidR="00AD62CD" w:rsidRPr="00AD62CD" w:rsidRDefault="00AD62CD" w:rsidP="00AD62CD">
            <w:pPr>
              <w:spacing w:after="0" w:line="240" w:lineRule="auto"/>
              <w:ind w:firstLineChars="100" w:firstLine="22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EÚ zdroje</w:t>
            </w:r>
          </w:p>
        </w:tc>
        <w:tc>
          <w:tcPr>
            <w:tcW w:w="1280" w:type="dxa"/>
            <w:tcBorders>
              <w:top w:val="nil"/>
              <w:left w:val="nil"/>
              <w:bottom w:val="single" w:sz="8" w:space="0" w:color="auto"/>
              <w:right w:val="single" w:sz="8" w:space="0" w:color="auto"/>
            </w:tcBorders>
            <w:noWrap/>
            <w:vAlign w:val="center"/>
            <w:hideMark/>
          </w:tcPr>
          <w:p w14:paraId="3AA5A208"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7F45E76B" w14:textId="77777777" w:rsidR="00AD62CD" w:rsidRPr="00AD62CD" w:rsidRDefault="00AD62CD" w:rsidP="00AD62CD">
            <w:pPr>
              <w:spacing w:after="0" w:line="240" w:lineRule="auto"/>
              <w:ind w:left="-78"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0</w:t>
            </w:r>
          </w:p>
        </w:tc>
        <w:tc>
          <w:tcPr>
            <w:tcW w:w="1420" w:type="dxa"/>
            <w:tcBorders>
              <w:top w:val="nil"/>
              <w:left w:val="nil"/>
              <w:bottom w:val="single" w:sz="8" w:space="0" w:color="auto"/>
              <w:right w:val="single" w:sz="8" w:space="0" w:color="auto"/>
            </w:tcBorders>
            <w:noWrap/>
            <w:vAlign w:val="center"/>
          </w:tcPr>
          <w:p w14:paraId="37CBDDE5"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0</w:t>
            </w:r>
          </w:p>
        </w:tc>
        <w:tc>
          <w:tcPr>
            <w:tcW w:w="1420" w:type="dxa"/>
            <w:tcBorders>
              <w:top w:val="nil"/>
              <w:left w:val="nil"/>
              <w:bottom w:val="single" w:sz="8" w:space="0" w:color="auto"/>
              <w:right w:val="single" w:sz="8" w:space="0" w:color="auto"/>
            </w:tcBorders>
            <w:noWrap/>
            <w:vAlign w:val="center"/>
          </w:tcPr>
          <w:p w14:paraId="230C74EF"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0</w:t>
            </w:r>
          </w:p>
        </w:tc>
      </w:tr>
      <w:tr w:rsidR="00AD62CD" w:rsidRPr="00AD62CD" w14:paraId="62804523"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718A85D7"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obce</w:t>
            </w:r>
          </w:p>
        </w:tc>
        <w:tc>
          <w:tcPr>
            <w:tcW w:w="1280" w:type="dxa"/>
            <w:tcBorders>
              <w:top w:val="nil"/>
              <w:left w:val="nil"/>
              <w:bottom w:val="single" w:sz="8" w:space="0" w:color="auto"/>
              <w:right w:val="single" w:sz="8" w:space="0" w:color="auto"/>
            </w:tcBorders>
            <w:noWrap/>
            <w:vAlign w:val="center"/>
            <w:hideMark/>
          </w:tcPr>
          <w:p w14:paraId="6A3D8230"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54B859A8"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685 912</w:t>
            </w:r>
          </w:p>
        </w:tc>
        <w:tc>
          <w:tcPr>
            <w:tcW w:w="1420" w:type="dxa"/>
            <w:tcBorders>
              <w:top w:val="nil"/>
              <w:left w:val="nil"/>
              <w:bottom w:val="single" w:sz="8" w:space="0" w:color="auto"/>
              <w:right w:val="single" w:sz="8" w:space="0" w:color="auto"/>
            </w:tcBorders>
            <w:noWrap/>
            <w:vAlign w:val="center"/>
          </w:tcPr>
          <w:p w14:paraId="3F54634A"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967 858</w:t>
            </w:r>
          </w:p>
        </w:tc>
        <w:tc>
          <w:tcPr>
            <w:tcW w:w="1420" w:type="dxa"/>
            <w:tcBorders>
              <w:top w:val="nil"/>
              <w:left w:val="nil"/>
              <w:bottom w:val="single" w:sz="8" w:space="0" w:color="auto"/>
              <w:right w:val="single" w:sz="8" w:space="0" w:color="auto"/>
            </w:tcBorders>
            <w:noWrap/>
            <w:vAlign w:val="center"/>
          </w:tcPr>
          <w:p w14:paraId="2371DEE2"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1 040 045</w:t>
            </w:r>
          </w:p>
        </w:tc>
      </w:tr>
      <w:tr w:rsidR="00AD62CD" w:rsidRPr="00AD62CD" w14:paraId="53A94910"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6DE94307"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vyššie územné celky</w:t>
            </w:r>
          </w:p>
        </w:tc>
        <w:tc>
          <w:tcPr>
            <w:tcW w:w="1280" w:type="dxa"/>
            <w:tcBorders>
              <w:top w:val="nil"/>
              <w:left w:val="nil"/>
              <w:bottom w:val="single" w:sz="8" w:space="0" w:color="auto"/>
              <w:right w:val="single" w:sz="8" w:space="0" w:color="auto"/>
            </w:tcBorders>
            <w:noWrap/>
            <w:vAlign w:val="center"/>
            <w:hideMark/>
          </w:tcPr>
          <w:p w14:paraId="28BD524A"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020AA658"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367 231</w:t>
            </w:r>
          </w:p>
        </w:tc>
        <w:tc>
          <w:tcPr>
            <w:tcW w:w="1420" w:type="dxa"/>
            <w:tcBorders>
              <w:top w:val="nil"/>
              <w:left w:val="nil"/>
              <w:bottom w:val="single" w:sz="8" w:space="0" w:color="auto"/>
              <w:right w:val="single" w:sz="8" w:space="0" w:color="auto"/>
            </w:tcBorders>
            <w:noWrap/>
            <w:vAlign w:val="center"/>
          </w:tcPr>
          <w:p w14:paraId="6D9C400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518 181</w:t>
            </w:r>
          </w:p>
        </w:tc>
        <w:tc>
          <w:tcPr>
            <w:tcW w:w="1420" w:type="dxa"/>
            <w:tcBorders>
              <w:top w:val="nil"/>
              <w:left w:val="nil"/>
              <w:bottom w:val="single" w:sz="8" w:space="0" w:color="auto"/>
              <w:right w:val="single" w:sz="8" w:space="0" w:color="auto"/>
            </w:tcBorders>
            <w:noWrap/>
            <w:vAlign w:val="center"/>
          </w:tcPr>
          <w:p w14:paraId="1E523ADF"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556 830</w:t>
            </w:r>
          </w:p>
        </w:tc>
      </w:tr>
      <w:tr w:rsidR="00AD62CD" w:rsidRPr="00AD62CD" w14:paraId="4E45871D"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2064D2AA"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ostatné subjekty verejnej správy</w:t>
            </w:r>
          </w:p>
        </w:tc>
        <w:tc>
          <w:tcPr>
            <w:tcW w:w="1280" w:type="dxa"/>
            <w:tcBorders>
              <w:top w:val="nil"/>
              <w:left w:val="nil"/>
              <w:bottom w:val="single" w:sz="8" w:space="0" w:color="auto"/>
              <w:right w:val="single" w:sz="8" w:space="0" w:color="auto"/>
            </w:tcBorders>
            <w:noWrap/>
            <w:vAlign w:val="center"/>
            <w:hideMark/>
          </w:tcPr>
          <w:p w14:paraId="56F29428"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332A988D"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5 348 698</w:t>
            </w:r>
          </w:p>
        </w:tc>
        <w:tc>
          <w:tcPr>
            <w:tcW w:w="1420" w:type="dxa"/>
            <w:tcBorders>
              <w:top w:val="nil"/>
              <w:left w:val="nil"/>
              <w:bottom w:val="single" w:sz="8" w:space="0" w:color="auto"/>
              <w:right w:val="single" w:sz="8" w:space="0" w:color="auto"/>
            </w:tcBorders>
            <w:noWrap/>
            <w:vAlign w:val="center"/>
          </w:tcPr>
          <w:p w14:paraId="042B20C8"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6 407 873</w:t>
            </w:r>
          </w:p>
        </w:tc>
        <w:tc>
          <w:tcPr>
            <w:tcW w:w="1420" w:type="dxa"/>
            <w:tcBorders>
              <w:top w:val="nil"/>
              <w:left w:val="nil"/>
              <w:bottom w:val="single" w:sz="8" w:space="0" w:color="auto"/>
              <w:right w:val="single" w:sz="8" w:space="0" w:color="auto"/>
            </w:tcBorders>
            <w:noWrap/>
            <w:vAlign w:val="center"/>
          </w:tcPr>
          <w:p w14:paraId="05955E0B"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6 673 805</w:t>
            </w:r>
          </w:p>
        </w:tc>
      </w:tr>
      <w:tr w:rsidR="00AD62CD" w:rsidRPr="00AD62CD" w14:paraId="7BC2D31C" w14:textId="77777777" w:rsidTr="003627DF">
        <w:trPr>
          <w:trHeight w:val="270"/>
        </w:trPr>
        <w:tc>
          <w:tcPr>
            <w:tcW w:w="3969" w:type="dxa"/>
            <w:tcBorders>
              <w:top w:val="nil"/>
              <w:left w:val="single" w:sz="8" w:space="0" w:color="auto"/>
              <w:bottom w:val="single" w:sz="8" w:space="0" w:color="auto"/>
              <w:right w:val="single" w:sz="8" w:space="0" w:color="auto"/>
            </w:tcBorders>
            <w:noWrap/>
            <w:vAlign w:val="center"/>
            <w:hideMark/>
          </w:tcPr>
          <w:p w14:paraId="5C5D4970" w14:textId="77777777" w:rsidR="00AD62CD" w:rsidRPr="00AD62CD" w:rsidRDefault="00AD62CD" w:rsidP="00AD62CD">
            <w:pPr>
              <w:spacing w:after="0" w:line="240" w:lineRule="auto"/>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 xml:space="preserve">      - vplyv na Sociálnu poisťovňu</w:t>
            </w:r>
          </w:p>
        </w:tc>
        <w:tc>
          <w:tcPr>
            <w:tcW w:w="1280" w:type="dxa"/>
            <w:tcBorders>
              <w:top w:val="nil"/>
              <w:left w:val="nil"/>
              <w:bottom w:val="single" w:sz="8" w:space="0" w:color="auto"/>
              <w:right w:val="single" w:sz="8" w:space="0" w:color="auto"/>
            </w:tcBorders>
            <w:noWrap/>
            <w:vAlign w:val="center"/>
            <w:hideMark/>
          </w:tcPr>
          <w:p w14:paraId="01D728BB"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364235A6" w14:textId="77777777" w:rsidR="00AD62CD" w:rsidRPr="00AD62CD" w:rsidRDefault="00AD62CD" w:rsidP="00AD62CD">
            <w:pPr>
              <w:spacing w:after="0" w:line="240" w:lineRule="auto"/>
              <w:ind w:left="-78"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3 731 148</w:t>
            </w:r>
          </w:p>
        </w:tc>
        <w:tc>
          <w:tcPr>
            <w:tcW w:w="1420" w:type="dxa"/>
            <w:tcBorders>
              <w:top w:val="nil"/>
              <w:left w:val="nil"/>
              <w:bottom w:val="single" w:sz="8" w:space="0" w:color="auto"/>
              <w:right w:val="single" w:sz="8" w:space="0" w:color="auto"/>
            </w:tcBorders>
            <w:noWrap/>
            <w:vAlign w:val="center"/>
          </w:tcPr>
          <w:p w14:paraId="2510DF20"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4 470 008</w:t>
            </w:r>
          </w:p>
        </w:tc>
        <w:tc>
          <w:tcPr>
            <w:tcW w:w="1420" w:type="dxa"/>
            <w:tcBorders>
              <w:top w:val="nil"/>
              <w:left w:val="nil"/>
              <w:bottom w:val="single" w:sz="8" w:space="0" w:color="auto"/>
              <w:right w:val="single" w:sz="8" w:space="0" w:color="auto"/>
            </w:tcBorders>
            <w:noWrap/>
            <w:vAlign w:val="center"/>
          </w:tcPr>
          <w:p w14:paraId="134C937D"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4 655 517</w:t>
            </w:r>
          </w:p>
        </w:tc>
      </w:tr>
      <w:tr w:rsidR="00AD62CD" w:rsidRPr="00AD62CD" w14:paraId="40C8071B" w14:textId="77777777" w:rsidTr="003627DF">
        <w:trPr>
          <w:trHeight w:val="270"/>
        </w:trPr>
        <w:tc>
          <w:tcPr>
            <w:tcW w:w="3969" w:type="dxa"/>
            <w:tcBorders>
              <w:top w:val="nil"/>
              <w:left w:val="single" w:sz="8" w:space="0" w:color="auto"/>
              <w:bottom w:val="single" w:sz="8" w:space="0" w:color="auto"/>
              <w:right w:val="single" w:sz="8" w:space="0" w:color="auto"/>
            </w:tcBorders>
            <w:noWrap/>
            <w:vAlign w:val="center"/>
          </w:tcPr>
          <w:p w14:paraId="7C29DBEB" w14:textId="77777777" w:rsidR="00AD62CD" w:rsidRPr="00AD62CD" w:rsidRDefault="00AD62CD" w:rsidP="00AD62CD">
            <w:pPr>
              <w:spacing w:after="0" w:line="240" w:lineRule="auto"/>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 xml:space="preserve">      - vplyv na zdravotné poisťovne</w:t>
            </w:r>
          </w:p>
        </w:tc>
        <w:tc>
          <w:tcPr>
            <w:tcW w:w="1280" w:type="dxa"/>
            <w:tcBorders>
              <w:top w:val="nil"/>
              <w:left w:val="nil"/>
              <w:bottom w:val="single" w:sz="8" w:space="0" w:color="auto"/>
              <w:right w:val="single" w:sz="8" w:space="0" w:color="auto"/>
            </w:tcBorders>
            <w:noWrap/>
            <w:vAlign w:val="center"/>
          </w:tcPr>
          <w:p w14:paraId="6CE6C539"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6C29097A" w14:textId="77777777" w:rsidR="00AD62CD" w:rsidRPr="00AD62CD" w:rsidRDefault="00AD62CD" w:rsidP="00AD62CD">
            <w:pPr>
              <w:spacing w:after="0" w:line="240" w:lineRule="auto"/>
              <w:ind w:left="-78" w:firstLineChars="100" w:firstLine="220"/>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1 617 550</w:t>
            </w:r>
          </w:p>
        </w:tc>
        <w:tc>
          <w:tcPr>
            <w:tcW w:w="1420" w:type="dxa"/>
            <w:tcBorders>
              <w:top w:val="nil"/>
              <w:left w:val="nil"/>
              <w:bottom w:val="single" w:sz="8" w:space="0" w:color="auto"/>
              <w:right w:val="single" w:sz="8" w:space="0" w:color="auto"/>
            </w:tcBorders>
            <w:noWrap/>
            <w:vAlign w:val="center"/>
          </w:tcPr>
          <w:p w14:paraId="7D5D6B34"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1 937 865</w:t>
            </w:r>
          </w:p>
        </w:tc>
        <w:tc>
          <w:tcPr>
            <w:tcW w:w="1420" w:type="dxa"/>
            <w:tcBorders>
              <w:top w:val="nil"/>
              <w:left w:val="nil"/>
              <w:bottom w:val="single" w:sz="8" w:space="0" w:color="auto"/>
              <w:right w:val="single" w:sz="8" w:space="0" w:color="auto"/>
            </w:tcBorders>
            <w:noWrap/>
            <w:vAlign w:val="center"/>
          </w:tcPr>
          <w:p w14:paraId="03E69AA9"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2 018 288</w:t>
            </w:r>
          </w:p>
        </w:tc>
      </w:tr>
      <w:tr w:rsidR="00AD62CD" w:rsidRPr="00AD62CD" w14:paraId="52D1235E"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C0C0C0"/>
            <w:noWrap/>
            <w:vAlign w:val="center"/>
            <w:hideMark/>
          </w:tcPr>
          <w:p w14:paraId="54C57C1C"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Výdavky verejnej správy celkom</w:t>
            </w:r>
          </w:p>
        </w:tc>
        <w:tc>
          <w:tcPr>
            <w:tcW w:w="1280" w:type="dxa"/>
            <w:tcBorders>
              <w:top w:val="nil"/>
              <w:left w:val="nil"/>
              <w:bottom w:val="single" w:sz="8" w:space="0" w:color="auto"/>
              <w:right w:val="single" w:sz="8" w:space="0" w:color="auto"/>
            </w:tcBorders>
            <w:shd w:val="clear" w:color="000000" w:fill="C0C0C0"/>
            <w:vAlign w:val="center"/>
            <w:hideMark/>
          </w:tcPr>
          <w:p w14:paraId="37372E31"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shd w:val="clear" w:color="000000" w:fill="C0C0C0"/>
            <w:vAlign w:val="center"/>
          </w:tcPr>
          <w:p w14:paraId="5AF3D67B"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-5 657 484</w:t>
            </w:r>
          </w:p>
        </w:tc>
        <w:tc>
          <w:tcPr>
            <w:tcW w:w="1420" w:type="dxa"/>
            <w:tcBorders>
              <w:top w:val="nil"/>
              <w:left w:val="nil"/>
              <w:bottom w:val="single" w:sz="8" w:space="0" w:color="auto"/>
              <w:right w:val="single" w:sz="8" w:space="0" w:color="auto"/>
            </w:tcBorders>
            <w:shd w:val="clear" w:color="000000" w:fill="C0C0C0"/>
            <w:vAlign w:val="center"/>
          </w:tcPr>
          <w:p w14:paraId="57780DDD"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-6 780 899</w:t>
            </w:r>
          </w:p>
        </w:tc>
        <w:tc>
          <w:tcPr>
            <w:tcW w:w="1420" w:type="dxa"/>
            <w:tcBorders>
              <w:top w:val="nil"/>
              <w:left w:val="nil"/>
              <w:bottom w:val="single" w:sz="8" w:space="0" w:color="auto"/>
              <w:right w:val="single" w:sz="8" w:space="0" w:color="auto"/>
            </w:tcBorders>
            <w:shd w:val="clear" w:color="000000" w:fill="C0C0C0"/>
            <w:vAlign w:val="center"/>
          </w:tcPr>
          <w:p w14:paraId="33B8C7A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-7 108 224</w:t>
            </w:r>
          </w:p>
        </w:tc>
      </w:tr>
      <w:tr w:rsidR="00AD62CD" w:rsidRPr="00AD62CD" w14:paraId="09E72309"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3C46C017"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xml:space="preserve">z toho: </w:t>
            </w:r>
          </w:p>
        </w:tc>
        <w:tc>
          <w:tcPr>
            <w:tcW w:w="1280" w:type="dxa"/>
            <w:tcBorders>
              <w:top w:val="nil"/>
              <w:left w:val="nil"/>
              <w:bottom w:val="single" w:sz="8" w:space="0" w:color="auto"/>
              <w:right w:val="single" w:sz="8" w:space="0" w:color="auto"/>
            </w:tcBorders>
            <w:noWrap/>
            <w:vAlign w:val="center"/>
            <w:hideMark/>
          </w:tcPr>
          <w:p w14:paraId="0143FE43"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 </w:t>
            </w:r>
          </w:p>
        </w:tc>
        <w:tc>
          <w:tcPr>
            <w:tcW w:w="1360" w:type="dxa"/>
            <w:tcBorders>
              <w:top w:val="nil"/>
              <w:left w:val="nil"/>
              <w:bottom w:val="single" w:sz="8" w:space="0" w:color="auto"/>
              <w:right w:val="single" w:sz="8" w:space="0" w:color="auto"/>
            </w:tcBorders>
            <w:noWrap/>
            <w:vAlign w:val="center"/>
          </w:tcPr>
          <w:p w14:paraId="287E03E4"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p>
        </w:tc>
        <w:tc>
          <w:tcPr>
            <w:tcW w:w="1420" w:type="dxa"/>
            <w:tcBorders>
              <w:top w:val="nil"/>
              <w:left w:val="nil"/>
              <w:bottom w:val="single" w:sz="8" w:space="0" w:color="auto"/>
              <w:right w:val="single" w:sz="8" w:space="0" w:color="auto"/>
            </w:tcBorders>
            <w:noWrap/>
            <w:vAlign w:val="center"/>
          </w:tcPr>
          <w:p w14:paraId="05681A79"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p>
        </w:tc>
        <w:tc>
          <w:tcPr>
            <w:tcW w:w="1420" w:type="dxa"/>
            <w:tcBorders>
              <w:top w:val="nil"/>
              <w:left w:val="nil"/>
              <w:bottom w:val="single" w:sz="8" w:space="0" w:color="auto"/>
              <w:right w:val="single" w:sz="8" w:space="0" w:color="auto"/>
            </w:tcBorders>
            <w:noWrap/>
            <w:vAlign w:val="center"/>
          </w:tcPr>
          <w:p w14:paraId="05CC4E5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p>
        </w:tc>
      </w:tr>
      <w:tr w:rsidR="00AD62CD" w:rsidRPr="00AD62CD" w14:paraId="79D9B244"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0337D8EB"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ŠR</w:t>
            </w:r>
          </w:p>
        </w:tc>
        <w:tc>
          <w:tcPr>
            <w:tcW w:w="1280" w:type="dxa"/>
            <w:tcBorders>
              <w:top w:val="nil"/>
              <w:left w:val="nil"/>
              <w:bottom w:val="single" w:sz="8" w:space="0" w:color="auto"/>
              <w:right w:val="single" w:sz="8" w:space="0" w:color="auto"/>
            </w:tcBorders>
            <w:noWrap/>
            <w:vAlign w:val="center"/>
            <w:hideMark/>
          </w:tcPr>
          <w:p w14:paraId="10895387"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7F561AF3"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2554DE9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43ED18B5"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30B478DA" w14:textId="77777777" w:rsidTr="003627DF">
        <w:trPr>
          <w:trHeight w:val="270"/>
        </w:trPr>
        <w:tc>
          <w:tcPr>
            <w:tcW w:w="3969" w:type="dxa"/>
            <w:tcBorders>
              <w:top w:val="nil"/>
              <w:left w:val="single" w:sz="8" w:space="0" w:color="auto"/>
              <w:bottom w:val="single" w:sz="8" w:space="0" w:color="auto"/>
              <w:right w:val="single" w:sz="8" w:space="0" w:color="auto"/>
            </w:tcBorders>
            <w:noWrap/>
            <w:vAlign w:val="center"/>
            <w:hideMark/>
          </w:tcPr>
          <w:p w14:paraId="2F98C4BA" w14:textId="77777777" w:rsidR="00AD62CD" w:rsidRPr="00AD62CD" w:rsidRDefault="00AD62CD" w:rsidP="00AD62CD">
            <w:pPr>
              <w:spacing w:after="0" w:line="240" w:lineRule="auto"/>
              <w:ind w:firstLineChars="100" w:firstLine="22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Rozpočtové prostriedky</w:t>
            </w:r>
          </w:p>
        </w:tc>
        <w:tc>
          <w:tcPr>
            <w:tcW w:w="1280" w:type="dxa"/>
            <w:tcBorders>
              <w:top w:val="nil"/>
              <w:left w:val="nil"/>
              <w:bottom w:val="single" w:sz="8" w:space="0" w:color="auto"/>
              <w:right w:val="single" w:sz="8" w:space="0" w:color="auto"/>
            </w:tcBorders>
            <w:noWrap/>
            <w:vAlign w:val="center"/>
            <w:hideMark/>
          </w:tcPr>
          <w:p w14:paraId="12BFEE50"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68262543" w14:textId="77777777" w:rsidR="00AD62CD" w:rsidRPr="00AD62CD" w:rsidRDefault="00AD62CD" w:rsidP="00AD62CD">
            <w:pPr>
              <w:spacing w:after="0" w:line="240" w:lineRule="auto"/>
              <w:ind w:left="-78"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1A707001"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6685A915"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r>
      <w:tr w:rsidR="00AD62CD" w:rsidRPr="00AD62CD" w14:paraId="177681FB" w14:textId="77777777" w:rsidTr="003627DF">
        <w:trPr>
          <w:trHeight w:val="270"/>
        </w:trPr>
        <w:tc>
          <w:tcPr>
            <w:tcW w:w="3969" w:type="dxa"/>
            <w:tcBorders>
              <w:top w:val="nil"/>
              <w:left w:val="single" w:sz="8" w:space="0" w:color="auto"/>
              <w:bottom w:val="single" w:sz="8" w:space="0" w:color="auto"/>
              <w:right w:val="single" w:sz="8" w:space="0" w:color="auto"/>
            </w:tcBorders>
            <w:noWrap/>
            <w:vAlign w:val="center"/>
            <w:hideMark/>
          </w:tcPr>
          <w:p w14:paraId="168CFE18" w14:textId="77777777" w:rsidR="00AD62CD" w:rsidRPr="00AD62CD" w:rsidRDefault="00AD62CD" w:rsidP="00AD62CD">
            <w:pPr>
              <w:spacing w:after="0" w:line="240" w:lineRule="auto"/>
              <w:ind w:firstLineChars="100" w:firstLine="22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EÚ zdroje</w:t>
            </w:r>
          </w:p>
        </w:tc>
        <w:tc>
          <w:tcPr>
            <w:tcW w:w="1280" w:type="dxa"/>
            <w:tcBorders>
              <w:top w:val="nil"/>
              <w:left w:val="nil"/>
              <w:bottom w:val="single" w:sz="8" w:space="0" w:color="auto"/>
              <w:right w:val="single" w:sz="8" w:space="0" w:color="auto"/>
            </w:tcBorders>
            <w:noWrap/>
            <w:vAlign w:val="center"/>
            <w:hideMark/>
          </w:tcPr>
          <w:p w14:paraId="39FC895B"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282E2919" w14:textId="77777777" w:rsidR="00AD62CD" w:rsidRPr="00AD62CD" w:rsidRDefault="00AD62CD" w:rsidP="00AD62CD">
            <w:pPr>
              <w:spacing w:after="0" w:line="240" w:lineRule="auto"/>
              <w:ind w:left="-78"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0DEB7109"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1C5C2EA7"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r>
      <w:tr w:rsidR="00AD62CD" w:rsidRPr="00AD62CD" w14:paraId="5E05B09E" w14:textId="77777777" w:rsidTr="003627DF">
        <w:trPr>
          <w:trHeight w:val="270"/>
        </w:trPr>
        <w:tc>
          <w:tcPr>
            <w:tcW w:w="3969" w:type="dxa"/>
            <w:tcBorders>
              <w:top w:val="nil"/>
              <w:left w:val="single" w:sz="8" w:space="0" w:color="auto"/>
              <w:bottom w:val="single" w:sz="8" w:space="0" w:color="auto"/>
              <w:right w:val="single" w:sz="8" w:space="0" w:color="auto"/>
            </w:tcBorders>
            <w:noWrap/>
            <w:vAlign w:val="center"/>
            <w:hideMark/>
          </w:tcPr>
          <w:p w14:paraId="38652E56" w14:textId="77777777" w:rsidR="00AD62CD" w:rsidRPr="00AD62CD" w:rsidRDefault="00AD62CD" w:rsidP="00AD62CD">
            <w:pPr>
              <w:spacing w:after="0" w:line="240" w:lineRule="auto"/>
              <w:ind w:firstLineChars="100" w:firstLine="22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spolufinancovanie</w:t>
            </w:r>
          </w:p>
        </w:tc>
        <w:tc>
          <w:tcPr>
            <w:tcW w:w="1280" w:type="dxa"/>
            <w:tcBorders>
              <w:top w:val="nil"/>
              <w:left w:val="nil"/>
              <w:bottom w:val="single" w:sz="8" w:space="0" w:color="auto"/>
              <w:right w:val="single" w:sz="8" w:space="0" w:color="auto"/>
            </w:tcBorders>
            <w:noWrap/>
            <w:vAlign w:val="center"/>
            <w:hideMark/>
          </w:tcPr>
          <w:p w14:paraId="1CAF5CE8"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0E8BE496" w14:textId="77777777" w:rsidR="00AD62CD" w:rsidRPr="00AD62CD" w:rsidRDefault="00AD62CD" w:rsidP="00AD62CD">
            <w:pPr>
              <w:spacing w:after="0" w:line="240" w:lineRule="auto"/>
              <w:ind w:left="-78"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27CCF9BA"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7D9526FD"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r>
      <w:tr w:rsidR="00AD62CD" w:rsidRPr="00AD62CD" w14:paraId="7755C689"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1B558F38"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obce</w:t>
            </w:r>
          </w:p>
        </w:tc>
        <w:tc>
          <w:tcPr>
            <w:tcW w:w="1280" w:type="dxa"/>
            <w:tcBorders>
              <w:top w:val="nil"/>
              <w:left w:val="nil"/>
              <w:bottom w:val="single" w:sz="8" w:space="0" w:color="auto"/>
              <w:right w:val="single" w:sz="8" w:space="0" w:color="auto"/>
            </w:tcBorders>
            <w:noWrap/>
            <w:vAlign w:val="center"/>
            <w:hideMark/>
          </w:tcPr>
          <w:p w14:paraId="3C640773"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647E91C7"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66AB78AD"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5B416893"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453B4310"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30AE6EA1"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vyššie územné celky</w:t>
            </w:r>
          </w:p>
        </w:tc>
        <w:tc>
          <w:tcPr>
            <w:tcW w:w="1280" w:type="dxa"/>
            <w:tcBorders>
              <w:top w:val="nil"/>
              <w:left w:val="nil"/>
              <w:bottom w:val="single" w:sz="8" w:space="0" w:color="auto"/>
              <w:right w:val="single" w:sz="8" w:space="0" w:color="auto"/>
            </w:tcBorders>
            <w:noWrap/>
            <w:vAlign w:val="center"/>
            <w:hideMark/>
          </w:tcPr>
          <w:p w14:paraId="2ED6EFE1"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06BD58F8"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290AC77C"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1D93AC07"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6B978340"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0D889156"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ostatné subjekty verejnej správy</w:t>
            </w:r>
          </w:p>
        </w:tc>
        <w:tc>
          <w:tcPr>
            <w:tcW w:w="1280" w:type="dxa"/>
            <w:tcBorders>
              <w:top w:val="nil"/>
              <w:left w:val="nil"/>
              <w:bottom w:val="single" w:sz="8" w:space="0" w:color="auto"/>
              <w:right w:val="single" w:sz="8" w:space="0" w:color="auto"/>
            </w:tcBorders>
            <w:noWrap/>
            <w:vAlign w:val="center"/>
            <w:hideMark/>
          </w:tcPr>
          <w:p w14:paraId="4B3C3F86"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615DC2C2"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-5 657 484</w:t>
            </w:r>
          </w:p>
        </w:tc>
        <w:tc>
          <w:tcPr>
            <w:tcW w:w="1420" w:type="dxa"/>
            <w:tcBorders>
              <w:top w:val="nil"/>
              <w:left w:val="nil"/>
              <w:bottom w:val="single" w:sz="8" w:space="0" w:color="auto"/>
              <w:right w:val="single" w:sz="8" w:space="0" w:color="auto"/>
            </w:tcBorders>
            <w:noWrap/>
            <w:vAlign w:val="center"/>
          </w:tcPr>
          <w:p w14:paraId="65056677"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-6 780 899</w:t>
            </w:r>
          </w:p>
        </w:tc>
        <w:tc>
          <w:tcPr>
            <w:tcW w:w="1420" w:type="dxa"/>
            <w:tcBorders>
              <w:top w:val="nil"/>
              <w:left w:val="nil"/>
              <w:bottom w:val="single" w:sz="8" w:space="0" w:color="auto"/>
              <w:right w:val="single" w:sz="8" w:space="0" w:color="auto"/>
            </w:tcBorders>
            <w:noWrap/>
            <w:vAlign w:val="center"/>
          </w:tcPr>
          <w:p w14:paraId="1B38C2D7"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-7 108 224</w:t>
            </w:r>
          </w:p>
        </w:tc>
      </w:tr>
      <w:tr w:rsidR="00AD62CD" w:rsidRPr="00AD62CD" w14:paraId="23E8EFB4"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2E932397"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xml:space="preserve">      - vplyv na Sociálnu poisťovňu</w:t>
            </w:r>
          </w:p>
        </w:tc>
        <w:tc>
          <w:tcPr>
            <w:tcW w:w="1280" w:type="dxa"/>
            <w:tcBorders>
              <w:top w:val="nil"/>
              <w:left w:val="nil"/>
              <w:bottom w:val="single" w:sz="8" w:space="0" w:color="auto"/>
              <w:right w:val="single" w:sz="8" w:space="0" w:color="auto"/>
            </w:tcBorders>
            <w:noWrap/>
            <w:vAlign w:val="center"/>
            <w:hideMark/>
          </w:tcPr>
          <w:p w14:paraId="5DC91CB7"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075F6F8D"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-5 657 484</w:t>
            </w:r>
          </w:p>
        </w:tc>
        <w:tc>
          <w:tcPr>
            <w:tcW w:w="1420" w:type="dxa"/>
            <w:tcBorders>
              <w:top w:val="nil"/>
              <w:left w:val="nil"/>
              <w:bottom w:val="single" w:sz="8" w:space="0" w:color="auto"/>
              <w:right w:val="single" w:sz="8" w:space="0" w:color="auto"/>
            </w:tcBorders>
            <w:noWrap/>
            <w:vAlign w:val="center"/>
          </w:tcPr>
          <w:p w14:paraId="73472A3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-6 780 899</w:t>
            </w:r>
          </w:p>
        </w:tc>
        <w:tc>
          <w:tcPr>
            <w:tcW w:w="1420" w:type="dxa"/>
            <w:tcBorders>
              <w:top w:val="nil"/>
              <w:left w:val="nil"/>
              <w:bottom w:val="single" w:sz="8" w:space="0" w:color="auto"/>
              <w:right w:val="single" w:sz="8" w:space="0" w:color="auto"/>
            </w:tcBorders>
            <w:noWrap/>
            <w:vAlign w:val="center"/>
          </w:tcPr>
          <w:p w14:paraId="0C2C8B4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-7 108 224</w:t>
            </w:r>
          </w:p>
        </w:tc>
      </w:tr>
      <w:tr w:rsidR="00AD62CD" w:rsidRPr="00AD62CD" w14:paraId="2DDB4920"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3A4080FE"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xml:space="preserve">      - vplyv na ostatné subjekty verejnej správy</w:t>
            </w:r>
          </w:p>
        </w:tc>
        <w:tc>
          <w:tcPr>
            <w:tcW w:w="1280" w:type="dxa"/>
            <w:tcBorders>
              <w:top w:val="nil"/>
              <w:left w:val="nil"/>
              <w:bottom w:val="single" w:sz="8" w:space="0" w:color="auto"/>
              <w:right w:val="single" w:sz="8" w:space="0" w:color="auto"/>
            </w:tcBorders>
            <w:noWrap/>
            <w:vAlign w:val="center"/>
            <w:hideMark/>
          </w:tcPr>
          <w:p w14:paraId="57A15761"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63A20C89"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5AC7DDFA"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tcPr>
          <w:p w14:paraId="409BA37A"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56313FFA"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BFBFBF"/>
            <w:noWrap/>
            <w:vAlign w:val="center"/>
            <w:hideMark/>
          </w:tcPr>
          <w:p w14:paraId="5091273E"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 xml:space="preserve">Vplyv na počet zamestnancov </w:t>
            </w:r>
          </w:p>
        </w:tc>
        <w:tc>
          <w:tcPr>
            <w:tcW w:w="1280" w:type="dxa"/>
            <w:tcBorders>
              <w:top w:val="nil"/>
              <w:left w:val="nil"/>
              <w:bottom w:val="single" w:sz="8" w:space="0" w:color="auto"/>
              <w:right w:val="single" w:sz="8" w:space="0" w:color="auto"/>
            </w:tcBorders>
            <w:shd w:val="clear" w:color="000000" w:fill="BFBFBF"/>
            <w:noWrap/>
            <w:vAlign w:val="center"/>
            <w:hideMark/>
          </w:tcPr>
          <w:p w14:paraId="6B9B4E76"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shd w:val="clear" w:color="000000" w:fill="BFBFBF"/>
            <w:noWrap/>
            <w:vAlign w:val="center"/>
            <w:hideMark/>
          </w:tcPr>
          <w:p w14:paraId="401DF602"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shd w:val="clear" w:color="000000" w:fill="BFBFBF"/>
            <w:noWrap/>
            <w:vAlign w:val="center"/>
            <w:hideMark/>
          </w:tcPr>
          <w:p w14:paraId="58738F5B"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shd w:val="clear" w:color="000000" w:fill="BFBFBF"/>
            <w:noWrap/>
            <w:vAlign w:val="center"/>
            <w:hideMark/>
          </w:tcPr>
          <w:p w14:paraId="644F6DB9"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3CC29249"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3A7037A2"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ŠR</w:t>
            </w:r>
          </w:p>
        </w:tc>
        <w:tc>
          <w:tcPr>
            <w:tcW w:w="1280" w:type="dxa"/>
            <w:tcBorders>
              <w:top w:val="nil"/>
              <w:left w:val="nil"/>
              <w:bottom w:val="single" w:sz="8" w:space="0" w:color="auto"/>
              <w:right w:val="single" w:sz="8" w:space="0" w:color="auto"/>
            </w:tcBorders>
            <w:noWrap/>
            <w:vAlign w:val="center"/>
            <w:hideMark/>
          </w:tcPr>
          <w:p w14:paraId="7E130535"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hideMark/>
          </w:tcPr>
          <w:p w14:paraId="3ABBCDC5"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51D1E0CC"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7BA9D0F7"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36CE6A18"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0F72CC6B"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obce</w:t>
            </w:r>
          </w:p>
        </w:tc>
        <w:tc>
          <w:tcPr>
            <w:tcW w:w="1280" w:type="dxa"/>
            <w:tcBorders>
              <w:top w:val="nil"/>
              <w:left w:val="nil"/>
              <w:bottom w:val="single" w:sz="8" w:space="0" w:color="auto"/>
              <w:right w:val="single" w:sz="8" w:space="0" w:color="auto"/>
            </w:tcBorders>
            <w:noWrap/>
            <w:vAlign w:val="center"/>
            <w:hideMark/>
          </w:tcPr>
          <w:p w14:paraId="4218ECCD"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hideMark/>
          </w:tcPr>
          <w:p w14:paraId="51415CB2"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538E0BE7"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0B6B84B2"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6FCA6D17"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27C8F4DC"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vyššie územné celky</w:t>
            </w:r>
          </w:p>
        </w:tc>
        <w:tc>
          <w:tcPr>
            <w:tcW w:w="1280" w:type="dxa"/>
            <w:tcBorders>
              <w:top w:val="nil"/>
              <w:left w:val="nil"/>
              <w:bottom w:val="single" w:sz="8" w:space="0" w:color="auto"/>
              <w:right w:val="single" w:sz="8" w:space="0" w:color="auto"/>
            </w:tcBorders>
            <w:noWrap/>
            <w:vAlign w:val="center"/>
            <w:hideMark/>
          </w:tcPr>
          <w:p w14:paraId="6366631A"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hideMark/>
          </w:tcPr>
          <w:p w14:paraId="69F4CBB6"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6F37FB34"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51ACDDEB"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1B9E8D2F"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43C7FAB3"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ostatné subjekty verejnej správy</w:t>
            </w:r>
          </w:p>
        </w:tc>
        <w:tc>
          <w:tcPr>
            <w:tcW w:w="1280" w:type="dxa"/>
            <w:tcBorders>
              <w:top w:val="nil"/>
              <w:left w:val="nil"/>
              <w:bottom w:val="single" w:sz="8" w:space="0" w:color="auto"/>
              <w:right w:val="single" w:sz="8" w:space="0" w:color="auto"/>
            </w:tcBorders>
            <w:noWrap/>
            <w:vAlign w:val="center"/>
            <w:hideMark/>
          </w:tcPr>
          <w:p w14:paraId="69E97BD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hideMark/>
          </w:tcPr>
          <w:p w14:paraId="3D41E17E"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2374838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47E79DD3"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569F25A5"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BFBFBF"/>
            <w:noWrap/>
            <w:vAlign w:val="center"/>
            <w:hideMark/>
          </w:tcPr>
          <w:p w14:paraId="2C9AFC46"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Vplyv na mzdové výdavky</w:t>
            </w:r>
          </w:p>
        </w:tc>
        <w:tc>
          <w:tcPr>
            <w:tcW w:w="1280" w:type="dxa"/>
            <w:tcBorders>
              <w:top w:val="nil"/>
              <w:left w:val="nil"/>
              <w:bottom w:val="single" w:sz="8" w:space="0" w:color="auto"/>
              <w:right w:val="single" w:sz="8" w:space="0" w:color="auto"/>
            </w:tcBorders>
            <w:shd w:val="clear" w:color="000000" w:fill="BFBFBF"/>
            <w:noWrap/>
            <w:vAlign w:val="center"/>
            <w:hideMark/>
          </w:tcPr>
          <w:p w14:paraId="50CCC5BF"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shd w:val="clear" w:color="000000" w:fill="BFBFBF"/>
            <w:noWrap/>
            <w:vAlign w:val="center"/>
            <w:hideMark/>
          </w:tcPr>
          <w:p w14:paraId="5ACB12B1"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shd w:val="clear" w:color="000000" w:fill="BFBFBF"/>
            <w:noWrap/>
            <w:vAlign w:val="center"/>
            <w:hideMark/>
          </w:tcPr>
          <w:p w14:paraId="3B98F621"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shd w:val="clear" w:color="000000" w:fill="BFBFBF"/>
            <w:noWrap/>
            <w:vAlign w:val="center"/>
            <w:hideMark/>
          </w:tcPr>
          <w:p w14:paraId="7627240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33BE47A0"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32740ED2"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ŠR</w:t>
            </w:r>
          </w:p>
        </w:tc>
        <w:tc>
          <w:tcPr>
            <w:tcW w:w="1280" w:type="dxa"/>
            <w:tcBorders>
              <w:top w:val="nil"/>
              <w:left w:val="nil"/>
              <w:bottom w:val="single" w:sz="8" w:space="0" w:color="auto"/>
              <w:right w:val="single" w:sz="8" w:space="0" w:color="auto"/>
            </w:tcBorders>
            <w:noWrap/>
            <w:vAlign w:val="center"/>
            <w:hideMark/>
          </w:tcPr>
          <w:p w14:paraId="29696D00"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hideMark/>
          </w:tcPr>
          <w:p w14:paraId="4C876341"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00F78EA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3429696D"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321A1346"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25CE9FFA"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obce</w:t>
            </w:r>
          </w:p>
        </w:tc>
        <w:tc>
          <w:tcPr>
            <w:tcW w:w="1280" w:type="dxa"/>
            <w:tcBorders>
              <w:top w:val="nil"/>
              <w:left w:val="nil"/>
              <w:bottom w:val="single" w:sz="8" w:space="0" w:color="auto"/>
              <w:right w:val="single" w:sz="8" w:space="0" w:color="auto"/>
            </w:tcBorders>
            <w:noWrap/>
            <w:vAlign w:val="center"/>
            <w:hideMark/>
          </w:tcPr>
          <w:p w14:paraId="02DC09A9"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hideMark/>
          </w:tcPr>
          <w:p w14:paraId="4E6B4D55"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0582892B"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7BD4E9CB"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28B2EA94"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2D622817"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vyššie územné celky</w:t>
            </w:r>
          </w:p>
        </w:tc>
        <w:tc>
          <w:tcPr>
            <w:tcW w:w="1280" w:type="dxa"/>
            <w:tcBorders>
              <w:top w:val="nil"/>
              <w:left w:val="nil"/>
              <w:bottom w:val="single" w:sz="8" w:space="0" w:color="auto"/>
              <w:right w:val="single" w:sz="8" w:space="0" w:color="auto"/>
            </w:tcBorders>
            <w:noWrap/>
            <w:vAlign w:val="center"/>
            <w:hideMark/>
          </w:tcPr>
          <w:p w14:paraId="29A8D505"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hideMark/>
          </w:tcPr>
          <w:p w14:paraId="4D00F26A"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38609EE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6DBDE2CE"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3697C2B5" w14:textId="77777777" w:rsidTr="003627DF">
        <w:trPr>
          <w:trHeight w:val="285"/>
        </w:trPr>
        <w:tc>
          <w:tcPr>
            <w:tcW w:w="3969" w:type="dxa"/>
            <w:tcBorders>
              <w:top w:val="nil"/>
              <w:left w:val="single" w:sz="8" w:space="0" w:color="auto"/>
              <w:bottom w:val="single" w:sz="8" w:space="0" w:color="auto"/>
              <w:right w:val="single" w:sz="8" w:space="0" w:color="auto"/>
            </w:tcBorders>
            <w:noWrap/>
            <w:vAlign w:val="center"/>
            <w:hideMark/>
          </w:tcPr>
          <w:p w14:paraId="72DDFF69" w14:textId="77777777" w:rsidR="00AD62CD" w:rsidRPr="00AD62CD" w:rsidRDefault="00AD62CD" w:rsidP="00AD62CD">
            <w:pPr>
              <w:spacing w:after="0" w:line="240" w:lineRule="auto"/>
              <w:rPr>
                <w:rFonts w:ascii="Times New Roman" w:eastAsia="Calibri" w:hAnsi="Times New Roman" w:cs="Times New Roman"/>
                <w:b/>
                <w:bCs/>
                <w:i/>
                <w:iCs/>
                <w:color w:val="000000"/>
                <w:kern w:val="0"/>
                <w:sz w:val="22"/>
                <w:szCs w:val="22"/>
                <w:lang w:eastAsia="sk-SK"/>
                <w14:ligatures w14:val="none"/>
              </w:rPr>
            </w:pPr>
            <w:r w:rsidRPr="00AD62CD">
              <w:rPr>
                <w:rFonts w:ascii="Times New Roman" w:eastAsia="Calibri" w:hAnsi="Times New Roman" w:cs="Times New Roman"/>
                <w:b/>
                <w:bCs/>
                <w:i/>
                <w:iCs/>
                <w:color w:val="000000"/>
                <w:kern w:val="0"/>
                <w:sz w:val="22"/>
                <w:szCs w:val="22"/>
                <w:lang w:eastAsia="sk-SK"/>
                <w14:ligatures w14:val="none"/>
              </w:rPr>
              <w:t>- vplyv na ostatné subjekty verejnej správy</w:t>
            </w:r>
          </w:p>
        </w:tc>
        <w:tc>
          <w:tcPr>
            <w:tcW w:w="1280" w:type="dxa"/>
            <w:tcBorders>
              <w:top w:val="nil"/>
              <w:left w:val="nil"/>
              <w:bottom w:val="single" w:sz="8" w:space="0" w:color="auto"/>
              <w:right w:val="single" w:sz="8" w:space="0" w:color="auto"/>
            </w:tcBorders>
            <w:noWrap/>
            <w:vAlign w:val="center"/>
            <w:hideMark/>
          </w:tcPr>
          <w:p w14:paraId="499C6292"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hideMark/>
          </w:tcPr>
          <w:p w14:paraId="0F7E4599"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7A40A7CA"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1D71ECD7"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13D87DEA"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C0C0C0"/>
            <w:noWrap/>
            <w:vAlign w:val="center"/>
            <w:hideMark/>
          </w:tcPr>
          <w:p w14:paraId="771561FB"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Financovanie zabezpečené v rozpočte</w:t>
            </w:r>
          </w:p>
        </w:tc>
        <w:tc>
          <w:tcPr>
            <w:tcW w:w="1280" w:type="dxa"/>
            <w:tcBorders>
              <w:top w:val="nil"/>
              <w:left w:val="nil"/>
              <w:bottom w:val="single" w:sz="8" w:space="0" w:color="auto"/>
              <w:right w:val="single" w:sz="8" w:space="0" w:color="auto"/>
            </w:tcBorders>
            <w:shd w:val="clear" w:color="000000" w:fill="C0C0C0"/>
            <w:noWrap/>
            <w:vAlign w:val="center"/>
            <w:hideMark/>
          </w:tcPr>
          <w:p w14:paraId="0A5CDE49"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shd w:val="clear" w:color="000000" w:fill="C0C0C0"/>
            <w:noWrap/>
            <w:vAlign w:val="center"/>
            <w:hideMark/>
          </w:tcPr>
          <w:p w14:paraId="27C852FD"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shd w:val="clear" w:color="000000" w:fill="C0C0C0"/>
            <w:noWrap/>
            <w:vAlign w:val="center"/>
            <w:hideMark/>
          </w:tcPr>
          <w:p w14:paraId="4B247DCA"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shd w:val="clear" w:color="000000" w:fill="C0C0C0"/>
            <w:noWrap/>
            <w:vAlign w:val="center"/>
            <w:hideMark/>
          </w:tcPr>
          <w:p w14:paraId="51FA8BF8"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50AF57B7" w14:textId="77777777" w:rsidTr="003627DF">
        <w:trPr>
          <w:trHeight w:val="270"/>
        </w:trPr>
        <w:tc>
          <w:tcPr>
            <w:tcW w:w="3969" w:type="dxa"/>
            <w:tcBorders>
              <w:top w:val="nil"/>
              <w:left w:val="single" w:sz="8" w:space="0" w:color="auto"/>
              <w:bottom w:val="single" w:sz="8" w:space="0" w:color="auto"/>
              <w:right w:val="single" w:sz="8" w:space="0" w:color="auto"/>
            </w:tcBorders>
            <w:noWrap/>
            <w:vAlign w:val="center"/>
            <w:hideMark/>
          </w:tcPr>
          <w:p w14:paraId="73634528"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v tom: za každý subjekt verejnej správy / program zvlášť</w:t>
            </w:r>
          </w:p>
        </w:tc>
        <w:tc>
          <w:tcPr>
            <w:tcW w:w="1280" w:type="dxa"/>
            <w:tcBorders>
              <w:top w:val="nil"/>
              <w:left w:val="nil"/>
              <w:bottom w:val="single" w:sz="8" w:space="0" w:color="auto"/>
              <w:right w:val="single" w:sz="8" w:space="0" w:color="auto"/>
            </w:tcBorders>
            <w:noWrap/>
            <w:vAlign w:val="center"/>
            <w:hideMark/>
          </w:tcPr>
          <w:p w14:paraId="426116DA"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hideMark/>
          </w:tcPr>
          <w:p w14:paraId="21B684D6" w14:textId="77777777" w:rsidR="00AD62CD" w:rsidRPr="00AD62CD" w:rsidRDefault="00AD62CD" w:rsidP="00AD62CD">
            <w:pPr>
              <w:spacing w:after="0" w:line="240" w:lineRule="auto"/>
              <w:ind w:left="-78"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7212BED6"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noWrap/>
            <w:vAlign w:val="center"/>
            <w:hideMark/>
          </w:tcPr>
          <w:p w14:paraId="54300151"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r>
      <w:tr w:rsidR="00AD62CD" w:rsidRPr="00AD62CD" w14:paraId="4628E3EA"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BFBFBF"/>
            <w:noWrap/>
            <w:vAlign w:val="center"/>
            <w:hideMark/>
          </w:tcPr>
          <w:p w14:paraId="71C4F8C5"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Iné ako rozpočtové zdroje</w:t>
            </w:r>
          </w:p>
        </w:tc>
        <w:tc>
          <w:tcPr>
            <w:tcW w:w="1280" w:type="dxa"/>
            <w:tcBorders>
              <w:top w:val="nil"/>
              <w:left w:val="nil"/>
              <w:bottom w:val="single" w:sz="8" w:space="0" w:color="auto"/>
              <w:right w:val="single" w:sz="8" w:space="0" w:color="auto"/>
            </w:tcBorders>
            <w:shd w:val="clear" w:color="000000" w:fill="BFBFBF"/>
            <w:noWrap/>
            <w:vAlign w:val="center"/>
            <w:hideMark/>
          </w:tcPr>
          <w:p w14:paraId="2C888FFC"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shd w:val="clear" w:color="000000" w:fill="BFBFBF"/>
            <w:noWrap/>
            <w:vAlign w:val="center"/>
            <w:hideMark/>
          </w:tcPr>
          <w:p w14:paraId="0E08781D"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shd w:val="clear" w:color="000000" w:fill="BFBFBF"/>
            <w:noWrap/>
            <w:vAlign w:val="center"/>
            <w:hideMark/>
          </w:tcPr>
          <w:p w14:paraId="75F4A189"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420" w:type="dxa"/>
            <w:tcBorders>
              <w:top w:val="nil"/>
              <w:left w:val="nil"/>
              <w:bottom w:val="single" w:sz="8" w:space="0" w:color="auto"/>
              <w:right w:val="single" w:sz="8" w:space="0" w:color="auto"/>
            </w:tcBorders>
            <w:shd w:val="clear" w:color="000000" w:fill="BFBFBF"/>
            <w:noWrap/>
            <w:vAlign w:val="center"/>
            <w:hideMark/>
          </w:tcPr>
          <w:p w14:paraId="44E5FD08"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r>
      <w:tr w:rsidR="00AD62CD" w:rsidRPr="00AD62CD" w14:paraId="406E9323"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BFBFBF"/>
            <w:noWrap/>
            <w:vAlign w:val="center"/>
            <w:hideMark/>
          </w:tcPr>
          <w:p w14:paraId="29BC50D7"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Rozpočtovo nekrytý vplyv / úspora - Celkový vplyv na rozpočet (+negatívum/-pozitívum)</w:t>
            </w:r>
          </w:p>
        </w:tc>
        <w:tc>
          <w:tcPr>
            <w:tcW w:w="1280" w:type="dxa"/>
            <w:tcBorders>
              <w:top w:val="nil"/>
              <w:left w:val="nil"/>
              <w:bottom w:val="single" w:sz="8" w:space="0" w:color="auto"/>
              <w:right w:val="single" w:sz="8" w:space="0" w:color="auto"/>
            </w:tcBorders>
            <w:shd w:val="clear" w:color="000000" w:fill="C0C0C0"/>
            <w:vAlign w:val="center"/>
            <w:hideMark/>
          </w:tcPr>
          <w:p w14:paraId="387610DD"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shd w:val="clear" w:color="000000" w:fill="C0C0C0"/>
            <w:vAlign w:val="center"/>
          </w:tcPr>
          <w:p w14:paraId="2471B013" w14:textId="77777777" w:rsidR="00AD62CD" w:rsidRPr="00AD62CD" w:rsidRDefault="00AD62CD" w:rsidP="00AD62CD">
            <w:pPr>
              <w:spacing w:after="0" w:line="240" w:lineRule="auto"/>
              <w:ind w:left="-78"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-12 500 000</w:t>
            </w:r>
          </w:p>
        </w:tc>
        <w:tc>
          <w:tcPr>
            <w:tcW w:w="1420" w:type="dxa"/>
            <w:tcBorders>
              <w:top w:val="nil"/>
              <w:left w:val="nil"/>
              <w:bottom w:val="single" w:sz="8" w:space="0" w:color="auto"/>
              <w:right w:val="single" w:sz="8" w:space="0" w:color="auto"/>
            </w:tcBorders>
            <w:shd w:val="clear" w:color="000000" w:fill="C0C0C0"/>
            <w:vAlign w:val="center"/>
          </w:tcPr>
          <w:p w14:paraId="387C8ED0"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-14 997 864</w:t>
            </w:r>
          </w:p>
        </w:tc>
        <w:tc>
          <w:tcPr>
            <w:tcW w:w="1420" w:type="dxa"/>
            <w:tcBorders>
              <w:top w:val="nil"/>
              <w:left w:val="nil"/>
              <w:bottom w:val="single" w:sz="8" w:space="0" w:color="auto"/>
              <w:right w:val="single" w:sz="8" w:space="0" w:color="auto"/>
            </w:tcBorders>
            <w:shd w:val="clear" w:color="000000" w:fill="C0C0C0"/>
            <w:vAlign w:val="center"/>
          </w:tcPr>
          <w:p w14:paraId="1D7F8719"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-15 685 282</w:t>
            </w:r>
          </w:p>
        </w:tc>
      </w:tr>
    </w:tbl>
    <w:p w14:paraId="6D0F835F" w14:textId="77777777" w:rsidR="00AD62CD" w:rsidRPr="00AD62CD" w:rsidRDefault="00AD62CD" w:rsidP="00AD62CD">
      <w:pPr>
        <w:spacing w:after="0" w:line="276" w:lineRule="auto"/>
        <w:jc w:val="both"/>
        <w:rPr>
          <w:rFonts w:ascii="Times New Roman" w:eastAsia="Calibri" w:hAnsi="Times New Roman" w:cs="Times New Roman"/>
          <w:b/>
          <w:bCs/>
          <w:kern w:val="0"/>
          <w:sz w:val="22"/>
          <w:szCs w:val="20"/>
          <w:lang w:eastAsia="sk-SK"/>
          <w14:ligatures w14:val="none"/>
        </w:rPr>
      </w:pPr>
    </w:p>
    <w:p w14:paraId="072FD5AA" w14:textId="77777777" w:rsidR="00AD62CD" w:rsidRPr="00AD62CD" w:rsidRDefault="00AD62CD" w:rsidP="00AD62CD">
      <w:pPr>
        <w:spacing w:after="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Tabuľka č. 1/B</w:t>
      </w:r>
    </w:p>
    <w:tbl>
      <w:tblPr>
        <w:tblW w:w="9492" w:type="dxa"/>
        <w:tblInd w:w="-10" w:type="dxa"/>
        <w:tblCellMar>
          <w:left w:w="70" w:type="dxa"/>
          <w:right w:w="70" w:type="dxa"/>
        </w:tblCellMar>
        <w:tblLook w:val="04A0" w:firstRow="1" w:lastRow="0" w:firstColumn="1" w:lastColumn="0" w:noHBand="0" w:noVBand="1"/>
      </w:tblPr>
      <w:tblGrid>
        <w:gridCol w:w="3969"/>
        <w:gridCol w:w="1280"/>
        <w:gridCol w:w="1403"/>
        <w:gridCol w:w="1420"/>
        <w:gridCol w:w="1420"/>
      </w:tblGrid>
      <w:tr w:rsidR="00AD62CD" w:rsidRPr="00AD62CD" w14:paraId="56182C0A" w14:textId="77777777" w:rsidTr="003627DF">
        <w:trPr>
          <w:trHeight w:val="270"/>
        </w:trPr>
        <w:tc>
          <w:tcPr>
            <w:tcW w:w="3969"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124A1D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c>
          <w:tcPr>
            <w:tcW w:w="1280" w:type="dxa"/>
            <w:tcBorders>
              <w:top w:val="single" w:sz="8" w:space="0" w:color="auto"/>
              <w:left w:val="nil"/>
              <w:bottom w:val="single" w:sz="8" w:space="0" w:color="auto"/>
              <w:right w:val="single" w:sz="8" w:space="0" w:color="auto"/>
            </w:tcBorders>
            <w:shd w:val="clear" w:color="000000" w:fill="BFBFBF"/>
            <w:noWrap/>
            <w:vAlign w:val="center"/>
            <w:hideMark/>
          </w:tcPr>
          <w:p w14:paraId="0562839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403" w:type="dxa"/>
            <w:tcBorders>
              <w:top w:val="single" w:sz="8" w:space="0" w:color="auto"/>
              <w:left w:val="nil"/>
              <w:bottom w:val="single" w:sz="8" w:space="0" w:color="auto"/>
              <w:right w:val="single" w:sz="8" w:space="0" w:color="auto"/>
            </w:tcBorders>
            <w:shd w:val="clear" w:color="000000" w:fill="BFBFBF"/>
            <w:noWrap/>
            <w:vAlign w:val="center"/>
            <w:hideMark/>
          </w:tcPr>
          <w:p w14:paraId="2F5EE55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20" w:type="dxa"/>
            <w:tcBorders>
              <w:top w:val="single" w:sz="8" w:space="0" w:color="auto"/>
              <w:left w:val="nil"/>
              <w:bottom w:val="single" w:sz="8" w:space="0" w:color="auto"/>
              <w:right w:val="single" w:sz="8" w:space="0" w:color="auto"/>
            </w:tcBorders>
            <w:shd w:val="clear" w:color="000000" w:fill="BFBFBF"/>
            <w:noWrap/>
            <w:vAlign w:val="center"/>
            <w:hideMark/>
          </w:tcPr>
          <w:p w14:paraId="6690F7E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20" w:type="dxa"/>
            <w:tcBorders>
              <w:top w:val="single" w:sz="8" w:space="0" w:color="auto"/>
              <w:left w:val="nil"/>
              <w:bottom w:val="single" w:sz="8" w:space="0" w:color="auto"/>
              <w:right w:val="single" w:sz="8" w:space="0" w:color="auto"/>
            </w:tcBorders>
            <w:shd w:val="clear" w:color="000000" w:fill="BFBFBF"/>
            <w:noWrap/>
            <w:vAlign w:val="center"/>
            <w:hideMark/>
          </w:tcPr>
          <w:p w14:paraId="6282FC5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r>
      <w:tr w:rsidR="00AD62CD" w:rsidRPr="00AD62CD" w14:paraId="06872F4C"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BFBFBF"/>
            <w:noWrap/>
            <w:vAlign w:val="center"/>
            <w:hideMark/>
          </w:tcPr>
          <w:p w14:paraId="785E5492"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Vplyvy na limit verejných výdavkov verejnej správy celkom (v metodike ESA 2010)</w:t>
            </w:r>
          </w:p>
        </w:tc>
        <w:tc>
          <w:tcPr>
            <w:tcW w:w="1280" w:type="dxa"/>
            <w:tcBorders>
              <w:top w:val="nil"/>
              <w:left w:val="nil"/>
              <w:bottom w:val="single" w:sz="8" w:space="0" w:color="auto"/>
              <w:right w:val="single" w:sz="8" w:space="0" w:color="auto"/>
            </w:tcBorders>
            <w:noWrap/>
            <w:vAlign w:val="center"/>
            <w:hideMark/>
          </w:tcPr>
          <w:p w14:paraId="55DF562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03" w:type="dxa"/>
            <w:tcBorders>
              <w:top w:val="nil"/>
              <w:left w:val="nil"/>
              <w:bottom w:val="single" w:sz="8" w:space="0" w:color="auto"/>
              <w:right w:val="single" w:sz="8" w:space="0" w:color="auto"/>
            </w:tcBorders>
            <w:noWrap/>
            <w:vAlign w:val="center"/>
          </w:tcPr>
          <w:p w14:paraId="73FA0756" w14:textId="77777777" w:rsidR="00AD62CD" w:rsidRPr="00AD62CD" w:rsidRDefault="00AD62CD" w:rsidP="00AD62CD">
            <w:pPr>
              <w:spacing w:after="0" w:line="240" w:lineRule="auto"/>
              <w:ind w:left="-78"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-12 500 000</w:t>
            </w:r>
          </w:p>
        </w:tc>
        <w:tc>
          <w:tcPr>
            <w:tcW w:w="1420" w:type="dxa"/>
            <w:tcBorders>
              <w:top w:val="nil"/>
              <w:left w:val="nil"/>
              <w:bottom w:val="single" w:sz="8" w:space="0" w:color="auto"/>
              <w:right w:val="single" w:sz="8" w:space="0" w:color="auto"/>
            </w:tcBorders>
            <w:noWrap/>
            <w:vAlign w:val="center"/>
          </w:tcPr>
          <w:p w14:paraId="59F86C4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-14 997 864</w:t>
            </w:r>
          </w:p>
        </w:tc>
        <w:tc>
          <w:tcPr>
            <w:tcW w:w="1420" w:type="dxa"/>
            <w:tcBorders>
              <w:top w:val="nil"/>
              <w:left w:val="nil"/>
              <w:bottom w:val="single" w:sz="8" w:space="0" w:color="auto"/>
              <w:right w:val="single" w:sz="8" w:space="0" w:color="auto"/>
            </w:tcBorders>
            <w:noWrap/>
            <w:vAlign w:val="center"/>
          </w:tcPr>
          <w:p w14:paraId="2A5E80F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-15 685 282</w:t>
            </w:r>
          </w:p>
        </w:tc>
      </w:tr>
      <w:tr w:rsidR="00AD62CD" w:rsidRPr="00AD62CD" w14:paraId="27B97B92"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BFBFBF"/>
            <w:noWrap/>
            <w:vAlign w:val="center"/>
            <w:hideMark/>
          </w:tcPr>
          <w:p w14:paraId="0B2E31B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v tom: za každý subjekt verejnej správy zvlášť / program zvlášť</w:t>
            </w:r>
          </w:p>
        </w:tc>
        <w:tc>
          <w:tcPr>
            <w:tcW w:w="1280" w:type="dxa"/>
            <w:tcBorders>
              <w:top w:val="nil"/>
              <w:left w:val="nil"/>
              <w:bottom w:val="single" w:sz="8" w:space="0" w:color="auto"/>
              <w:right w:val="single" w:sz="8" w:space="0" w:color="auto"/>
            </w:tcBorders>
            <w:noWrap/>
            <w:vAlign w:val="center"/>
            <w:hideMark/>
          </w:tcPr>
          <w:p w14:paraId="0636927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03" w:type="dxa"/>
            <w:tcBorders>
              <w:top w:val="nil"/>
              <w:left w:val="nil"/>
              <w:bottom w:val="single" w:sz="8" w:space="0" w:color="auto"/>
              <w:right w:val="single" w:sz="8" w:space="0" w:color="auto"/>
            </w:tcBorders>
            <w:noWrap/>
            <w:vAlign w:val="center"/>
          </w:tcPr>
          <w:p w14:paraId="769E06FE" w14:textId="77777777" w:rsidR="00AD62CD" w:rsidRPr="00AD62CD" w:rsidRDefault="00AD62CD" w:rsidP="00AD62CD">
            <w:pPr>
              <w:spacing w:after="0" w:line="240" w:lineRule="auto"/>
              <w:ind w:left="-78"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277F32B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55C9547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r>
      <w:tr w:rsidR="00AD62CD" w:rsidRPr="00AD62CD" w14:paraId="455E2A7B"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BFBFBF"/>
            <w:noWrap/>
            <w:vAlign w:val="center"/>
            <w:hideMark/>
          </w:tcPr>
          <w:p w14:paraId="11C667EF"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z toho:</w:t>
            </w:r>
          </w:p>
        </w:tc>
        <w:tc>
          <w:tcPr>
            <w:tcW w:w="1280" w:type="dxa"/>
            <w:tcBorders>
              <w:top w:val="nil"/>
              <w:left w:val="nil"/>
              <w:bottom w:val="single" w:sz="8" w:space="0" w:color="auto"/>
              <w:right w:val="single" w:sz="8" w:space="0" w:color="auto"/>
            </w:tcBorders>
            <w:noWrap/>
            <w:vAlign w:val="center"/>
            <w:hideMark/>
          </w:tcPr>
          <w:p w14:paraId="038DF1C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c>
          <w:tcPr>
            <w:tcW w:w="1403" w:type="dxa"/>
            <w:tcBorders>
              <w:top w:val="nil"/>
              <w:left w:val="nil"/>
              <w:bottom w:val="single" w:sz="8" w:space="0" w:color="auto"/>
              <w:right w:val="single" w:sz="8" w:space="0" w:color="auto"/>
            </w:tcBorders>
            <w:noWrap/>
            <w:vAlign w:val="center"/>
          </w:tcPr>
          <w:p w14:paraId="77810A60" w14:textId="77777777" w:rsidR="00AD62CD" w:rsidRPr="00AD62CD" w:rsidRDefault="00AD62CD" w:rsidP="00AD62CD">
            <w:pPr>
              <w:spacing w:after="0" w:line="240" w:lineRule="auto"/>
              <w:ind w:left="-78"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 </w:t>
            </w:r>
          </w:p>
        </w:tc>
        <w:tc>
          <w:tcPr>
            <w:tcW w:w="1420" w:type="dxa"/>
            <w:tcBorders>
              <w:top w:val="nil"/>
              <w:left w:val="nil"/>
              <w:bottom w:val="single" w:sz="8" w:space="0" w:color="auto"/>
              <w:right w:val="single" w:sz="8" w:space="0" w:color="auto"/>
            </w:tcBorders>
            <w:noWrap/>
            <w:vAlign w:val="center"/>
          </w:tcPr>
          <w:p w14:paraId="2C77EFB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 </w:t>
            </w:r>
          </w:p>
        </w:tc>
        <w:tc>
          <w:tcPr>
            <w:tcW w:w="1420" w:type="dxa"/>
            <w:tcBorders>
              <w:top w:val="nil"/>
              <w:left w:val="nil"/>
              <w:bottom w:val="single" w:sz="8" w:space="0" w:color="auto"/>
              <w:right w:val="single" w:sz="8" w:space="0" w:color="auto"/>
            </w:tcBorders>
            <w:noWrap/>
            <w:vAlign w:val="center"/>
          </w:tcPr>
          <w:p w14:paraId="103466F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 </w:t>
            </w:r>
          </w:p>
        </w:tc>
      </w:tr>
      <w:tr w:rsidR="00AD62CD" w:rsidRPr="00AD62CD" w14:paraId="50765B77"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BFBFBF"/>
            <w:noWrap/>
            <w:vAlign w:val="center"/>
            <w:hideMark/>
          </w:tcPr>
          <w:p w14:paraId="48907EFC"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limit verejných výdavkov ŠR</w:t>
            </w:r>
          </w:p>
        </w:tc>
        <w:tc>
          <w:tcPr>
            <w:tcW w:w="1280" w:type="dxa"/>
            <w:tcBorders>
              <w:top w:val="nil"/>
              <w:left w:val="nil"/>
              <w:bottom w:val="single" w:sz="8" w:space="0" w:color="auto"/>
              <w:right w:val="single" w:sz="8" w:space="0" w:color="auto"/>
            </w:tcBorders>
            <w:noWrap/>
            <w:vAlign w:val="center"/>
            <w:hideMark/>
          </w:tcPr>
          <w:p w14:paraId="6A645C4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03" w:type="dxa"/>
            <w:tcBorders>
              <w:top w:val="nil"/>
              <w:left w:val="nil"/>
              <w:bottom w:val="single" w:sz="8" w:space="0" w:color="auto"/>
              <w:right w:val="single" w:sz="8" w:space="0" w:color="auto"/>
            </w:tcBorders>
            <w:noWrap/>
            <w:vAlign w:val="center"/>
          </w:tcPr>
          <w:p w14:paraId="27348AED" w14:textId="77777777" w:rsidR="00AD62CD" w:rsidRPr="00AD62CD" w:rsidRDefault="00AD62CD" w:rsidP="00AD62CD">
            <w:pPr>
              <w:spacing w:after="0" w:line="240" w:lineRule="auto"/>
              <w:ind w:left="-78"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-440 676</w:t>
            </w:r>
          </w:p>
        </w:tc>
        <w:tc>
          <w:tcPr>
            <w:tcW w:w="1420" w:type="dxa"/>
            <w:tcBorders>
              <w:top w:val="nil"/>
              <w:left w:val="nil"/>
              <w:bottom w:val="single" w:sz="8" w:space="0" w:color="auto"/>
              <w:right w:val="single" w:sz="8" w:space="0" w:color="auto"/>
            </w:tcBorders>
            <w:noWrap/>
            <w:vAlign w:val="center"/>
          </w:tcPr>
          <w:p w14:paraId="25C260F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-323 054</w:t>
            </w:r>
          </w:p>
        </w:tc>
        <w:tc>
          <w:tcPr>
            <w:tcW w:w="1420" w:type="dxa"/>
            <w:tcBorders>
              <w:top w:val="nil"/>
              <w:left w:val="nil"/>
              <w:bottom w:val="single" w:sz="8" w:space="0" w:color="auto"/>
              <w:right w:val="single" w:sz="8" w:space="0" w:color="auto"/>
            </w:tcBorders>
            <w:noWrap/>
            <w:vAlign w:val="center"/>
          </w:tcPr>
          <w:p w14:paraId="2D0FC14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-306 378</w:t>
            </w:r>
          </w:p>
        </w:tc>
      </w:tr>
      <w:tr w:rsidR="00AD62CD" w:rsidRPr="00AD62CD" w14:paraId="742769BF"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BFBFBF"/>
            <w:noWrap/>
            <w:vAlign w:val="center"/>
            <w:hideMark/>
          </w:tcPr>
          <w:p w14:paraId="679FD78B"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limit verejných výdavkov ostatných subjekty verejnej správy</w:t>
            </w:r>
          </w:p>
        </w:tc>
        <w:tc>
          <w:tcPr>
            <w:tcW w:w="1280" w:type="dxa"/>
            <w:tcBorders>
              <w:top w:val="nil"/>
              <w:left w:val="nil"/>
              <w:bottom w:val="single" w:sz="8" w:space="0" w:color="auto"/>
              <w:right w:val="single" w:sz="8" w:space="0" w:color="auto"/>
            </w:tcBorders>
            <w:noWrap/>
            <w:vAlign w:val="center"/>
            <w:hideMark/>
          </w:tcPr>
          <w:p w14:paraId="7A1CDE3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03" w:type="dxa"/>
            <w:tcBorders>
              <w:top w:val="nil"/>
              <w:left w:val="nil"/>
              <w:bottom w:val="single" w:sz="8" w:space="0" w:color="auto"/>
              <w:right w:val="single" w:sz="8" w:space="0" w:color="auto"/>
            </w:tcBorders>
            <w:noWrap/>
            <w:vAlign w:val="center"/>
          </w:tcPr>
          <w:p w14:paraId="4086B5D5" w14:textId="77777777" w:rsidR="00AD62CD" w:rsidRPr="00AD62CD" w:rsidRDefault="00AD62CD" w:rsidP="00AD62CD">
            <w:pPr>
              <w:spacing w:after="0" w:line="240" w:lineRule="auto"/>
              <w:ind w:left="-78"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-11 006 181</w:t>
            </w:r>
          </w:p>
        </w:tc>
        <w:tc>
          <w:tcPr>
            <w:tcW w:w="1420" w:type="dxa"/>
            <w:tcBorders>
              <w:top w:val="nil"/>
              <w:left w:val="nil"/>
              <w:bottom w:val="single" w:sz="8" w:space="0" w:color="auto"/>
              <w:right w:val="single" w:sz="8" w:space="0" w:color="auto"/>
            </w:tcBorders>
            <w:noWrap/>
            <w:vAlign w:val="center"/>
          </w:tcPr>
          <w:p w14:paraId="0AFA86F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-13 188 771</w:t>
            </w:r>
          </w:p>
        </w:tc>
        <w:tc>
          <w:tcPr>
            <w:tcW w:w="1420" w:type="dxa"/>
            <w:tcBorders>
              <w:top w:val="nil"/>
              <w:left w:val="nil"/>
              <w:bottom w:val="single" w:sz="8" w:space="0" w:color="auto"/>
              <w:right w:val="single" w:sz="8" w:space="0" w:color="auto"/>
            </w:tcBorders>
            <w:noWrap/>
            <w:vAlign w:val="center"/>
          </w:tcPr>
          <w:p w14:paraId="4818A2B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-13 782 029</w:t>
            </w:r>
          </w:p>
        </w:tc>
      </w:tr>
      <w:tr w:rsidR="00AD62CD" w:rsidRPr="00AD62CD" w14:paraId="2933165C" w14:textId="77777777" w:rsidTr="003627DF">
        <w:trPr>
          <w:trHeight w:val="270"/>
        </w:trPr>
        <w:tc>
          <w:tcPr>
            <w:tcW w:w="3969" w:type="dxa"/>
            <w:tcBorders>
              <w:top w:val="nil"/>
              <w:left w:val="single" w:sz="8" w:space="0" w:color="auto"/>
              <w:bottom w:val="single" w:sz="8" w:space="0" w:color="auto"/>
              <w:right w:val="single" w:sz="8" w:space="0" w:color="auto"/>
            </w:tcBorders>
            <w:shd w:val="clear" w:color="000000" w:fill="BFBFBF"/>
            <w:noWrap/>
            <w:vAlign w:val="center"/>
            <w:hideMark/>
          </w:tcPr>
          <w:p w14:paraId="2710BCB9"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limit verejných výdavkov ďalších súčastí rozpočtu verejnej správy</w:t>
            </w:r>
          </w:p>
        </w:tc>
        <w:tc>
          <w:tcPr>
            <w:tcW w:w="1280" w:type="dxa"/>
            <w:tcBorders>
              <w:top w:val="nil"/>
              <w:left w:val="nil"/>
              <w:bottom w:val="single" w:sz="8" w:space="0" w:color="auto"/>
              <w:right w:val="single" w:sz="8" w:space="0" w:color="auto"/>
            </w:tcBorders>
            <w:noWrap/>
            <w:vAlign w:val="center"/>
            <w:hideMark/>
          </w:tcPr>
          <w:p w14:paraId="4824D44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03" w:type="dxa"/>
            <w:tcBorders>
              <w:top w:val="nil"/>
              <w:left w:val="nil"/>
              <w:bottom w:val="single" w:sz="8" w:space="0" w:color="auto"/>
              <w:right w:val="single" w:sz="8" w:space="0" w:color="auto"/>
            </w:tcBorders>
            <w:noWrap/>
            <w:vAlign w:val="center"/>
          </w:tcPr>
          <w:p w14:paraId="47EFB3A7" w14:textId="77777777" w:rsidR="00AD62CD" w:rsidRPr="00AD62CD" w:rsidRDefault="00AD62CD" w:rsidP="00AD62CD">
            <w:pPr>
              <w:spacing w:after="0" w:line="240" w:lineRule="auto"/>
              <w:ind w:left="-78"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-1 053 143</w:t>
            </w:r>
          </w:p>
        </w:tc>
        <w:tc>
          <w:tcPr>
            <w:tcW w:w="1420" w:type="dxa"/>
            <w:tcBorders>
              <w:top w:val="nil"/>
              <w:left w:val="nil"/>
              <w:bottom w:val="single" w:sz="8" w:space="0" w:color="auto"/>
              <w:right w:val="single" w:sz="8" w:space="0" w:color="auto"/>
            </w:tcBorders>
            <w:noWrap/>
            <w:vAlign w:val="center"/>
          </w:tcPr>
          <w:p w14:paraId="51CBF90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-1 486 039</w:t>
            </w:r>
          </w:p>
        </w:tc>
        <w:tc>
          <w:tcPr>
            <w:tcW w:w="1420" w:type="dxa"/>
            <w:tcBorders>
              <w:top w:val="nil"/>
              <w:left w:val="nil"/>
              <w:bottom w:val="single" w:sz="8" w:space="0" w:color="auto"/>
              <w:right w:val="single" w:sz="8" w:space="0" w:color="auto"/>
            </w:tcBorders>
            <w:noWrap/>
            <w:vAlign w:val="center"/>
          </w:tcPr>
          <w:p w14:paraId="191DD9A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-1 596 875</w:t>
            </w:r>
          </w:p>
        </w:tc>
      </w:tr>
    </w:tbl>
    <w:p w14:paraId="27EDA097" w14:textId="77777777" w:rsidR="00AD62CD" w:rsidRPr="00AD62CD" w:rsidRDefault="00AD62CD" w:rsidP="00AD62CD">
      <w:pPr>
        <w:spacing w:after="200" w:line="276" w:lineRule="auto"/>
        <w:rPr>
          <w:rFonts w:ascii="Times New Roman" w:eastAsia="Calibri" w:hAnsi="Times New Roman" w:cs="Times New Roman"/>
          <w:b/>
          <w:bCs/>
          <w:kern w:val="0"/>
          <w:lang w:eastAsia="sk-SK"/>
          <w14:ligatures w14:val="none"/>
        </w:rPr>
      </w:pPr>
    </w:p>
    <w:p w14:paraId="62367A2D" w14:textId="77777777" w:rsidR="00AD62CD" w:rsidRPr="00AD62CD" w:rsidRDefault="00AD62CD" w:rsidP="00AD62CD">
      <w:pPr>
        <w:spacing w:after="200" w:line="276"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2.1.1. Financovanie návrhu - Návrh na riešenie úbytku príjmov alebo zvýšených výdavkov podľa § 33 ods. 1 zákona č. 523/2004 Z. z. o rozpočtových pravidlách verejnej správy:</w:t>
      </w:r>
    </w:p>
    <w:p w14:paraId="5EF9E876"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kern w:val="0"/>
          <w14:ligatures w14:val="none"/>
        </w:rPr>
      </w:pPr>
      <w:r w:rsidRPr="00AD62CD">
        <w:rPr>
          <w:rFonts w:ascii="Times New Roman" w:eastAsia="Calibri" w:hAnsi="Times New Roman" w:cs="Times New Roman"/>
          <w:bCs/>
          <w:kern w:val="0"/>
          <w14:ligatures w14:val="none"/>
        </w:rPr>
        <w:t xml:space="preserve">Navrhované opatrenie má pozitívny vplyv na výdavky Sociálnej poisťovne z titulu zníženého počtu vyplatených nemocenských dávok a pozitívny vplyv na príjmy ŠR, obcí, VÚC a Sociálnej poisťovne. Celkový vplyv návrhu na rozpočet verejnej správy je pozitívny. </w:t>
      </w:r>
    </w:p>
    <w:p w14:paraId="3457E816"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kern w:val="0"/>
          <w:lang w:eastAsia="sk-SK"/>
          <w14:ligatures w14:val="none"/>
        </w:rPr>
      </w:pPr>
    </w:p>
    <w:p w14:paraId="2B6F5914" w14:textId="77777777" w:rsidR="00AD62CD" w:rsidRPr="00AD62CD" w:rsidRDefault="00AD62CD" w:rsidP="00AD62CD">
      <w:pPr>
        <w:spacing w:after="200" w:line="276" w:lineRule="auto"/>
        <w:rPr>
          <w:rFonts w:ascii="Times New Roman" w:eastAsia="Calibri" w:hAnsi="Times New Roman" w:cs="Times New Roman"/>
          <w:b/>
          <w:bCs/>
          <w:kern w:val="0"/>
          <w:lang w:eastAsia="sk-SK"/>
          <w14:ligatures w14:val="none"/>
        </w:rPr>
      </w:pPr>
    </w:p>
    <w:p w14:paraId="69B919DF"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 Popis a charakteristika návrhu</w:t>
      </w:r>
    </w:p>
    <w:p w14:paraId="7D227665"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2E250098"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2.2.1. Popis návrhu:</w:t>
      </w:r>
    </w:p>
    <w:p w14:paraId="5C94A374" w14:textId="77777777" w:rsidR="00AD62CD" w:rsidRPr="00AD62CD" w:rsidRDefault="00AD62CD" w:rsidP="00AD62CD">
      <w:pPr>
        <w:spacing w:after="0" w:line="240" w:lineRule="auto"/>
        <w:jc w:val="both"/>
        <w:rPr>
          <w:rFonts w:ascii="Times New Roman" w:eastAsia="Calibri" w:hAnsi="Times New Roman" w:cs="Times New Roman"/>
          <w:b/>
          <w:bCs/>
          <w:kern w:val="0"/>
          <w:lang w:val="en-GB" w:eastAsia="sk-SK"/>
          <w14:ligatures w14:val="none"/>
        </w:rPr>
      </w:pPr>
    </w:p>
    <w:p w14:paraId="4D4F89FB"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7F6D5126"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Opatrenie rozširuje kompetenciu posudkového lekára Sociálnej poisťovne v súvislosti s ukončovaním dočasnej pracovnej neschopnosti. Ak posudkový lekár ukončí dočasnú pracovnú neschopnosť poistenca, ošetrujúci lekár bude môcť rozhodnúť o vzniku novej dočasnej pracovnej neschopnosti v lehote 7 dní od ukončenia predchádzajúcej PN iba s predchádzajúcim súhlasom posudkového lekára. Cieľom úpravy je zabrániť praxi, keď sa bez zjavnej zmeny zdravotného stavu krátko po ukončení PN vystavuje nová PN, čím dochádza k faktickému obchádzaniu rozhodnutia posudkového lekára. Navrhovaná právna úprava zvyšuje kontrolu nad uznávaním nových PN a prispieva k obmedzeniu nadmerného čerpania nemocenských dávok.</w:t>
      </w:r>
    </w:p>
    <w:p w14:paraId="1FCF1F62"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67F3C0C0"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0D3670E7" w14:textId="77777777" w:rsidR="00AD62CD" w:rsidRPr="00AD62CD" w:rsidRDefault="00AD62CD" w:rsidP="00AD62CD">
      <w:pPr>
        <w:spacing w:after="0" w:line="240" w:lineRule="auto"/>
        <w:ind w:left="780"/>
        <w:contextualSpacing/>
        <w:jc w:val="both"/>
        <w:rPr>
          <w:rFonts w:ascii="Times New Roman" w:eastAsia="Times New Roman" w:hAnsi="Times New Roman" w:cs="Times New Roman"/>
          <w:kern w:val="0"/>
          <w:lang w:eastAsia="sk-SK"/>
          <w14:ligatures w14:val="none"/>
        </w:rPr>
      </w:pPr>
    </w:p>
    <w:p w14:paraId="7C95F7A6"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2.2.2. Charakteristika návrhu:</w:t>
      </w:r>
    </w:p>
    <w:p w14:paraId="204AA22E"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6A3C7063"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kern w:val="0"/>
          <w:bdr w:val="single" w:sz="4" w:space="0" w:color="auto"/>
          <w:lang w:eastAsia="sk-SK"/>
          <w14:ligatures w14:val="none"/>
        </w:rPr>
        <w:t xml:space="preserve">     </w:t>
      </w:r>
      <w:r w:rsidRPr="00AD62CD">
        <w:rPr>
          <w:rFonts w:ascii="Times New Roman" w:eastAsia="Calibri" w:hAnsi="Times New Roman" w:cs="Times New Roman"/>
          <w:b/>
          <w:kern w:val="0"/>
          <w:lang w:eastAsia="sk-SK"/>
          <w14:ligatures w14:val="none"/>
        </w:rPr>
        <w:t xml:space="preserve">  </w:t>
      </w:r>
      <w:r w:rsidRPr="00AD62CD">
        <w:rPr>
          <w:rFonts w:ascii="Times New Roman" w:eastAsia="Calibri" w:hAnsi="Times New Roman" w:cs="Times New Roman"/>
          <w:kern w:val="0"/>
          <w:lang w:eastAsia="sk-SK"/>
          <w14:ligatures w14:val="none"/>
        </w:rPr>
        <w:t>zmena sadzby</w:t>
      </w:r>
    </w:p>
    <w:p w14:paraId="2BB07037"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zmena v nároku</w:t>
      </w:r>
    </w:p>
    <w:p w14:paraId="2ACDB730"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nová služba alebo nariadenie (alebo ich zrušenie)</w:t>
      </w:r>
    </w:p>
    <w:p w14:paraId="30F971AC"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kombinovaný návrh</w:t>
      </w:r>
    </w:p>
    <w:p w14:paraId="6C8AA707"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X </w:t>
      </w:r>
      <w:r w:rsidRPr="00AD62CD">
        <w:rPr>
          <w:rFonts w:ascii="Times New Roman" w:eastAsia="Calibri" w:hAnsi="Times New Roman" w:cs="Times New Roman"/>
          <w:kern w:val="0"/>
          <w:lang w:eastAsia="sk-SK"/>
          <w14:ligatures w14:val="none"/>
        </w:rPr>
        <w:t xml:space="preserve">  iné </w:t>
      </w:r>
    </w:p>
    <w:p w14:paraId="1E36A5B1"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317F2B61"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76AFE4ED"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2.2.3. Predpoklady vývoja objemu aktivít:</w:t>
      </w:r>
    </w:p>
    <w:p w14:paraId="54EE5D3F"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577C0B2F"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4CC5E6FC"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2.2.4. Výpočty vplyvov na verejné financie</w:t>
      </w:r>
    </w:p>
    <w:p w14:paraId="5F3B3460"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7D55371D"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4930577C" w14:textId="77777777" w:rsidR="00AD62CD" w:rsidRPr="00AD62CD" w:rsidRDefault="00AD62CD" w:rsidP="00AD62CD">
      <w:pPr>
        <w:spacing w:after="0" w:line="240" w:lineRule="auto"/>
        <w:jc w:val="both"/>
        <w:rPr>
          <w:rFonts w:ascii="Times New Roman" w:eastAsia="Calibri" w:hAnsi="Times New Roman" w:cs="Times New Roman"/>
          <w:kern w:val="0"/>
          <w:lang w:val="en-GB" w:eastAsia="sk-SK"/>
          <w14:ligatures w14:val="none"/>
        </w:rPr>
      </w:pPr>
      <w:r w:rsidRPr="00AD62CD">
        <w:rPr>
          <w:rFonts w:ascii="Times New Roman" w:eastAsia="Calibri" w:hAnsi="Times New Roman" w:cs="Times New Roman"/>
          <w:kern w:val="0"/>
          <w:lang w:eastAsia="sk-SK"/>
          <w14:ligatures w14:val="none"/>
        </w:rPr>
        <w:t>Kvantifikácia vychádza z predpokladu, že vďaka rozšíreniu kompetencií posudkových lekárov Sociálnej poisťovne sa zníži mesačný počet vyplatených nemocenských dávok o 1 125 (približne 1% z celkového počtu vyplácaných dávok) na celom prognózovanom horizonte. Výpočet predpokladá priemernú výšku mesačnej dávky, ktorá vychádza z úrovne priemernej vyplatenej nemocenskej dávky za prvý polrok 2025 a ktorá je v ďalších rokoch zvyšovaná podľa predpokladov vývoja priemernej mzdy prebratých z makroekonomickej prognózy schválenej Výborom pre makroekonomické prognózy v júni 2025. Celková úspora na výdavkoch nemocenského fondu sa predpokladá na úrovni 5,6 mil. eur v roku 2026, 6,8 mil. eur v roku 2027 a 7,1 mil. eur v roku 2028.</w:t>
      </w:r>
    </w:p>
    <w:p w14:paraId="5E9904F0"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xml:space="preserve">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D62CD" w:rsidRPr="00AD62CD" w14:paraId="2F5017A7" w14:textId="77777777" w:rsidTr="00AD62CD">
        <w:trPr>
          <w:cantSplit/>
          <w:trHeight w:val="70"/>
        </w:trPr>
        <w:tc>
          <w:tcPr>
            <w:tcW w:w="4530" w:type="dxa"/>
            <w:vMerge w:val="restart"/>
            <w:shd w:val="clear" w:color="auto" w:fill="BFBFBF"/>
            <w:vAlign w:val="center"/>
          </w:tcPr>
          <w:p w14:paraId="2F5F63AC" w14:textId="77777777" w:rsidR="00AD62CD" w:rsidRPr="00AD62CD" w:rsidRDefault="00AD62CD" w:rsidP="00AD62CD">
            <w:pPr>
              <w:autoSpaceDE w:val="0"/>
              <w:autoSpaceDN w:val="0"/>
              <w:adjustRightInd w:val="0"/>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Predpoklady kvantifikácie</w:t>
            </w:r>
          </w:p>
        </w:tc>
        <w:tc>
          <w:tcPr>
            <w:tcW w:w="4536" w:type="dxa"/>
            <w:gridSpan w:val="4"/>
            <w:shd w:val="clear" w:color="auto" w:fill="BFBFBF"/>
            <w:vAlign w:val="center"/>
          </w:tcPr>
          <w:p w14:paraId="797F9A51" w14:textId="77777777" w:rsidR="00AD62CD" w:rsidRPr="00AD62CD" w:rsidRDefault="00AD62CD" w:rsidP="00AD62CD">
            <w:pPr>
              <w:autoSpaceDE w:val="0"/>
              <w:autoSpaceDN w:val="0"/>
              <w:adjustRightInd w:val="0"/>
              <w:spacing w:after="0" w:line="240" w:lineRule="auto"/>
              <w:jc w:val="center"/>
              <w:rPr>
                <w:rFonts w:ascii="Times New Roman" w:eastAsia="Calibri" w:hAnsi="Times New Roman" w:cs="Times New Roman"/>
                <w:b/>
                <w:bCs/>
                <w:kern w:val="0"/>
                <w:sz w:val="20"/>
                <w:szCs w:val="20"/>
                <w:lang w:eastAsia="sk-SK"/>
                <w14:ligatures w14:val="none"/>
              </w:rPr>
            </w:pPr>
          </w:p>
        </w:tc>
      </w:tr>
      <w:tr w:rsidR="00AD62CD" w:rsidRPr="00AD62CD" w14:paraId="70D9BEF3" w14:textId="77777777" w:rsidTr="00AD62CD">
        <w:trPr>
          <w:cantSplit/>
          <w:trHeight w:val="70"/>
        </w:trPr>
        <w:tc>
          <w:tcPr>
            <w:tcW w:w="4530" w:type="dxa"/>
            <w:vMerge/>
            <w:shd w:val="clear" w:color="auto" w:fill="BFBFBF"/>
          </w:tcPr>
          <w:p w14:paraId="2EA82FD2" w14:textId="77777777" w:rsidR="00AD62CD" w:rsidRPr="00AD62CD" w:rsidRDefault="00AD62CD" w:rsidP="00AD62CD">
            <w:pPr>
              <w:autoSpaceDE w:val="0"/>
              <w:autoSpaceDN w:val="0"/>
              <w:adjustRightInd w:val="0"/>
              <w:spacing w:after="0" w:line="240" w:lineRule="auto"/>
              <w:jc w:val="center"/>
              <w:rPr>
                <w:rFonts w:ascii="Times New Roman" w:eastAsia="Calibri" w:hAnsi="Times New Roman" w:cs="Times New Roman"/>
                <w:b/>
                <w:bCs/>
                <w:kern w:val="0"/>
                <w:sz w:val="20"/>
                <w:szCs w:val="20"/>
                <w:lang w:eastAsia="sk-SK"/>
                <w14:ligatures w14:val="none"/>
              </w:rPr>
            </w:pPr>
          </w:p>
        </w:tc>
        <w:tc>
          <w:tcPr>
            <w:tcW w:w="1134" w:type="dxa"/>
            <w:shd w:val="clear" w:color="auto" w:fill="BFBFBF"/>
            <w:vAlign w:val="center"/>
          </w:tcPr>
          <w:p w14:paraId="053F5014" w14:textId="77777777" w:rsidR="00AD62CD" w:rsidRPr="00AD62CD" w:rsidRDefault="00AD62CD" w:rsidP="00AD62CD">
            <w:pPr>
              <w:autoSpaceDE w:val="0"/>
              <w:autoSpaceDN w:val="0"/>
              <w:adjustRightInd w:val="0"/>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2025</w:t>
            </w:r>
          </w:p>
        </w:tc>
        <w:tc>
          <w:tcPr>
            <w:tcW w:w="1134" w:type="dxa"/>
            <w:shd w:val="clear" w:color="auto" w:fill="BFBFBF"/>
            <w:vAlign w:val="center"/>
          </w:tcPr>
          <w:p w14:paraId="68EFB900" w14:textId="77777777" w:rsidR="00AD62CD" w:rsidRPr="00AD62CD" w:rsidRDefault="00AD62CD" w:rsidP="00AD62CD">
            <w:pPr>
              <w:autoSpaceDE w:val="0"/>
              <w:autoSpaceDN w:val="0"/>
              <w:adjustRightInd w:val="0"/>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2026</w:t>
            </w:r>
          </w:p>
        </w:tc>
        <w:tc>
          <w:tcPr>
            <w:tcW w:w="1134" w:type="dxa"/>
            <w:shd w:val="clear" w:color="auto" w:fill="BFBFBF"/>
            <w:vAlign w:val="center"/>
          </w:tcPr>
          <w:p w14:paraId="4F991582" w14:textId="77777777" w:rsidR="00AD62CD" w:rsidRPr="00AD62CD" w:rsidRDefault="00AD62CD" w:rsidP="00AD62CD">
            <w:pPr>
              <w:autoSpaceDE w:val="0"/>
              <w:autoSpaceDN w:val="0"/>
              <w:adjustRightInd w:val="0"/>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2027</w:t>
            </w:r>
          </w:p>
        </w:tc>
        <w:tc>
          <w:tcPr>
            <w:tcW w:w="1134" w:type="dxa"/>
            <w:shd w:val="clear" w:color="auto" w:fill="BFBFBF"/>
            <w:vAlign w:val="center"/>
          </w:tcPr>
          <w:p w14:paraId="3EDAF445" w14:textId="77777777" w:rsidR="00AD62CD" w:rsidRPr="00AD62CD" w:rsidRDefault="00AD62CD" w:rsidP="00AD62CD">
            <w:pPr>
              <w:autoSpaceDE w:val="0"/>
              <w:autoSpaceDN w:val="0"/>
              <w:adjustRightInd w:val="0"/>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2028</w:t>
            </w:r>
          </w:p>
        </w:tc>
      </w:tr>
      <w:tr w:rsidR="00AD62CD" w:rsidRPr="00AD62CD" w14:paraId="4410F71C" w14:textId="77777777" w:rsidTr="003627DF">
        <w:trPr>
          <w:trHeight w:val="70"/>
        </w:trPr>
        <w:tc>
          <w:tcPr>
            <w:tcW w:w="4530" w:type="dxa"/>
          </w:tcPr>
          <w:p w14:paraId="6C7F5FD8" w14:textId="77777777" w:rsidR="00AD62CD" w:rsidRPr="00AD62CD" w:rsidRDefault="00AD62CD" w:rsidP="00AD62CD">
            <w:pPr>
              <w:autoSpaceDE w:val="0"/>
              <w:autoSpaceDN w:val="0"/>
              <w:adjustRightInd w:val="0"/>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Priemerný mesačný počet dotknutých PN</w:t>
            </w:r>
          </w:p>
        </w:tc>
        <w:tc>
          <w:tcPr>
            <w:tcW w:w="1134" w:type="dxa"/>
          </w:tcPr>
          <w:p w14:paraId="6D8CCD23" w14:textId="77777777" w:rsidR="00AD62CD" w:rsidRPr="00AD62CD" w:rsidRDefault="00AD62CD" w:rsidP="00AD62CD">
            <w:pPr>
              <w:autoSpaceDE w:val="0"/>
              <w:autoSpaceDN w:val="0"/>
              <w:adjustRightInd w:val="0"/>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134" w:type="dxa"/>
          </w:tcPr>
          <w:p w14:paraId="4DA6B8AA" w14:textId="77777777" w:rsidR="00AD62CD" w:rsidRPr="00AD62CD" w:rsidRDefault="00AD62CD" w:rsidP="00AD62CD">
            <w:pPr>
              <w:autoSpaceDE w:val="0"/>
              <w:autoSpaceDN w:val="0"/>
              <w:adjustRightInd w:val="0"/>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1 125</w:t>
            </w:r>
          </w:p>
        </w:tc>
        <w:tc>
          <w:tcPr>
            <w:tcW w:w="1134" w:type="dxa"/>
          </w:tcPr>
          <w:p w14:paraId="100742D4" w14:textId="77777777" w:rsidR="00AD62CD" w:rsidRPr="00AD62CD" w:rsidRDefault="00AD62CD" w:rsidP="00AD62CD">
            <w:pPr>
              <w:autoSpaceDE w:val="0"/>
              <w:autoSpaceDN w:val="0"/>
              <w:adjustRightInd w:val="0"/>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1 125</w:t>
            </w:r>
          </w:p>
        </w:tc>
        <w:tc>
          <w:tcPr>
            <w:tcW w:w="1134" w:type="dxa"/>
          </w:tcPr>
          <w:p w14:paraId="019B762B" w14:textId="77777777" w:rsidR="00AD62CD" w:rsidRPr="00AD62CD" w:rsidRDefault="00AD62CD" w:rsidP="00AD62CD">
            <w:pPr>
              <w:autoSpaceDE w:val="0"/>
              <w:autoSpaceDN w:val="0"/>
              <w:adjustRightInd w:val="0"/>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1 125</w:t>
            </w:r>
          </w:p>
        </w:tc>
      </w:tr>
      <w:tr w:rsidR="00AD62CD" w:rsidRPr="00AD62CD" w14:paraId="3526446E" w14:textId="77777777" w:rsidTr="003627DF">
        <w:trPr>
          <w:trHeight w:val="70"/>
        </w:trPr>
        <w:tc>
          <w:tcPr>
            <w:tcW w:w="4530" w:type="dxa"/>
          </w:tcPr>
          <w:p w14:paraId="59E4BC72" w14:textId="77777777" w:rsidR="00AD62CD" w:rsidRPr="00AD62CD" w:rsidRDefault="00AD62CD" w:rsidP="00AD62CD">
            <w:pPr>
              <w:autoSpaceDE w:val="0"/>
              <w:autoSpaceDN w:val="0"/>
              <w:adjustRightInd w:val="0"/>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Priemerná výška dávky PN</w:t>
            </w:r>
          </w:p>
        </w:tc>
        <w:tc>
          <w:tcPr>
            <w:tcW w:w="1134" w:type="dxa"/>
          </w:tcPr>
          <w:p w14:paraId="371E4D76" w14:textId="77777777" w:rsidR="00AD62CD" w:rsidRPr="00AD62CD" w:rsidRDefault="00AD62CD" w:rsidP="00AD62CD">
            <w:pPr>
              <w:autoSpaceDE w:val="0"/>
              <w:autoSpaceDN w:val="0"/>
              <w:adjustRightInd w:val="0"/>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134" w:type="dxa"/>
          </w:tcPr>
          <w:p w14:paraId="208E7EDC" w14:textId="77777777" w:rsidR="00AD62CD" w:rsidRPr="00AD62CD" w:rsidRDefault="00AD62CD" w:rsidP="00AD62CD">
            <w:pPr>
              <w:autoSpaceDE w:val="0"/>
              <w:autoSpaceDN w:val="0"/>
              <w:adjustRightInd w:val="0"/>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479</w:t>
            </w:r>
          </w:p>
        </w:tc>
        <w:tc>
          <w:tcPr>
            <w:tcW w:w="1134" w:type="dxa"/>
          </w:tcPr>
          <w:p w14:paraId="15A59358" w14:textId="77777777" w:rsidR="00AD62CD" w:rsidRPr="00AD62CD" w:rsidRDefault="00AD62CD" w:rsidP="00AD62CD">
            <w:pPr>
              <w:autoSpaceDE w:val="0"/>
              <w:autoSpaceDN w:val="0"/>
              <w:adjustRightInd w:val="0"/>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502</w:t>
            </w:r>
          </w:p>
        </w:tc>
        <w:tc>
          <w:tcPr>
            <w:tcW w:w="1134" w:type="dxa"/>
          </w:tcPr>
          <w:p w14:paraId="0C124D25" w14:textId="77777777" w:rsidR="00AD62CD" w:rsidRPr="00AD62CD" w:rsidRDefault="00AD62CD" w:rsidP="00AD62CD">
            <w:pPr>
              <w:autoSpaceDE w:val="0"/>
              <w:autoSpaceDN w:val="0"/>
              <w:adjustRightInd w:val="0"/>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526</w:t>
            </w:r>
          </w:p>
        </w:tc>
      </w:tr>
      <w:tr w:rsidR="00AD62CD" w:rsidRPr="00AD62CD" w14:paraId="05A387BC" w14:textId="77777777" w:rsidTr="003627DF">
        <w:trPr>
          <w:trHeight w:val="70"/>
        </w:trPr>
        <w:tc>
          <w:tcPr>
            <w:tcW w:w="4530" w:type="dxa"/>
          </w:tcPr>
          <w:p w14:paraId="181C0E73" w14:textId="77777777" w:rsidR="00AD62CD" w:rsidRPr="00AD62CD" w:rsidRDefault="00AD62CD" w:rsidP="00AD62CD">
            <w:pPr>
              <w:autoSpaceDE w:val="0"/>
              <w:autoSpaceDN w:val="0"/>
              <w:adjustRightInd w:val="0"/>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Priemerná mzda zamestnanca, ktorí prišiel o PN</w:t>
            </w:r>
          </w:p>
        </w:tc>
        <w:tc>
          <w:tcPr>
            <w:tcW w:w="1134" w:type="dxa"/>
          </w:tcPr>
          <w:p w14:paraId="07630721" w14:textId="77777777" w:rsidR="00AD62CD" w:rsidRPr="00AD62CD" w:rsidRDefault="00AD62CD" w:rsidP="00AD62CD">
            <w:pPr>
              <w:autoSpaceDE w:val="0"/>
              <w:autoSpaceDN w:val="0"/>
              <w:adjustRightInd w:val="0"/>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134" w:type="dxa"/>
          </w:tcPr>
          <w:p w14:paraId="7D153D0C" w14:textId="77777777" w:rsidR="00AD62CD" w:rsidRPr="00AD62CD" w:rsidRDefault="00AD62CD" w:rsidP="00AD62CD">
            <w:pPr>
              <w:autoSpaceDE w:val="0"/>
              <w:autoSpaceDN w:val="0"/>
              <w:adjustRightInd w:val="0"/>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1 343</w:t>
            </w:r>
          </w:p>
        </w:tc>
        <w:tc>
          <w:tcPr>
            <w:tcW w:w="1134" w:type="dxa"/>
          </w:tcPr>
          <w:p w14:paraId="32D4012D" w14:textId="77777777" w:rsidR="00AD62CD" w:rsidRPr="00AD62CD" w:rsidRDefault="00AD62CD" w:rsidP="00AD62CD">
            <w:pPr>
              <w:autoSpaceDE w:val="0"/>
              <w:autoSpaceDN w:val="0"/>
              <w:adjustRightInd w:val="0"/>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1 408</w:t>
            </w:r>
          </w:p>
        </w:tc>
        <w:tc>
          <w:tcPr>
            <w:tcW w:w="1134" w:type="dxa"/>
          </w:tcPr>
          <w:p w14:paraId="0A3DF318" w14:textId="77777777" w:rsidR="00AD62CD" w:rsidRPr="00AD62CD" w:rsidRDefault="00AD62CD" w:rsidP="00AD62CD">
            <w:pPr>
              <w:autoSpaceDE w:val="0"/>
              <w:autoSpaceDN w:val="0"/>
              <w:adjustRightInd w:val="0"/>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1 466</w:t>
            </w:r>
          </w:p>
        </w:tc>
      </w:tr>
    </w:tbl>
    <w:p w14:paraId="6D9AEA9F"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6B27BFDC" w14:textId="77777777" w:rsidR="00AD62CD" w:rsidRPr="00AD62CD" w:rsidRDefault="00AD62CD" w:rsidP="00AD62CD">
      <w:pPr>
        <w:spacing w:after="0" w:line="240" w:lineRule="auto"/>
        <w:jc w:val="both"/>
        <w:rPr>
          <w:rFonts w:ascii="Times New Roman" w:eastAsia="Calibri" w:hAnsi="Times New Roman" w:cs="Times New Roman"/>
          <w:kern w:val="0"/>
          <w:lang w:val="en-GB" w:eastAsia="sk-SK"/>
          <w14:ligatures w14:val="none"/>
        </w:rPr>
      </w:pPr>
      <w:r w:rsidRPr="00AD62CD">
        <w:rPr>
          <w:rFonts w:ascii="Times New Roman" w:eastAsia="Calibri" w:hAnsi="Times New Roman" w:cs="Times New Roman"/>
          <w:kern w:val="0"/>
          <w:lang w:eastAsia="sk-SK"/>
          <w14:ligatures w14:val="none"/>
        </w:rPr>
        <w:t>Kvantifikácia vplyvu na sociálne odvody, zdravotné odvody a daň z príjmov fyzických osôb vychádza z odhadovanej priemernej mzdy poberateľov nemocenskej dávky, ktorá sa pri   predpokladanej výške dávky a priemernom  mesačnom počte  dní čerpania   na úrovni 20,5 dňa pohybuje približne na úrovni 80</w:t>
      </w:r>
      <w:r w:rsidRPr="00AD62CD">
        <w:rPr>
          <w:rFonts w:ascii="Times New Roman" w:eastAsia="Calibri" w:hAnsi="Times New Roman" w:cs="Times New Roman"/>
          <w:kern w:val="0"/>
          <w:lang w:val="en-GB" w:eastAsia="sk-SK"/>
          <w14:ligatures w14:val="none"/>
        </w:rPr>
        <w:t>%</w:t>
      </w:r>
      <w:r w:rsidRPr="00AD62CD">
        <w:rPr>
          <w:rFonts w:ascii="Times New Roman" w:eastAsia="Calibri" w:hAnsi="Times New Roman" w:cs="Times New Roman"/>
          <w:kern w:val="0"/>
          <w:lang w:eastAsia="sk-SK"/>
          <w14:ligatures w14:val="none"/>
        </w:rPr>
        <w:t xml:space="preserve"> z priemernej mzdy. Celkový vplyv na príjmy rozpočtu  verejnej správy sa odhadujú na úrovni  6,8 mil. eur v roku 2026, 8,2 mil. eur v roku 2027 a 8,6 mil. eur v roku 2028.</w:t>
      </w:r>
    </w:p>
    <w:p w14:paraId="6EF83C8D"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sectPr w:rsidR="00AD62CD" w:rsidRPr="00AD62CD" w:rsidSect="00AD62CD">
          <w:pgSz w:w="11906" w:h="16838"/>
          <w:pgMar w:top="1417" w:right="1417" w:bottom="1276" w:left="1417" w:header="708" w:footer="708" w:gutter="0"/>
          <w:cols w:space="708"/>
          <w:docGrid w:linePitch="360"/>
        </w:sectPr>
      </w:pPr>
    </w:p>
    <w:p w14:paraId="4437E123" w14:textId="77777777" w:rsidR="00AD62CD" w:rsidRPr="00AD62CD" w:rsidRDefault="00AD62CD" w:rsidP="00AD62CD">
      <w:pPr>
        <w:tabs>
          <w:tab w:val="left" w:pos="1455"/>
        </w:tabs>
        <w:spacing w:after="200" w:line="276" w:lineRule="auto"/>
        <w:rPr>
          <w:rFonts w:ascii="Times New Roman" w:eastAsia="Calibri" w:hAnsi="Times New Roman" w:cs="Times New Roman"/>
          <w:bCs/>
          <w:kern w:val="0"/>
          <w:lang w:eastAsia="sk-SK"/>
          <w14:ligatures w14:val="none"/>
        </w:rPr>
      </w:pPr>
    </w:p>
    <w:p w14:paraId="2EC4D58E"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3-1 </w:t>
      </w:r>
    </w:p>
    <w:p w14:paraId="50417A42"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4214" w:type="dxa"/>
        <w:tblCellMar>
          <w:left w:w="70" w:type="dxa"/>
          <w:right w:w="70" w:type="dxa"/>
        </w:tblCellMar>
        <w:tblLook w:val="04A0" w:firstRow="1" w:lastRow="0" w:firstColumn="1" w:lastColumn="0" w:noHBand="0" w:noVBand="1"/>
      </w:tblPr>
      <w:tblGrid>
        <w:gridCol w:w="7361"/>
        <w:gridCol w:w="1264"/>
        <w:gridCol w:w="1360"/>
        <w:gridCol w:w="1418"/>
        <w:gridCol w:w="1418"/>
        <w:gridCol w:w="1393"/>
      </w:tblGrid>
      <w:tr w:rsidR="00AD62CD" w:rsidRPr="00AD62CD" w14:paraId="6AEDF177"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AFC0F5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Príjmy rozpočtu verejnej správy (v eurách)</w:t>
            </w:r>
          </w:p>
        </w:tc>
        <w:tc>
          <w:tcPr>
            <w:tcW w:w="5460" w:type="dxa"/>
            <w:gridSpan w:val="4"/>
            <w:tcBorders>
              <w:top w:val="single" w:sz="8" w:space="0" w:color="auto"/>
              <w:left w:val="nil"/>
              <w:bottom w:val="single" w:sz="8" w:space="0" w:color="auto"/>
              <w:right w:val="single" w:sz="8" w:space="0" w:color="000000"/>
            </w:tcBorders>
            <w:shd w:val="clear" w:color="000000" w:fill="BFBFBF"/>
            <w:vAlign w:val="center"/>
            <w:hideMark/>
          </w:tcPr>
          <w:p w14:paraId="32E6576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Vplyv na rozpočet verejnej správy</w:t>
            </w:r>
          </w:p>
        </w:tc>
        <w:tc>
          <w:tcPr>
            <w:tcW w:w="1393" w:type="dxa"/>
            <w:tcBorders>
              <w:top w:val="single" w:sz="8" w:space="0" w:color="auto"/>
              <w:left w:val="nil"/>
              <w:bottom w:val="nil"/>
              <w:right w:val="single" w:sz="8" w:space="0" w:color="auto"/>
            </w:tcBorders>
            <w:shd w:val="clear" w:color="000000" w:fill="BFBFBF"/>
            <w:noWrap/>
            <w:vAlign w:val="center"/>
            <w:hideMark/>
          </w:tcPr>
          <w:p w14:paraId="49B2C9A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poznámka</w:t>
            </w:r>
          </w:p>
        </w:tc>
      </w:tr>
      <w:tr w:rsidR="00AD62CD" w:rsidRPr="00AD62CD" w14:paraId="3953576E"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4555431D"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p>
        </w:tc>
        <w:tc>
          <w:tcPr>
            <w:tcW w:w="1264" w:type="dxa"/>
            <w:tcBorders>
              <w:top w:val="nil"/>
              <w:left w:val="nil"/>
              <w:bottom w:val="single" w:sz="8" w:space="0" w:color="auto"/>
              <w:right w:val="single" w:sz="8" w:space="0" w:color="auto"/>
            </w:tcBorders>
            <w:shd w:val="clear" w:color="000000" w:fill="BFBFBF"/>
            <w:vAlign w:val="center"/>
            <w:hideMark/>
          </w:tcPr>
          <w:p w14:paraId="72FC842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5C65C299"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2026</w:t>
            </w:r>
          </w:p>
        </w:tc>
        <w:tc>
          <w:tcPr>
            <w:tcW w:w="1418" w:type="dxa"/>
            <w:tcBorders>
              <w:top w:val="nil"/>
              <w:left w:val="nil"/>
              <w:bottom w:val="single" w:sz="8" w:space="0" w:color="auto"/>
              <w:right w:val="single" w:sz="8" w:space="0" w:color="auto"/>
            </w:tcBorders>
            <w:shd w:val="clear" w:color="000000" w:fill="BFBFBF"/>
            <w:vAlign w:val="center"/>
            <w:hideMark/>
          </w:tcPr>
          <w:p w14:paraId="46E754E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2027</w:t>
            </w:r>
          </w:p>
        </w:tc>
        <w:tc>
          <w:tcPr>
            <w:tcW w:w="1418" w:type="dxa"/>
            <w:tcBorders>
              <w:top w:val="nil"/>
              <w:left w:val="nil"/>
              <w:bottom w:val="single" w:sz="8" w:space="0" w:color="auto"/>
              <w:right w:val="single" w:sz="8" w:space="0" w:color="auto"/>
            </w:tcBorders>
            <w:shd w:val="clear" w:color="000000" w:fill="BFBFBF"/>
            <w:vAlign w:val="center"/>
            <w:hideMark/>
          </w:tcPr>
          <w:p w14:paraId="33B0FC4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2028</w:t>
            </w:r>
          </w:p>
        </w:tc>
        <w:tc>
          <w:tcPr>
            <w:tcW w:w="1393" w:type="dxa"/>
            <w:tcBorders>
              <w:top w:val="nil"/>
              <w:left w:val="nil"/>
              <w:bottom w:val="single" w:sz="8" w:space="0" w:color="auto"/>
              <w:right w:val="single" w:sz="8" w:space="0" w:color="auto"/>
            </w:tcBorders>
            <w:shd w:val="clear" w:color="000000" w:fill="BFBFBF"/>
            <w:noWrap/>
            <w:vAlign w:val="center"/>
            <w:hideMark/>
          </w:tcPr>
          <w:p w14:paraId="27CB323F"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 </w:t>
            </w:r>
          </w:p>
        </w:tc>
      </w:tr>
      <w:tr w:rsidR="00AD62CD" w:rsidRPr="00AD62CD" w14:paraId="50DD09BB"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4D4DE7CF"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Daňové príjmy (100)</w:t>
            </w:r>
            <w:r w:rsidRPr="00AD62CD">
              <w:rPr>
                <w:rFonts w:ascii="Times New Roman" w:eastAsia="Calibri" w:hAnsi="Times New Roman" w:cs="Times New Roman"/>
                <w:b/>
                <w:bCs/>
                <w:color w:val="000000"/>
                <w:kern w:val="0"/>
                <w:sz w:val="22"/>
                <w:szCs w:val="22"/>
                <w:vertAlign w:val="superscript"/>
                <w:lang w:eastAsia="sk-SK"/>
                <w14:ligatures w14:val="none"/>
              </w:rPr>
              <w:t>1</w:t>
            </w:r>
          </w:p>
        </w:tc>
        <w:tc>
          <w:tcPr>
            <w:tcW w:w="1264" w:type="dxa"/>
            <w:tcBorders>
              <w:top w:val="nil"/>
              <w:left w:val="nil"/>
              <w:bottom w:val="single" w:sz="8" w:space="0" w:color="auto"/>
              <w:right w:val="single" w:sz="8" w:space="0" w:color="auto"/>
            </w:tcBorders>
            <w:noWrap/>
            <w:vAlign w:val="center"/>
            <w:hideMark/>
          </w:tcPr>
          <w:p w14:paraId="40C2C9AA"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0BBF53F4"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6 842 517</w:t>
            </w:r>
          </w:p>
        </w:tc>
        <w:tc>
          <w:tcPr>
            <w:tcW w:w="1418" w:type="dxa"/>
            <w:tcBorders>
              <w:top w:val="nil"/>
              <w:left w:val="nil"/>
              <w:bottom w:val="single" w:sz="8" w:space="0" w:color="auto"/>
              <w:right w:val="single" w:sz="8" w:space="0" w:color="auto"/>
            </w:tcBorders>
            <w:noWrap/>
            <w:vAlign w:val="center"/>
          </w:tcPr>
          <w:p w14:paraId="46047F46"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8 216 966</w:t>
            </w:r>
          </w:p>
        </w:tc>
        <w:tc>
          <w:tcPr>
            <w:tcW w:w="1418" w:type="dxa"/>
            <w:tcBorders>
              <w:top w:val="nil"/>
              <w:left w:val="nil"/>
              <w:bottom w:val="single" w:sz="8" w:space="0" w:color="auto"/>
              <w:right w:val="single" w:sz="8" w:space="0" w:color="auto"/>
            </w:tcBorders>
            <w:noWrap/>
            <w:vAlign w:val="center"/>
          </w:tcPr>
          <w:p w14:paraId="35936CC8"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8 577 058</w:t>
            </w:r>
          </w:p>
        </w:tc>
        <w:tc>
          <w:tcPr>
            <w:tcW w:w="1393" w:type="dxa"/>
            <w:tcBorders>
              <w:top w:val="nil"/>
              <w:left w:val="nil"/>
              <w:bottom w:val="single" w:sz="8" w:space="0" w:color="auto"/>
              <w:right w:val="single" w:sz="8" w:space="0" w:color="auto"/>
            </w:tcBorders>
            <w:noWrap/>
            <w:vAlign w:val="center"/>
            <w:hideMark/>
          </w:tcPr>
          <w:p w14:paraId="73C11204"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6F8CB50A"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4ACB2286" w14:textId="77777777" w:rsidR="00AD62CD" w:rsidRPr="00AD62CD" w:rsidRDefault="00AD62CD" w:rsidP="00AD62CD">
            <w:pPr>
              <w:spacing w:after="0" w:line="240" w:lineRule="auto"/>
              <w:ind w:firstLineChars="300" w:firstLine="66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 xml:space="preserve">v tom: (111) daň z príjmov fyzických osôb </w:t>
            </w:r>
          </w:p>
        </w:tc>
        <w:tc>
          <w:tcPr>
            <w:tcW w:w="1264" w:type="dxa"/>
            <w:tcBorders>
              <w:top w:val="nil"/>
              <w:left w:val="nil"/>
              <w:bottom w:val="single" w:sz="8" w:space="0" w:color="auto"/>
              <w:right w:val="single" w:sz="8" w:space="0" w:color="auto"/>
            </w:tcBorders>
            <w:noWrap/>
            <w:vAlign w:val="center"/>
            <w:hideMark/>
          </w:tcPr>
          <w:p w14:paraId="6DF8557B"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6AF4319D"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1 493 819</w:t>
            </w:r>
          </w:p>
        </w:tc>
        <w:tc>
          <w:tcPr>
            <w:tcW w:w="1418" w:type="dxa"/>
            <w:tcBorders>
              <w:top w:val="nil"/>
              <w:left w:val="nil"/>
              <w:bottom w:val="single" w:sz="8" w:space="0" w:color="auto"/>
              <w:right w:val="single" w:sz="8" w:space="0" w:color="auto"/>
            </w:tcBorders>
            <w:noWrap/>
            <w:vAlign w:val="center"/>
          </w:tcPr>
          <w:p w14:paraId="35203D76"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1 809 093</w:t>
            </w:r>
          </w:p>
        </w:tc>
        <w:tc>
          <w:tcPr>
            <w:tcW w:w="1418" w:type="dxa"/>
            <w:tcBorders>
              <w:top w:val="nil"/>
              <w:left w:val="nil"/>
              <w:bottom w:val="single" w:sz="8" w:space="0" w:color="auto"/>
              <w:right w:val="single" w:sz="8" w:space="0" w:color="auto"/>
            </w:tcBorders>
            <w:noWrap/>
            <w:vAlign w:val="center"/>
          </w:tcPr>
          <w:p w14:paraId="30E2A139"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1 903 253</w:t>
            </w:r>
          </w:p>
        </w:tc>
        <w:tc>
          <w:tcPr>
            <w:tcW w:w="1393" w:type="dxa"/>
            <w:tcBorders>
              <w:top w:val="nil"/>
              <w:left w:val="nil"/>
              <w:bottom w:val="single" w:sz="8" w:space="0" w:color="auto"/>
              <w:right w:val="single" w:sz="8" w:space="0" w:color="auto"/>
            </w:tcBorders>
            <w:noWrap/>
            <w:vAlign w:val="center"/>
            <w:hideMark/>
          </w:tcPr>
          <w:p w14:paraId="014FDAE2"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1A7A190F"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040A2F88" w14:textId="77777777" w:rsidR="00AD62CD" w:rsidRPr="00AD62CD" w:rsidRDefault="00AD62CD" w:rsidP="00AD62CD">
            <w:pPr>
              <w:spacing w:after="0" w:line="240" w:lineRule="auto"/>
              <w:ind w:firstLineChars="300" w:firstLine="66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v tom: (151) poistné na nemocenské poistenie</w:t>
            </w:r>
          </w:p>
        </w:tc>
        <w:tc>
          <w:tcPr>
            <w:tcW w:w="1264" w:type="dxa"/>
            <w:tcBorders>
              <w:top w:val="nil"/>
              <w:left w:val="nil"/>
              <w:bottom w:val="single" w:sz="8" w:space="0" w:color="auto"/>
              <w:right w:val="single" w:sz="8" w:space="0" w:color="auto"/>
            </w:tcBorders>
            <w:noWrap/>
            <w:vAlign w:val="center"/>
            <w:hideMark/>
          </w:tcPr>
          <w:p w14:paraId="15CE2CD5"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219A923D"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301 943</w:t>
            </w:r>
          </w:p>
        </w:tc>
        <w:tc>
          <w:tcPr>
            <w:tcW w:w="1418" w:type="dxa"/>
            <w:tcBorders>
              <w:top w:val="nil"/>
              <w:left w:val="nil"/>
              <w:bottom w:val="single" w:sz="8" w:space="0" w:color="auto"/>
              <w:right w:val="single" w:sz="8" w:space="0" w:color="auto"/>
            </w:tcBorders>
            <w:noWrap/>
            <w:vAlign w:val="center"/>
          </w:tcPr>
          <w:p w14:paraId="41E9041A"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361 735</w:t>
            </w:r>
          </w:p>
        </w:tc>
        <w:tc>
          <w:tcPr>
            <w:tcW w:w="1418" w:type="dxa"/>
            <w:tcBorders>
              <w:top w:val="nil"/>
              <w:left w:val="nil"/>
              <w:bottom w:val="single" w:sz="8" w:space="0" w:color="auto"/>
              <w:right w:val="single" w:sz="8" w:space="0" w:color="auto"/>
            </w:tcBorders>
            <w:noWrap/>
            <w:vAlign w:val="center"/>
          </w:tcPr>
          <w:p w14:paraId="234F4066"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376 747</w:t>
            </w:r>
          </w:p>
        </w:tc>
        <w:tc>
          <w:tcPr>
            <w:tcW w:w="1393" w:type="dxa"/>
            <w:tcBorders>
              <w:top w:val="nil"/>
              <w:left w:val="nil"/>
              <w:bottom w:val="single" w:sz="8" w:space="0" w:color="auto"/>
              <w:right w:val="single" w:sz="8" w:space="0" w:color="auto"/>
            </w:tcBorders>
            <w:noWrap/>
            <w:vAlign w:val="center"/>
            <w:hideMark/>
          </w:tcPr>
          <w:p w14:paraId="3266528F"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61645E63"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59201782" w14:textId="77777777" w:rsidR="00AD62CD" w:rsidRPr="00AD62CD" w:rsidRDefault="00AD62CD" w:rsidP="00AD62CD">
            <w:pPr>
              <w:spacing w:after="0" w:line="240" w:lineRule="auto"/>
              <w:ind w:firstLineChars="300" w:firstLine="66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v tom: (152) poistné na starobné poistenie</w:t>
            </w:r>
          </w:p>
        </w:tc>
        <w:tc>
          <w:tcPr>
            <w:tcW w:w="1264" w:type="dxa"/>
            <w:tcBorders>
              <w:top w:val="nil"/>
              <w:left w:val="nil"/>
              <w:bottom w:val="single" w:sz="8" w:space="0" w:color="auto"/>
              <w:right w:val="single" w:sz="8" w:space="0" w:color="auto"/>
            </w:tcBorders>
            <w:noWrap/>
            <w:vAlign w:val="center"/>
            <w:hideMark/>
          </w:tcPr>
          <w:p w14:paraId="3F32C5DF"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19DDC837"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1 941 060</w:t>
            </w:r>
          </w:p>
        </w:tc>
        <w:tc>
          <w:tcPr>
            <w:tcW w:w="1418" w:type="dxa"/>
            <w:tcBorders>
              <w:top w:val="nil"/>
              <w:left w:val="nil"/>
              <w:bottom w:val="single" w:sz="8" w:space="0" w:color="auto"/>
              <w:right w:val="single" w:sz="8" w:space="0" w:color="auto"/>
            </w:tcBorders>
            <w:noWrap/>
            <w:vAlign w:val="center"/>
          </w:tcPr>
          <w:p w14:paraId="6C56B567"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2 325 438</w:t>
            </w:r>
          </w:p>
        </w:tc>
        <w:tc>
          <w:tcPr>
            <w:tcW w:w="1418" w:type="dxa"/>
            <w:tcBorders>
              <w:top w:val="nil"/>
              <w:left w:val="nil"/>
              <w:bottom w:val="single" w:sz="8" w:space="0" w:color="auto"/>
              <w:right w:val="single" w:sz="8" w:space="0" w:color="auto"/>
            </w:tcBorders>
            <w:noWrap/>
            <w:vAlign w:val="center"/>
          </w:tcPr>
          <w:p w14:paraId="557A1EF0"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2 421 945</w:t>
            </w:r>
          </w:p>
        </w:tc>
        <w:tc>
          <w:tcPr>
            <w:tcW w:w="1393" w:type="dxa"/>
            <w:tcBorders>
              <w:top w:val="nil"/>
              <w:left w:val="nil"/>
              <w:bottom w:val="single" w:sz="8" w:space="0" w:color="auto"/>
              <w:right w:val="single" w:sz="8" w:space="0" w:color="auto"/>
            </w:tcBorders>
            <w:noWrap/>
            <w:vAlign w:val="center"/>
            <w:hideMark/>
          </w:tcPr>
          <w:p w14:paraId="4901B407"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5304B3B2"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tcPr>
          <w:p w14:paraId="6285E0BE" w14:textId="77777777" w:rsidR="00AD62CD" w:rsidRPr="00AD62CD" w:rsidRDefault="00AD62CD" w:rsidP="00AD62CD">
            <w:pPr>
              <w:spacing w:after="0" w:line="240" w:lineRule="auto"/>
              <w:ind w:firstLineChars="300" w:firstLine="66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v tom: (153) poistné na úrazové poistenie</w:t>
            </w:r>
          </w:p>
        </w:tc>
        <w:tc>
          <w:tcPr>
            <w:tcW w:w="1264" w:type="dxa"/>
            <w:tcBorders>
              <w:top w:val="nil"/>
              <w:left w:val="nil"/>
              <w:bottom w:val="single" w:sz="8" w:space="0" w:color="auto"/>
              <w:right w:val="single" w:sz="8" w:space="0" w:color="auto"/>
            </w:tcBorders>
            <w:noWrap/>
            <w:vAlign w:val="center"/>
          </w:tcPr>
          <w:p w14:paraId="450BBEA0"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0</w:t>
            </w:r>
          </w:p>
        </w:tc>
        <w:tc>
          <w:tcPr>
            <w:tcW w:w="1360" w:type="dxa"/>
            <w:tcBorders>
              <w:top w:val="nil"/>
              <w:left w:val="nil"/>
              <w:bottom w:val="single" w:sz="8" w:space="0" w:color="auto"/>
              <w:right w:val="single" w:sz="8" w:space="0" w:color="auto"/>
            </w:tcBorders>
            <w:noWrap/>
            <w:vAlign w:val="center"/>
          </w:tcPr>
          <w:p w14:paraId="6E9CE5A6"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86 269</w:t>
            </w:r>
          </w:p>
        </w:tc>
        <w:tc>
          <w:tcPr>
            <w:tcW w:w="1418" w:type="dxa"/>
            <w:tcBorders>
              <w:top w:val="nil"/>
              <w:left w:val="nil"/>
              <w:bottom w:val="single" w:sz="8" w:space="0" w:color="auto"/>
              <w:right w:val="single" w:sz="8" w:space="0" w:color="auto"/>
            </w:tcBorders>
            <w:noWrap/>
            <w:vAlign w:val="center"/>
          </w:tcPr>
          <w:p w14:paraId="1423163B"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103 353</w:t>
            </w:r>
          </w:p>
        </w:tc>
        <w:tc>
          <w:tcPr>
            <w:tcW w:w="1418" w:type="dxa"/>
            <w:tcBorders>
              <w:top w:val="nil"/>
              <w:left w:val="nil"/>
              <w:bottom w:val="single" w:sz="8" w:space="0" w:color="auto"/>
              <w:right w:val="single" w:sz="8" w:space="0" w:color="auto"/>
            </w:tcBorders>
            <w:noWrap/>
            <w:vAlign w:val="center"/>
          </w:tcPr>
          <w:p w14:paraId="211891E7"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107 642</w:t>
            </w:r>
          </w:p>
        </w:tc>
        <w:tc>
          <w:tcPr>
            <w:tcW w:w="1393" w:type="dxa"/>
            <w:tcBorders>
              <w:top w:val="nil"/>
              <w:left w:val="nil"/>
              <w:bottom w:val="single" w:sz="8" w:space="0" w:color="auto"/>
              <w:right w:val="single" w:sz="8" w:space="0" w:color="auto"/>
            </w:tcBorders>
            <w:noWrap/>
            <w:vAlign w:val="center"/>
          </w:tcPr>
          <w:p w14:paraId="46A214CC"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p>
        </w:tc>
      </w:tr>
      <w:tr w:rsidR="00AD62CD" w:rsidRPr="00AD62CD" w14:paraId="2FCF36DD"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766E887B" w14:textId="77777777" w:rsidR="00AD62CD" w:rsidRPr="00AD62CD" w:rsidRDefault="00AD62CD" w:rsidP="00AD62CD">
            <w:pPr>
              <w:spacing w:after="0" w:line="240" w:lineRule="auto"/>
              <w:ind w:firstLineChars="300" w:firstLine="66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v tom: (154) poistné na zdravotné poistenie</w:t>
            </w:r>
          </w:p>
        </w:tc>
        <w:tc>
          <w:tcPr>
            <w:tcW w:w="1264" w:type="dxa"/>
            <w:tcBorders>
              <w:top w:val="nil"/>
              <w:left w:val="nil"/>
              <w:bottom w:val="single" w:sz="8" w:space="0" w:color="auto"/>
              <w:right w:val="single" w:sz="8" w:space="0" w:color="auto"/>
            </w:tcBorders>
            <w:noWrap/>
            <w:vAlign w:val="center"/>
            <w:hideMark/>
          </w:tcPr>
          <w:p w14:paraId="0976C834"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2CEB2D90"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1 617 550</w:t>
            </w:r>
          </w:p>
        </w:tc>
        <w:tc>
          <w:tcPr>
            <w:tcW w:w="1418" w:type="dxa"/>
            <w:tcBorders>
              <w:top w:val="nil"/>
              <w:left w:val="nil"/>
              <w:bottom w:val="single" w:sz="8" w:space="0" w:color="auto"/>
              <w:right w:val="single" w:sz="8" w:space="0" w:color="auto"/>
            </w:tcBorders>
            <w:noWrap/>
            <w:vAlign w:val="center"/>
          </w:tcPr>
          <w:p w14:paraId="553FA967"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1 937 865</w:t>
            </w:r>
          </w:p>
        </w:tc>
        <w:tc>
          <w:tcPr>
            <w:tcW w:w="1418" w:type="dxa"/>
            <w:tcBorders>
              <w:top w:val="nil"/>
              <w:left w:val="nil"/>
              <w:bottom w:val="single" w:sz="8" w:space="0" w:color="auto"/>
              <w:right w:val="single" w:sz="8" w:space="0" w:color="auto"/>
            </w:tcBorders>
            <w:noWrap/>
            <w:vAlign w:val="center"/>
          </w:tcPr>
          <w:p w14:paraId="0652C830"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2 018 288</w:t>
            </w:r>
          </w:p>
        </w:tc>
        <w:tc>
          <w:tcPr>
            <w:tcW w:w="1393" w:type="dxa"/>
            <w:tcBorders>
              <w:top w:val="nil"/>
              <w:left w:val="nil"/>
              <w:bottom w:val="single" w:sz="8" w:space="0" w:color="auto"/>
              <w:right w:val="single" w:sz="8" w:space="0" w:color="auto"/>
            </w:tcBorders>
            <w:noWrap/>
            <w:vAlign w:val="center"/>
            <w:hideMark/>
          </w:tcPr>
          <w:p w14:paraId="30D67EE7"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21A64128"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3B78990C" w14:textId="77777777" w:rsidR="00AD62CD" w:rsidRPr="00AD62CD" w:rsidRDefault="00AD62CD" w:rsidP="00AD62CD">
            <w:pPr>
              <w:spacing w:after="0" w:line="240" w:lineRule="auto"/>
              <w:ind w:firstLineChars="300" w:firstLine="66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v tom: (155) poistné na poistenie v nezamestnanosti</w:t>
            </w:r>
          </w:p>
        </w:tc>
        <w:tc>
          <w:tcPr>
            <w:tcW w:w="1264" w:type="dxa"/>
            <w:tcBorders>
              <w:top w:val="nil"/>
              <w:left w:val="nil"/>
              <w:bottom w:val="single" w:sz="8" w:space="0" w:color="auto"/>
              <w:right w:val="single" w:sz="8" w:space="0" w:color="auto"/>
            </w:tcBorders>
            <w:noWrap/>
            <w:vAlign w:val="center"/>
            <w:hideMark/>
          </w:tcPr>
          <w:p w14:paraId="1C943641"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7CF22DBB"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215 673</w:t>
            </w:r>
          </w:p>
        </w:tc>
        <w:tc>
          <w:tcPr>
            <w:tcW w:w="1418" w:type="dxa"/>
            <w:tcBorders>
              <w:top w:val="nil"/>
              <w:left w:val="nil"/>
              <w:bottom w:val="single" w:sz="8" w:space="0" w:color="auto"/>
              <w:right w:val="single" w:sz="8" w:space="0" w:color="auto"/>
            </w:tcBorders>
            <w:noWrap/>
            <w:vAlign w:val="center"/>
          </w:tcPr>
          <w:p w14:paraId="71D16221"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258 382</w:t>
            </w:r>
          </w:p>
        </w:tc>
        <w:tc>
          <w:tcPr>
            <w:tcW w:w="1418" w:type="dxa"/>
            <w:tcBorders>
              <w:top w:val="nil"/>
              <w:left w:val="nil"/>
              <w:bottom w:val="single" w:sz="8" w:space="0" w:color="auto"/>
              <w:right w:val="single" w:sz="8" w:space="0" w:color="auto"/>
            </w:tcBorders>
            <w:noWrap/>
            <w:vAlign w:val="center"/>
          </w:tcPr>
          <w:p w14:paraId="08AE8E4B"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269 105</w:t>
            </w:r>
          </w:p>
        </w:tc>
        <w:tc>
          <w:tcPr>
            <w:tcW w:w="1393" w:type="dxa"/>
            <w:tcBorders>
              <w:top w:val="nil"/>
              <w:left w:val="nil"/>
              <w:bottom w:val="single" w:sz="8" w:space="0" w:color="auto"/>
              <w:right w:val="single" w:sz="8" w:space="0" w:color="auto"/>
            </w:tcBorders>
            <w:noWrap/>
            <w:vAlign w:val="center"/>
            <w:hideMark/>
          </w:tcPr>
          <w:p w14:paraId="2B9581EE"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1B5C51F6"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021E7021" w14:textId="77777777" w:rsidR="00AD62CD" w:rsidRPr="00AD62CD" w:rsidRDefault="00AD62CD" w:rsidP="00AD62CD">
            <w:pPr>
              <w:spacing w:after="0" w:line="240" w:lineRule="auto"/>
              <w:ind w:firstLineChars="300" w:firstLine="66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v tom: (156) poistné na garančné poistenie</w:t>
            </w:r>
          </w:p>
        </w:tc>
        <w:tc>
          <w:tcPr>
            <w:tcW w:w="1264" w:type="dxa"/>
            <w:tcBorders>
              <w:top w:val="nil"/>
              <w:left w:val="nil"/>
              <w:bottom w:val="single" w:sz="8" w:space="0" w:color="auto"/>
              <w:right w:val="single" w:sz="8" w:space="0" w:color="auto"/>
            </w:tcBorders>
            <w:noWrap/>
            <w:vAlign w:val="center"/>
            <w:hideMark/>
          </w:tcPr>
          <w:p w14:paraId="64C0583C"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4205E31F"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26 959</w:t>
            </w:r>
          </w:p>
        </w:tc>
        <w:tc>
          <w:tcPr>
            <w:tcW w:w="1418" w:type="dxa"/>
            <w:tcBorders>
              <w:top w:val="nil"/>
              <w:left w:val="nil"/>
              <w:bottom w:val="single" w:sz="8" w:space="0" w:color="auto"/>
              <w:right w:val="single" w:sz="8" w:space="0" w:color="auto"/>
            </w:tcBorders>
            <w:noWrap/>
            <w:vAlign w:val="center"/>
          </w:tcPr>
          <w:p w14:paraId="76E6E743"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32 298</w:t>
            </w:r>
          </w:p>
        </w:tc>
        <w:tc>
          <w:tcPr>
            <w:tcW w:w="1418" w:type="dxa"/>
            <w:tcBorders>
              <w:top w:val="nil"/>
              <w:left w:val="nil"/>
              <w:bottom w:val="single" w:sz="8" w:space="0" w:color="auto"/>
              <w:right w:val="single" w:sz="8" w:space="0" w:color="auto"/>
            </w:tcBorders>
            <w:noWrap/>
            <w:vAlign w:val="center"/>
          </w:tcPr>
          <w:p w14:paraId="1342EEBA"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33 638</w:t>
            </w:r>
          </w:p>
        </w:tc>
        <w:tc>
          <w:tcPr>
            <w:tcW w:w="1393" w:type="dxa"/>
            <w:tcBorders>
              <w:top w:val="nil"/>
              <w:left w:val="nil"/>
              <w:bottom w:val="single" w:sz="8" w:space="0" w:color="auto"/>
              <w:right w:val="single" w:sz="8" w:space="0" w:color="auto"/>
            </w:tcBorders>
            <w:noWrap/>
            <w:vAlign w:val="center"/>
            <w:hideMark/>
          </w:tcPr>
          <w:p w14:paraId="09CD12F1"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43FE6290"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3FC11CDD" w14:textId="77777777" w:rsidR="00AD62CD" w:rsidRPr="00AD62CD" w:rsidRDefault="00AD62CD" w:rsidP="00AD62CD">
            <w:pPr>
              <w:spacing w:after="0" w:line="240" w:lineRule="auto"/>
              <w:ind w:firstLineChars="300" w:firstLine="66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v tom: (157) poistné do rezervného fondu solidarity</w:t>
            </w:r>
          </w:p>
        </w:tc>
        <w:tc>
          <w:tcPr>
            <w:tcW w:w="1264" w:type="dxa"/>
            <w:tcBorders>
              <w:top w:val="nil"/>
              <w:left w:val="nil"/>
              <w:bottom w:val="single" w:sz="8" w:space="0" w:color="auto"/>
              <w:right w:val="single" w:sz="8" w:space="0" w:color="auto"/>
            </w:tcBorders>
            <w:noWrap/>
            <w:vAlign w:val="center"/>
            <w:hideMark/>
          </w:tcPr>
          <w:p w14:paraId="6E7D2399"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51CB9234"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512 224</w:t>
            </w:r>
          </w:p>
        </w:tc>
        <w:tc>
          <w:tcPr>
            <w:tcW w:w="1418" w:type="dxa"/>
            <w:tcBorders>
              <w:top w:val="nil"/>
              <w:left w:val="nil"/>
              <w:bottom w:val="single" w:sz="8" w:space="0" w:color="auto"/>
              <w:right w:val="single" w:sz="8" w:space="0" w:color="auto"/>
            </w:tcBorders>
            <w:noWrap/>
            <w:vAlign w:val="center"/>
          </w:tcPr>
          <w:p w14:paraId="09B4A4D8"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613 657</w:t>
            </w:r>
          </w:p>
        </w:tc>
        <w:tc>
          <w:tcPr>
            <w:tcW w:w="1418" w:type="dxa"/>
            <w:tcBorders>
              <w:top w:val="nil"/>
              <w:left w:val="nil"/>
              <w:bottom w:val="single" w:sz="8" w:space="0" w:color="auto"/>
              <w:right w:val="single" w:sz="8" w:space="0" w:color="auto"/>
            </w:tcBorders>
            <w:noWrap/>
            <w:vAlign w:val="center"/>
          </w:tcPr>
          <w:p w14:paraId="72249EAC"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639 124</w:t>
            </w:r>
          </w:p>
        </w:tc>
        <w:tc>
          <w:tcPr>
            <w:tcW w:w="1393" w:type="dxa"/>
            <w:tcBorders>
              <w:top w:val="nil"/>
              <w:left w:val="nil"/>
              <w:bottom w:val="single" w:sz="8" w:space="0" w:color="auto"/>
              <w:right w:val="single" w:sz="8" w:space="0" w:color="auto"/>
            </w:tcBorders>
            <w:noWrap/>
            <w:vAlign w:val="center"/>
            <w:hideMark/>
          </w:tcPr>
          <w:p w14:paraId="01E83322"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2CDA7AED"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11180589" w14:textId="77777777" w:rsidR="00AD62CD" w:rsidRPr="00AD62CD" w:rsidRDefault="00AD62CD" w:rsidP="00AD62CD">
            <w:pPr>
              <w:spacing w:after="0" w:line="240" w:lineRule="auto"/>
              <w:ind w:firstLineChars="300" w:firstLine="660"/>
              <w:rPr>
                <w:rFonts w:ascii="Times New Roman" w:eastAsia="Calibri" w:hAnsi="Times New Roman" w:cs="Times New Roman"/>
                <w:i/>
                <w:iCs/>
                <w:color w:val="000000"/>
                <w:kern w:val="0"/>
                <w:sz w:val="22"/>
                <w:szCs w:val="22"/>
                <w:lang w:eastAsia="sk-SK"/>
                <w14:ligatures w14:val="none"/>
              </w:rPr>
            </w:pPr>
            <w:r w:rsidRPr="00AD62CD">
              <w:rPr>
                <w:rFonts w:ascii="Times New Roman" w:eastAsia="Calibri" w:hAnsi="Times New Roman" w:cs="Times New Roman"/>
                <w:i/>
                <w:iCs/>
                <w:color w:val="000000"/>
                <w:kern w:val="0"/>
                <w:sz w:val="22"/>
                <w:szCs w:val="22"/>
                <w:lang w:eastAsia="sk-SK"/>
                <w14:ligatures w14:val="none"/>
              </w:rPr>
              <w:t>v tom: (158) poistné na invalidné poistenie</w:t>
            </w:r>
          </w:p>
        </w:tc>
        <w:tc>
          <w:tcPr>
            <w:tcW w:w="1264" w:type="dxa"/>
            <w:tcBorders>
              <w:top w:val="nil"/>
              <w:left w:val="nil"/>
              <w:bottom w:val="single" w:sz="8" w:space="0" w:color="auto"/>
              <w:right w:val="single" w:sz="8" w:space="0" w:color="auto"/>
            </w:tcBorders>
            <w:noWrap/>
            <w:vAlign w:val="center"/>
            <w:hideMark/>
          </w:tcPr>
          <w:p w14:paraId="61990D5E"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noWrap/>
            <w:vAlign w:val="center"/>
          </w:tcPr>
          <w:p w14:paraId="47A2BC9E"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647 020</w:t>
            </w:r>
          </w:p>
        </w:tc>
        <w:tc>
          <w:tcPr>
            <w:tcW w:w="1418" w:type="dxa"/>
            <w:tcBorders>
              <w:top w:val="nil"/>
              <w:left w:val="nil"/>
              <w:bottom w:val="single" w:sz="8" w:space="0" w:color="auto"/>
              <w:right w:val="single" w:sz="8" w:space="0" w:color="auto"/>
            </w:tcBorders>
            <w:noWrap/>
            <w:vAlign w:val="center"/>
          </w:tcPr>
          <w:p w14:paraId="492AE1B3"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775 146</w:t>
            </w:r>
          </w:p>
        </w:tc>
        <w:tc>
          <w:tcPr>
            <w:tcW w:w="1418" w:type="dxa"/>
            <w:tcBorders>
              <w:top w:val="nil"/>
              <w:left w:val="nil"/>
              <w:bottom w:val="single" w:sz="8" w:space="0" w:color="auto"/>
              <w:right w:val="single" w:sz="8" w:space="0" w:color="auto"/>
            </w:tcBorders>
            <w:noWrap/>
            <w:vAlign w:val="center"/>
          </w:tcPr>
          <w:p w14:paraId="0D2163E0" w14:textId="77777777" w:rsidR="00AD62CD" w:rsidRPr="00AD62CD" w:rsidRDefault="00AD62CD" w:rsidP="00AD62CD">
            <w:pPr>
              <w:spacing w:after="0" w:line="240" w:lineRule="auto"/>
              <w:ind w:firstLineChars="100" w:firstLine="220"/>
              <w:jc w:val="right"/>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14:ligatures w14:val="none"/>
              </w:rPr>
              <w:t>807 315</w:t>
            </w:r>
          </w:p>
        </w:tc>
        <w:tc>
          <w:tcPr>
            <w:tcW w:w="1393" w:type="dxa"/>
            <w:tcBorders>
              <w:top w:val="nil"/>
              <w:left w:val="nil"/>
              <w:bottom w:val="single" w:sz="8" w:space="0" w:color="auto"/>
              <w:right w:val="single" w:sz="8" w:space="0" w:color="auto"/>
            </w:tcBorders>
            <w:noWrap/>
            <w:vAlign w:val="center"/>
            <w:hideMark/>
          </w:tcPr>
          <w:p w14:paraId="550145AA"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1AA4F00B"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54AAACB7"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Nedaňové príjmy (200)</w:t>
            </w:r>
            <w:r w:rsidRPr="00AD62CD">
              <w:rPr>
                <w:rFonts w:ascii="Times New Roman" w:eastAsia="Calibri" w:hAnsi="Times New Roman" w:cs="Times New Roman"/>
                <w:b/>
                <w:bCs/>
                <w:color w:val="000000"/>
                <w:kern w:val="0"/>
                <w:sz w:val="22"/>
                <w:szCs w:val="22"/>
                <w:vertAlign w:val="superscript"/>
                <w:lang w:eastAsia="sk-SK"/>
                <w14:ligatures w14:val="none"/>
              </w:rPr>
              <w:t>1</w:t>
            </w:r>
          </w:p>
        </w:tc>
        <w:tc>
          <w:tcPr>
            <w:tcW w:w="1264" w:type="dxa"/>
            <w:tcBorders>
              <w:top w:val="nil"/>
              <w:left w:val="nil"/>
              <w:bottom w:val="single" w:sz="8" w:space="0" w:color="auto"/>
              <w:right w:val="single" w:sz="8" w:space="0" w:color="auto"/>
            </w:tcBorders>
            <w:vAlign w:val="center"/>
            <w:hideMark/>
          </w:tcPr>
          <w:p w14:paraId="32B0C16C"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vAlign w:val="center"/>
          </w:tcPr>
          <w:p w14:paraId="41F91703"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418" w:type="dxa"/>
            <w:tcBorders>
              <w:top w:val="nil"/>
              <w:left w:val="nil"/>
              <w:bottom w:val="single" w:sz="8" w:space="0" w:color="auto"/>
              <w:right w:val="single" w:sz="8" w:space="0" w:color="auto"/>
            </w:tcBorders>
            <w:vAlign w:val="center"/>
          </w:tcPr>
          <w:p w14:paraId="0BF4B292"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418" w:type="dxa"/>
            <w:tcBorders>
              <w:top w:val="nil"/>
              <w:left w:val="nil"/>
              <w:bottom w:val="single" w:sz="8" w:space="0" w:color="auto"/>
              <w:right w:val="single" w:sz="8" w:space="0" w:color="auto"/>
            </w:tcBorders>
            <w:vAlign w:val="center"/>
          </w:tcPr>
          <w:p w14:paraId="457354C5"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393" w:type="dxa"/>
            <w:tcBorders>
              <w:top w:val="nil"/>
              <w:left w:val="nil"/>
              <w:bottom w:val="single" w:sz="8" w:space="0" w:color="auto"/>
              <w:right w:val="single" w:sz="8" w:space="0" w:color="auto"/>
            </w:tcBorders>
            <w:noWrap/>
            <w:vAlign w:val="center"/>
            <w:hideMark/>
          </w:tcPr>
          <w:p w14:paraId="7487D936"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0B57F4A3"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4499A08D"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Granty a transfery (300)</w:t>
            </w:r>
            <w:r w:rsidRPr="00AD62CD">
              <w:rPr>
                <w:rFonts w:ascii="Times New Roman" w:eastAsia="Calibri" w:hAnsi="Times New Roman" w:cs="Times New Roman"/>
                <w:b/>
                <w:bCs/>
                <w:color w:val="000000"/>
                <w:kern w:val="0"/>
                <w:sz w:val="22"/>
                <w:szCs w:val="22"/>
                <w:vertAlign w:val="superscript"/>
                <w:lang w:eastAsia="sk-SK"/>
                <w14:ligatures w14:val="none"/>
              </w:rPr>
              <w:t>1</w:t>
            </w:r>
          </w:p>
        </w:tc>
        <w:tc>
          <w:tcPr>
            <w:tcW w:w="1264" w:type="dxa"/>
            <w:tcBorders>
              <w:top w:val="nil"/>
              <w:left w:val="nil"/>
              <w:bottom w:val="single" w:sz="8" w:space="0" w:color="auto"/>
              <w:right w:val="single" w:sz="8" w:space="0" w:color="auto"/>
            </w:tcBorders>
            <w:vAlign w:val="center"/>
            <w:hideMark/>
          </w:tcPr>
          <w:p w14:paraId="54B110CC"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vAlign w:val="center"/>
          </w:tcPr>
          <w:p w14:paraId="27DE3834"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418" w:type="dxa"/>
            <w:tcBorders>
              <w:top w:val="nil"/>
              <w:left w:val="nil"/>
              <w:bottom w:val="single" w:sz="8" w:space="0" w:color="auto"/>
              <w:right w:val="single" w:sz="8" w:space="0" w:color="auto"/>
            </w:tcBorders>
            <w:vAlign w:val="center"/>
          </w:tcPr>
          <w:p w14:paraId="131EF16B"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418" w:type="dxa"/>
            <w:tcBorders>
              <w:top w:val="nil"/>
              <w:left w:val="nil"/>
              <w:bottom w:val="single" w:sz="8" w:space="0" w:color="auto"/>
              <w:right w:val="single" w:sz="8" w:space="0" w:color="auto"/>
            </w:tcBorders>
            <w:vAlign w:val="center"/>
          </w:tcPr>
          <w:p w14:paraId="25205723"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393" w:type="dxa"/>
            <w:tcBorders>
              <w:top w:val="nil"/>
              <w:left w:val="nil"/>
              <w:bottom w:val="single" w:sz="8" w:space="0" w:color="auto"/>
              <w:right w:val="single" w:sz="8" w:space="0" w:color="auto"/>
            </w:tcBorders>
            <w:noWrap/>
            <w:vAlign w:val="center"/>
            <w:hideMark/>
          </w:tcPr>
          <w:p w14:paraId="64BB9535"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29435E80"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4850D7A6"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Príjmy z transakcií s finančnými aktívami a finančnými pasívami (400)</w:t>
            </w:r>
          </w:p>
        </w:tc>
        <w:tc>
          <w:tcPr>
            <w:tcW w:w="1264" w:type="dxa"/>
            <w:tcBorders>
              <w:top w:val="nil"/>
              <w:left w:val="nil"/>
              <w:bottom w:val="single" w:sz="8" w:space="0" w:color="auto"/>
              <w:right w:val="single" w:sz="8" w:space="0" w:color="auto"/>
            </w:tcBorders>
            <w:vAlign w:val="center"/>
            <w:hideMark/>
          </w:tcPr>
          <w:p w14:paraId="606DCB40"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vAlign w:val="center"/>
          </w:tcPr>
          <w:p w14:paraId="6F1B4F2F"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418" w:type="dxa"/>
            <w:tcBorders>
              <w:top w:val="nil"/>
              <w:left w:val="nil"/>
              <w:bottom w:val="single" w:sz="8" w:space="0" w:color="auto"/>
              <w:right w:val="single" w:sz="8" w:space="0" w:color="auto"/>
            </w:tcBorders>
            <w:vAlign w:val="center"/>
          </w:tcPr>
          <w:p w14:paraId="05B99E5C"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418" w:type="dxa"/>
            <w:tcBorders>
              <w:top w:val="nil"/>
              <w:left w:val="nil"/>
              <w:bottom w:val="single" w:sz="8" w:space="0" w:color="auto"/>
              <w:right w:val="single" w:sz="8" w:space="0" w:color="auto"/>
            </w:tcBorders>
            <w:vAlign w:val="center"/>
          </w:tcPr>
          <w:p w14:paraId="3CFCF2A2"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393" w:type="dxa"/>
            <w:tcBorders>
              <w:top w:val="nil"/>
              <w:left w:val="nil"/>
              <w:bottom w:val="single" w:sz="8" w:space="0" w:color="auto"/>
              <w:right w:val="single" w:sz="8" w:space="0" w:color="auto"/>
            </w:tcBorders>
            <w:noWrap/>
            <w:vAlign w:val="center"/>
            <w:hideMark/>
          </w:tcPr>
          <w:p w14:paraId="4EF50811"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29016AD2"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188D24AD"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Prijaté úvery, pôžičky a návratné finančné výpomoci (500)</w:t>
            </w:r>
          </w:p>
        </w:tc>
        <w:tc>
          <w:tcPr>
            <w:tcW w:w="1264" w:type="dxa"/>
            <w:tcBorders>
              <w:top w:val="nil"/>
              <w:left w:val="nil"/>
              <w:bottom w:val="single" w:sz="8" w:space="0" w:color="auto"/>
              <w:right w:val="single" w:sz="8" w:space="0" w:color="auto"/>
            </w:tcBorders>
            <w:vAlign w:val="center"/>
            <w:hideMark/>
          </w:tcPr>
          <w:p w14:paraId="79C4C1F5"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vAlign w:val="center"/>
          </w:tcPr>
          <w:p w14:paraId="0C51CE4A"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418" w:type="dxa"/>
            <w:tcBorders>
              <w:top w:val="nil"/>
              <w:left w:val="nil"/>
              <w:bottom w:val="single" w:sz="8" w:space="0" w:color="auto"/>
              <w:right w:val="single" w:sz="8" w:space="0" w:color="auto"/>
            </w:tcBorders>
            <w:vAlign w:val="center"/>
          </w:tcPr>
          <w:p w14:paraId="3963B125"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418" w:type="dxa"/>
            <w:tcBorders>
              <w:top w:val="nil"/>
              <w:left w:val="nil"/>
              <w:bottom w:val="single" w:sz="8" w:space="0" w:color="auto"/>
              <w:right w:val="single" w:sz="8" w:space="0" w:color="auto"/>
            </w:tcBorders>
            <w:vAlign w:val="center"/>
          </w:tcPr>
          <w:p w14:paraId="408F9E20"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0</w:t>
            </w:r>
          </w:p>
        </w:tc>
        <w:tc>
          <w:tcPr>
            <w:tcW w:w="1393" w:type="dxa"/>
            <w:tcBorders>
              <w:top w:val="nil"/>
              <w:left w:val="nil"/>
              <w:bottom w:val="single" w:sz="8" w:space="0" w:color="auto"/>
              <w:right w:val="single" w:sz="8" w:space="0" w:color="auto"/>
            </w:tcBorders>
            <w:noWrap/>
            <w:vAlign w:val="center"/>
            <w:hideMark/>
          </w:tcPr>
          <w:p w14:paraId="60B2089D" w14:textId="77777777" w:rsidR="00AD62CD" w:rsidRPr="00AD62CD" w:rsidRDefault="00AD62CD" w:rsidP="00AD62CD">
            <w:pPr>
              <w:spacing w:after="0" w:line="240" w:lineRule="auto"/>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 </w:t>
            </w:r>
          </w:p>
        </w:tc>
      </w:tr>
      <w:tr w:rsidR="00AD62CD" w:rsidRPr="00AD62CD" w14:paraId="3F4545F2"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366BB077" w14:textId="77777777" w:rsidR="00AD62CD" w:rsidRPr="00AD62CD" w:rsidRDefault="00AD62CD" w:rsidP="00AD62CD">
            <w:pPr>
              <w:spacing w:after="0" w:line="240" w:lineRule="auto"/>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Vplyv na príjmy štátneho rozpočtu celkom</w:t>
            </w:r>
          </w:p>
        </w:tc>
        <w:tc>
          <w:tcPr>
            <w:tcW w:w="1264" w:type="dxa"/>
            <w:tcBorders>
              <w:top w:val="nil"/>
              <w:left w:val="nil"/>
              <w:bottom w:val="single" w:sz="8" w:space="0" w:color="auto"/>
              <w:right w:val="single" w:sz="8" w:space="0" w:color="auto"/>
            </w:tcBorders>
            <w:shd w:val="clear" w:color="000000" w:fill="BFBFBF"/>
            <w:noWrap/>
            <w:vAlign w:val="center"/>
            <w:hideMark/>
          </w:tcPr>
          <w:p w14:paraId="5C5D8538"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color w:val="000000"/>
                <w:kern w:val="0"/>
                <w:sz w:val="22"/>
                <w:szCs w:val="22"/>
                <w:lang w:eastAsia="sk-SK"/>
                <w14:ligatures w14:val="none"/>
              </w:rPr>
              <w:t>0</w:t>
            </w:r>
          </w:p>
        </w:tc>
        <w:tc>
          <w:tcPr>
            <w:tcW w:w="1360" w:type="dxa"/>
            <w:tcBorders>
              <w:top w:val="nil"/>
              <w:left w:val="nil"/>
              <w:bottom w:val="single" w:sz="8" w:space="0" w:color="auto"/>
              <w:right w:val="single" w:sz="8" w:space="0" w:color="auto"/>
            </w:tcBorders>
            <w:shd w:val="clear" w:color="000000" w:fill="BFBFBF"/>
            <w:noWrap/>
            <w:vAlign w:val="center"/>
          </w:tcPr>
          <w:p w14:paraId="0ACC93D5"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6 842 517</w:t>
            </w:r>
          </w:p>
        </w:tc>
        <w:tc>
          <w:tcPr>
            <w:tcW w:w="1418" w:type="dxa"/>
            <w:tcBorders>
              <w:top w:val="nil"/>
              <w:left w:val="nil"/>
              <w:bottom w:val="single" w:sz="8" w:space="0" w:color="auto"/>
              <w:right w:val="single" w:sz="8" w:space="0" w:color="auto"/>
            </w:tcBorders>
            <w:shd w:val="clear" w:color="000000" w:fill="BFBFBF"/>
            <w:noWrap/>
            <w:vAlign w:val="center"/>
          </w:tcPr>
          <w:p w14:paraId="655007BA"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8 216 966</w:t>
            </w:r>
          </w:p>
        </w:tc>
        <w:tc>
          <w:tcPr>
            <w:tcW w:w="1418" w:type="dxa"/>
            <w:tcBorders>
              <w:top w:val="nil"/>
              <w:left w:val="nil"/>
              <w:bottom w:val="single" w:sz="8" w:space="0" w:color="auto"/>
              <w:right w:val="single" w:sz="8" w:space="0" w:color="auto"/>
            </w:tcBorders>
            <w:shd w:val="clear" w:color="000000" w:fill="BFBFBF"/>
            <w:noWrap/>
            <w:vAlign w:val="center"/>
          </w:tcPr>
          <w:p w14:paraId="4A4550FF" w14:textId="77777777" w:rsidR="00AD62CD" w:rsidRPr="00AD62CD" w:rsidRDefault="00AD62CD" w:rsidP="00AD62CD">
            <w:pPr>
              <w:spacing w:after="0" w:line="240" w:lineRule="auto"/>
              <w:ind w:firstLineChars="100" w:firstLine="221"/>
              <w:jc w:val="right"/>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14:ligatures w14:val="none"/>
              </w:rPr>
              <w:t>8 577 058</w:t>
            </w:r>
          </w:p>
        </w:tc>
        <w:tc>
          <w:tcPr>
            <w:tcW w:w="1393" w:type="dxa"/>
            <w:tcBorders>
              <w:top w:val="nil"/>
              <w:left w:val="nil"/>
              <w:bottom w:val="single" w:sz="8" w:space="0" w:color="auto"/>
              <w:right w:val="single" w:sz="8" w:space="0" w:color="auto"/>
            </w:tcBorders>
            <w:shd w:val="clear" w:color="000000" w:fill="BFBFBF"/>
            <w:vAlign w:val="center"/>
            <w:hideMark/>
          </w:tcPr>
          <w:p w14:paraId="60412C17" w14:textId="77777777" w:rsidR="00AD62CD" w:rsidRPr="00AD62CD" w:rsidRDefault="00AD62CD" w:rsidP="00AD62CD">
            <w:pPr>
              <w:spacing w:after="0" w:line="240" w:lineRule="auto"/>
              <w:ind w:firstLineChars="400" w:firstLine="883"/>
              <w:rPr>
                <w:rFonts w:ascii="Times New Roman" w:eastAsia="Calibri" w:hAnsi="Times New Roman" w:cs="Times New Roman"/>
                <w:b/>
                <w:bCs/>
                <w:color w:val="000000"/>
                <w:kern w:val="0"/>
                <w:sz w:val="22"/>
                <w:szCs w:val="22"/>
                <w:lang w:eastAsia="sk-SK"/>
                <w14:ligatures w14:val="none"/>
              </w:rPr>
            </w:pPr>
            <w:r w:rsidRPr="00AD62CD">
              <w:rPr>
                <w:rFonts w:ascii="Times New Roman" w:eastAsia="Calibri" w:hAnsi="Times New Roman" w:cs="Times New Roman"/>
                <w:b/>
                <w:bCs/>
                <w:color w:val="000000"/>
                <w:kern w:val="0"/>
                <w:sz w:val="22"/>
                <w:szCs w:val="22"/>
                <w:lang w:eastAsia="sk-SK"/>
                <w14:ligatures w14:val="none"/>
              </w:rPr>
              <w:t> </w:t>
            </w:r>
          </w:p>
        </w:tc>
      </w:tr>
      <w:tr w:rsidR="00AD62CD" w:rsidRPr="00AD62CD" w14:paraId="3B1043D1" w14:textId="77777777" w:rsidTr="003627DF">
        <w:trPr>
          <w:trHeight w:val="255"/>
        </w:trPr>
        <w:tc>
          <w:tcPr>
            <w:tcW w:w="7361" w:type="dxa"/>
            <w:tcBorders>
              <w:top w:val="nil"/>
              <w:left w:val="nil"/>
              <w:bottom w:val="nil"/>
              <w:right w:val="nil"/>
            </w:tcBorders>
            <w:noWrap/>
            <w:vAlign w:val="center"/>
            <w:hideMark/>
          </w:tcPr>
          <w:p w14:paraId="5F993BB7" w14:textId="77777777" w:rsidR="00AD62CD" w:rsidRPr="00AD62CD" w:rsidRDefault="00AD62CD" w:rsidP="00AD62CD">
            <w:pPr>
              <w:spacing w:after="0" w:line="240" w:lineRule="auto"/>
              <w:jc w:val="both"/>
              <w:rPr>
                <w:rFonts w:ascii="Times New Roman" w:eastAsia="Calibri" w:hAnsi="Times New Roman" w:cs="Times New Roman"/>
                <w:color w:val="000000"/>
                <w:kern w:val="0"/>
                <w:sz w:val="22"/>
                <w:szCs w:val="22"/>
                <w:lang w:eastAsia="sk-SK"/>
                <w14:ligatures w14:val="none"/>
              </w:rPr>
            </w:pPr>
            <w:r w:rsidRPr="00AD62CD">
              <w:rPr>
                <w:rFonts w:ascii="Times New Roman" w:eastAsia="Calibri" w:hAnsi="Times New Roman" w:cs="Times New Roman"/>
                <w:color w:val="000000"/>
                <w:kern w:val="0"/>
                <w:sz w:val="22"/>
                <w:szCs w:val="22"/>
                <w:lang w:eastAsia="sk-SK"/>
                <w14:ligatures w14:val="none"/>
              </w:rPr>
              <w:t>1 –  príjmy rozpísať až do položiek platnej ekonomickej klasifikácie</w:t>
            </w:r>
          </w:p>
        </w:tc>
        <w:tc>
          <w:tcPr>
            <w:tcW w:w="1264" w:type="dxa"/>
            <w:tcBorders>
              <w:top w:val="nil"/>
              <w:left w:val="nil"/>
              <w:bottom w:val="nil"/>
              <w:right w:val="nil"/>
            </w:tcBorders>
            <w:vAlign w:val="center"/>
            <w:hideMark/>
          </w:tcPr>
          <w:p w14:paraId="1494BD6A" w14:textId="77777777" w:rsidR="00AD62CD" w:rsidRPr="00AD62CD" w:rsidRDefault="00AD62CD" w:rsidP="00AD62CD">
            <w:pPr>
              <w:spacing w:after="0" w:line="240" w:lineRule="auto"/>
              <w:jc w:val="both"/>
              <w:rPr>
                <w:rFonts w:ascii="Times New Roman" w:eastAsia="Calibri" w:hAnsi="Times New Roman" w:cs="Times New Roman"/>
                <w:color w:val="000000"/>
                <w:kern w:val="0"/>
                <w:sz w:val="22"/>
                <w:szCs w:val="22"/>
                <w:lang w:eastAsia="sk-SK"/>
                <w14:ligatures w14:val="none"/>
              </w:rPr>
            </w:pPr>
          </w:p>
        </w:tc>
        <w:tc>
          <w:tcPr>
            <w:tcW w:w="1360" w:type="dxa"/>
            <w:tcBorders>
              <w:top w:val="nil"/>
              <w:left w:val="nil"/>
              <w:bottom w:val="nil"/>
              <w:right w:val="nil"/>
            </w:tcBorders>
            <w:vAlign w:val="center"/>
            <w:hideMark/>
          </w:tcPr>
          <w:p w14:paraId="29334E7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418" w:type="dxa"/>
            <w:tcBorders>
              <w:top w:val="nil"/>
              <w:left w:val="nil"/>
              <w:bottom w:val="nil"/>
              <w:right w:val="nil"/>
            </w:tcBorders>
            <w:vAlign w:val="center"/>
            <w:hideMark/>
          </w:tcPr>
          <w:p w14:paraId="30572073"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418" w:type="dxa"/>
            <w:tcBorders>
              <w:top w:val="nil"/>
              <w:left w:val="nil"/>
              <w:bottom w:val="nil"/>
              <w:right w:val="nil"/>
            </w:tcBorders>
            <w:vAlign w:val="center"/>
            <w:hideMark/>
          </w:tcPr>
          <w:p w14:paraId="1984AC1A"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393" w:type="dxa"/>
            <w:tcBorders>
              <w:top w:val="nil"/>
              <w:left w:val="nil"/>
              <w:bottom w:val="nil"/>
              <w:right w:val="nil"/>
            </w:tcBorders>
            <w:vAlign w:val="center"/>
            <w:hideMark/>
          </w:tcPr>
          <w:p w14:paraId="11CB307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bl>
    <w:p w14:paraId="7A066DEE"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63B44ED3"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1740EF2A"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3123D10F"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 </w:t>
      </w:r>
    </w:p>
    <w:p w14:paraId="46180C22" w14:textId="77777777" w:rsidR="00AD62CD" w:rsidRPr="00AD62CD" w:rsidRDefault="00AD62CD" w:rsidP="00AD62CD">
      <w:pPr>
        <w:spacing w:after="200" w:line="276" w:lineRule="auto"/>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br w:type="page"/>
      </w:r>
    </w:p>
    <w:p w14:paraId="23964C78"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p>
    <w:p w14:paraId="58006272"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3-2 </w:t>
      </w:r>
    </w:p>
    <w:p w14:paraId="21CD9ADD"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4215" w:type="dxa"/>
        <w:tblCellMar>
          <w:left w:w="70" w:type="dxa"/>
          <w:right w:w="70" w:type="dxa"/>
        </w:tblCellMar>
        <w:tblLook w:val="04A0" w:firstRow="1" w:lastRow="0" w:firstColumn="1" w:lastColumn="0" w:noHBand="0" w:noVBand="1"/>
      </w:tblPr>
      <w:tblGrid>
        <w:gridCol w:w="7361"/>
        <w:gridCol w:w="1267"/>
        <w:gridCol w:w="1359"/>
        <w:gridCol w:w="1418"/>
        <w:gridCol w:w="1417"/>
        <w:gridCol w:w="1393"/>
      </w:tblGrid>
      <w:tr w:rsidR="00AD62CD" w:rsidRPr="00AD62CD" w14:paraId="61A0377A"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7BAD5E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štátneho rozpočtu (v eurách)</w:t>
            </w:r>
          </w:p>
        </w:tc>
        <w:tc>
          <w:tcPr>
            <w:tcW w:w="5461" w:type="dxa"/>
            <w:gridSpan w:val="4"/>
            <w:tcBorders>
              <w:top w:val="single" w:sz="8" w:space="0" w:color="auto"/>
              <w:left w:val="nil"/>
              <w:bottom w:val="single" w:sz="8" w:space="0" w:color="auto"/>
              <w:right w:val="single" w:sz="8" w:space="0" w:color="000000"/>
            </w:tcBorders>
            <w:shd w:val="clear" w:color="000000" w:fill="BFBFBF"/>
            <w:vAlign w:val="center"/>
            <w:hideMark/>
          </w:tcPr>
          <w:p w14:paraId="05AC823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štátny rozpočet</w:t>
            </w:r>
          </w:p>
        </w:tc>
        <w:tc>
          <w:tcPr>
            <w:tcW w:w="1393" w:type="dxa"/>
            <w:tcBorders>
              <w:top w:val="single" w:sz="8" w:space="0" w:color="auto"/>
              <w:left w:val="nil"/>
              <w:bottom w:val="nil"/>
              <w:right w:val="single" w:sz="8" w:space="0" w:color="auto"/>
            </w:tcBorders>
            <w:shd w:val="clear" w:color="000000" w:fill="BFBFBF"/>
            <w:noWrap/>
            <w:vAlign w:val="center"/>
            <w:hideMark/>
          </w:tcPr>
          <w:p w14:paraId="460C518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3BEEA63C"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5A7D2D31"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67" w:type="dxa"/>
            <w:tcBorders>
              <w:top w:val="nil"/>
              <w:left w:val="nil"/>
              <w:bottom w:val="single" w:sz="8" w:space="0" w:color="auto"/>
              <w:right w:val="single" w:sz="8" w:space="0" w:color="auto"/>
            </w:tcBorders>
            <w:shd w:val="clear" w:color="000000" w:fill="BFBFBF"/>
            <w:vAlign w:val="center"/>
            <w:hideMark/>
          </w:tcPr>
          <w:p w14:paraId="0F3BA3E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59" w:type="dxa"/>
            <w:tcBorders>
              <w:top w:val="nil"/>
              <w:left w:val="nil"/>
              <w:bottom w:val="single" w:sz="8" w:space="0" w:color="auto"/>
              <w:right w:val="single" w:sz="8" w:space="0" w:color="auto"/>
            </w:tcBorders>
            <w:shd w:val="clear" w:color="000000" w:fill="BFBFBF"/>
            <w:vAlign w:val="center"/>
            <w:hideMark/>
          </w:tcPr>
          <w:p w14:paraId="7E0B3BA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18" w:type="dxa"/>
            <w:tcBorders>
              <w:top w:val="nil"/>
              <w:left w:val="nil"/>
              <w:bottom w:val="single" w:sz="8" w:space="0" w:color="auto"/>
              <w:right w:val="single" w:sz="8" w:space="0" w:color="auto"/>
            </w:tcBorders>
            <w:shd w:val="clear" w:color="000000" w:fill="BFBFBF"/>
            <w:vAlign w:val="center"/>
            <w:hideMark/>
          </w:tcPr>
          <w:p w14:paraId="0FFCE0C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17" w:type="dxa"/>
            <w:tcBorders>
              <w:top w:val="nil"/>
              <w:left w:val="nil"/>
              <w:bottom w:val="single" w:sz="8" w:space="0" w:color="auto"/>
              <w:right w:val="single" w:sz="8" w:space="0" w:color="auto"/>
            </w:tcBorders>
            <w:shd w:val="clear" w:color="000000" w:fill="BFBFBF"/>
            <w:vAlign w:val="center"/>
            <w:hideMark/>
          </w:tcPr>
          <w:p w14:paraId="7348A54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93" w:type="dxa"/>
            <w:tcBorders>
              <w:top w:val="nil"/>
              <w:left w:val="nil"/>
              <w:bottom w:val="single" w:sz="8" w:space="0" w:color="auto"/>
              <w:right w:val="single" w:sz="8" w:space="0" w:color="auto"/>
            </w:tcBorders>
            <w:shd w:val="clear" w:color="000000" w:fill="BFBFBF"/>
            <w:noWrap/>
            <w:vAlign w:val="center"/>
            <w:hideMark/>
          </w:tcPr>
          <w:p w14:paraId="44F9BDA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r w:rsidR="00AD62CD" w:rsidRPr="00AD62CD" w14:paraId="43D0D0E7"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4D6C2676"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7" w:type="dxa"/>
            <w:tcBorders>
              <w:top w:val="nil"/>
              <w:left w:val="nil"/>
              <w:bottom w:val="single" w:sz="8" w:space="0" w:color="auto"/>
              <w:right w:val="single" w:sz="8" w:space="0" w:color="auto"/>
            </w:tcBorders>
            <w:vAlign w:val="center"/>
            <w:hideMark/>
          </w:tcPr>
          <w:p w14:paraId="490C4E7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vAlign w:val="center"/>
          </w:tcPr>
          <w:p w14:paraId="782AFDA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440 676</w:t>
            </w:r>
          </w:p>
        </w:tc>
        <w:tc>
          <w:tcPr>
            <w:tcW w:w="1418" w:type="dxa"/>
            <w:tcBorders>
              <w:top w:val="nil"/>
              <w:left w:val="nil"/>
              <w:bottom w:val="single" w:sz="8" w:space="0" w:color="auto"/>
              <w:right w:val="single" w:sz="8" w:space="0" w:color="auto"/>
            </w:tcBorders>
            <w:vAlign w:val="center"/>
          </w:tcPr>
          <w:p w14:paraId="2451C20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323 054</w:t>
            </w:r>
          </w:p>
        </w:tc>
        <w:tc>
          <w:tcPr>
            <w:tcW w:w="1417" w:type="dxa"/>
            <w:tcBorders>
              <w:top w:val="nil"/>
              <w:left w:val="nil"/>
              <w:bottom w:val="single" w:sz="8" w:space="0" w:color="auto"/>
              <w:right w:val="single" w:sz="8" w:space="0" w:color="auto"/>
            </w:tcBorders>
            <w:vAlign w:val="center"/>
          </w:tcPr>
          <w:p w14:paraId="6F8CDEE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306 378</w:t>
            </w:r>
          </w:p>
        </w:tc>
        <w:tc>
          <w:tcPr>
            <w:tcW w:w="1393" w:type="dxa"/>
            <w:tcBorders>
              <w:top w:val="nil"/>
              <w:left w:val="nil"/>
              <w:bottom w:val="single" w:sz="8" w:space="0" w:color="auto"/>
              <w:right w:val="single" w:sz="8" w:space="0" w:color="auto"/>
            </w:tcBorders>
            <w:noWrap/>
            <w:vAlign w:val="center"/>
            <w:hideMark/>
          </w:tcPr>
          <w:p w14:paraId="0A5040C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191B8F0"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3CEB0EE0"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267" w:type="dxa"/>
            <w:tcBorders>
              <w:top w:val="nil"/>
              <w:left w:val="nil"/>
              <w:bottom w:val="single" w:sz="8" w:space="0" w:color="auto"/>
              <w:right w:val="single" w:sz="8" w:space="0" w:color="auto"/>
            </w:tcBorders>
            <w:noWrap/>
            <w:vAlign w:val="center"/>
            <w:hideMark/>
          </w:tcPr>
          <w:p w14:paraId="20A682D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noWrap/>
            <w:vAlign w:val="center"/>
          </w:tcPr>
          <w:p w14:paraId="2EF729C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440 676</w:t>
            </w:r>
          </w:p>
        </w:tc>
        <w:tc>
          <w:tcPr>
            <w:tcW w:w="1418" w:type="dxa"/>
            <w:tcBorders>
              <w:top w:val="nil"/>
              <w:left w:val="nil"/>
              <w:bottom w:val="single" w:sz="8" w:space="0" w:color="auto"/>
              <w:right w:val="single" w:sz="8" w:space="0" w:color="auto"/>
            </w:tcBorders>
            <w:noWrap/>
            <w:vAlign w:val="center"/>
          </w:tcPr>
          <w:p w14:paraId="5B0BB5A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323 054</w:t>
            </w:r>
          </w:p>
        </w:tc>
        <w:tc>
          <w:tcPr>
            <w:tcW w:w="1417" w:type="dxa"/>
            <w:tcBorders>
              <w:top w:val="nil"/>
              <w:left w:val="nil"/>
              <w:bottom w:val="single" w:sz="8" w:space="0" w:color="auto"/>
              <w:right w:val="single" w:sz="8" w:space="0" w:color="auto"/>
            </w:tcBorders>
            <w:noWrap/>
            <w:vAlign w:val="center"/>
          </w:tcPr>
          <w:p w14:paraId="6B449E2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306 378</w:t>
            </w:r>
          </w:p>
        </w:tc>
        <w:tc>
          <w:tcPr>
            <w:tcW w:w="1393" w:type="dxa"/>
            <w:tcBorders>
              <w:top w:val="nil"/>
              <w:left w:val="nil"/>
              <w:bottom w:val="single" w:sz="8" w:space="0" w:color="auto"/>
              <w:right w:val="single" w:sz="8" w:space="0" w:color="auto"/>
            </w:tcBorders>
            <w:noWrap/>
            <w:vAlign w:val="center"/>
            <w:hideMark/>
          </w:tcPr>
          <w:p w14:paraId="42736FB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0091CC2"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2E70B9E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7" w:type="dxa"/>
            <w:tcBorders>
              <w:top w:val="nil"/>
              <w:left w:val="nil"/>
              <w:bottom w:val="single" w:sz="8" w:space="0" w:color="auto"/>
              <w:right w:val="single" w:sz="8" w:space="0" w:color="auto"/>
            </w:tcBorders>
            <w:noWrap/>
            <w:vAlign w:val="center"/>
            <w:hideMark/>
          </w:tcPr>
          <w:p w14:paraId="3598061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noWrap/>
            <w:vAlign w:val="center"/>
          </w:tcPr>
          <w:p w14:paraId="242F7FC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0</w:t>
            </w:r>
          </w:p>
        </w:tc>
        <w:tc>
          <w:tcPr>
            <w:tcW w:w="1418" w:type="dxa"/>
            <w:tcBorders>
              <w:top w:val="nil"/>
              <w:left w:val="nil"/>
              <w:bottom w:val="single" w:sz="8" w:space="0" w:color="auto"/>
              <w:right w:val="single" w:sz="8" w:space="0" w:color="auto"/>
            </w:tcBorders>
            <w:noWrap/>
            <w:vAlign w:val="center"/>
          </w:tcPr>
          <w:p w14:paraId="4D457E5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7E0D686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93" w:type="dxa"/>
            <w:tcBorders>
              <w:top w:val="nil"/>
              <w:left w:val="nil"/>
              <w:bottom w:val="single" w:sz="8" w:space="0" w:color="auto"/>
              <w:right w:val="single" w:sz="8" w:space="0" w:color="auto"/>
            </w:tcBorders>
            <w:noWrap/>
            <w:vAlign w:val="center"/>
            <w:hideMark/>
          </w:tcPr>
          <w:p w14:paraId="636C626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4E96615"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08A10F8D"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Granty a transfery (300)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7" w:type="dxa"/>
            <w:tcBorders>
              <w:top w:val="nil"/>
              <w:left w:val="nil"/>
              <w:bottom w:val="single" w:sz="8" w:space="0" w:color="auto"/>
              <w:right w:val="single" w:sz="8" w:space="0" w:color="auto"/>
            </w:tcBorders>
            <w:noWrap/>
            <w:vAlign w:val="center"/>
            <w:hideMark/>
          </w:tcPr>
          <w:p w14:paraId="25DE5C3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noWrap/>
            <w:vAlign w:val="center"/>
          </w:tcPr>
          <w:p w14:paraId="5E850C4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0</w:t>
            </w:r>
          </w:p>
        </w:tc>
        <w:tc>
          <w:tcPr>
            <w:tcW w:w="1418" w:type="dxa"/>
            <w:tcBorders>
              <w:top w:val="nil"/>
              <w:left w:val="nil"/>
              <w:bottom w:val="single" w:sz="8" w:space="0" w:color="auto"/>
              <w:right w:val="single" w:sz="8" w:space="0" w:color="auto"/>
            </w:tcBorders>
            <w:noWrap/>
            <w:vAlign w:val="center"/>
          </w:tcPr>
          <w:p w14:paraId="3134557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3FBF51A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93" w:type="dxa"/>
            <w:tcBorders>
              <w:top w:val="nil"/>
              <w:left w:val="nil"/>
              <w:bottom w:val="single" w:sz="8" w:space="0" w:color="auto"/>
              <w:right w:val="single" w:sz="8" w:space="0" w:color="auto"/>
            </w:tcBorders>
            <w:noWrap/>
            <w:vAlign w:val="center"/>
            <w:hideMark/>
          </w:tcPr>
          <w:p w14:paraId="29AC5FF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E440573"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18FE230D"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267" w:type="dxa"/>
            <w:tcBorders>
              <w:top w:val="nil"/>
              <w:left w:val="nil"/>
              <w:bottom w:val="single" w:sz="8" w:space="0" w:color="auto"/>
              <w:right w:val="single" w:sz="8" w:space="0" w:color="auto"/>
            </w:tcBorders>
            <w:noWrap/>
            <w:vAlign w:val="center"/>
            <w:hideMark/>
          </w:tcPr>
          <w:p w14:paraId="6893610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noWrap/>
            <w:vAlign w:val="center"/>
          </w:tcPr>
          <w:p w14:paraId="78FDD89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0</w:t>
            </w:r>
          </w:p>
        </w:tc>
        <w:tc>
          <w:tcPr>
            <w:tcW w:w="1418" w:type="dxa"/>
            <w:tcBorders>
              <w:top w:val="nil"/>
              <w:left w:val="nil"/>
              <w:bottom w:val="single" w:sz="8" w:space="0" w:color="auto"/>
              <w:right w:val="single" w:sz="8" w:space="0" w:color="auto"/>
            </w:tcBorders>
            <w:noWrap/>
            <w:vAlign w:val="center"/>
          </w:tcPr>
          <w:p w14:paraId="3D6B795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5F1ADFF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93" w:type="dxa"/>
            <w:tcBorders>
              <w:top w:val="nil"/>
              <w:left w:val="nil"/>
              <w:bottom w:val="single" w:sz="8" w:space="0" w:color="auto"/>
              <w:right w:val="single" w:sz="8" w:space="0" w:color="auto"/>
            </w:tcBorders>
            <w:noWrap/>
            <w:vAlign w:val="center"/>
            <w:hideMark/>
          </w:tcPr>
          <w:p w14:paraId="250DD22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345FDC7"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3291DA1B"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267" w:type="dxa"/>
            <w:tcBorders>
              <w:top w:val="nil"/>
              <w:left w:val="nil"/>
              <w:bottom w:val="single" w:sz="8" w:space="0" w:color="auto"/>
              <w:right w:val="single" w:sz="8" w:space="0" w:color="auto"/>
            </w:tcBorders>
            <w:noWrap/>
            <w:vAlign w:val="center"/>
            <w:hideMark/>
          </w:tcPr>
          <w:p w14:paraId="206902A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noWrap/>
            <w:vAlign w:val="center"/>
          </w:tcPr>
          <w:p w14:paraId="7798312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0</w:t>
            </w:r>
          </w:p>
        </w:tc>
        <w:tc>
          <w:tcPr>
            <w:tcW w:w="1418" w:type="dxa"/>
            <w:tcBorders>
              <w:top w:val="nil"/>
              <w:left w:val="nil"/>
              <w:bottom w:val="single" w:sz="8" w:space="0" w:color="auto"/>
              <w:right w:val="single" w:sz="8" w:space="0" w:color="auto"/>
            </w:tcBorders>
            <w:noWrap/>
            <w:vAlign w:val="center"/>
          </w:tcPr>
          <w:p w14:paraId="24A3DAD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3D0EA92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93" w:type="dxa"/>
            <w:tcBorders>
              <w:top w:val="nil"/>
              <w:left w:val="nil"/>
              <w:bottom w:val="single" w:sz="8" w:space="0" w:color="auto"/>
              <w:right w:val="single" w:sz="8" w:space="0" w:color="auto"/>
            </w:tcBorders>
            <w:noWrap/>
            <w:vAlign w:val="center"/>
            <w:hideMark/>
          </w:tcPr>
          <w:p w14:paraId="767BB7C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BEF0A14"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2F255C7D"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príjmy štátneho rozpočtu celkom</w:t>
            </w:r>
          </w:p>
        </w:tc>
        <w:tc>
          <w:tcPr>
            <w:tcW w:w="1267" w:type="dxa"/>
            <w:tcBorders>
              <w:top w:val="nil"/>
              <w:left w:val="nil"/>
              <w:bottom w:val="single" w:sz="8" w:space="0" w:color="auto"/>
              <w:right w:val="single" w:sz="8" w:space="0" w:color="auto"/>
            </w:tcBorders>
            <w:shd w:val="clear" w:color="000000" w:fill="BFBFBF"/>
            <w:noWrap/>
            <w:vAlign w:val="center"/>
            <w:hideMark/>
          </w:tcPr>
          <w:p w14:paraId="4759ECC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shd w:val="clear" w:color="000000" w:fill="BFBFBF"/>
            <w:noWrap/>
            <w:vAlign w:val="center"/>
          </w:tcPr>
          <w:p w14:paraId="5FDE203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440 676</w:t>
            </w:r>
          </w:p>
        </w:tc>
        <w:tc>
          <w:tcPr>
            <w:tcW w:w="1418" w:type="dxa"/>
            <w:tcBorders>
              <w:top w:val="nil"/>
              <w:left w:val="nil"/>
              <w:bottom w:val="single" w:sz="8" w:space="0" w:color="auto"/>
              <w:right w:val="single" w:sz="8" w:space="0" w:color="auto"/>
            </w:tcBorders>
            <w:shd w:val="clear" w:color="000000" w:fill="BFBFBF"/>
            <w:noWrap/>
            <w:vAlign w:val="center"/>
          </w:tcPr>
          <w:p w14:paraId="6787544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323 054</w:t>
            </w:r>
          </w:p>
        </w:tc>
        <w:tc>
          <w:tcPr>
            <w:tcW w:w="1417" w:type="dxa"/>
            <w:tcBorders>
              <w:top w:val="nil"/>
              <w:left w:val="nil"/>
              <w:bottom w:val="single" w:sz="8" w:space="0" w:color="auto"/>
              <w:right w:val="single" w:sz="8" w:space="0" w:color="auto"/>
            </w:tcBorders>
            <w:shd w:val="clear" w:color="000000" w:fill="BFBFBF"/>
            <w:noWrap/>
            <w:vAlign w:val="center"/>
          </w:tcPr>
          <w:p w14:paraId="4DB8B6E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306 378</w:t>
            </w:r>
          </w:p>
        </w:tc>
        <w:tc>
          <w:tcPr>
            <w:tcW w:w="1393" w:type="dxa"/>
            <w:tcBorders>
              <w:top w:val="nil"/>
              <w:left w:val="nil"/>
              <w:bottom w:val="single" w:sz="8" w:space="0" w:color="auto"/>
              <w:right w:val="single" w:sz="8" w:space="0" w:color="auto"/>
            </w:tcBorders>
            <w:shd w:val="clear" w:color="000000" w:fill="BFBFBF"/>
            <w:vAlign w:val="center"/>
            <w:hideMark/>
          </w:tcPr>
          <w:p w14:paraId="424E9676" w14:textId="77777777" w:rsidR="00AD62CD" w:rsidRPr="00AD62CD" w:rsidRDefault="00AD62CD" w:rsidP="00AD62CD">
            <w:pPr>
              <w:spacing w:after="0" w:line="240" w:lineRule="auto"/>
              <w:ind w:firstLineChars="400" w:firstLine="803"/>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bl>
    <w:p w14:paraId="7C62799A"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68E00F11"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76AEDE68"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2D9736D1" w14:textId="77777777" w:rsidR="00AD62CD" w:rsidRPr="00AD62CD" w:rsidRDefault="00AD62CD" w:rsidP="00AD62CD">
      <w:pPr>
        <w:spacing w:after="200" w:line="276" w:lineRule="auto"/>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br w:type="page"/>
      </w:r>
    </w:p>
    <w:p w14:paraId="1D1EAD4B" w14:textId="77777777" w:rsidR="00AD62CD" w:rsidRPr="00AD62CD" w:rsidRDefault="00AD62CD" w:rsidP="00AD62CD">
      <w:pPr>
        <w:tabs>
          <w:tab w:val="num" w:pos="1080"/>
        </w:tabs>
        <w:spacing w:after="0" w:line="240" w:lineRule="auto"/>
        <w:ind w:right="-578"/>
        <w:rPr>
          <w:rFonts w:ascii="Times New Roman" w:eastAsia="Calibri" w:hAnsi="Times New Roman" w:cs="Times New Roman"/>
          <w:bCs/>
          <w:kern w:val="0"/>
          <w:lang w:eastAsia="sk-SK"/>
          <w14:ligatures w14:val="none"/>
        </w:rPr>
      </w:pPr>
    </w:p>
    <w:p w14:paraId="3CEAE705"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3-3 </w:t>
      </w:r>
    </w:p>
    <w:p w14:paraId="1AAD7D51"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4214" w:type="dxa"/>
        <w:tblCellMar>
          <w:left w:w="70" w:type="dxa"/>
          <w:right w:w="70" w:type="dxa"/>
        </w:tblCellMar>
        <w:tblLook w:val="04A0" w:firstRow="1" w:lastRow="0" w:firstColumn="1" w:lastColumn="0" w:noHBand="0" w:noVBand="1"/>
      </w:tblPr>
      <w:tblGrid>
        <w:gridCol w:w="7361"/>
        <w:gridCol w:w="1269"/>
        <w:gridCol w:w="1356"/>
        <w:gridCol w:w="1417"/>
        <w:gridCol w:w="1418"/>
        <w:gridCol w:w="1393"/>
      </w:tblGrid>
      <w:tr w:rsidR="00AD62CD" w:rsidRPr="00AD62CD" w14:paraId="57CAC1D7"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CAD3F6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obcí (v eurách)</w:t>
            </w:r>
          </w:p>
        </w:tc>
        <w:tc>
          <w:tcPr>
            <w:tcW w:w="5460" w:type="dxa"/>
            <w:gridSpan w:val="4"/>
            <w:tcBorders>
              <w:top w:val="single" w:sz="8" w:space="0" w:color="auto"/>
              <w:left w:val="nil"/>
              <w:bottom w:val="single" w:sz="8" w:space="0" w:color="auto"/>
              <w:right w:val="single" w:sz="8" w:space="0" w:color="000000"/>
            </w:tcBorders>
            <w:shd w:val="clear" w:color="000000" w:fill="BFBFBF"/>
            <w:vAlign w:val="center"/>
            <w:hideMark/>
          </w:tcPr>
          <w:p w14:paraId="6D65337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obcí</w:t>
            </w:r>
          </w:p>
        </w:tc>
        <w:tc>
          <w:tcPr>
            <w:tcW w:w="1393" w:type="dxa"/>
            <w:tcBorders>
              <w:top w:val="single" w:sz="8" w:space="0" w:color="auto"/>
              <w:left w:val="nil"/>
              <w:bottom w:val="nil"/>
              <w:right w:val="single" w:sz="8" w:space="0" w:color="auto"/>
            </w:tcBorders>
            <w:shd w:val="clear" w:color="000000" w:fill="BFBFBF"/>
            <w:noWrap/>
            <w:vAlign w:val="center"/>
            <w:hideMark/>
          </w:tcPr>
          <w:p w14:paraId="5E755F0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193AB063"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187B477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69" w:type="dxa"/>
            <w:tcBorders>
              <w:top w:val="nil"/>
              <w:left w:val="nil"/>
              <w:bottom w:val="single" w:sz="8" w:space="0" w:color="auto"/>
              <w:right w:val="single" w:sz="8" w:space="0" w:color="auto"/>
            </w:tcBorders>
            <w:shd w:val="clear" w:color="000000" w:fill="BFBFBF"/>
            <w:vAlign w:val="center"/>
            <w:hideMark/>
          </w:tcPr>
          <w:p w14:paraId="4C70C14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56" w:type="dxa"/>
            <w:tcBorders>
              <w:top w:val="nil"/>
              <w:left w:val="nil"/>
              <w:bottom w:val="single" w:sz="8" w:space="0" w:color="auto"/>
              <w:right w:val="single" w:sz="8" w:space="0" w:color="auto"/>
            </w:tcBorders>
            <w:shd w:val="clear" w:color="000000" w:fill="BFBFBF"/>
            <w:vAlign w:val="center"/>
            <w:hideMark/>
          </w:tcPr>
          <w:p w14:paraId="1CB4552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17" w:type="dxa"/>
            <w:tcBorders>
              <w:top w:val="nil"/>
              <w:left w:val="nil"/>
              <w:bottom w:val="single" w:sz="8" w:space="0" w:color="auto"/>
              <w:right w:val="single" w:sz="8" w:space="0" w:color="auto"/>
            </w:tcBorders>
            <w:shd w:val="clear" w:color="000000" w:fill="BFBFBF"/>
            <w:vAlign w:val="center"/>
            <w:hideMark/>
          </w:tcPr>
          <w:p w14:paraId="4D32A8A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18" w:type="dxa"/>
            <w:tcBorders>
              <w:top w:val="nil"/>
              <w:left w:val="nil"/>
              <w:bottom w:val="single" w:sz="8" w:space="0" w:color="auto"/>
              <w:right w:val="single" w:sz="8" w:space="0" w:color="auto"/>
            </w:tcBorders>
            <w:shd w:val="clear" w:color="000000" w:fill="BFBFBF"/>
            <w:vAlign w:val="center"/>
            <w:hideMark/>
          </w:tcPr>
          <w:p w14:paraId="2B7C19E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93" w:type="dxa"/>
            <w:tcBorders>
              <w:top w:val="nil"/>
              <w:left w:val="nil"/>
              <w:bottom w:val="single" w:sz="8" w:space="0" w:color="auto"/>
              <w:right w:val="single" w:sz="8" w:space="0" w:color="auto"/>
            </w:tcBorders>
            <w:shd w:val="clear" w:color="000000" w:fill="BFBFBF"/>
            <w:noWrap/>
            <w:vAlign w:val="center"/>
            <w:hideMark/>
          </w:tcPr>
          <w:p w14:paraId="52FB997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r w:rsidR="00AD62CD" w:rsidRPr="00AD62CD" w14:paraId="02D09C9F"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7B8D971C"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9" w:type="dxa"/>
            <w:tcBorders>
              <w:top w:val="nil"/>
              <w:left w:val="nil"/>
              <w:bottom w:val="single" w:sz="8" w:space="0" w:color="auto"/>
              <w:right w:val="single" w:sz="8" w:space="0" w:color="auto"/>
            </w:tcBorders>
            <w:vAlign w:val="center"/>
            <w:hideMark/>
          </w:tcPr>
          <w:p w14:paraId="01EB028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vAlign w:val="center"/>
          </w:tcPr>
          <w:p w14:paraId="2FCC207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685 912</w:t>
            </w:r>
          </w:p>
        </w:tc>
        <w:tc>
          <w:tcPr>
            <w:tcW w:w="1417" w:type="dxa"/>
            <w:tcBorders>
              <w:top w:val="nil"/>
              <w:left w:val="nil"/>
              <w:bottom w:val="single" w:sz="8" w:space="0" w:color="auto"/>
              <w:right w:val="single" w:sz="8" w:space="0" w:color="auto"/>
            </w:tcBorders>
            <w:vAlign w:val="center"/>
          </w:tcPr>
          <w:p w14:paraId="4505B2D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967 858</w:t>
            </w:r>
          </w:p>
        </w:tc>
        <w:tc>
          <w:tcPr>
            <w:tcW w:w="1418" w:type="dxa"/>
            <w:tcBorders>
              <w:top w:val="nil"/>
              <w:left w:val="nil"/>
              <w:bottom w:val="single" w:sz="8" w:space="0" w:color="auto"/>
              <w:right w:val="single" w:sz="8" w:space="0" w:color="auto"/>
            </w:tcBorders>
            <w:vAlign w:val="center"/>
          </w:tcPr>
          <w:p w14:paraId="06AAFBD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1 040 045</w:t>
            </w:r>
          </w:p>
        </w:tc>
        <w:tc>
          <w:tcPr>
            <w:tcW w:w="1393" w:type="dxa"/>
            <w:tcBorders>
              <w:top w:val="nil"/>
              <w:left w:val="nil"/>
              <w:bottom w:val="single" w:sz="8" w:space="0" w:color="auto"/>
              <w:right w:val="single" w:sz="8" w:space="0" w:color="auto"/>
            </w:tcBorders>
            <w:noWrap/>
            <w:vAlign w:val="center"/>
            <w:hideMark/>
          </w:tcPr>
          <w:p w14:paraId="688CF64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051AAEC"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1815344A"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269" w:type="dxa"/>
            <w:tcBorders>
              <w:top w:val="nil"/>
              <w:left w:val="nil"/>
              <w:bottom w:val="single" w:sz="8" w:space="0" w:color="auto"/>
              <w:right w:val="single" w:sz="8" w:space="0" w:color="auto"/>
            </w:tcBorders>
            <w:noWrap/>
            <w:vAlign w:val="center"/>
            <w:hideMark/>
          </w:tcPr>
          <w:p w14:paraId="0083BB0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noWrap/>
            <w:vAlign w:val="center"/>
          </w:tcPr>
          <w:p w14:paraId="58AAB23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685 912</w:t>
            </w:r>
          </w:p>
        </w:tc>
        <w:tc>
          <w:tcPr>
            <w:tcW w:w="1417" w:type="dxa"/>
            <w:tcBorders>
              <w:top w:val="nil"/>
              <w:left w:val="nil"/>
              <w:bottom w:val="single" w:sz="8" w:space="0" w:color="auto"/>
              <w:right w:val="single" w:sz="8" w:space="0" w:color="auto"/>
            </w:tcBorders>
            <w:noWrap/>
            <w:vAlign w:val="center"/>
          </w:tcPr>
          <w:p w14:paraId="2784BEE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967 858</w:t>
            </w:r>
          </w:p>
        </w:tc>
        <w:tc>
          <w:tcPr>
            <w:tcW w:w="1418" w:type="dxa"/>
            <w:tcBorders>
              <w:top w:val="nil"/>
              <w:left w:val="nil"/>
              <w:bottom w:val="single" w:sz="8" w:space="0" w:color="auto"/>
              <w:right w:val="single" w:sz="8" w:space="0" w:color="auto"/>
            </w:tcBorders>
            <w:noWrap/>
            <w:vAlign w:val="center"/>
          </w:tcPr>
          <w:p w14:paraId="2A9D7D9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1 040 045</w:t>
            </w:r>
          </w:p>
        </w:tc>
        <w:tc>
          <w:tcPr>
            <w:tcW w:w="1393" w:type="dxa"/>
            <w:tcBorders>
              <w:top w:val="nil"/>
              <w:left w:val="nil"/>
              <w:bottom w:val="single" w:sz="8" w:space="0" w:color="auto"/>
              <w:right w:val="single" w:sz="8" w:space="0" w:color="auto"/>
            </w:tcBorders>
            <w:noWrap/>
            <w:vAlign w:val="center"/>
            <w:hideMark/>
          </w:tcPr>
          <w:p w14:paraId="76E6D3A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2568B9D"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2816D4B6"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9" w:type="dxa"/>
            <w:tcBorders>
              <w:top w:val="nil"/>
              <w:left w:val="nil"/>
              <w:bottom w:val="single" w:sz="8" w:space="0" w:color="auto"/>
              <w:right w:val="single" w:sz="8" w:space="0" w:color="auto"/>
            </w:tcBorders>
            <w:noWrap/>
            <w:vAlign w:val="center"/>
            <w:hideMark/>
          </w:tcPr>
          <w:p w14:paraId="0EEB0DB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noWrap/>
            <w:vAlign w:val="center"/>
          </w:tcPr>
          <w:p w14:paraId="6A79861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5319CFB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8" w:type="dxa"/>
            <w:tcBorders>
              <w:top w:val="nil"/>
              <w:left w:val="nil"/>
              <w:bottom w:val="single" w:sz="8" w:space="0" w:color="auto"/>
              <w:right w:val="single" w:sz="8" w:space="0" w:color="auto"/>
            </w:tcBorders>
            <w:noWrap/>
            <w:vAlign w:val="center"/>
          </w:tcPr>
          <w:p w14:paraId="20424B2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93" w:type="dxa"/>
            <w:tcBorders>
              <w:top w:val="nil"/>
              <w:left w:val="nil"/>
              <w:bottom w:val="single" w:sz="8" w:space="0" w:color="auto"/>
              <w:right w:val="single" w:sz="8" w:space="0" w:color="auto"/>
            </w:tcBorders>
            <w:noWrap/>
            <w:vAlign w:val="center"/>
            <w:hideMark/>
          </w:tcPr>
          <w:p w14:paraId="2A4A602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6A0834C"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4D36AD4C"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Granty a transfery (300)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9" w:type="dxa"/>
            <w:tcBorders>
              <w:top w:val="nil"/>
              <w:left w:val="nil"/>
              <w:bottom w:val="single" w:sz="8" w:space="0" w:color="auto"/>
              <w:right w:val="single" w:sz="8" w:space="0" w:color="auto"/>
            </w:tcBorders>
            <w:noWrap/>
            <w:vAlign w:val="center"/>
            <w:hideMark/>
          </w:tcPr>
          <w:p w14:paraId="45A31D5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noWrap/>
            <w:vAlign w:val="center"/>
          </w:tcPr>
          <w:p w14:paraId="1DA9968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0E019A6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8" w:type="dxa"/>
            <w:tcBorders>
              <w:top w:val="nil"/>
              <w:left w:val="nil"/>
              <w:bottom w:val="single" w:sz="8" w:space="0" w:color="auto"/>
              <w:right w:val="single" w:sz="8" w:space="0" w:color="auto"/>
            </w:tcBorders>
            <w:noWrap/>
            <w:vAlign w:val="center"/>
          </w:tcPr>
          <w:p w14:paraId="6E8D52E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93" w:type="dxa"/>
            <w:tcBorders>
              <w:top w:val="nil"/>
              <w:left w:val="nil"/>
              <w:bottom w:val="single" w:sz="8" w:space="0" w:color="auto"/>
              <w:right w:val="single" w:sz="8" w:space="0" w:color="auto"/>
            </w:tcBorders>
            <w:noWrap/>
            <w:vAlign w:val="center"/>
            <w:hideMark/>
          </w:tcPr>
          <w:p w14:paraId="3EB37BC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D09340F"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56D9B3B4"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269" w:type="dxa"/>
            <w:tcBorders>
              <w:top w:val="nil"/>
              <w:left w:val="nil"/>
              <w:bottom w:val="single" w:sz="8" w:space="0" w:color="auto"/>
              <w:right w:val="single" w:sz="8" w:space="0" w:color="auto"/>
            </w:tcBorders>
            <w:noWrap/>
            <w:vAlign w:val="center"/>
            <w:hideMark/>
          </w:tcPr>
          <w:p w14:paraId="78CFE9F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noWrap/>
            <w:vAlign w:val="center"/>
          </w:tcPr>
          <w:p w14:paraId="5B4F7FF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13EC513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8" w:type="dxa"/>
            <w:tcBorders>
              <w:top w:val="nil"/>
              <w:left w:val="nil"/>
              <w:bottom w:val="single" w:sz="8" w:space="0" w:color="auto"/>
              <w:right w:val="single" w:sz="8" w:space="0" w:color="auto"/>
            </w:tcBorders>
            <w:noWrap/>
            <w:vAlign w:val="center"/>
          </w:tcPr>
          <w:p w14:paraId="6BF5615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93" w:type="dxa"/>
            <w:tcBorders>
              <w:top w:val="nil"/>
              <w:left w:val="nil"/>
              <w:bottom w:val="single" w:sz="8" w:space="0" w:color="auto"/>
              <w:right w:val="single" w:sz="8" w:space="0" w:color="auto"/>
            </w:tcBorders>
            <w:noWrap/>
            <w:vAlign w:val="center"/>
            <w:hideMark/>
          </w:tcPr>
          <w:p w14:paraId="3FA3E15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561D7AD"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351EC851"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269" w:type="dxa"/>
            <w:tcBorders>
              <w:top w:val="nil"/>
              <w:left w:val="nil"/>
              <w:bottom w:val="single" w:sz="8" w:space="0" w:color="auto"/>
              <w:right w:val="single" w:sz="8" w:space="0" w:color="auto"/>
            </w:tcBorders>
            <w:noWrap/>
            <w:vAlign w:val="center"/>
            <w:hideMark/>
          </w:tcPr>
          <w:p w14:paraId="78F78CF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noWrap/>
            <w:vAlign w:val="center"/>
          </w:tcPr>
          <w:p w14:paraId="4BE89D4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35E67ED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8" w:type="dxa"/>
            <w:tcBorders>
              <w:top w:val="nil"/>
              <w:left w:val="nil"/>
              <w:bottom w:val="single" w:sz="8" w:space="0" w:color="auto"/>
              <w:right w:val="single" w:sz="8" w:space="0" w:color="auto"/>
            </w:tcBorders>
            <w:noWrap/>
            <w:vAlign w:val="center"/>
          </w:tcPr>
          <w:p w14:paraId="669CD3F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93" w:type="dxa"/>
            <w:tcBorders>
              <w:top w:val="nil"/>
              <w:left w:val="nil"/>
              <w:bottom w:val="single" w:sz="8" w:space="0" w:color="auto"/>
              <w:right w:val="single" w:sz="8" w:space="0" w:color="auto"/>
            </w:tcBorders>
            <w:noWrap/>
            <w:vAlign w:val="center"/>
            <w:hideMark/>
          </w:tcPr>
          <w:p w14:paraId="297CD77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B5020A5"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059BE89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príjmy obcí celkom</w:t>
            </w:r>
          </w:p>
        </w:tc>
        <w:tc>
          <w:tcPr>
            <w:tcW w:w="1269" w:type="dxa"/>
            <w:tcBorders>
              <w:top w:val="nil"/>
              <w:left w:val="nil"/>
              <w:bottom w:val="single" w:sz="8" w:space="0" w:color="auto"/>
              <w:right w:val="single" w:sz="8" w:space="0" w:color="auto"/>
            </w:tcBorders>
            <w:shd w:val="clear" w:color="000000" w:fill="BFBFBF"/>
            <w:vAlign w:val="center"/>
            <w:hideMark/>
          </w:tcPr>
          <w:p w14:paraId="493662B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000000" w:fill="BFBFBF"/>
            <w:vAlign w:val="center"/>
          </w:tcPr>
          <w:p w14:paraId="4675BE0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685 912</w:t>
            </w:r>
          </w:p>
        </w:tc>
        <w:tc>
          <w:tcPr>
            <w:tcW w:w="1417" w:type="dxa"/>
            <w:tcBorders>
              <w:top w:val="nil"/>
              <w:left w:val="nil"/>
              <w:bottom w:val="single" w:sz="8" w:space="0" w:color="auto"/>
              <w:right w:val="single" w:sz="8" w:space="0" w:color="auto"/>
            </w:tcBorders>
            <w:shd w:val="clear" w:color="000000" w:fill="BFBFBF"/>
            <w:vAlign w:val="center"/>
          </w:tcPr>
          <w:p w14:paraId="2E06F6B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967 858</w:t>
            </w:r>
          </w:p>
        </w:tc>
        <w:tc>
          <w:tcPr>
            <w:tcW w:w="1418" w:type="dxa"/>
            <w:tcBorders>
              <w:top w:val="nil"/>
              <w:left w:val="nil"/>
              <w:bottom w:val="single" w:sz="8" w:space="0" w:color="auto"/>
              <w:right w:val="single" w:sz="8" w:space="0" w:color="auto"/>
            </w:tcBorders>
            <w:shd w:val="clear" w:color="000000" w:fill="BFBFBF"/>
            <w:vAlign w:val="center"/>
          </w:tcPr>
          <w:p w14:paraId="5C32C55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1 040 045</w:t>
            </w:r>
          </w:p>
        </w:tc>
        <w:tc>
          <w:tcPr>
            <w:tcW w:w="1393" w:type="dxa"/>
            <w:tcBorders>
              <w:top w:val="nil"/>
              <w:left w:val="nil"/>
              <w:bottom w:val="single" w:sz="8" w:space="0" w:color="auto"/>
              <w:right w:val="single" w:sz="8" w:space="0" w:color="auto"/>
            </w:tcBorders>
            <w:shd w:val="clear" w:color="000000" w:fill="BFBFBF"/>
            <w:vAlign w:val="center"/>
            <w:hideMark/>
          </w:tcPr>
          <w:p w14:paraId="22C93056" w14:textId="77777777" w:rsidR="00AD62CD" w:rsidRPr="00AD62CD" w:rsidRDefault="00AD62CD" w:rsidP="00AD62CD">
            <w:pPr>
              <w:spacing w:after="0" w:line="240" w:lineRule="auto"/>
              <w:ind w:firstLineChars="400" w:firstLine="803"/>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bl>
    <w:p w14:paraId="6C0125C4"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0312C984"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02C9836E"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07C3C877"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 </w:t>
      </w:r>
    </w:p>
    <w:p w14:paraId="7CEE3BDD" w14:textId="77777777" w:rsidR="00AD62CD" w:rsidRPr="00AD62CD" w:rsidRDefault="00AD62CD" w:rsidP="00AD62CD">
      <w:pPr>
        <w:spacing w:after="200" w:line="276" w:lineRule="auto"/>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br w:type="page"/>
      </w:r>
    </w:p>
    <w:p w14:paraId="5A7B802B"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3-4 </w:t>
      </w:r>
    </w:p>
    <w:p w14:paraId="4EF0D533"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4213" w:type="dxa"/>
        <w:tblCellMar>
          <w:left w:w="70" w:type="dxa"/>
          <w:right w:w="70" w:type="dxa"/>
        </w:tblCellMar>
        <w:tblLook w:val="04A0" w:firstRow="1" w:lastRow="0" w:firstColumn="1" w:lastColumn="0" w:noHBand="0" w:noVBand="1"/>
      </w:tblPr>
      <w:tblGrid>
        <w:gridCol w:w="7361"/>
        <w:gridCol w:w="1269"/>
        <w:gridCol w:w="1356"/>
        <w:gridCol w:w="1417"/>
        <w:gridCol w:w="1417"/>
        <w:gridCol w:w="1393"/>
      </w:tblGrid>
      <w:tr w:rsidR="00AD62CD" w:rsidRPr="00AD62CD" w14:paraId="0C344202"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82FEEB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vyšších územných celkov (v eurách)</w:t>
            </w:r>
          </w:p>
        </w:tc>
        <w:tc>
          <w:tcPr>
            <w:tcW w:w="5459" w:type="dxa"/>
            <w:gridSpan w:val="4"/>
            <w:tcBorders>
              <w:top w:val="single" w:sz="8" w:space="0" w:color="auto"/>
              <w:left w:val="nil"/>
              <w:bottom w:val="single" w:sz="8" w:space="0" w:color="auto"/>
              <w:right w:val="single" w:sz="8" w:space="0" w:color="000000"/>
            </w:tcBorders>
            <w:shd w:val="clear" w:color="000000" w:fill="BFBFBF"/>
            <w:vAlign w:val="center"/>
            <w:hideMark/>
          </w:tcPr>
          <w:p w14:paraId="31E6304F"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vyšších územných celkov</w:t>
            </w:r>
          </w:p>
        </w:tc>
        <w:tc>
          <w:tcPr>
            <w:tcW w:w="1393" w:type="dxa"/>
            <w:tcBorders>
              <w:top w:val="single" w:sz="8" w:space="0" w:color="auto"/>
              <w:left w:val="nil"/>
              <w:bottom w:val="nil"/>
              <w:right w:val="single" w:sz="8" w:space="0" w:color="auto"/>
            </w:tcBorders>
            <w:shd w:val="clear" w:color="000000" w:fill="BFBFBF"/>
            <w:noWrap/>
            <w:vAlign w:val="center"/>
            <w:hideMark/>
          </w:tcPr>
          <w:p w14:paraId="66D81F4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5F3A68A6"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4BD4F31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69" w:type="dxa"/>
            <w:tcBorders>
              <w:top w:val="nil"/>
              <w:left w:val="nil"/>
              <w:bottom w:val="single" w:sz="8" w:space="0" w:color="auto"/>
              <w:right w:val="single" w:sz="8" w:space="0" w:color="auto"/>
            </w:tcBorders>
            <w:shd w:val="clear" w:color="000000" w:fill="BFBFBF"/>
            <w:vAlign w:val="center"/>
            <w:hideMark/>
          </w:tcPr>
          <w:p w14:paraId="437E5AD9"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56" w:type="dxa"/>
            <w:tcBorders>
              <w:top w:val="nil"/>
              <w:left w:val="nil"/>
              <w:bottom w:val="single" w:sz="8" w:space="0" w:color="auto"/>
              <w:right w:val="single" w:sz="8" w:space="0" w:color="auto"/>
            </w:tcBorders>
            <w:shd w:val="clear" w:color="000000" w:fill="BFBFBF"/>
            <w:vAlign w:val="center"/>
            <w:hideMark/>
          </w:tcPr>
          <w:p w14:paraId="6170181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17" w:type="dxa"/>
            <w:tcBorders>
              <w:top w:val="nil"/>
              <w:left w:val="nil"/>
              <w:bottom w:val="single" w:sz="8" w:space="0" w:color="auto"/>
              <w:right w:val="single" w:sz="8" w:space="0" w:color="auto"/>
            </w:tcBorders>
            <w:shd w:val="clear" w:color="000000" w:fill="BFBFBF"/>
            <w:vAlign w:val="center"/>
            <w:hideMark/>
          </w:tcPr>
          <w:p w14:paraId="2458FB5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17" w:type="dxa"/>
            <w:tcBorders>
              <w:top w:val="nil"/>
              <w:left w:val="nil"/>
              <w:bottom w:val="single" w:sz="8" w:space="0" w:color="auto"/>
              <w:right w:val="single" w:sz="8" w:space="0" w:color="auto"/>
            </w:tcBorders>
            <w:shd w:val="clear" w:color="000000" w:fill="BFBFBF"/>
            <w:vAlign w:val="center"/>
            <w:hideMark/>
          </w:tcPr>
          <w:p w14:paraId="04AF931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93" w:type="dxa"/>
            <w:tcBorders>
              <w:top w:val="nil"/>
              <w:left w:val="nil"/>
              <w:bottom w:val="single" w:sz="8" w:space="0" w:color="auto"/>
              <w:right w:val="single" w:sz="8" w:space="0" w:color="auto"/>
            </w:tcBorders>
            <w:shd w:val="clear" w:color="000000" w:fill="BFBFBF"/>
            <w:noWrap/>
            <w:vAlign w:val="center"/>
            <w:hideMark/>
          </w:tcPr>
          <w:p w14:paraId="5EAAF30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r w:rsidR="00AD62CD" w:rsidRPr="00AD62CD" w14:paraId="6E26729E"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5ECD93F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9" w:type="dxa"/>
            <w:tcBorders>
              <w:top w:val="nil"/>
              <w:left w:val="nil"/>
              <w:bottom w:val="single" w:sz="8" w:space="0" w:color="auto"/>
              <w:right w:val="single" w:sz="8" w:space="0" w:color="auto"/>
            </w:tcBorders>
            <w:vAlign w:val="center"/>
            <w:hideMark/>
          </w:tcPr>
          <w:p w14:paraId="0FB2B85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56" w:type="dxa"/>
            <w:tcBorders>
              <w:top w:val="nil"/>
              <w:left w:val="nil"/>
              <w:bottom w:val="single" w:sz="8" w:space="0" w:color="auto"/>
              <w:right w:val="single" w:sz="8" w:space="0" w:color="auto"/>
            </w:tcBorders>
            <w:vAlign w:val="center"/>
          </w:tcPr>
          <w:p w14:paraId="56567EE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367 231</w:t>
            </w:r>
          </w:p>
        </w:tc>
        <w:tc>
          <w:tcPr>
            <w:tcW w:w="1417" w:type="dxa"/>
            <w:tcBorders>
              <w:top w:val="nil"/>
              <w:left w:val="nil"/>
              <w:bottom w:val="single" w:sz="8" w:space="0" w:color="auto"/>
              <w:right w:val="single" w:sz="8" w:space="0" w:color="auto"/>
            </w:tcBorders>
            <w:vAlign w:val="center"/>
          </w:tcPr>
          <w:p w14:paraId="4F4F3E95" w14:textId="77777777" w:rsidR="00AD62CD" w:rsidRPr="00AD62CD" w:rsidRDefault="00AD62CD" w:rsidP="00AD62CD">
            <w:pPr>
              <w:spacing w:after="0" w:line="240" w:lineRule="auto"/>
              <w:ind w:left="1"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518 181</w:t>
            </w:r>
          </w:p>
        </w:tc>
        <w:tc>
          <w:tcPr>
            <w:tcW w:w="1417" w:type="dxa"/>
            <w:tcBorders>
              <w:top w:val="nil"/>
              <w:left w:val="nil"/>
              <w:bottom w:val="single" w:sz="8" w:space="0" w:color="auto"/>
              <w:right w:val="single" w:sz="8" w:space="0" w:color="auto"/>
            </w:tcBorders>
            <w:vAlign w:val="center"/>
          </w:tcPr>
          <w:p w14:paraId="2E20ABB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556 830</w:t>
            </w:r>
          </w:p>
        </w:tc>
        <w:tc>
          <w:tcPr>
            <w:tcW w:w="1393" w:type="dxa"/>
            <w:tcBorders>
              <w:top w:val="nil"/>
              <w:left w:val="nil"/>
              <w:bottom w:val="single" w:sz="8" w:space="0" w:color="auto"/>
              <w:right w:val="single" w:sz="8" w:space="0" w:color="auto"/>
            </w:tcBorders>
            <w:noWrap/>
            <w:vAlign w:val="center"/>
            <w:hideMark/>
          </w:tcPr>
          <w:p w14:paraId="3668D0F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4F41E4A"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54080924"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269" w:type="dxa"/>
            <w:tcBorders>
              <w:top w:val="nil"/>
              <w:left w:val="nil"/>
              <w:bottom w:val="single" w:sz="8" w:space="0" w:color="auto"/>
              <w:right w:val="single" w:sz="8" w:space="0" w:color="auto"/>
            </w:tcBorders>
            <w:noWrap/>
            <w:vAlign w:val="center"/>
            <w:hideMark/>
          </w:tcPr>
          <w:p w14:paraId="535379B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356" w:type="dxa"/>
            <w:tcBorders>
              <w:top w:val="nil"/>
              <w:left w:val="nil"/>
              <w:bottom w:val="single" w:sz="8" w:space="0" w:color="auto"/>
              <w:right w:val="single" w:sz="8" w:space="0" w:color="auto"/>
            </w:tcBorders>
            <w:noWrap/>
            <w:vAlign w:val="center"/>
          </w:tcPr>
          <w:p w14:paraId="4471B1A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367 231</w:t>
            </w:r>
          </w:p>
        </w:tc>
        <w:tc>
          <w:tcPr>
            <w:tcW w:w="1417" w:type="dxa"/>
            <w:tcBorders>
              <w:top w:val="nil"/>
              <w:left w:val="nil"/>
              <w:bottom w:val="single" w:sz="8" w:space="0" w:color="auto"/>
              <w:right w:val="single" w:sz="8" w:space="0" w:color="auto"/>
            </w:tcBorders>
            <w:noWrap/>
            <w:vAlign w:val="center"/>
          </w:tcPr>
          <w:p w14:paraId="58B85E4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518 181</w:t>
            </w:r>
          </w:p>
        </w:tc>
        <w:tc>
          <w:tcPr>
            <w:tcW w:w="1417" w:type="dxa"/>
            <w:tcBorders>
              <w:top w:val="nil"/>
              <w:left w:val="nil"/>
              <w:bottom w:val="single" w:sz="8" w:space="0" w:color="auto"/>
              <w:right w:val="single" w:sz="8" w:space="0" w:color="auto"/>
            </w:tcBorders>
            <w:noWrap/>
            <w:vAlign w:val="center"/>
          </w:tcPr>
          <w:p w14:paraId="3404CB9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556 830</w:t>
            </w:r>
          </w:p>
        </w:tc>
        <w:tc>
          <w:tcPr>
            <w:tcW w:w="1393" w:type="dxa"/>
            <w:tcBorders>
              <w:top w:val="nil"/>
              <w:left w:val="nil"/>
              <w:bottom w:val="single" w:sz="8" w:space="0" w:color="auto"/>
              <w:right w:val="single" w:sz="8" w:space="0" w:color="auto"/>
            </w:tcBorders>
            <w:noWrap/>
            <w:vAlign w:val="center"/>
            <w:hideMark/>
          </w:tcPr>
          <w:p w14:paraId="3704245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D2DAC2B"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143AC531"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9" w:type="dxa"/>
            <w:tcBorders>
              <w:top w:val="nil"/>
              <w:left w:val="nil"/>
              <w:bottom w:val="single" w:sz="8" w:space="0" w:color="auto"/>
              <w:right w:val="single" w:sz="8" w:space="0" w:color="auto"/>
            </w:tcBorders>
            <w:noWrap/>
            <w:vAlign w:val="center"/>
            <w:hideMark/>
          </w:tcPr>
          <w:p w14:paraId="2DABA72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noWrap/>
            <w:vAlign w:val="center"/>
          </w:tcPr>
          <w:p w14:paraId="2D37EEB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55CDA5C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4D5D2E6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93" w:type="dxa"/>
            <w:tcBorders>
              <w:top w:val="nil"/>
              <w:left w:val="nil"/>
              <w:bottom w:val="single" w:sz="8" w:space="0" w:color="auto"/>
              <w:right w:val="single" w:sz="8" w:space="0" w:color="auto"/>
            </w:tcBorders>
            <w:noWrap/>
            <w:vAlign w:val="center"/>
            <w:hideMark/>
          </w:tcPr>
          <w:p w14:paraId="0AC9722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FE43D6F"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0C32D194"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Granty a transfery (300)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9" w:type="dxa"/>
            <w:tcBorders>
              <w:top w:val="nil"/>
              <w:left w:val="nil"/>
              <w:bottom w:val="single" w:sz="8" w:space="0" w:color="auto"/>
              <w:right w:val="single" w:sz="8" w:space="0" w:color="auto"/>
            </w:tcBorders>
            <w:noWrap/>
            <w:vAlign w:val="center"/>
            <w:hideMark/>
          </w:tcPr>
          <w:p w14:paraId="149EDA3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noWrap/>
            <w:vAlign w:val="center"/>
          </w:tcPr>
          <w:p w14:paraId="2D26DD8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470C700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4333D34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93" w:type="dxa"/>
            <w:tcBorders>
              <w:top w:val="nil"/>
              <w:left w:val="nil"/>
              <w:bottom w:val="single" w:sz="8" w:space="0" w:color="auto"/>
              <w:right w:val="single" w:sz="8" w:space="0" w:color="auto"/>
            </w:tcBorders>
            <w:noWrap/>
            <w:vAlign w:val="center"/>
            <w:hideMark/>
          </w:tcPr>
          <w:p w14:paraId="363C3C5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6CAC909"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3215A504"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269" w:type="dxa"/>
            <w:tcBorders>
              <w:top w:val="nil"/>
              <w:left w:val="nil"/>
              <w:bottom w:val="single" w:sz="8" w:space="0" w:color="auto"/>
              <w:right w:val="single" w:sz="8" w:space="0" w:color="auto"/>
            </w:tcBorders>
            <w:noWrap/>
            <w:vAlign w:val="center"/>
            <w:hideMark/>
          </w:tcPr>
          <w:p w14:paraId="03684E3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noWrap/>
            <w:vAlign w:val="center"/>
          </w:tcPr>
          <w:p w14:paraId="538C691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4CA7A50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56725D3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93" w:type="dxa"/>
            <w:tcBorders>
              <w:top w:val="nil"/>
              <w:left w:val="nil"/>
              <w:bottom w:val="single" w:sz="8" w:space="0" w:color="auto"/>
              <w:right w:val="single" w:sz="8" w:space="0" w:color="auto"/>
            </w:tcBorders>
            <w:noWrap/>
            <w:vAlign w:val="center"/>
            <w:hideMark/>
          </w:tcPr>
          <w:p w14:paraId="7C702F1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135C01A"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5C8F5614"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269" w:type="dxa"/>
            <w:tcBorders>
              <w:top w:val="nil"/>
              <w:left w:val="nil"/>
              <w:bottom w:val="single" w:sz="8" w:space="0" w:color="auto"/>
              <w:right w:val="single" w:sz="8" w:space="0" w:color="auto"/>
            </w:tcBorders>
            <w:noWrap/>
            <w:vAlign w:val="center"/>
            <w:hideMark/>
          </w:tcPr>
          <w:p w14:paraId="01E6283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noWrap/>
            <w:vAlign w:val="center"/>
          </w:tcPr>
          <w:p w14:paraId="75A09AF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2D66EF2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7" w:type="dxa"/>
            <w:tcBorders>
              <w:top w:val="nil"/>
              <w:left w:val="nil"/>
              <w:bottom w:val="single" w:sz="8" w:space="0" w:color="auto"/>
              <w:right w:val="single" w:sz="8" w:space="0" w:color="auto"/>
            </w:tcBorders>
            <w:noWrap/>
            <w:vAlign w:val="center"/>
          </w:tcPr>
          <w:p w14:paraId="60F14C5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93" w:type="dxa"/>
            <w:tcBorders>
              <w:top w:val="nil"/>
              <w:left w:val="nil"/>
              <w:bottom w:val="single" w:sz="8" w:space="0" w:color="auto"/>
              <w:right w:val="single" w:sz="8" w:space="0" w:color="auto"/>
            </w:tcBorders>
            <w:noWrap/>
            <w:vAlign w:val="center"/>
            <w:hideMark/>
          </w:tcPr>
          <w:p w14:paraId="240B512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0839F50"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66178B59"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príjmy vyšších územných celkov celkom</w:t>
            </w:r>
          </w:p>
        </w:tc>
        <w:tc>
          <w:tcPr>
            <w:tcW w:w="1269" w:type="dxa"/>
            <w:tcBorders>
              <w:top w:val="nil"/>
              <w:left w:val="nil"/>
              <w:bottom w:val="single" w:sz="8" w:space="0" w:color="auto"/>
              <w:right w:val="single" w:sz="8" w:space="0" w:color="auto"/>
            </w:tcBorders>
            <w:shd w:val="clear" w:color="000000" w:fill="BFBFBF"/>
            <w:vAlign w:val="center"/>
            <w:hideMark/>
          </w:tcPr>
          <w:p w14:paraId="3049B05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000000" w:fill="BFBFBF"/>
            <w:vAlign w:val="center"/>
          </w:tcPr>
          <w:p w14:paraId="15FFFA9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367 231</w:t>
            </w:r>
          </w:p>
        </w:tc>
        <w:tc>
          <w:tcPr>
            <w:tcW w:w="1417" w:type="dxa"/>
            <w:tcBorders>
              <w:top w:val="nil"/>
              <w:left w:val="nil"/>
              <w:bottom w:val="single" w:sz="8" w:space="0" w:color="auto"/>
              <w:right w:val="single" w:sz="8" w:space="0" w:color="auto"/>
            </w:tcBorders>
            <w:shd w:val="clear" w:color="000000" w:fill="BFBFBF"/>
            <w:vAlign w:val="center"/>
          </w:tcPr>
          <w:p w14:paraId="183D30A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518 181</w:t>
            </w:r>
          </w:p>
        </w:tc>
        <w:tc>
          <w:tcPr>
            <w:tcW w:w="1417" w:type="dxa"/>
            <w:tcBorders>
              <w:top w:val="nil"/>
              <w:left w:val="nil"/>
              <w:bottom w:val="single" w:sz="8" w:space="0" w:color="auto"/>
              <w:right w:val="single" w:sz="8" w:space="0" w:color="auto"/>
            </w:tcBorders>
            <w:shd w:val="clear" w:color="000000" w:fill="BFBFBF"/>
            <w:vAlign w:val="center"/>
          </w:tcPr>
          <w:p w14:paraId="7E810AB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556 830</w:t>
            </w:r>
          </w:p>
        </w:tc>
        <w:tc>
          <w:tcPr>
            <w:tcW w:w="1393" w:type="dxa"/>
            <w:tcBorders>
              <w:top w:val="nil"/>
              <w:left w:val="nil"/>
              <w:bottom w:val="single" w:sz="8" w:space="0" w:color="auto"/>
              <w:right w:val="single" w:sz="8" w:space="0" w:color="auto"/>
            </w:tcBorders>
            <w:shd w:val="clear" w:color="000000" w:fill="BFBFBF"/>
            <w:vAlign w:val="center"/>
            <w:hideMark/>
          </w:tcPr>
          <w:p w14:paraId="37847B86" w14:textId="77777777" w:rsidR="00AD62CD" w:rsidRPr="00AD62CD" w:rsidRDefault="00AD62CD" w:rsidP="00AD62CD">
            <w:pPr>
              <w:spacing w:after="0" w:line="240" w:lineRule="auto"/>
              <w:ind w:firstLineChars="400" w:firstLine="803"/>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bl>
    <w:p w14:paraId="0483C5E3"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4E4B58D3"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3B9B7BCE"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56E96FEA"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p>
    <w:p w14:paraId="54775B4B" w14:textId="77777777" w:rsidR="00AD62CD" w:rsidRPr="00AD62CD" w:rsidRDefault="00AD62CD" w:rsidP="00AD62CD">
      <w:pPr>
        <w:spacing w:after="200" w:line="276" w:lineRule="auto"/>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br w:type="page"/>
      </w:r>
    </w:p>
    <w:p w14:paraId="01F62CAF"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3-5 </w:t>
      </w:r>
    </w:p>
    <w:p w14:paraId="5C1CE048"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4165" w:type="dxa"/>
        <w:tblCellMar>
          <w:left w:w="70" w:type="dxa"/>
          <w:right w:w="70" w:type="dxa"/>
        </w:tblCellMar>
        <w:tblLook w:val="04A0" w:firstRow="1" w:lastRow="0" w:firstColumn="1" w:lastColumn="0" w:noHBand="0" w:noVBand="1"/>
      </w:tblPr>
      <w:tblGrid>
        <w:gridCol w:w="7362"/>
        <w:gridCol w:w="1346"/>
        <w:gridCol w:w="1347"/>
        <w:gridCol w:w="1346"/>
        <w:gridCol w:w="1347"/>
        <w:gridCol w:w="1417"/>
      </w:tblGrid>
      <w:tr w:rsidR="00AD62CD" w:rsidRPr="00AD62CD" w14:paraId="0CC15B93" w14:textId="77777777" w:rsidTr="003627DF">
        <w:trPr>
          <w:trHeight w:val="270"/>
        </w:trPr>
        <w:tc>
          <w:tcPr>
            <w:tcW w:w="736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AD5188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zdravotných poisťovní (v eurách)</w:t>
            </w:r>
          </w:p>
        </w:tc>
        <w:tc>
          <w:tcPr>
            <w:tcW w:w="5386" w:type="dxa"/>
            <w:gridSpan w:val="4"/>
            <w:tcBorders>
              <w:top w:val="single" w:sz="8" w:space="0" w:color="auto"/>
              <w:left w:val="nil"/>
              <w:bottom w:val="single" w:sz="8" w:space="0" w:color="auto"/>
              <w:right w:val="single" w:sz="8" w:space="0" w:color="000000"/>
            </w:tcBorders>
            <w:shd w:val="clear" w:color="000000" w:fill="BFBFBF"/>
            <w:vAlign w:val="center"/>
            <w:hideMark/>
          </w:tcPr>
          <w:p w14:paraId="3C1AD2E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zdravotných poisťovní</w:t>
            </w:r>
          </w:p>
        </w:tc>
        <w:tc>
          <w:tcPr>
            <w:tcW w:w="1417" w:type="dxa"/>
            <w:vMerge w:val="restart"/>
            <w:tcBorders>
              <w:top w:val="single" w:sz="8" w:space="0" w:color="auto"/>
              <w:left w:val="nil"/>
              <w:bottom w:val="single" w:sz="8" w:space="0" w:color="000000"/>
              <w:right w:val="single" w:sz="8" w:space="0" w:color="auto"/>
            </w:tcBorders>
            <w:shd w:val="clear" w:color="000000" w:fill="BFBFBF"/>
            <w:noWrap/>
            <w:vAlign w:val="center"/>
            <w:hideMark/>
          </w:tcPr>
          <w:p w14:paraId="6C18C16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69D53536" w14:textId="77777777" w:rsidTr="003627DF">
        <w:trPr>
          <w:trHeight w:val="270"/>
        </w:trPr>
        <w:tc>
          <w:tcPr>
            <w:tcW w:w="7362" w:type="dxa"/>
            <w:vMerge/>
            <w:tcBorders>
              <w:top w:val="single" w:sz="8" w:space="0" w:color="auto"/>
              <w:left w:val="single" w:sz="8" w:space="0" w:color="auto"/>
              <w:bottom w:val="single" w:sz="8" w:space="0" w:color="000000"/>
              <w:right w:val="single" w:sz="8" w:space="0" w:color="auto"/>
            </w:tcBorders>
            <w:vAlign w:val="center"/>
            <w:hideMark/>
          </w:tcPr>
          <w:p w14:paraId="70E2DC4F"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346" w:type="dxa"/>
            <w:tcBorders>
              <w:top w:val="nil"/>
              <w:left w:val="nil"/>
              <w:bottom w:val="single" w:sz="8" w:space="0" w:color="auto"/>
              <w:right w:val="single" w:sz="8" w:space="0" w:color="auto"/>
            </w:tcBorders>
            <w:shd w:val="clear" w:color="000000" w:fill="BFBFBF"/>
            <w:vAlign w:val="center"/>
            <w:hideMark/>
          </w:tcPr>
          <w:p w14:paraId="4A2AAE9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47" w:type="dxa"/>
            <w:tcBorders>
              <w:top w:val="nil"/>
              <w:left w:val="nil"/>
              <w:bottom w:val="single" w:sz="8" w:space="0" w:color="auto"/>
              <w:right w:val="single" w:sz="8" w:space="0" w:color="auto"/>
            </w:tcBorders>
            <w:shd w:val="clear" w:color="000000" w:fill="BFBFBF"/>
            <w:vAlign w:val="center"/>
            <w:hideMark/>
          </w:tcPr>
          <w:p w14:paraId="6278ECA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346" w:type="dxa"/>
            <w:tcBorders>
              <w:top w:val="nil"/>
              <w:left w:val="nil"/>
              <w:bottom w:val="single" w:sz="8" w:space="0" w:color="auto"/>
              <w:right w:val="single" w:sz="8" w:space="0" w:color="auto"/>
            </w:tcBorders>
            <w:shd w:val="clear" w:color="000000" w:fill="BFBFBF"/>
            <w:vAlign w:val="center"/>
            <w:hideMark/>
          </w:tcPr>
          <w:p w14:paraId="541B06E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347" w:type="dxa"/>
            <w:tcBorders>
              <w:top w:val="nil"/>
              <w:left w:val="nil"/>
              <w:bottom w:val="single" w:sz="8" w:space="0" w:color="auto"/>
              <w:right w:val="single" w:sz="8" w:space="0" w:color="auto"/>
            </w:tcBorders>
            <w:shd w:val="clear" w:color="000000" w:fill="BFBFBF"/>
            <w:vAlign w:val="center"/>
            <w:hideMark/>
          </w:tcPr>
          <w:p w14:paraId="2BE39B2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417" w:type="dxa"/>
            <w:vMerge/>
            <w:tcBorders>
              <w:top w:val="single" w:sz="8" w:space="0" w:color="auto"/>
              <w:left w:val="nil"/>
              <w:bottom w:val="single" w:sz="8" w:space="0" w:color="000000"/>
              <w:right w:val="single" w:sz="8" w:space="0" w:color="auto"/>
            </w:tcBorders>
            <w:vAlign w:val="center"/>
            <w:hideMark/>
          </w:tcPr>
          <w:p w14:paraId="55C4614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r>
      <w:tr w:rsidR="00AD62CD" w:rsidRPr="00AD62CD" w14:paraId="212890E5" w14:textId="77777777" w:rsidTr="003627DF">
        <w:trPr>
          <w:trHeight w:val="330"/>
        </w:trPr>
        <w:tc>
          <w:tcPr>
            <w:tcW w:w="7362" w:type="dxa"/>
            <w:tcBorders>
              <w:top w:val="nil"/>
              <w:left w:val="single" w:sz="8" w:space="0" w:color="auto"/>
              <w:bottom w:val="single" w:sz="8" w:space="0" w:color="auto"/>
              <w:right w:val="single" w:sz="8" w:space="0" w:color="auto"/>
            </w:tcBorders>
            <w:vAlign w:val="center"/>
            <w:hideMark/>
          </w:tcPr>
          <w:p w14:paraId="336756F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346" w:type="dxa"/>
            <w:tcBorders>
              <w:top w:val="nil"/>
              <w:left w:val="nil"/>
              <w:bottom w:val="single" w:sz="8" w:space="0" w:color="auto"/>
              <w:right w:val="single" w:sz="8" w:space="0" w:color="auto"/>
            </w:tcBorders>
            <w:vAlign w:val="center"/>
            <w:hideMark/>
          </w:tcPr>
          <w:p w14:paraId="1E7F653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47" w:type="dxa"/>
            <w:tcBorders>
              <w:top w:val="nil"/>
              <w:left w:val="nil"/>
              <w:bottom w:val="single" w:sz="8" w:space="0" w:color="auto"/>
              <w:right w:val="single" w:sz="8" w:space="0" w:color="auto"/>
            </w:tcBorders>
            <w:vAlign w:val="center"/>
            <w:hideMark/>
          </w:tcPr>
          <w:p w14:paraId="1859FC7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1 617 550</w:t>
            </w:r>
          </w:p>
        </w:tc>
        <w:tc>
          <w:tcPr>
            <w:tcW w:w="1346" w:type="dxa"/>
            <w:tcBorders>
              <w:top w:val="nil"/>
              <w:left w:val="nil"/>
              <w:bottom w:val="single" w:sz="8" w:space="0" w:color="auto"/>
              <w:right w:val="single" w:sz="8" w:space="0" w:color="auto"/>
            </w:tcBorders>
            <w:vAlign w:val="center"/>
            <w:hideMark/>
          </w:tcPr>
          <w:p w14:paraId="4F3832A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1 937 865</w:t>
            </w:r>
          </w:p>
        </w:tc>
        <w:tc>
          <w:tcPr>
            <w:tcW w:w="1347" w:type="dxa"/>
            <w:tcBorders>
              <w:top w:val="nil"/>
              <w:left w:val="nil"/>
              <w:bottom w:val="single" w:sz="8" w:space="0" w:color="auto"/>
              <w:right w:val="single" w:sz="8" w:space="0" w:color="auto"/>
            </w:tcBorders>
            <w:vAlign w:val="center"/>
            <w:hideMark/>
          </w:tcPr>
          <w:p w14:paraId="39FB47E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2 018 288</w:t>
            </w:r>
          </w:p>
        </w:tc>
        <w:tc>
          <w:tcPr>
            <w:tcW w:w="1417" w:type="dxa"/>
            <w:tcBorders>
              <w:top w:val="nil"/>
              <w:left w:val="nil"/>
              <w:bottom w:val="single" w:sz="8" w:space="0" w:color="auto"/>
              <w:right w:val="single" w:sz="8" w:space="0" w:color="auto"/>
            </w:tcBorders>
            <w:noWrap/>
            <w:vAlign w:val="center"/>
            <w:hideMark/>
          </w:tcPr>
          <w:p w14:paraId="7802DEC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6C157AA" w14:textId="77777777" w:rsidTr="003627DF">
        <w:trPr>
          <w:trHeight w:val="270"/>
        </w:trPr>
        <w:tc>
          <w:tcPr>
            <w:tcW w:w="7362" w:type="dxa"/>
            <w:tcBorders>
              <w:top w:val="nil"/>
              <w:left w:val="single" w:sz="8" w:space="0" w:color="auto"/>
              <w:bottom w:val="single" w:sz="8" w:space="0" w:color="auto"/>
              <w:right w:val="single" w:sz="8" w:space="0" w:color="auto"/>
            </w:tcBorders>
            <w:noWrap/>
            <w:vAlign w:val="center"/>
            <w:hideMark/>
          </w:tcPr>
          <w:p w14:paraId="2C4B618E"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(154) poistné na zdravotné poistenie</w:t>
            </w:r>
          </w:p>
        </w:tc>
        <w:tc>
          <w:tcPr>
            <w:tcW w:w="1346" w:type="dxa"/>
            <w:tcBorders>
              <w:top w:val="nil"/>
              <w:left w:val="nil"/>
              <w:bottom w:val="single" w:sz="8" w:space="0" w:color="auto"/>
              <w:right w:val="single" w:sz="8" w:space="0" w:color="auto"/>
            </w:tcBorders>
            <w:vAlign w:val="center"/>
            <w:hideMark/>
          </w:tcPr>
          <w:p w14:paraId="62EA5F8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47" w:type="dxa"/>
            <w:tcBorders>
              <w:top w:val="nil"/>
              <w:left w:val="nil"/>
              <w:bottom w:val="single" w:sz="8" w:space="0" w:color="auto"/>
              <w:right w:val="single" w:sz="8" w:space="0" w:color="auto"/>
            </w:tcBorders>
            <w:vAlign w:val="center"/>
            <w:hideMark/>
          </w:tcPr>
          <w:p w14:paraId="54606B5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1 617 550</w:t>
            </w:r>
          </w:p>
        </w:tc>
        <w:tc>
          <w:tcPr>
            <w:tcW w:w="1346" w:type="dxa"/>
            <w:tcBorders>
              <w:top w:val="nil"/>
              <w:left w:val="nil"/>
              <w:bottom w:val="single" w:sz="8" w:space="0" w:color="auto"/>
              <w:right w:val="single" w:sz="8" w:space="0" w:color="auto"/>
            </w:tcBorders>
            <w:vAlign w:val="center"/>
            <w:hideMark/>
          </w:tcPr>
          <w:p w14:paraId="12025DD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1 937 865</w:t>
            </w:r>
          </w:p>
        </w:tc>
        <w:tc>
          <w:tcPr>
            <w:tcW w:w="1347" w:type="dxa"/>
            <w:tcBorders>
              <w:top w:val="nil"/>
              <w:left w:val="nil"/>
              <w:bottom w:val="single" w:sz="8" w:space="0" w:color="auto"/>
              <w:right w:val="single" w:sz="8" w:space="0" w:color="auto"/>
            </w:tcBorders>
            <w:vAlign w:val="center"/>
            <w:hideMark/>
          </w:tcPr>
          <w:p w14:paraId="7FD5EEC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2 018 288</w:t>
            </w:r>
          </w:p>
        </w:tc>
        <w:tc>
          <w:tcPr>
            <w:tcW w:w="1417" w:type="dxa"/>
            <w:tcBorders>
              <w:top w:val="nil"/>
              <w:left w:val="nil"/>
              <w:bottom w:val="single" w:sz="8" w:space="0" w:color="auto"/>
              <w:right w:val="single" w:sz="8" w:space="0" w:color="auto"/>
            </w:tcBorders>
            <w:noWrap/>
            <w:vAlign w:val="center"/>
            <w:hideMark/>
          </w:tcPr>
          <w:p w14:paraId="4D35DF3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FCC6BEF" w14:textId="77777777" w:rsidTr="003627DF">
        <w:trPr>
          <w:trHeight w:val="330"/>
        </w:trPr>
        <w:tc>
          <w:tcPr>
            <w:tcW w:w="7362" w:type="dxa"/>
            <w:tcBorders>
              <w:top w:val="nil"/>
              <w:left w:val="single" w:sz="8" w:space="0" w:color="auto"/>
              <w:bottom w:val="single" w:sz="8" w:space="0" w:color="auto"/>
              <w:right w:val="single" w:sz="8" w:space="0" w:color="auto"/>
            </w:tcBorders>
            <w:vAlign w:val="center"/>
            <w:hideMark/>
          </w:tcPr>
          <w:p w14:paraId="624CD2F2"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346" w:type="dxa"/>
            <w:tcBorders>
              <w:top w:val="nil"/>
              <w:left w:val="nil"/>
              <w:bottom w:val="single" w:sz="8" w:space="0" w:color="auto"/>
              <w:right w:val="single" w:sz="8" w:space="0" w:color="auto"/>
            </w:tcBorders>
            <w:vAlign w:val="center"/>
            <w:hideMark/>
          </w:tcPr>
          <w:p w14:paraId="384584F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47" w:type="dxa"/>
            <w:tcBorders>
              <w:top w:val="nil"/>
              <w:left w:val="nil"/>
              <w:bottom w:val="single" w:sz="8" w:space="0" w:color="auto"/>
              <w:right w:val="single" w:sz="8" w:space="0" w:color="auto"/>
            </w:tcBorders>
            <w:vAlign w:val="center"/>
            <w:hideMark/>
          </w:tcPr>
          <w:p w14:paraId="5E0B365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46" w:type="dxa"/>
            <w:tcBorders>
              <w:top w:val="nil"/>
              <w:left w:val="nil"/>
              <w:bottom w:val="single" w:sz="8" w:space="0" w:color="auto"/>
              <w:right w:val="single" w:sz="8" w:space="0" w:color="auto"/>
            </w:tcBorders>
            <w:vAlign w:val="center"/>
            <w:hideMark/>
          </w:tcPr>
          <w:p w14:paraId="6F30D1C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47" w:type="dxa"/>
            <w:tcBorders>
              <w:top w:val="nil"/>
              <w:left w:val="nil"/>
              <w:bottom w:val="single" w:sz="8" w:space="0" w:color="auto"/>
              <w:right w:val="single" w:sz="8" w:space="0" w:color="auto"/>
            </w:tcBorders>
            <w:vAlign w:val="center"/>
            <w:hideMark/>
          </w:tcPr>
          <w:p w14:paraId="3EEC397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noWrap/>
            <w:vAlign w:val="center"/>
            <w:hideMark/>
          </w:tcPr>
          <w:p w14:paraId="0764C45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062EE8F" w14:textId="77777777" w:rsidTr="003627DF">
        <w:trPr>
          <w:trHeight w:val="330"/>
        </w:trPr>
        <w:tc>
          <w:tcPr>
            <w:tcW w:w="7362" w:type="dxa"/>
            <w:tcBorders>
              <w:top w:val="nil"/>
              <w:left w:val="single" w:sz="8" w:space="0" w:color="auto"/>
              <w:bottom w:val="single" w:sz="8" w:space="0" w:color="auto"/>
              <w:right w:val="single" w:sz="8" w:space="0" w:color="auto"/>
            </w:tcBorders>
            <w:vAlign w:val="center"/>
            <w:hideMark/>
          </w:tcPr>
          <w:p w14:paraId="20558A1D"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Granty a transfery (300)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346" w:type="dxa"/>
            <w:tcBorders>
              <w:top w:val="nil"/>
              <w:left w:val="nil"/>
              <w:bottom w:val="single" w:sz="8" w:space="0" w:color="auto"/>
              <w:right w:val="single" w:sz="8" w:space="0" w:color="auto"/>
            </w:tcBorders>
            <w:vAlign w:val="center"/>
            <w:hideMark/>
          </w:tcPr>
          <w:p w14:paraId="0CA04FA8"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0</w:t>
            </w:r>
          </w:p>
        </w:tc>
        <w:tc>
          <w:tcPr>
            <w:tcW w:w="1347" w:type="dxa"/>
            <w:tcBorders>
              <w:top w:val="nil"/>
              <w:left w:val="nil"/>
              <w:bottom w:val="single" w:sz="8" w:space="0" w:color="auto"/>
              <w:right w:val="single" w:sz="8" w:space="0" w:color="auto"/>
            </w:tcBorders>
            <w:vAlign w:val="center"/>
            <w:hideMark/>
          </w:tcPr>
          <w:p w14:paraId="7D1CA0B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46" w:type="dxa"/>
            <w:tcBorders>
              <w:top w:val="nil"/>
              <w:left w:val="nil"/>
              <w:bottom w:val="single" w:sz="8" w:space="0" w:color="auto"/>
              <w:right w:val="single" w:sz="8" w:space="0" w:color="auto"/>
            </w:tcBorders>
            <w:vAlign w:val="center"/>
            <w:hideMark/>
          </w:tcPr>
          <w:p w14:paraId="4E4D9D2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47" w:type="dxa"/>
            <w:tcBorders>
              <w:top w:val="nil"/>
              <w:left w:val="nil"/>
              <w:bottom w:val="single" w:sz="8" w:space="0" w:color="auto"/>
              <w:right w:val="single" w:sz="8" w:space="0" w:color="auto"/>
            </w:tcBorders>
            <w:vAlign w:val="center"/>
            <w:hideMark/>
          </w:tcPr>
          <w:p w14:paraId="129224D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noWrap/>
            <w:vAlign w:val="center"/>
            <w:hideMark/>
          </w:tcPr>
          <w:p w14:paraId="0B9C909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6001A16" w14:textId="77777777" w:rsidTr="003627DF">
        <w:trPr>
          <w:trHeight w:val="270"/>
        </w:trPr>
        <w:tc>
          <w:tcPr>
            <w:tcW w:w="7362" w:type="dxa"/>
            <w:tcBorders>
              <w:top w:val="nil"/>
              <w:left w:val="single" w:sz="8" w:space="0" w:color="auto"/>
              <w:bottom w:val="single" w:sz="8" w:space="0" w:color="auto"/>
              <w:right w:val="single" w:sz="8" w:space="0" w:color="auto"/>
            </w:tcBorders>
            <w:vAlign w:val="center"/>
            <w:hideMark/>
          </w:tcPr>
          <w:p w14:paraId="3E669C4C"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346" w:type="dxa"/>
            <w:tcBorders>
              <w:top w:val="nil"/>
              <w:left w:val="nil"/>
              <w:bottom w:val="single" w:sz="8" w:space="0" w:color="auto"/>
              <w:right w:val="single" w:sz="8" w:space="0" w:color="auto"/>
            </w:tcBorders>
            <w:vAlign w:val="center"/>
            <w:hideMark/>
          </w:tcPr>
          <w:p w14:paraId="0186D9D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0</w:t>
            </w:r>
          </w:p>
        </w:tc>
        <w:tc>
          <w:tcPr>
            <w:tcW w:w="1347" w:type="dxa"/>
            <w:tcBorders>
              <w:top w:val="nil"/>
              <w:left w:val="nil"/>
              <w:bottom w:val="single" w:sz="8" w:space="0" w:color="auto"/>
              <w:right w:val="single" w:sz="8" w:space="0" w:color="auto"/>
            </w:tcBorders>
            <w:vAlign w:val="center"/>
            <w:hideMark/>
          </w:tcPr>
          <w:p w14:paraId="2D60CD5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0</w:t>
            </w:r>
          </w:p>
        </w:tc>
        <w:tc>
          <w:tcPr>
            <w:tcW w:w="1346" w:type="dxa"/>
            <w:tcBorders>
              <w:top w:val="nil"/>
              <w:left w:val="nil"/>
              <w:bottom w:val="single" w:sz="8" w:space="0" w:color="auto"/>
              <w:right w:val="single" w:sz="8" w:space="0" w:color="auto"/>
            </w:tcBorders>
            <w:vAlign w:val="center"/>
            <w:hideMark/>
          </w:tcPr>
          <w:p w14:paraId="75B2B5E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0</w:t>
            </w:r>
          </w:p>
        </w:tc>
        <w:tc>
          <w:tcPr>
            <w:tcW w:w="1347" w:type="dxa"/>
            <w:tcBorders>
              <w:top w:val="nil"/>
              <w:left w:val="nil"/>
              <w:bottom w:val="single" w:sz="8" w:space="0" w:color="auto"/>
              <w:right w:val="single" w:sz="8" w:space="0" w:color="auto"/>
            </w:tcBorders>
            <w:vAlign w:val="center"/>
            <w:hideMark/>
          </w:tcPr>
          <w:p w14:paraId="63F9842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0</w:t>
            </w:r>
          </w:p>
        </w:tc>
        <w:tc>
          <w:tcPr>
            <w:tcW w:w="1417" w:type="dxa"/>
            <w:tcBorders>
              <w:top w:val="nil"/>
              <w:left w:val="nil"/>
              <w:bottom w:val="single" w:sz="8" w:space="0" w:color="auto"/>
              <w:right w:val="single" w:sz="8" w:space="0" w:color="auto"/>
            </w:tcBorders>
            <w:noWrap/>
            <w:vAlign w:val="center"/>
            <w:hideMark/>
          </w:tcPr>
          <w:p w14:paraId="76506A0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DA7EB50" w14:textId="77777777" w:rsidTr="003627DF">
        <w:trPr>
          <w:trHeight w:val="270"/>
        </w:trPr>
        <w:tc>
          <w:tcPr>
            <w:tcW w:w="7362" w:type="dxa"/>
            <w:tcBorders>
              <w:top w:val="nil"/>
              <w:left w:val="single" w:sz="8" w:space="0" w:color="auto"/>
              <w:bottom w:val="single" w:sz="8" w:space="0" w:color="auto"/>
              <w:right w:val="single" w:sz="8" w:space="0" w:color="auto"/>
            </w:tcBorders>
            <w:vAlign w:val="center"/>
            <w:hideMark/>
          </w:tcPr>
          <w:p w14:paraId="4CF57091"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346" w:type="dxa"/>
            <w:tcBorders>
              <w:top w:val="nil"/>
              <w:left w:val="nil"/>
              <w:bottom w:val="single" w:sz="8" w:space="0" w:color="auto"/>
              <w:right w:val="single" w:sz="8" w:space="0" w:color="auto"/>
            </w:tcBorders>
            <w:vAlign w:val="center"/>
            <w:hideMark/>
          </w:tcPr>
          <w:p w14:paraId="7EEC5BD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0</w:t>
            </w:r>
          </w:p>
        </w:tc>
        <w:tc>
          <w:tcPr>
            <w:tcW w:w="1347" w:type="dxa"/>
            <w:tcBorders>
              <w:top w:val="nil"/>
              <w:left w:val="nil"/>
              <w:bottom w:val="single" w:sz="8" w:space="0" w:color="auto"/>
              <w:right w:val="single" w:sz="8" w:space="0" w:color="auto"/>
            </w:tcBorders>
            <w:vAlign w:val="center"/>
            <w:hideMark/>
          </w:tcPr>
          <w:p w14:paraId="4C8B456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0</w:t>
            </w:r>
          </w:p>
        </w:tc>
        <w:tc>
          <w:tcPr>
            <w:tcW w:w="1346" w:type="dxa"/>
            <w:tcBorders>
              <w:top w:val="nil"/>
              <w:left w:val="nil"/>
              <w:bottom w:val="single" w:sz="8" w:space="0" w:color="auto"/>
              <w:right w:val="single" w:sz="8" w:space="0" w:color="auto"/>
            </w:tcBorders>
            <w:vAlign w:val="center"/>
            <w:hideMark/>
          </w:tcPr>
          <w:p w14:paraId="15F2709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0</w:t>
            </w:r>
          </w:p>
        </w:tc>
        <w:tc>
          <w:tcPr>
            <w:tcW w:w="1347" w:type="dxa"/>
            <w:tcBorders>
              <w:top w:val="nil"/>
              <w:left w:val="nil"/>
              <w:bottom w:val="single" w:sz="8" w:space="0" w:color="auto"/>
              <w:right w:val="single" w:sz="8" w:space="0" w:color="auto"/>
            </w:tcBorders>
            <w:vAlign w:val="center"/>
            <w:hideMark/>
          </w:tcPr>
          <w:p w14:paraId="10D6011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0</w:t>
            </w:r>
          </w:p>
        </w:tc>
        <w:tc>
          <w:tcPr>
            <w:tcW w:w="1417" w:type="dxa"/>
            <w:tcBorders>
              <w:top w:val="nil"/>
              <w:left w:val="nil"/>
              <w:bottom w:val="single" w:sz="8" w:space="0" w:color="auto"/>
              <w:right w:val="single" w:sz="8" w:space="0" w:color="auto"/>
            </w:tcBorders>
            <w:noWrap/>
            <w:vAlign w:val="center"/>
            <w:hideMark/>
          </w:tcPr>
          <w:p w14:paraId="7CF5681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E3C54F5" w14:textId="77777777" w:rsidTr="003627DF">
        <w:trPr>
          <w:trHeight w:val="270"/>
        </w:trPr>
        <w:tc>
          <w:tcPr>
            <w:tcW w:w="7362" w:type="dxa"/>
            <w:tcBorders>
              <w:top w:val="nil"/>
              <w:left w:val="single" w:sz="8" w:space="0" w:color="auto"/>
              <w:bottom w:val="single" w:sz="8" w:space="0" w:color="auto"/>
              <w:right w:val="single" w:sz="8" w:space="0" w:color="auto"/>
            </w:tcBorders>
            <w:shd w:val="clear" w:color="000000" w:fill="BFBFBF"/>
            <w:vAlign w:val="center"/>
            <w:hideMark/>
          </w:tcPr>
          <w:p w14:paraId="5DFB40B1"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Dopad na príjmy zdravotných poisťovní</w:t>
            </w:r>
          </w:p>
        </w:tc>
        <w:tc>
          <w:tcPr>
            <w:tcW w:w="1346" w:type="dxa"/>
            <w:tcBorders>
              <w:top w:val="nil"/>
              <w:left w:val="nil"/>
              <w:bottom w:val="single" w:sz="8" w:space="0" w:color="auto"/>
              <w:right w:val="single" w:sz="8" w:space="0" w:color="auto"/>
            </w:tcBorders>
            <w:shd w:val="clear" w:color="000000" w:fill="BFBFBF"/>
            <w:vAlign w:val="center"/>
            <w:hideMark/>
          </w:tcPr>
          <w:p w14:paraId="0AED9E0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47" w:type="dxa"/>
            <w:tcBorders>
              <w:top w:val="nil"/>
              <w:left w:val="nil"/>
              <w:bottom w:val="single" w:sz="8" w:space="0" w:color="auto"/>
              <w:right w:val="single" w:sz="8" w:space="0" w:color="auto"/>
            </w:tcBorders>
            <w:shd w:val="clear" w:color="000000" w:fill="BFBFBF"/>
            <w:vAlign w:val="center"/>
            <w:hideMark/>
          </w:tcPr>
          <w:p w14:paraId="58D4DA5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1 617 550</w:t>
            </w:r>
          </w:p>
        </w:tc>
        <w:tc>
          <w:tcPr>
            <w:tcW w:w="1346" w:type="dxa"/>
            <w:tcBorders>
              <w:top w:val="nil"/>
              <w:left w:val="nil"/>
              <w:bottom w:val="single" w:sz="8" w:space="0" w:color="auto"/>
              <w:right w:val="single" w:sz="8" w:space="0" w:color="auto"/>
            </w:tcBorders>
            <w:shd w:val="clear" w:color="000000" w:fill="BFBFBF"/>
            <w:vAlign w:val="center"/>
            <w:hideMark/>
          </w:tcPr>
          <w:p w14:paraId="78CA483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1 937 865</w:t>
            </w:r>
          </w:p>
        </w:tc>
        <w:tc>
          <w:tcPr>
            <w:tcW w:w="1347" w:type="dxa"/>
            <w:tcBorders>
              <w:top w:val="nil"/>
              <w:left w:val="nil"/>
              <w:bottom w:val="single" w:sz="8" w:space="0" w:color="auto"/>
              <w:right w:val="single" w:sz="8" w:space="0" w:color="auto"/>
            </w:tcBorders>
            <w:shd w:val="clear" w:color="000000" w:fill="BFBFBF"/>
            <w:vAlign w:val="center"/>
            <w:hideMark/>
          </w:tcPr>
          <w:p w14:paraId="0340B6A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2 018 288</w:t>
            </w:r>
          </w:p>
        </w:tc>
        <w:tc>
          <w:tcPr>
            <w:tcW w:w="1417" w:type="dxa"/>
            <w:tcBorders>
              <w:top w:val="nil"/>
              <w:left w:val="nil"/>
              <w:bottom w:val="single" w:sz="8" w:space="0" w:color="auto"/>
              <w:right w:val="single" w:sz="8" w:space="0" w:color="auto"/>
            </w:tcBorders>
            <w:shd w:val="clear" w:color="000000" w:fill="BFBFBF"/>
            <w:noWrap/>
            <w:vAlign w:val="center"/>
            <w:hideMark/>
          </w:tcPr>
          <w:p w14:paraId="64AAF9C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3B93FE71"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3794FACF"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6966B528"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2440B732"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61C0AFB6" w14:textId="77777777" w:rsidR="00AD62CD" w:rsidRPr="00AD62CD" w:rsidRDefault="00AD62CD" w:rsidP="00AD62CD">
      <w:pPr>
        <w:spacing w:after="200" w:line="276" w:lineRule="auto"/>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br w:type="page"/>
      </w:r>
    </w:p>
    <w:p w14:paraId="3821BBF3"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3-6 </w:t>
      </w:r>
    </w:p>
    <w:p w14:paraId="01342329"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5D27B6CE"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835931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Sociálnej poisťovne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4A59BAB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Sociálnej poisťovne</w:t>
            </w:r>
          </w:p>
        </w:tc>
        <w:tc>
          <w:tcPr>
            <w:tcW w:w="1320" w:type="dxa"/>
            <w:vMerge w:val="restart"/>
            <w:tcBorders>
              <w:top w:val="single" w:sz="8" w:space="0" w:color="auto"/>
              <w:left w:val="nil"/>
              <w:bottom w:val="single" w:sz="8" w:space="0" w:color="000000"/>
              <w:right w:val="single" w:sz="8" w:space="0" w:color="auto"/>
            </w:tcBorders>
            <w:shd w:val="clear" w:color="000000" w:fill="BFBFBF"/>
            <w:noWrap/>
            <w:vAlign w:val="center"/>
            <w:hideMark/>
          </w:tcPr>
          <w:p w14:paraId="6F5CFB7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0DBBBF56"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579CEE0D"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3A65542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5C5AE19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258D543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39E5A81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20" w:type="dxa"/>
            <w:vMerge/>
            <w:tcBorders>
              <w:top w:val="single" w:sz="8" w:space="0" w:color="auto"/>
              <w:left w:val="nil"/>
              <w:bottom w:val="single" w:sz="8" w:space="0" w:color="000000"/>
              <w:right w:val="single" w:sz="8" w:space="0" w:color="auto"/>
            </w:tcBorders>
            <w:vAlign w:val="center"/>
            <w:hideMark/>
          </w:tcPr>
          <w:p w14:paraId="3A6D49F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r>
      <w:tr w:rsidR="00AD62CD" w:rsidRPr="00AD62CD" w14:paraId="7D29678D"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76A7EC9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80" w:type="dxa"/>
            <w:tcBorders>
              <w:top w:val="nil"/>
              <w:left w:val="nil"/>
              <w:bottom w:val="single" w:sz="8" w:space="0" w:color="auto"/>
              <w:right w:val="single" w:sz="8" w:space="0" w:color="auto"/>
            </w:tcBorders>
            <w:vAlign w:val="center"/>
            <w:hideMark/>
          </w:tcPr>
          <w:p w14:paraId="232CD02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093A138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3 731 148</w:t>
            </w:r>
          </w:p>
        </w:tc>
        <w:tc>
          <w:tcPr>
            <w:tcW w:w="1420" w:type="dxa"/>
            <w:tcBorders>
              <w:top w:val="nil"/>
              <w:left w:val="nil"/>
              <w:bottom w:val="single" w:sz="8" w:space="0" w:color="auto"/>
              <w:right w:val="single" w:sz="8" w:space="0" w:color="auto"/>
            </w:tcBorders>
            <w:vAlign w:val="center"/>
          </w:tcPr>
          <w:p w14:paraId="140CE89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4 470 008</w:t>
            </w:r>
          </w:p>
        </w:tc>
        <w:tc>
          <w:tcPr>
            <w:tcW w:w="1420" w:type="dxa"/>
            <w:tcBorders>
              <w:top w:val="nil"/>
              <w:left w:val="nil"/>
              <w:bottom w:val="single" w:sz="8" w:space="0" w:color="auto"/>
              <w:right w:val="single" w:sz="8" w:space="0" w:color="auto"/>
            </w:tcBorders>
            <w:vAlign w:val="center"/>
          </w:tcPr>
          <w:p w14:paraId="4E43663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4 655 517</w:t>
            </w:r>
          </w:p>
        </w:tc>
        <w:tc>
          <w:tcPr>
            <w:tcW w:w="1320" w:type="dxa"/>
            <w:tcBorders>
              <w:top w:val="nil"/>
              <w:left w:val="nil"/>
              <w:bottom w:val="single" w:sz="8" w:space="0" w:color="auto"/>
              <w:right w:val="single" w:sz="8" w:space="0" w:color="auto"/>
            </w:tcBorders>
            <w:noWrap/>
            <w:vAlign w:val="center"/>
            <w:hideMark/>
          </w:tcPr>
          <w:p w14:paraId="0AB5D7E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D40F8BF"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38767EDD"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(151) poistné na nemocenské poistenie</w:t>
            </w:r>
          </w:p>
        </w:tc>
        <w:tc>
          <w:tcPr>
            <w:tcW w:w="1280" w:type="dxa"/>
            <w:tcBorders>
              <w:top w:val="nil"/>
              <w:left w:val="nil"/>
              <w:bottom w:val="single" w:sz="8" w:space="0" w:color="auto"/>
              <w:right w:val="single" w:sz="8" w:space="0" w:color="auto"/>
            </w:tcBorders>
            <w:noWrap/>
            <w:vAlign w:val="center"/>
            <w:hideMark/>
          </w:tcPr>
          <w:p w14:paraId="34EDBAD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1F2528F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301 943</w:t>
            </w:r>
          </w:p>
        </w:tc>
        <w:tc>
          <w:tcPr>
            <w:tcW w:w="1420" w:type="dxa"/>
            <w:tcBorders>
              <w:top w:val="nil"/>
              <w:left w:val="nil"/>
              <w:bottom w:val="single" w:sz="8" w:space="0" w:color="auto"/>
              <w:right w:val="single" w:sz="8" w:space="0" w:color="auto"/>
            </w:tcBorders>
            <w:noWrap/>
            <w:vAlign w:val="center"/>
          </w:tcPr>
          <w:p w14:paraId="6FA240C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361 735</w:t>
            </w:r>
          </w:p>
        </w:tc>
        <w:tc>
          <w:tcPr>
            <w:tcW w:w="1420" w:type="dxa"/>
            <w:tcBorders>
              <w:top w:val="nil"/>
              <w:left w:val="nil"/>
              <w:bottom w:val="single" w:sz="8" w:space="0" w:color="auto"/>
              <w:right w:val="single" w:sz="8" w:space="0" w:color="auto"/>
            </w:tcBorders>
            <w:noWrap/>
            <w:vAlign w:val="center"/>
          </w:tcPr>
          <w:p w14:paraId="3E9D294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376 747</w:t>
            </w:r>
          </w:p>
        </w:tc>
        <w:tc>
          <w:tcPr>
            <w:tcW w:w="1320" w:type="dxa"/>
            <w:tcBorders>
              <w:top w:val="nil"/>
              <w:left w:val="nil"/>
              <w:bottom w:val="single" w:sz="8" w:space="0" w:color="auto"/>
              <w:right w:val="single" w:sz="8" w:space="0" w:color="auto"/>
            </w:tcBorders>
            <w:noWrap/>
            <w:vAlign w:val="center"/>
            <w:hideMark/>
          </w:tcPr>
          <w:p w14:paraId="2E46629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2D2D9B1"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20939294"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(152) poistné na starobné poistenie</w:t>
            </w:r>
          </w:p>
        </w:tc>
        <w:tc>
          <w:tcPr>
            <w:tcW w:w="1280" w:type="dxa"/>
            <w:tcBorders>
              <w:top w:val="nil"/>
              <w:left w:val="nil"/>
              <w:bottom w:val="single" w:sz="8" w:space="0" w:color="auto"/>
              <w:right w:val="single" w:sz="8" w:space="0" w:color="auto"/>
            </w:tcBorders>
            <w:noWrap/>
            <w:vAlign w:val="center"/>
            <w:hideMark/>
          </w:tcPr>
          <w:p w14:paraId="586AED6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1922D77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1 941 060</w:t>
            </w:r>
          </w:p>
        </w:tc>
        <w:tc>
          <w:tcPr>
            <w:tcW w:w="1420" w:type="dxa"/>
            <w:tcBorders>
              <w:top w:val="nil"/>
              <w:left w:val="nil"/>
              <w:bottom w:val="single" w:sz="8" w:space="0" w:color="auto"/>
              <w:right w:val="single" w:sz="8" w:space="0" w:color="auto"/>
            </w:tcBorders>
            <w:noWrap/>
            <w:vAlign w:val="center"/>
          </w:tcPr>
          <w:p w14:paraId="68B0056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2 325 438</w:t>
            </w:r>
          </w:p>
        </w:tc>
        <w:tc>
          <w:tcPr>
            <w:tcW w:w="1420" w:type="dxa"/>
            <w:tcBorders>
              <w:top w:val="nil"/>
              <w:left w:val="nil"/>
              <w:bottom w:val="single" w:sz="8" w:space="0" w:color="auto"/>
              <w:right w:val="single" w:sz="8" w:space="0" w:color="auto"/>
            </w:tcBorders>
            <w:noWrap/>
            <w:vAlign w:val="center"/>
          </w:tcPr>
          <w:p w14:paraId="43CB59B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2 421 945</w:t>
            </w:r>
          </w:p>
        </w:tc>
        <w:tc>
          <w:tcPr>
            <w:tcW w:w="1320" w:type="dxa"/>
            <w:tcBorders>
              <w:top w:val="nil"/>
              <w:left w:val="nil"/>
              <w:bottom w:val="single" w:sz="8" w:space="0" w:color="auto"/>
              <w:right w:val="single" w:sz="8" w:space="0" w:color="auto"/>
            </w:tcBorders>
            <w:noWrap/>
            <w:vAlign w:val="center"/>
            <w:hideMark/>
          </w:tcPr>
          <w:p w14:paraId="6B3CB40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B365940"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3DF625DB"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(155) poistné na poistenie v nezamestnanosti</w:t>
            </w:r>
          </w:p>
        </w:tc>
        <w:tc>
          <w:tcPr>
            <w:tcW w:w="1280" w:type="dxa"/>
            <w:tcBorders>
              <w:top w:val="nil"/>
              <w:left w:val="nil"/>
              <w:bottom w:val="single" w:sz="8" w:space="0" w:color="auto"/>
              <w:right w:val="single" w:sz="8" w:space="0" w:color="auto"/>
            </w:tcBorders>
            <w:noWrap/>
            <w:vAlign w:val="center"/>
            <w:hideMark/>
          </w:tcPr>
          <w:p w14:paraId="2717122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3B1F787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86 269</w:t>
            </w:r>
          </w:p>
        </w:tc>
        <w:tc>
          <w:tcPr>
            <w:tcW w:w="1420" w:type="dxa"/>
            <w:tcBorders>
              <w:top w:val="nil"/>
              <w:left w:val="nil"/>
              <w:bottom w:val="single" w:sz="8" w:space="0" w:color="auto"/>
              <w:right w:val="single" w:sz="8" w:space="0" w:color="auto"/>
            </w:tcBorders>
            <w:noWrap/>
            <w:vAlign w:val="center"/>
          </w:tcPr>
          <w:p w14:paraId="415C7BF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103 353</w:t>
            </w:r>
          </w:p>
        </w:tc>
        <w:tc>
          <w:tcPr>
            <w:tcW w:w="1420" w:type="dxa"/>
            <w:tcBorders>
              <w:top w:val="nil"/>
              <w:left w:val="nil"/>
              <w:bottom w:val="single" w:sz="8" w:space="0" w:color="auto"/>
              <w:right w:val="single" w:sz="8" w:space="0" w:color="auto"/>
            </w:tcBorders>
            <w:noWrap/>
            <w:vAlign w:val="center"/>
          </w:tcPr>
          <w:p w14:paraId="140B8DD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107 642</w:t>
            </w:r>
          </w:p>
        </w:tc>
        <w:tc>
          <w:tcPr>
            <w:tcW w:w="1320" w:type="dxa"/>
            <w:tcBorders>
              <w:top w:val="nil"/>
              <w:left w:val="nil"/>
              <w:bottom w:val="single" w:sz="8" w:space="0" w:color="auto"/>
              <w:right w:val="single" w:sz="8" w:space="0" w:color="auto"/>
            </w:tcBorders>
            <w:noWrap/>
            <w:vAlign w:val="center"/>
            <w:hideMark/>
          </w:tcPr>
          <w:p w14:paraId="1A4C466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CE8CEF1"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6F0AD90B"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(156) poistné na garančné poistenie</w:t>
            </w:r>
          </w:p>
        </w:tc>
        <w:tc>
          <w:tcPr>
            <w:tcW w:w="1280" w:type="dxa"/>
            <w:tcBorders>
              <w:top w:val="nil"/>
              <w:left w:val="nil"/>
              <w:bottom w:val="single" w:sz="8" w:space="0" w:color="auto"/>
              <w:right w:val="single" w:sz="8" w:space="0" w:color="auto"/>
            </w:tcBorders>
            <w:noWrap/>
            <w:vAlign w:val="center"/>
            <w:hideMark/>
          </w:tcPr>
          <w:p w14:paraId="0E35715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3348B65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215 673</w:t>
            </w:r>
          </w:p>
        </w:tc>
        <w:tc>
          <w:tcPr>
            <w:tcW w:w="1420" w:type="dxa"/>
            <w:tcBorders>
              <w:top w:val="nil"/>
              <w:left w:val="nil"/>
              <w:bottom w:val="single" w:sz="8" w:space="0" w:color="auto"/>
              <w:right w:val="single" w:sz="8" w:space="0" w:color="auto"/>
            </w:tcBorders>
            <w:noWrap/>
            <w:vAlign w:val="center"/>
          </w:tcPr>
          <w:p w14:paraId="0788353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258 382</w:t>
            </w:r>
          </w:p>
        </w:tc>
        <w:tc>
          <w:tcPr>
            <w:tcW w:w="1420" w:type="dxa"/>
            <w:tcBorders>
              <w:top w:val="nil"/>
              <w:left w:val="nil"/>
              <w:bottom w:val="single" w:sz="8" w:space="0" w:color="auto"/>
              <w:right w:val="single" w:sz="8" w:space="0" w:color="auto"/>
            </w:tcBorders>
            <w:noWrap/>
            <w:vAlign w:val="center"/>
          </w:tcPr>
          <w:p w14:paraId="0F6E8AB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269 105</w:t>
            </w:r>
          </w:p>
        </w:tc>
        <w:tc>
          <w:tcPr>
            <w:tcW w:w="1320" w:type="dxa"/>
            <w:tcBorders>
              <w:top w:val="nil"/>
              <w:left w:val="nil"/>
              <w:bottom w:val="single" w:sz="8" w:space="0" w:color="auto"/>
              <w:right w:val="single" w:sz="8" w:space="0" w:color="auto"/>
            </w:tcBorders>
            <w:noWrap/>
            <w:vAlign w:val="center"/>
            <w:hideMark/>
          </w:tcPr>
          <w:p w14:paraId="1ECCABD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CB52F5C"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7A57AEBE"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(157) poistné do rezervného fondu solidarity</w:t>
            </w:r>
          </w:p>
        </w:tc>
        <w:tc>
          <w:tcPr>
            <w:tcW w:w="1280" w:type="dxa"/>
            <w:tcBorders>
              <w:top w:val="nil"/>
              <w:left w:val="nil"/>
              <w:bottom w:val="single" w:sz="8" w:space="0" w:color="auto"/>
              <w:right w:val="single" w:sz="8" w:space="0" w:color="auto"/>
            </w:tcBorders>
            <w:noWrap/>
            <w:vAlign w:val="center"/>
            <w:hideMark/>
          </w:tcPr>
          <w:p w14:paraId="10D79BE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3A84772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26 959</w:t>
            </w:r>
          </w:p>
        </w:tc>
        <w:tc>
          <w:tcPr>
            <w:tcW w:w="1420" w:type="dxa"/>
            <w:tcBorders>
              <w:top w:val="nil"/>
              <w:left w:val="nil"/>
              <w:bottom w:val="single" w:sz="8" w:space="0" w:color="auto"/>
              <w:right w:val="single" w:sz="8" w:space="0" w:color="auto"/>
            </w:tcBorders>
            <w:noWrap/>
            <w:vAlign w:val="center"/>
          </w:tcPr>
          <w:p w14:paraId="06DD1B7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32 298</w:t>
            </w:r>
          </w:p>
        </w:tc>
        <w:tc>
          <w:tcPr>
            <w:tcW w:w="1420" w:type="dxa"/>
            <w:tcBorders>
              <w:top w:val="nil"/>
              <w:left w:val="nil"/>
              <w:bottom w:val="single" w:sz="8" w:space="0" w:color="auto"/>
              <w:right w:val="single" w:sz="8" w:space="0" w:color="auto"/>
            </w:tcBorders>
            <w:noWrap/>
            <w:vAlign w:val="center"/>
          </w:tcPr>
          <w:p w14:paraId="6B748D4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33 638</w:t>
            </w:r>
          </w:p>
        </w:tc>
        <w:tc>
          <w:tcPr>
            <w:tcW w:w="1320" w:type="dxa"/>
            <w:tcBorders>
              <w:top w:val="nil"/>
              <w:left w:val="nil"/>
              <w:bottom w:val="single" w:sz="8" w:space="0" w:color="auto"/>
              <w:right w:val="single" w:sz="8" w:space="0" w:color="auto"/>
            </w:tcBorders>
            <w:noWrap/>
            <w:vAlign w:val="center"/>
            <w:hideMark/>
          </w:tcPr>
          <w:p w14:paraId="715DF60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3EF1673" w14:textId="77777777" w:rsidTr="003627DF">
        <w:trPr>
          <w:trHeight w:val="270"/>
        </w:trPr>
        <w:tc>
          <w:tcPr>
            <w:tcW w:w="7361" w:type="dxa"/>
            <w:tcBorders>
              <w:top w:val="nil"/>
              <w:left w:val="single" w:sz="8" w:space="0" w:color="auto"/>
              <w:bottom w:val="single" w:sz="8" w:space="0" w:color="auto"/>
              <w:right w:val="single" w:sz="8" w:space="0" w:color="auto"/>
            </w:tcBorders>
            <w:noWrap/>
            <w:vAlign w:val="center"/>
            <w:hideMark/>
          </w:tcPr>
          <w:p w14:paraId="0DE69FC9"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(158) poistné na invalidné poistenie</w:t>
            </w:r>
          </w:p>
        </w:tc>
        <w:tc>
          <w:tcPr>
            <w:tcW w:w="1280" w:type="dxa"/>
            <w:tcBorders>
              <w:top w:val="nil"/>
              <w:left w:val="nil"/>
              <w:bottom w:val="single" w:sz="8" w:space="0" w:color="auto"/>
              <w:right w:val="single" w:sz="8" w:space="0" w:color="auto"/>
            </w:tcBorders>
            <w:noWrap/>
            <w:vAlign w:val="center"/>
            <w:hideMark/>
          </w:tcPr>
          <w:p w14:paraId="638CA0C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2502074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512 224</w:t>
            </w:r>
          </w:p>
        </w:tc>
        <w:tc>
          <w:tcPr>
            <w:tcW w:w="1420" w:type="dxa"/>
            <w:tcBorders>
              <w:top w:val="nil"/>
              <w:left w:val="nil"/>
              <w:bottom w:val="single" w:sz="8" w:space="0" w:color="auto"/>
              <w:right w:val="single" w:sz="8" w:space="0" w:color="auto"/>
            </w:tcBorders>
            <w:noWrap/>
            <w:vAlign w:val="center"/>
          </w:tcPr>
          <w:p w14:paraId="59DE261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613 657</w:t>
            </w:r>
          </w:p>
        </w:tc>
        <w:tc>
          <w:tcPr>
            <w:tcW w:w="1420" w:type="dxa"/>
            <w:tcBorders>
              <w:top w:val="nil"/>
              <w:left w:val="nil"/>
              <w:bottom w:val="single" w:sz="8" w:space="0" w:color="auto"/>
              <w:right w:val="single" w:sz="8" w:space="0" w:color="auto"/>
            </w:tcBorders>
            <w:noWrap/>
            <w:vAlign w:val="center"/>
          </w:tcPr>
          <w:p w14:paraId="3A67ADB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639 124</w:t>
            </w:r>
          </w:p>
        </w:tc>
        <w:tc>
          <w:tcPr>
            <w:tcW w:w="1320" w:type="dxa"/>
            <w:tcBorders>
              <w:top w:val="nil"/>
              <w:left w:val="nil"/>
              <w:bottom w:val="single" w:sz="8" w:space="0" w:color="auto"/>
              <w:right w:val="single" w:sz="8" w:space="0" w:color="auto"/>
            </w:tcBorders>
            <w:noWrap/>
            <w:vAlign w:val="center"/>
            <w:hideMark/>
          </w:tcPr>
          <w:p w14:paraId="367F7D1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6EA3EB3"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163D28F9"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80" w:type="dxa"/>
            <w:tcBorders>
              <w:top w:val="nil"/>
              <w:left w:val="nil"/>
              <w:bottom w:val="single" w:sz="8" w:space="0" w:color="auto"/>
              <w:right w:val="single" w:sz="8" w:space="0" w:color="auto"/>
            </w:tcBorders>
            <w:noWrap/>
            <w:vAlign w:val="center"/>
            <w:hideMark/>
          </w:tcPr>
          <w:p w14:paraId="4359A13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i/>
                <w:color w:val="000000"/>
                <w:kern w:val="0"/>
                <w:sz w:val="20"/>
                <w:szCs w:val="20"/>
                <w14:ligatures w14:val="none"/>
              </w:rPr>
              <w:t>0</w:t>
            </w:r>
          </w:p>
        </w:tc>
        <w:tc>
          <w:tcPr>
            <w:tcW w:w="1360" w:type="dxa"/>
            <w:tcBorders>
              <w:top w:val="nil"/>
              <w:left w:val="nil"/>
              <w:bottom w:val="single" w:sz="8" w:space="0" w:color="auto"/>
              <w:right w:val="single" w:sz="8" w:space="0" w:color="auto"/>
            </w:tcBorders>
            <w:noWrap/>
            <w:vAlign w:val="center"/>
          </w:tcPr>
          <w:p w14:paraId="608A7CC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647 020</w:t>
            </w:r>
          </w:p>
        </w:tc>
        <w:tc>
          <w:tcPr>
            <w:tcW w:w="1420" w:type="dxa"/>
            <w:tcBorders>
              <w:top w:val="nil"/>
              <w:left w:val="nil"/>
              <w:bottom w:val="single" w:sz="8" w:space="0" w:color="auto"/>
              <w:right w:val="single" w:sz="8" w:space="0" w:color="auto"/>
            </w:tcBorders>
            <w:noWrap/>
            <w:vAlign w:val="center"/>
          </w:tcPr>
          <w:p w14:paraId="3BE1577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775 146</w:t>
            </w:r>
          </w:p>
        </w:tc>
        <w:tc>
          <w:tcPr>
            <w:tcW w:w="1420" w:type="dxa"/>
            <w:tcBorders>
              <w:top w:val="nil"/>
              <w:left w:val="nil"/>
              <w:bottom w:val="single" w:sz="8" w:space="0" w:color="auto"/>
              <w:right w:val="single" w:sz="8" w:space="0" w:color="auto"/>
            </w:tcBorders>
            <w:noWrap/>
            <w:vAlign w:val="center"/>
          </w:tcPr>
          <w:p w14:paraId="4EE5A8D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14:ligatures w14:val="none"/>
              </w:rPr>
              <w:t>807 315</w:t>
            </w:r>
          </w:p>
        </w:tc>
        <w:tc>
          <w:tcPr>
            <w:tcW w:w="1320" w:type="dxa"/>
            <w:tcBorders>
              <w:top w:val="nil"/>
              <w:left w:val="nil"/>
              <w:bottom w:val="single" w:sz="8" w:space="0" w:color="auto"/>
              <w:right w:val="single" w:sz="8" w:space="0" w:color="auto"/>
            </w:tcBorders>
            <w:noWrap/>
            <w:vAlign w:val="center"/>
            <w:hideMark/>
          </w:tcPr>
          <w:p w14:paraId="5B8BA29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3FE68A4"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33740E74"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Granty a transfery (300)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80" w:type="dxa"/>
            <w:tcBorders>
              <w:top w:val="nil"/>
              <w:left w:val="nil"/>
              <w:bottom w:val="single" w:sz="8" w:space="0" w:color="auto"/>
              <w:right w:val="single" w:sz="8" w:space="0" w:color="auto"/>
            </w:tcBorders>
            <w:noWrap/>
            <w:vAlign w:val="center"/>
            <w:hideMark/>
          </w:tcPr>
          <w:p w14:paraId="065B3F2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75935C5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0" w:type="dxa"/>
            <w:tcBorders>
              <w:top w:val="nil"/>
              <w:left w:val="nil"/>
              <w:bottom w:val="single" w:sz="8" w:space="0" w:color="auto"/>
              <w:right w:val="single" w:sz="8" w:space="0" w:color="auto"/>
            </w:tcBorders>
            <w:noWrap/>
            <w:vAlign w:val="center"/>
          </w:tcPr>
          <w:p w14:paraId="3149676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0" w:type="dxa"/>
            <w:tcBorders>
              <w:top w:val="nil"/>
              <w:left w:val="nil"/>
              <w:bottom w:val="single" w:sz="8" w:space="0" w:color="auto"/>
              <w:right w:val="single" w:sz="8" w:space="0" w:color="auto"/>
            </w:tcBorders>
            <w:noWrap/>
            <w:vAlign w:val="center"/>
          </w:tcPr>
          <w:p w14:paraId="68104AC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20" w:type="dxa"/>
            <w:tcBorders>
              <w:top w:val="nil"/>
              <w:left w:val="nil"/>
              <w:bottom w:val="single" w:sz="8" w:space="0" w:color="auto"/>
              <w:right w:val="single" w:sz="8" w:space="0" w:color="auto"/>
            </w:tcBorders>
            <w:noWrap/>
            <w:vAlign w:val="center"/>
            <w:hideMark/>
          </w:tcPr>
          <w:p w14:paraId="5410CFB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95FC2E4"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72013364"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280" w:type="dxa"/>
            <w:tcBorders>
              <w:top w:val="nil"/>
              <w:left w:val="nil"/>
              <w:bottom w:val="single" w:sz="8" w:space="0" w:color="auto"/>
              <w:right w:val="single" w:sz="8" w:space="0" w:color="auto"/>
            </w:tcBorders>
            <w:noWrap/>
            <w:vAlign w:val="center"/>
            <w:hideMark/>
          </w:tcPr>
          <w:p w14:paraId="331D7F0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0D9F51E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0" w:type="dxa"/>
            <w:tcBorders>
              <w:top w:val="nil"/>
              <w:left w:val="nil"/>
              <w:bottom w:val="single" w:sz="8" w:space="0" w:color="auto"/>
              <w:right w:val="single" w:sz="8" w:space="0" w:color="auto"/>
            </w:tcBorders>
            <w:noWrap/>
            <w:vAlign w:val="center"/>
          </w:tcPr>
          <w:p w14:paraId="3416491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0" w:type="dxa"/>
            <w:tcBorders>
              <w:top w:val="nil"/>
              <w:left w:val="nil"/>
              <w:bottom w:val="single" w:sz="8" w:space="0" w:color="auto"/>
              <w:right w:val="single" w:sz="8" w:space="0" w:color="auto"/>
            </w:tcBorders>
            <w:noWrap/>
            <w:vAlign w:val="center"/>
          </w:tcPr>
          <w:p w14:paraId="55FEAAF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20" w:type="dxa"/>
            <w:tcBorders>
              <w:top w:val="nil"/>
              <w:left w:val="nil"/>
              <w:bottom w:val="single" w:sz="8" w:space="0" w:color="auto"/>
              <w:right w:val="single" w:sz="8" w:space="0" w:color="auto"/>
            </w:tcBorders>
            <w:noWrap/>
            <w:vAlign w:val="center"/>
            <w:hideMark/>
          </w:tcPr>
          <w:p w14:paraId="25F23EC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C8A8F60"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49C49A2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280" w:type="dxa"/>
            <w:tcBorders>
              <w:top w:val="nil"/>
              <w:left w:val="nil"/>
              <w:bottom w:val="single" w:sz="8" w:space="0" w:color="auto"/>
              <w:right w:val="single" w:sz="8" w:space="0" w:color="auto"/>
            </w:tcBorders>
            <w:noWrap/>
            <w:vAlign w:val="center"/>
            <w:hideMark/>
          </w:tcPr>
          <w:p w14:paraId="165B285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42270E0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0" w:type="dxa"/>
            <w:tcBorders>
              <w:top w:val="nil"/>
              <w:left w:val="nil"/>
              <w:bottom w:val="single" w:sz="8" w:space="0" w:color="auto"/>
              <w:right w:val="single" w:sz="8" w:space="0" w:color="auto"/>
            </w:tcBorders>
            <w:noWrap/>
            <w:vAlign w:val="center"/>
          </w:tcPr>
          <w:p w14:paraId="6F51475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0" w:type="dxa"/>
            <w:tcBorders>
              <w:top w:val="nil"/>
              <w:left w:val="nil"/>
              <w:bottom w:val="single" w:sz="8" w:space="0" w:color="auto"/>
              <w:right w:val="single" w:sz="8" w:space="0" w:color="auto"/>
            </w:tcBorders>
            <w:noWrap/>
            <w:vAlign w:val="center"/>
          </w:tcPr>
          <w:p w14:paraId="1C2B45B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20" w:type="dxa"/>
            <w:tcBorders>
              <w:top w:val="nil"/>
              <w:left w:val="nil"/>
              <w:bottom w:val="single" w:sz="8" w:space="0" w:color="auto"/>
              <w:right w:val="single" w:sz="8" w:space="0" w:color="auto"/>
            </w:tcBorders>
            <w:noWrap/>
            <w:vAlign w:val="center"/>
            <w:hideMark/>
          </w:tcPr>
          <w:p w14:paraId="431EB82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C26A1C9"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3AAB10FE"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Dopad na príjmy zdravotných poisťovní</w:t>
            </w:r>
          </w:p>
        </w:tc>
        <w:tc>
          <w:tcPr>
            <w:tcW w:w="1280" w:type="dxa"/>
            <w:tcBorders>
              <w:top w:val="nil"/>
              <w:left w:val="nil"/>
              <w:bottom w:val="single" w:sz="8" w:space="0" w:color="auto"/>
              <w:right w:val="single" w:sz="8" w:space="0" w:color="auto"/>
            </w:tcBorders>
            <w:shd w:val="clear" w:color="000000" w:fill="BFBFBF"/>
            <w:vAlign w:val="center"/>
            <w:hideMark/>
          </w:tcPr>
          <w:p w14:paraId="4FB7C62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vAlign w:val="center"/>
          </w:tcPr>
          <w:p w14:paraId="583A876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3 731 148</w:t>
            </w:r>
          </w:p>
        </w:tc>
        <w:tc>
          <w:tcPr>
            <w:tcW w:w="1420" w:type="dxa"/>
            <w:tcBorders>
              <w:top w:val="nil"/>
              <w:left w:val="nil"/>
              <w:bottom w:val="single" w:sz="8" w:space="0" w:color="auto"/>
              <w:right w:val="single" w:sz="8" w:space="0" w:color="auto"/>
            </w:tcBorders>
            <w:shd w:val="clear" w:color="000000" w:fill="BFBFBF"/>
            <w:vAlign w:val="center"/>
          </w:tcPr>
          <w:p w14:paraId="5868AF0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4 470 008</w:t>
            </w:r>
          </w:p>
        </w:tc>
        <w:tc>
          <w:tcPr>
            <w:tcW w:w="1420" w:type="dxa"/>
            <w:tcBorders>
              <w:top w:val="nil"/>
              <w:left w:val="nil"/>
              <w:bottom w:val="single" w:sz="8" w:space="0" w:color="auto"/>
              <w:right w:val="single" w:sz="8" w:space="0" w:color="auto"/>
            </w:tcBorders>
            <w:shd w:val="clear" w:color="000000" w:fill="BFBFBF"/>
            <w:vAlign w:val="center"/>
          </w:tcPr>
          <w:p w14:paraId="430FF6D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4 655 517</w:t>
            </w:r>
          </w:p>
        </w:tc>
        <w:tc>
          <w:tcPr>
            <w:tcW w:w="1320" w:type="dxa"/>
            <w:tcBorders>
              <w:top w:val="nil"/>
              <w:left w:val="nil"/>
              <w:bottom w:val="single" w:sz="8" w:space="0" w:color="auto"/>
              <w:right w:val="single" w:sz="8" w:space="0" w:color="auto"/>
            </w:tcBorders>
            <w:shd w:val="clear" w:color="000000" w:fill="BFBFBF"/>
            <w:noWrap/>
            <w:vAlign w:val="center"/>
            <w:hideMark/>
          </w:tcPr>
          <w:p w14:paraId="567C5DC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71199DF1"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7ECD258D"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1F268DEE"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251FB91B"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p>
    <w:p w14:paraId="4D0D0BE3" w14:textId="77777777" w:rsidR="00AD62CD" w:rsidRPr="00AD62CD" w:rsidRDefault="00AD62CD" w:rsidP="00AD62CD">
      <w:pPr>
        <w:spacing w:after="200" w:line="276" w:lineRule="auto"/>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br w:type="page"/>
      </w:r>
    </w:p>
    <w:p w14:paraId="088DDD75"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Tabuľka č. 4/A-1</w:t>
      </w: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5E320C1D"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5758AC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4958B8E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verejnej správy</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6BBA1E8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6B2C7031"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4107A41B"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5D2F650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7E442A8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1820DE4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3FFC243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4706CE7D"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r>
      <w:tr w:rsidR="00AD62CD" w:rsidRPr="00AD62CD" w14:paraId="1A50EEFD"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22D8FF6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Bežné výdavky (600)</w:t>
            </w:r>
          </w:p>
        </w:tc>
        <w:tc>
          <w:tcPr>
            <w:tcW w:w="1280" w:type="dxa"/>
            <w:tcBorders>
              <w:top w:val="nil"/>
              <w:left w:val="nil"/>
              <w:bottom w:val="single" w:sz="8" w:space="0" w:color="auto"/>
              <w:right w:val="single" w:sz="8" w:space="0" w:color="auto"/>
            </w:tcBorders>
            <w:vAlign w:val="center"/>
            <w:hideMark/>
          </w:tcPr>
          <w:p w14:paraId="79CA4EE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6142013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-5 657 484</w:t>
            </w:r>
          </w:p>
        </w:tc>
        <w:tc>
          <w:tcPr>
            <w:tcW w:w="1420" w:type="dxa"/>
            <w:tcBorders>
              <w:top w:val="nil"/>
              <w:left w:val="nil"/>
              <w:bottom w:val="single" w:sz="8" w:space="0" w:color="auto"/>
              <w:right w:val="single" w:sz="8" w:space="0" w:color="auto"/>
            </w:tcBorders>
            <w:vAlign w:val="center"/>
          </w:tcPr>
          <w:p w14:paraId="3C36247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-6 780 898</w:t>
            </w:r>
          </w:p>
        </w:tc>
        <w:tc>
          <w:tcPr>
            <w:tcW w:w="1420" w:type="dxa"/>
            <w:tcBorders>
              <w:top w:val="nil"/>
              <w:left w:val="nil"/>
              <w:bottom w:val="single" w:sz="8" w:space="0" w:color="auto"/>
              <w:right w:val="single" w:sz="8" w:space="0" w:color="auto"/>
            </w:tcBorders>
            <w:vAlign w:val="center"/>
          </w:tcPr>
          <w:p w14:paraId="04213ED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-7 108 224</w:t>
            </w:r>
          </w:p>
        </w:tc>
        <w:tc>
          <w:tcPr>
            <w:tcW w:w="1320" w:type="dxa"/>
            <w:tcBorders>
              <w:top w:val="nil"/>
              <w:left w:val="nil"/>
              <w:bottom w:val="single" w:sz="8" w:space="0" w:color="auto"/>
              <w:right w:val="single" w:sz="8" w:space="0" w:color="auto"/>
            </w:tcBorders>
            <w:noWrap/>
            <w:vAlign w:val="center"/>
            <w:hideMark/>
          </w:tcPr>
          <w:p w14:paraId="0A73DF7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6DD3B76"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2DED251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Mzdy, platy, služobné príjmy a ostatné osobné vyrovnania (610)</w:t>
            </w:r>
          </w:p>
        </w:tc>
        <w:tc>
          <w:tcPr>
            <w:tcW w:w="1280" w:type="dxa"/>
            <w:tcBorders>
              <w:top w:val="nil"/>
              <w:left w:val="nil"/>
              <w:bottom w:val="single" w:sz="8" w:space="0" w:color="auto"/>
              <w:right w:val="single" w:sz="8" w:space="0" w:color="auto"/>
            </w:tcBorders>
            <w:vAlign w:val="center"/>
            <w:hideMark/>
          </w:tcPr>
          <w:p w14:paraId="7DB3F01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7B0F7AC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0" w:type="dxa"/>
            <w:tcBorders>
              <w:top w:val="nil"/>
              <w:left w:val="nil"/>
              <w:bottom w:val="single" w:sz="8" w:space="0" w:color="auto"/>
              <w:right w:val="single" w:sz="8" w:space="0" w:color="auto"/>
            </w:tcBorders>
            <w:vAlign w:val="center"/>
          </w:tcPr>
          <w:p w14:paraId="1BE6E47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0" w:type="dxa"/>
            <w:tcBorders>
              <w:top w:val="nil"/>
              <w:left w:val="nil"/>
              <w:bottom w:val="single" w:sz="8" w:space="0" w:color="auto"/>
              <w:right w:val="single" w:sz="8" w:space="0" w:color="auto"/>
            </w:tcBorders>
            <w:vAlign w:val="center"/>
          </w:tcPr>
          <w:p w14:paraId="03D7628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320" w:type="dxa"/>
            <w:tcBorders>
              <w:top w:val="nil"/>
              <w:left w:val="nil"/>
              <w:bottom w:val="single" w:sz="8" w:space="0" w:color="auto"/>
              <w:right w:val="single" w:sz="8" w:space="0" w:color="auto"/>
            </w:tcBorders>
            <w:noWrap/>
            <w:vAlign w:val="center"/>
            <w:hideMark/>
          </w:tcPr>
          <w:p w14:paraId="78EC935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5E8FE2A"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103EE30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Poistné a príspevok do poisťovní (620)</w:t>
            </w:r>
          </w:p>
        </w:tc>
        <w:tc>
          <w:tcPr>
            <w:tcW w:w="1280" w:type="dxa"/>
            <w:tcBorders>
              <w:top w:val="nil"/>
              <w:left w:val="nil"/>
              <w:bottom w:val="single" w:sz="8" w:space="0" w:color="auto"/>
              <w:right w:val="single" w:sz="8" w:space="0" w:color="auto"/>
            </w:tcBorders>
            <w:vAlign w:val="center"/>
            <w:hideMark/>
          </w:tcPr>
          <w:p w14:paraId="5798501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0946812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0" w:type="dxa"/>
            <w:tcBorders>
              <w:top w:val="nil"/>
              <w:left w:val="nil"/>
              <w:bottom w:val="single" w:sz="8" w:space="0" w:color="auto"/>
              <w:right w:val="single" w:sz="8" w:space="0" w:color="auto"/>
            </w:tcBorders>
            <w:vAlign w:val="center"/>
          </w:tcPr>
          <w:p w14:paraId="70D6022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0" w:type="dxa"/>
            <w:tcBorders>
              <w:top w:val="nil"/>
              <w:left w:val="nil"/>
              <w:bottom w:val="single" w:sz="8" w:space="0" w:color="auto"/>
              <w:right w:val="single" w:sz="8" w:space="0" w:color="auto"/>
            </w:tcBorders>
            <w:vAlign w:val="center"/>
          </w:tcPr>
          <w:p w14:paraId="5D1E2AA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320" w:type="dxa"/>
            <w:tcBorders>
              <w:top w:val="nil"/>
              <w:left w:val="nil"/>
              <w:bottom w:val="single" w:sz="8" w:space="0" w:color="auto"/>
              <w:right w:val="single" w:sz="8" w:space="0" w:color="auto"/>
            </w:tcBorders>
            <w:noWrap/>
            <w:vAlign w:val="center"/>
            <w:hideMark/>
          </w:tcPr>
          <w:p w14:paraId="6956117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5D020E5"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766B555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Tovary a služby (630)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0EB6D54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1720243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0" w:type="dxa"/>
            <w:tcBorders>
              <w:top w:val="nil"/>
              <w:left w:val="nil"/>
              <w:bottom w:val="single" w:sz="8" w:space="0" w:color="auto"/>
              <w:right w:val="single" w:sz="8" w:space="0" w:color="auto"/>
            </w:tcBorders>
            <w:noWrap/>
            <w:vAlign w:val="center"/>
          </w:tcPr>
          <w:p w14:paraId="471A004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0" w:type="dxa"/>
            <w:tcBorders>
              <w:top w:val="nil"/>
              <w:left w:val="nil"/>
              <w:bottom w:val="single" w:sz="8" w:space="0" w:color="auto"/>
              <w:right w:val="single" w:sz="8" w:space="0" w:color="auto"/>
            </w:tcBorders>
            <w:noWrap/>
            <w:vAlign w:val="center"/>
          </w:tcPr>
          <w:p w14:paraId="4B89D41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320" w:type="dxa"/>
            <w:tcBorders>
              <w:top w:val="nil"/>
              <w:left w:val="nil"/>
              <w:bottom w:val="single" w:sz="8" w:space="0" w:color="auto"/>
              <w:right w:val="single" w:sz="8" w:space="0" w:color="auto"/>
            </w:tcBorders>
            <w:noWrap/>
            <w:vAlign w:val="center"/>
            <w:hideMark/>
          </w:tcPr>
          <w:p w14:paraId="019AAC4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5C02339"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3C8AC9C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Bežné transfery (640)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336AF14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28B7123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-5 657 484</w:t>
            </w:r>
          </w:p>
        </w:tc>
        <w:tc>
          <w:tcPr>
            <w:tcW w:w="1420" w:type="dxa"/>
            <w:tcBorders>
              <w:top w:val="nil"/>
              <w:left w:val="nil"/>
              <w:bottom w:val="single" w:sz="8" w:space="0" w:color="auto"/>
              <w:right w:val="single" w:sz="8" w:space="0" w:color="auto"/>
            </w:tcBorders>
            <w:noWrap/>
            <w:vAlign w:val="center"/>
          </w:tcPr>
          <w:p w14:paraId="12420D7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-6 780 898</w:t>
            </w:r>
          </w:p>
        </w:tc>
        <w:tc>
          <w:tcPr>
            <w:tcW w:w="1420" w:type="dxa"/>
            <w:tcBorders>
              <w:top w:val="nil"/>
              <w:left w:val="nil"/>
              <w:bottom w:val="single" w:sz="8" w:space="0" w:color="auto"/>
              <w:right w:val="single" w:sz="8" w:space="0" w:color="auto"/>
            </w:tcBorders>
            <w:noWrap/>
            <w:vAlign w:val="center"/>
          </w:tcPr>
          <w:p w14:paraId="0B0B470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-7 108 224</w:t>
            </w:r>
          </w:p>
        </w:tc>
        <w:tc>
          <w:tcPr>
            <w:tcW w:w="1320" w:type="dxa"/>
            <w:tcBorders>
              <w:top w:val="nil"/>
              <w:left w:val="nil"/>
              <w:bottom w:val="single" w:sz="8" w:space="0" w:color="auto"/>
              <w:right w:val="single" w:sz="8" w:space="0" w:color="auto"/>
            </w:tcBorders>
            <w:noWrap/>
            <w:vAlign w:val="center"/>
            <w:hideMark/>
          </w:tcPr>
          <w:p w14:paraId="4AB0A53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383DAB7"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67142A88" w14:textId="77777777" w:rsidR="00AD62CD" w:rsidRPr="00AD62CD" w:rsidRDefault="00AD62CD" w:rsidP="00AD62CD">
            <w:pPr>
              <w:spacing w:after="0" w:line="240" w:lineRule="auto"/>
              <w:ind w:firstLineChars="200" w:firstLine="400"/>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Transfery jednotlivcom a neziskovým právnickým osobám (642)</w:t>
            </w:r>
          </w:p>
        </w:tc>
        <w:tc>
          <w:tcPr>
            <w:tcW w:w="1280" w:type="dxa"/>
            <w:tcBorders>
              <w:top w:val="nil"/>
              <w:left w:val="nil"/>
              <w:bottom w:val="single" w:sz="8" w:space="0" w:color="auto"/>
              <w:right w:val="single" w:sz="8" w:space="0" w:color="auto"/>
            </w:tcBorders>
            <w:vAlign w:val="center"/>
            <w:hideMark/>
          </w:tcPr>
          <w:p w14:paraId="0BB081B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0D6E23C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-5 657 484</w:t>
            </w:r>
          </w:p>
        </w:tc>
        <w:tc>
          <w:tcPr>
            <w:tcW w:w="1420" w:type="dxa"/>
            <w:tcBorders>
              <w:top w:val="nil"/>
              <w:left w:val="nil"/>
              <w:bottom w:val="single" w:sz="8" w:space="0" w:color="auto"/>
              <w:right w:val="single" w:sz="8" w:space="0" w:color="auto"/>
            </w:tcBorders>
            <w:vAlign w:val="center"/>
          </w:tcPr>
          <w:p w14:paraId="556037C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-6 780 898</w:t>
            </w:r>
          </w:p>
        </w:tc>
        <w:tc>
          <w:tcPr>
            <w:tcW w:w="1420" w:type="dxa"/>
            <w:tcBorders>
              <w:top w:val="nil"/>
              <w:left w:val="nil"/>
              <w:bottom w:val="single" w:sz="8" w:space="0" w:color="auto"/>
              <w:right w:val="single" w:sz="8" w:space="0" w:color="auto"/>
            </w:tcBorders>
            <w:vAlign w:val="center"/>
          </w:tcPr>
          <w:p w14:paraId="6748B1F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-7 108 224</w:t>
            </w:r>
          </w:p>
        </w:tc>
        <w:tc>
          <w:tcPr>
            <w:tcW w:w="1320" w:type="dxa"/>
            <w:tcBorders>
              <w:top w:val="nil"/>
              <w:left w:val="nil"/>
              <w:bottom w:val="single" w:sz="8" w:space="0" w:color="auto"/>
              <w:right w:val="single" w:sz="8" w:space="0" w:color="auto"/>
            </w:tcBorders>
            <w:noWrap/>
            <w:vAlign w:val="center"/>
            <w:hideMark/>
          </w:tcPr>
          <w:p w14:paraId="6AE1624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F755165" w14:textId="77777777" w:rsidTr="003627DF">
        <w:trPr>
          <w:trHeight w:val="585"/>
        </w:trPr>
        <w:tc>
          <w:tcPr>
            <w:tcW w:w="7361" w:type="dxa"/>
            <w:tcBorders>
              <w:top w:val="nil"/>
              <w:left w:val="single" w:sz="8" w:space="0" w:color="auto"/>
              <w:bottom w:val="single" w:sz="8" w:space="0" w:color="auto"/>
              <w:right w:val="single" w:sz="8" w:space="0" w:color="auto"/>
            </w:tcBorders>
            <w:vAlign w:val="center"/>
            <w:hideMark/>
          </w:tcPr>
          <w:p w14:paraId="546A7CD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Splácanie úrokov a ostatné platby súvisiace s  úverom, pôžičkou, návratnou finančnou výpomocou a finančným prenájmom (650)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14432BB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6FF060B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0" w:type="dxa"/>
            <w:tcBorders>
              <w:top w:val="nil"/>
              <w:left w:val="nil"/>
              <w:bottom w:val="single" w:sz="8" w:space="0" w:color="auto"/>
              <w:right w:val="single" w:sz="8" w:space="0" w:color="auto"/>
            </w:tcBorders>
            <w:noWrap/>
            <w:vAlign w:val="center"/>
          </w:tcPr>
          <w:p w14:paraId="73BA715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0" w:type="dxa"/>
            <w:tcBorders>
              <w:top w:val="nil"/>
              <w:left w:val="nil"/>
              <w:bottom w:val="single" w:sz="8" w:space="0" w:color="auto"/>
              <w:right w:val="single" w:sz="8" w:space="0" w:color="auto"/>
            </w:tcBorders>
            <w:noWrap/>
            <w:vAlign w:val="center"/>
          </w:tcPr>
          <w:p w14:paraId="529C01C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320" w:type="dxa"/>
            <w:tcBorders>
              <w:top w:val="nil"/>
              <w:left w:val="nil"/>
              <w:bottom w:val="single" w:sz="8" w:space="0" w:color="auto"/>
              <w:right w:val="single" w:sz="8" w:space="0" w:color="auto"/>
            </w:tcBorders>
            <w:noWrap/>
            <w:vAlign w:val="center"/>
            <w:hideMark/>
          </w:tcPr>
          <w:p w14:paraId="45FD3F6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36E1870"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72C04B68"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výdavky (700)</w:t>
            </w:r>
          </w:p>
        </w:tc>
        <w:tc>
          <w:tcPr>
            <w:tcW w:w="1280" w:type="dxa"/>
            <w:tcBorders>
              <w:top w:val="nil"/>
              <w:left w:val="nil"/>
              <w:bottom w:val="single" w:sz="8" w:space="0" w:color="auto"/>
              <w:right w:val="single" w:sz="8" w:space="0" w:color="auto"/>
            </w:tcBorders>
            <w:vAlign w:val="center"/>
            <w:hideMark/>
          </w:tcPr>
          <w:p w14:paraId="5619CC1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36B6889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0" w:type="dxa"/>
            <w:tcBorders>
              <w:top w:val="nil"/>
              <w:left w:val="nil"/>
              <w:bottom w:val="single" w:sz="8" w:space="0" w:color="auto"/>
              <w:right w:val="single" w:sz="8" w:space="0" w:color="auto"/>
            </w:tcBorders>
            <w:vAlign w:val="center"/>
          </w:tcPr>
          <w:p w14:paraId="13A399B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0" w:type="dxa"/>
            <w:tcBorders>
              <w:top w:val="nil"/>
              <w:left w:val="nil"/>
              <w:bottom w:val="single" w:sz="8" w:space="0" w:color="auto"/>
              <w:right w:val="single" w:sz="8" w:space="0" w:color="auto"/>
            </w:tcBorders>
            <w:vAlign w:val="center"/>
          </w:tcPr>
          <w:p w14:paraId="064DFC6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20" w:type="dxa"/>
            <w:tcBorders>
              <w:top w:val="nil"/>
              <w:left w:val="nil"/>
              <w:bottom w:val="single" w:sz="8" w:space="0" w:color="auto"/>
              <w:right w:val="single" w:sz="8" w:space="0" w:color="auto"/>
            </w:tcBorders>
            <w:noWrap/>
            <w:vAlign w:val="center"/>
            <w:hideMark/>
          </w:tcPr>
          <w:p w14:paraId="78D8778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1685E00"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51AC428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Obstarávanie kapitálových aktív (710)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vAlign w:val="center"/>
            <w:hideMark/>
          </w:tcPr>
          <w:p w14:paraId="5881E81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0AB1EED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0" w:type="dxa"/>
            <w:tcBorders>
              <w:top w:val="nil"/>
              <w:left w:val="nil"/>
              <w:bottom w:val="single" w:sz="8" w:space="0" w:color="auto"/>
              <w:right w:val="single" w:sz="8" w:space="0" w:color="auto"/>
            </w:tcBorders>
            <w:vAlign w:val="center"/>
          </w:tcPr>
          <w:p w14:paraId="6725375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0" w:type="dxa"/>
            <w:tcBorders>
              <w:top w:val="nil"/>
              <w:left w:val="nil"/>
              <w:bottom w:val="single" w:sz="8" w:space="0" w:color="auto"/>
              <w:right w:val="single" w:sz="8" w:space="0" w:color="auto"/>
            </w:tcBorders>
            <w:vAlign w:val="center"/>
          </w:tcPr>
          <w:p w14:paraId="19C951D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320" w:type="dxa"/>
            <w:tcBorders>
              <w:top w:val="nil"/>
              <w:left w:val="nil"/>
              <w:bottom w:val="single" w:sz="8" w:space="0" w:color="auto"/>
              <w:right w:val="single" w:sz="8" w:space="0" w:color="auto"/>
            </w:tcBorders>
            <w:noWrap/>
            <w:vAlign w:val="center"/>
            <w:hideMark/>
          </w:tcPr>
          <w:p w14:paraId="5B5545E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5E6AE8D"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4BEB1C1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Kapitálové transfery (720)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vAlign w:val="center"/>
            <w:hideMark/>
          </w:tcPr>
          <w:p w14:paraId="15A15C0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6A54187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0" w:type="dxa"/>
            <w:tcBorders>
              <w:top w:val="nil"/>
              <w:left w:val="nil"/>
              <w:bottom w:val="single" w:sz="8" w:space="0" w:color="auto"/>
              <w:right w:val="single" w:sz="8" w:space="0" w:color="auto"/>
            </w:tcBorders>
            <w:vAlign w:val="center"/>
          </w:tcPr>
          <w:p w14:paraId="373B4F3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0" w:type="dxa"/>
            <w:tcBorders>
              <w:top w:val="nil"/>
              <w:left w:val="nil"/>
              <w:bottom w:val="single" w:sz="8" w:space="0" w:color="auto"/>
              <w:right w:val="single" w:sz="8" w:space="0" w:color="auto"/>
            </w:tcBorders>
            <w:vAlign w:val="center"/>
          </w:tcPr>
          <w:p w14:paraId="795BD85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320" w:type="dxa"/>
            <w:tcBorders>
              <w:top w:val="nil"/>
              <w:left w:val="nil"/>
              <w:bottom w:val="single" w:sz="8" w:space="0" w:color="auto"/>
              <w:right w:val="single" w:sz="8" w:space="0" w:color="auto"/>
            </w:tcBorders>
            <w:noWrap/>
            <w:vAlign w:val="center"/>
            <w:hideMark/>
          </w:tcPr>
          <w:p w14:paraId="53873AC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7717B6F"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7DC30AEB"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z transakcií s finančnými aktívami a finančnými pasívami (800)</w:t>
            </w:r>
          </w:p>
        </w:tc>
        <w:tc>
          <w:tcPr>
            <w:tcW w:w="1280" w:type="dxa"/>
            <w:tcBorders>
              <w:top w:val="nil"/>
              <w:left w:val="nil"/>
              <w:bottom w:val="single" w:sz="8" w:space="0" w:color="auto"/>
              <w:right w:val="single" w:sz="8" w:space="0" w:color="auto"/>
            </w:tcBorders>
            <w:vAlign w:val="center"/>
            <w:hideMark/>
          </w:tcPr>
          <w:p w14:paraId="3E86E65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583E582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0" w:type="dxa"/>
            <w:tcBorders>
              <w:top w:val="nil"/>
              <w:left w:val="nil"/>
              <w:bottom w:val="single" w:sz="8" w:space="0" w:color="auto"/>
              <w:right w:val="single" w:sz="8" w:space="0" w:color="auto"/>
            </w:tcBorders>
            <w:vAlign w:val="center"/>
          </w:tcPr>
          <w:p w14:paraId="6AC9199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0" w:type="dxa"/>
            <w:tcBorders>
              <w:top w:val="nil"/>
              <w:left w:val="nil"/>
              <w:bottom w:val="single" w:sz="8" w:space="0" w:color="auto"/>
              <w:right w:val="single" w:sz="8" w:space="0" w:color="auto"/>
            </w:tcBorders>
            <w:vAlign w:val="center"/>
          </w:tcPr>
          <w:p w14:paraId="3FE6FFD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320" w:type="dxa"/>
            <w:tcBorders>
              <w:top w:val="nil"/>
              <w:left w:val="nil"/>
              <w:bottom w:val="single" w:sz="8" w:space="0" w:color="auto"/>
              <w:right w:val="single" w:sz="8" w:space="0" w:color="auto"/>
            </w:tcBorders>
            <w:noWrap/>
            <w:vAlign w:val="center"/>
            <w:hideMark/>
          </w:tcPr>
          <w:p w14:paraId="1BF169B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8135787"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7798FEA7"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Dopad na výdavky verejnej správy celkom</w:t>
            </w:r>
          </w:p>
        </w:tc>
        <w:tc>
          <w:tcPr>
            <w:tcW w:w="1280" w:type="dxa"/>
            <w:tcBorders>
              <w:top w:val="nil"/>
              <w:left w:val="nil"/>
              <w:bottom w:val="single" w:sz="8" w:space="0" w:color="auto"/>
              <w:right w:val="single" w:sz="8" w:space="0" w:color="auto"/>
            </w:tcBorders>
            <w:shd w:val="clear" w:color="000000" w:fill="BFBFBF"/>
            <w:vAlign w:val="center"/>
            <w:hideMark/>
          </w:tcPr>
          <w:p w14:paraId="436E48C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vAlign w:val="center"/>
          </w:tcPr>
          <w:p w14:paraId="78E9BFC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-5 657 484</w:t>
            </w:r>
          </w:p>
        </w:tc>
        <w:tc>
          <w:tcPr>
            <w:tcW w:w="1420" w:type="dxa"/>
            <w:tcBorders>
              <w:top w:val="nil"/>
              <w:left w:val="nil"/>
              <w:bottom w:val="single" w:sz="8" w:space="0" w:color="auto"/>
              <w:right w:val="single" w:sz="8" w:space="0" w:color="auto"/>
            </w:tcBorders>
            <w:shd w:val="clear" w:color="000000" w:fill="BFBFBF"/>
            <w:vAlign w:val="center"/>
          </w:tcPr>
          <w:p w14:paraId="3A6FCAF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-6 780 898</w:t>
            </w:r>
          </w:p>
        </w:tc>
        <w:tc>
          <w:tcPr>
            <w:tcW w:w="1420" w:type="dxa"/>
            <w:tcBorders>
              <w:top w:val="nil"/>
              <w:left w:val="nil"/>
              <w:bottom w:val="single" w:sz="8" w:space="0" w:color="auto"/>
              <w:right w:val="single" w:sz="8" w:space="0" w:color="auto"/>
            </w:tcBorders>
            <w:shd w:val="clear" w:color="000000" w:fill="BFBFBF"/>
            <w:vAlign w:val="center"/>
          </w:tcPr>
          <w:p w14:paraId="6DCAB8F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-7 108 224</w:t>
            </w:r>
          </w:p>
        </w:tc>
        <w:tc>
          <w:tcPr>
            <w:tcW w:w="1320" w:type="dxa"/>
            <w:tcBorders>
              <w:top w:val="nil"/>
              <w:left w:val="nil"/>
              <w:bottom w:val="single" w:sz="8" w:space="0" w:color="auto"/>
              <w:right w:val="single" w:sz="8" w:space="0" w:color="auto"/>
            </w:tcBorders>
            <w:shd w:val="clear" w:color="000000" w:fill="BFBFBF"/>
            <w:noWrap/>
            <w:vAlign w:val="center"/>
            <w:hideMark/>
          </w:tcPr>
          <w:p w14:paraId="1526443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1911D1AD"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5BA5A899"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7D41CBBF" w14:textId="77777777" w:rsidR="00AD62CD" w:rsidRPr="00AD62CD" w:rsidRDefault="00AD62CD" w:rsidP="00AD62CD">
      <w:pPr>
        <w:spacing w:after="20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br w:type="page"/>
      </w:r>
    </w:p>
    <w:p w14:paraId="60325A3E"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Tabuľka č. 4/A-2</w:t>
      </w: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36BDCDC7"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6BCE01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16EE2EA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štátny rozpočet</w:t>
            </w:r>
          </w:p>
        </w:tc>
        <w:tc>
          <w:tcPr>
            <w:tcW w:w="1320" w:type="dxa"/>
            <w:tcBorders>
              <w:top w:val="single" w:sz="8" w:space="0" w:color="auto"/>
              <w:left w:val="nil"/>
              <w:bottom w:val="single" w:sz="8" w:space="0" w:color="000000"/>
              <w:right w:val="single" w:sz="8" w:space="0" w:color="auto"/>
            </w:tcBorders>
            <w:shd w:val="clear" w:color="000000" w:fill="BFBFBF"/>
            <w:noWrap/>
            <w:vAlign w:val="center"/>
            <w:hideMark/>
          </w:tcPr>
          <w:p w14:paraId="4A804AA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09DCB0C8"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2A8C1998"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5BBEAEF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3D4A1B6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5F0A4609"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282DBEA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20" w:type="dxa"/>
            <w:tcBorders>
              <w:top w:val="nil"/>
              <w:left w:val="nil"/>
              <w:bottom w:val="single" w:sz="8" w:space="0" w:color="000000"/>
              <w:right w:val="single" w:sz="8" w:space="0" w:color="auto"/>
            </w:tcBorders>
            <w:vAlign w:val="center"/>
            <w:hideMark/>
          </w:tcPr>
          <w:p w14:paraId="7DF70DE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9E1C18E"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7276B11C"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Bežné výdavky (600)</w:t>
            </w:r>
          </w:p>
        </w:tc>
        <w:tc>
          <w:tcPr>
            <w:tcW w:w="1280" w:type="dxa"/>
            <w:tcBorders>
              <w:top w:val="nil"/>
              <w:left w:val="nil"/>
              <w:bottom w:val="single" w:sz="8" w:space="0" w:color="auto"/>
              <w:right w:val="single" w:sz="8" w:space="0" w:color="auto"/>
            </w:tcBorders>
            <w:vAlign w:val="center"/>
            <w:hideMark/>
          </w:tcPr>
          <w:p w14:paraId="4E7571D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0A9C0F1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1FFC50C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2DB3D78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676146B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BCF7705"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04CB227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Mzdy, platy, služobné príjmy a ostatné osobné vyrovnania (610)</w:t>
            </w:r>
          </w:p>
        </w:tc>
        <w:tc>
          <w:tcPr>
            <w:tcW w:w="1280" w:type="dxa"/>
            <w:tcBorders>
              <w:top w:val="nil"/>
              <w:left w:val="nil"/>
              <w:bottom w:val="single" w:sz="8" w:space="0" w:color="auto"/>
              <w:right w:val="single" w:sz="8" w:space="0" w:color="auto"/>
            </w:tcBorders>
            <w:noWrap/>
            <w:vAlign w:val="center"/>
            <w:hideMark/>
          </w:tcPr>
          <w:p w14:paraId="7FF67D8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2E39C03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7890C01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6426540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2D734FF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EB2C09A"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2115CED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Poistné a príspevok do poisťovní (620)</w:t>
            </w:r>
          </w:p>
        </w:tc>
        <w:tc>
          <w:tcPr>
            <w:tcW w:w="1280" w:type="dxa"/>
            <w:tcBorders>
              <w:top w:val="nil"/>
              <w:left w:val="nil"/>
              <w:bottom w:val="single" w:sz="8" w:space="0" w:color="auto"/>
              <w:right w:val="single" w:sz="8" w:space="0" w:color="auto"/>
            </w:tcBorders>
            <w:noWrap/>
            <w:vAlign w:val="center"/>
            <w:hideMark/>
          </w:tcPr>
          <w:p w14:paraId="5CABCCC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45DC494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2EF5331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FB4E51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29C4D1D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29A275B"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2A93C73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Tovary a služby (630)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024D3E0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68505D5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6E1AB10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1106F84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5370347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21C7292"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3EE48B4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Bežné transfery (640)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vAlign w:val="center"/>
            <w:hideMark/>
          </w:tcPr>
          <w:p w14:paraId="60BFE5A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3CD92C3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728285A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144D8C8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7E1476B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9EE0B01"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48644E8A" w14:textId="77777777" w:rsidR="00AD62CD" w:rsidRPr="00AD62CD" w:rsidRDefault="00AD62CD" w:rsidP="00AD62CD">
            <w:pPr>
              <w:spacing w:after="0" w:line="240" w:lineRule="auto"/>
              <w:ind w:firstLineChars="200" w:firstLine="400"/>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Transfery jednotlivcom a neziskovým právnickým osobám (642)</w:t>
            </w:r>
          </w:p>
        </w:tc>
        <w:tc>
          <w:tcPr>
            <w:tcW w:w="1280" w:type="dxa"/>
            <w:tcBorders>
              <w:top w:val="nil"/>
              <w:left w:val="nil"/>
              <w:bottom w:val="single" w:sz="8" w:space="0" w:color="auto"/>
              <w:right w:val="single" w:sz="8" w:space="0" w:color="auto"/>
            </w:tcBorders>
            <w:noWrap/>
            <w:vAlign w:val="center"/>
            <w:hideMark/>
          </w:tcPr>
          <w:p w14:paraId="4B25D59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057F799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66956A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122D02C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63CF7CA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F5C9DC6" w14:textId="77777777" w:rsidTr="003627DF">
        <w:trPr>
          <w:trHeight w:val="585"/>
        </w:trPr>
        <w:tc>
          <w:tcPr>
            <w:tcW w:w="7361" w:type="dxa"/>
            <w:tcBorders>
              <w:top w:val="nil"/>
              <w:left w:val="single" w:sz="8" w:space="0" w:color="auto"/>
              <w:bottom w:val="single" w:sz="8" w:space="0" w:color="auto"/>
              <w:right w:val="single" w:sz="8" w:space="0" w:color="auto"/>
            </w:tcBorders>
            <w:vAlign w:val="center"/>
            <w:hideMark/>
          </w:tcPr>
          <w:p w14:paraId="2C28F44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Splácanie úrokov a ostatné platby súvisiace s  úverom, pôžičkou, návratnou finančnou výpomocou a finančným prenájmom (650)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3A2F927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4E11ECA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20B11A0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453FC04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39C03FC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1CA3F72"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3F1D89E6"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výdavky (700)</w:t>
            </w:r>
          </w:p>
        </w:tc>
        <w:tc>
          <w:tcPr>
            <w:tcW w:w="1280" w:type="dxa"/>
            <w:tcBorders>
              <w:top w:val="nil"/>
              <w:left w:val="nil"/>
              <w:bottom w:val="single" w:sz="8" w:space="0" w:color="auto"/>
              <w:right w:val="single" w:sz="8" w:space="0" w:color="auto"/>
            </w:tcBorders>
            <w:vAlign w:val="center"/>
            <w:hideMark/>
          </w:tcPr>
          <w:p w14:paraId="6B4015A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148B33A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3B49904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1030718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2D80D07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B4F285F"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06F0C69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Obstarávanie kapitálových aktív (710)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5DFE6D7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04BA17F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72363F3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2624DF3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6F9391D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DE51B1C"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76CC85C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Kapitálové transfery (720)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1F34DEC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4A53A78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64FA09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37D0AEE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5BD38D6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8119FD7"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394DE7D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z transakcií s finančnými aktívami a finančnými pasívami (800)</w:t>
            </w:r>
          </w:p>
        </w:tc>
        <w:tc>
          <w:tcPr>
            <w:tcW w:w="1280" w:type="dxa"/>
            <w:tcBorders>
              <w:top w:val="nil"/>
              <w:left w:val="nil"/>
              <w:bottom w:val="single" w:sz="8" w:space="0" w:color="auto"/>
              <w:right w:val="single" w:sz="8" w:space="0" w:color="auto"/>
            </w:tcBorders>
            <w:vAlign w:val="center"/>
            <w:hideMark/>
          </w:tcPr>
          <w:p w14:paraId="7CC35DA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6DEC748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233F6D5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53522D5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12A17BA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1E25CC0"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372DE3B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výdavky verejnej správy celkom</w:t>
            </w:r>
          </w:p>
        </w:tc>
        <w:tc>
          <w:tcPr>
            <w:tcW w:w="1280" w:type="dxa"/>
            <w:tcBorders>
              <w:top w:val="nil"/>
              <w:left w:val="nil"/>
              <w:bottom w:val="single" w:sz="8" w:space="0" w:color="auto"/>
              <w:right w:val="single" w:sz="8" w:space="0" w:color="auto"/>
            </w:tcBorders>
            <w:shd w:val="clear" w:color="000000" w:fill="BFBFBF"/>
            <w:vAlign w:val="center"/>
            <w:hideMark/>
          </w:tcPr>
          <w:p w14:paraId="7685601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vAlign w:val="center"/>
          </w:tcPr>
          <w:p w14:paraId="75C4E55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vAlign w:val="center"/>
          </w:tcPr>
          <w:p w14:paraId="1D9F2C6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vAlign w:val="center"/>
          </w:tcPr>
          <w:p w14:paraId="7E7801C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000000" w:fill="BFBFBF"/>
            <w:noWrap/>
            <w:vAlign w:val="center"/>
            <w:hideMark/>
          </w:tcPr>
          <w:p w14:paraId="5CE9014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140D23CB"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5722E7E7"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71277BDB" w14:textId="77777777" w:rsidR="00AD62CD" w:rsidRPr="00AD62CD" w:rsidRDefault="00AD62CD" w:rsidP="00AD62CD">
      <w:pPr>
        <w:spacing w:after="20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br w:type="page"/>
      </w:r>
    </w:p>
    <w:p w14:paraId="12C772D4"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Tabuľka č. 4/A-3</w:t>
      </w: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2E52B878"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88CE2A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1FDF8D3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obce</w:t>
            </w:r>
          </w:p>
        </w:tc>
        <w:tc>
          <w:tcPr>
            <w:tcW w:w="1320" w:type="dxa"/>
            <w:tcBorders>
              <w:top w:val="single" w:sz="8" w:space="0" w:color="auto"/>
              <w:left w:val="nil"/>
              <w:bottom w:val="single" w:sz="8" w:space="0" w:color="000000"/>
              <w:right w:val="single" w:sz="8" w:space="0" w:color="auto"/>
            </w:tcBorders>
            <w:shd w:val="clear" w:color="000000" w:fill="BFBFBF"/>
            <w:noWrap/>
            <w:vAlign w:val="center"/>
            <w:hideMark/>
          </w:tcPr>
          <w:p w14:paraId="5E383B9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781298CF"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367B984E"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3E8EB17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033B06D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0A82FD9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5E47514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20" w:type="dxa"/>
            <w:tcBorders>
              <w:top w:val="nil"/>
              <w:left w:val="nil"/>
              <w:bottom w:val="single" w:sz="8" w:space="0" w:color="000000"/>
              <w:right w:val="single" w:sz="8" w:space="0" w:color="auto"/>
            </w:tcBorders>
            <w:vAlign w:val="center"/>
            <w:hideMark/>
          </w:tcPr>
          <w:p w14:paraId="71056C2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414A0AE"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7C7D4797"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Bežné výdavky (600)</w:t>
            </w:r>
          </w:p>
        </w:tc>
        <w:tc>
          <w:tcPr>
            <w:tcW w:w="1280" w:type="dxa"/>
            <w:tcBorders>
              <w:top w:val="nil"/>
              <w:left w:val="nil"/>
              <w:bottom w:val="single" w:sz="8" w:space="0" w:color="auto"/>
              <w:right w:val="single" w:sz="8" w:space="0" w:color="auto"/>
            </w:tcBorders>
            <w:vAlign w:val="center"/>
            <w:hideMark/>
          </w:tcPr>
          <w:p w14:paraId="6D30589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72C2EED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3B50CC0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25AFE50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67F16DF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39E942A"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1665080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Mzdy, platy, služobné príjmy a ostatné osobné vyrovnania (610)</w:t>
            </w:r>
          </w:p>
        </w:tc>
        <w:tc>
          <w:tcPr>
            <w:tcW w:w="1280" w:type="dxa"/>
            <w:tcBorders>
              <w:top w:val="nil"/>
              <w:left w:val="nil"/>
              <w:bottom w:val="single" w:sz="8" w:space="0" w:color="auto"/>
              <w:right w:val="single" w:sz="8" w:space="0" w:color="auto"/>
            </w:tcBorders>
            <w:noWrap/>
            <w:vAlign w:val="center"/>
            <w:hideMark/>
          </w:tcPr>
          <w:p w14:paraId="3CF1E60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2713AE6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3916A74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351BD39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0791135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0AC3283"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55A700A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Poistné a príspevok do poisťovní (620)</w:t>
            </w:r>
          </w:p>
        </w:tc>
        <w:tc>
          <w:tcPr>
            <w:tcW w:w="1280" w:type="dxa"/>
            <w:tcBorders>
              <w:top w:val="nil"/>
              <w:left w:val="nil"/>
              <w:bottom w:val="single" w:sz="8" w:space="0" w:color="auto"/>
              <w:right w:val="single" w:sz="8" w:space="0" w:color="auto"/>
            </w:tcBorders>
            <w:noWrap/>
            <w:vAlign w:val="center"/>
            <w:hideMark/>
          </w:tcPr>
          <w:p w14:paraId="02CFCD2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78FDE82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3FC0B0C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5E49EC0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54F185F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128936F"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791A9BC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Tovary a služby (630)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0CD66F5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19794A6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5D28DC7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39E82C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730C7D1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D5B865F"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4CACD15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Bežné transfery (640)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vAlign w:val="center"/>
            <w:hideMark/>
          </w:tcPr>
          <w:p w14:paraId="1CE772B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762878D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09B1EB2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0997705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11BCA6E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E8FD9AC"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0B3EA290" w14:textId="77777777" w:rsidR="00AD62CD" w:rsidRPr="00AD62CD" w:rsidRDefault="00AD62CD" w:rsidP="00AD62CD">
            <w:pPr>
              <w:spacing w:after="0" w:line="240" w:lineRule="auto"/>
              <w:ind w:firstLineChars="200" w:firstLine="400"/>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Transfery jednotlivcom a neziskovým právnickým osobám (642)</w:t>
            </w:r>
          </w:p>
        </w:tc>
        <w:tc>
          <w:tcPr>
            <w:tcW w:w="1280" w:type="dxa"/>
            <w:tcBorders>
              <w:top w:val="nil"/>
              <w:left w:val="nil"/>
              <w:bottom w:val="single" w:sz="8" w:space="0" w:color="auto"/>
              <w:right w:val="single" w:sz="8" w:space="0" w:color="auto"/>
            </w:tcBorders>
            <w:noWrap/>
            <w:vAlign w:val="center"/>
            <w:hideMark/>
          </w:tcPr>
          <w:p w14:paraId="7CEF1CB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7C2C9CD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568A160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A7D269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7E3DA92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2F334D2" w14:textId="77777777" w:rsidTr="003627DF">
        <w:trPr>
          <w:trHeight w:val="585"/>
        </w:trPr>
        <w:tc>
          <w:tcPr>
            <w:tcW w:w="7361" w:type="dxa"/>
            <w:tcBorders>
              <w:top w:val="nil"/>
              <w:left w:val="single" w:sz="8" w:space="0" w:color="auto"/>
              <w:bottom w:val="single" w:sz="8" w:space="0" w:color="auto"/>
              <w:right w:val="single" w:sz="8" w:space="0" w:color="auto"/>
            </w:tcBorders>
            <w:vAlign w:val="center"/>
            <w:hideMark/>
          </w:tcPr>
          <w:p w14:paraId="0F9E697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Splácanie úrokov a ostatné platby súvisiace s  úverom, pôžičkou, návratnou finančnou výpomocou a finančným prenájmom (650)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4B41974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2E54975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7E3DDE2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2681902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53843BB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DDEE82A"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173E1A42"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výdavky (700)</w:t>
            </w:r>
          </w:p>
        </w:tc>
        <w:tc>
          <w:tcPr>
            <w:tcW w:w="1280" w:type="dxa"/>
            <w:tcBorders>
              <w:top w:val="nil"/>
              <w:left w:val="nil"/>
              <w:bottom w:val="single" w:sz="8" w:space="0" w:color="auto"/>
              <w:right w:val="single" w:sz="8" w:space="0" w:color="auto"/>
            </w:tcBorders>
            <w:vAlign w:val="center"/>
            <w:hideMark/>
          </w:tcPr>
          <w:p w14:paraId="448211C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4CF08A7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42FC86D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6CCCD15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0889145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7D2EE0E"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3B7D457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Obstarávanie kapitálových aktív (710)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4FDE8E2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2800DA5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43C529D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7DE264E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71460FA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23759BA"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6203631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Kapitálové transfery (720)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36FCE7D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1F57A47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04E006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4B72B46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0A7FC1B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BE71A00"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007A230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z transakcií s finančnými aktívami a finančnými pasívami (800)</w:t>
            </w:r>
          </w:p>
        </w:tc>
        <w:tc>
          <w:tcPr>
            <w:tcW w:w="1280" w:type="dxa"/>
            <w:tcBorders>
              <w:top w:val="nil"/>
              <w:left w:val="nil"/>
              <w:bottom w:val="single" w:sz="8" w:space="0" w:color="auto"/>
              <w:right w:val="single" w:sz="8" w:space="0" w:color="auto"/>
            </w:tcBorders>
            <w:noWrap/>
            <w:vAlign w:val="center"/>
            <w:hideMark/>
          </w:tcPr>
          <w:p w14:paraId="689E204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1548224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B56BEE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19E5781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133D90C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6F9CEA7"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2BDD3C5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výdavky verejnej správy celkom</w:t>
            </w:r>
          </w:p>
        </w:tc>
        <w:tc>
          <w:tcPr>
            <w:tcW w:w="1280" w:type="dxa"/>
            <w:tcBorders>
              <w:top w:val="nil"/>
              <w:left w:val="nil"/>
              <w:bottom w:val="single" w:sz="8" w:space="0" w:color="auto"/>
              <w:right w:val="single" w:sz="8" w:space="0" w:color="auto"/>
            </w:tcBorders>
            <w:shd w:val="clear" w:color="000000" w:fill="BFBFBF"/>
            <w:vAlign w:val="center"/>
            <w:hideMark/>
          </w:tcPr>
          <w:p w14:paraId="6160438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vAlign w:val="center"/>
          </w:tcPr>
          <w:p w14:paraId="450C345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vAlign w:val="center"/>
          </w:tcPr>
          <w:p w14:paraId="003FD4D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vAlign w:val="center"/>
          </w:tcPr>
          <w:p w14:paraId="2BD494D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000000" w:fill="BFBFBF"/>
            <w:noWrap/>
            <w:vAlign w:val="center"/>
            <w:hideMark/>
          </w:tcPr>
          <w:p w14:paraId="155EF56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6879D321"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24A57993"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7B35B50B" w14:textId="77777777" w:rsidR="00AD62CD" w:rsidRPr="00AD62CD" w:rsidRDefault="00AD62CD" w:rsidP="00AD62CD">
      <w:pPr>
        <w:spacing w:after="20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br w:type="page"/>
      </w:r>
    </w:p>
    <w:p w14:paraId="566F737C"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Tabuľka č. 4/A-4</w:t>
      </w: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0E035D0E"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CAE4C1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15A8F0D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vyššie územné celky</w:t>
            </w:r>
          </w:p>
        </w:tc>
        <w:tc>
          <w:tcPr>
            <w:tcW w:w="1320" w:type="dxa"/>
            <w:tcBorders>
              <w:top w:val="single" w:sz="8" w:space="0" w:color="auto"/>
              <w:left w:val="nil"/>
              <w:bottom w:val="single" w:sz="8" w:space="0" w:color="000000"/>
              <w:right w:val="single" w:sz="8" w:space="0" w:color="auto"/>
            </w:tcBorders>
            <w:shd w:val="clear" w:color="000000" w:fill="BFBFBF"/>
            <w:noWrap/>
            <w:vAlign w:val="center"/>
            <w:hideMark/>
          </w:tcPr>
          <w:p w14:paraId="0D2CE2B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0464C7C4"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3215A73F"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03BDE87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278BE92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3D7B974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4966E45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20" w:type="dxa"/>
            <w:tcBorders>
              <w:top w:val="nil"/>
              <w:left w:val="nil"/>
              <w:bottom w:val="single" w:sz="8" w:space="0" w:color="000000"/>
              <w:right w:val="single" w:sz="8" w:space="0" w:color="auto"/>
            </w:tcBorders>
            <w:vAlign w:val="center"/>
            <w:hideMark/>
          </w:tcPr>
          <w:p w14:paraId="0B52D93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8232A04"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29504C1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Bežné výdavky (600)</w:t>
            </w:r>
          </w:p>
        </w:tc>
        <w:tc>
          <w:tcPr>
            <w:tcW w:w="1280" w:type="dxa"/>
            <w:tcBorders>
              <w:top w:val="nil"/>
              <w:left w:val="nil"/>
              <w:bottom w:val="single" w:sz="8" w:space="0" w:color="auto"/>
              <w:right w:val="single" w:sz="8" w:space="0" w:color="auto"/>
            </w:tcBorders>
            <w:vAlign w:val="center"/>
            <w:hideMark/>
          </w:tcPr>
          <w:p w14:paraId="08832C4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2B465C3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454B605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77BC180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05F30C1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DA6E500"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580FB19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Mzdy, platy, služobné príjmy a ostatné osobné vyrovnania (610)</w:t>
            </w:r>
          </w:p>
        </w:tc>
        <w:tc>
          <w:tcPr>
            <w:tcW w:w="1280" w:type="dxa"/>
            <w:tcBorders>
              <w:top w:val="nil"/>
              <w:left w:val="nil"/>
              <w:bottom w:val="single" w:sz="8" w:space="0" w:color="auto"/>
              <w:right w:val="single" w:sz="8" w:space="0" w:color="auto"/>
            </w:tcBorders>
            <w:noWrap/>
            <w:vAlign w:val="center"/>
            <w:hideMark/>
          </w:tcPr>
          <w:p w14:paraId="6D1DF64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317CFF1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2354042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692F44D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5571110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2902262"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36AC185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Poistné a príspevok do poisťovní (620)</w:t>
            </w:r>
          </w:p>
        </w:tc>
        <w:tc>
          <w:tcPr>
            <w:tcW w:w="1280" w:type="dxa"/>
            <w:tcBorders>
              <w:top w:val="nil"/>
              <w:left w:val="nil"/>
              <w:bottom w:val="single" w:sz="8" w:space="0" w:color="auto"/>
              <w:right w:val="single" w:sz="8" w:space="0" w:color="auto"/>
            </w:tcBorders>
            <w:noWrap/>
            <w:vAlign w:val="center"/>
            <w:hideMark/>
          </w:tcPr>
          <w:p w14:paraId="032E149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19D81EE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1325383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15E97ED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39B43CE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EE9BCAB"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7E83EE9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Tovary a služby (630)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2665847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1F972F6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60182E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30738D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471BC1E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7609882"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37F7B42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Bežné transfery (640)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vAlign w:val="center"/>
            <w:hideMark/>
          </w:tcPr>
          <w:p w14:paraId="34C61ED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2F99270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217BB92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227AACB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5740AE0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A889E06"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7FC790E2" w14:textId="77777777" w:rsidR="00AD62CD" w:rsidRPr="00AD62CD" w:rsidRDefault="00AD62CD" w:rsidP="00AD62CD">
            <w:pPr>
              <w:spacing w:after="0" w:line="240" w:lineRule="auto"/>
              <w:ind w:firstLineChars="200" w:firstLine="400"/>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Transfery jednotlivcom a neziskovým právnickým osobám (642)</w:t>
            </w:r>
          </w:p>
        </w:tc>
        <w:tc>
          <w:tcPr>
            <w:tcW w:w="1280" w:type="dxa"/>
            <w:tcBorders>
              <w:top w:val="nil"/>
              <w:left w:val="nil"/>
              <w:bottom w:val="single" w:sz="8" w:space="0" w:color="auto"/>
              <w:right w:val="single" w:sz="8" w:space="0" w:color="auto"/>
            </w:tcBorders>
            <w:noWrap/>
            <w:vAlign w:val="center"/>
            <w:hideMark/>
          </w:tcPr>
          <w:p w14:paraId="260E304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095DF4B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74821F2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3EF1A24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56EBAE3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2CD3F99" w14:textId="77777777" w:rsidTr="003627DF">
        <w:trPr>
          <w:trHeight w:val="585"/>
        </w:trPr>
        <w:tc>
          <w:tcPr>
            <w:tcW w:w="7361" w:type="dxa"/>
            <w:tcBorders>
              <w:top w:val="nil"/>
              <w:left w:val="single" w:sz="8" w:space="0" w:color="auto"/>
              <w:bottom w:val="single" w:sz="8" w:space="0" w:color="auto"/>
              <w:right w:val="single" w:sz="8" w:space="0" w:color="auto"/>
            </w:tcBorders>
            <w:vAlign w:val="center"/>
            <w:hideMark/>
          </w:tcPr>
          <w:p w14:paraId="56231EA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Splácanie úrokov a ostatné platby súvisiace s  úverom, pôžičkou, návratnou finančnou výpomocou a finančným prenájmom (650)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1C5CAC2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2A458E8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49792DD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48DFE99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511236C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F2BA047"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570DA45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výdavky (700)</w:t>
            </w:r>
          </w:p>
        </w:tc>
        <w:tc>
          <w:tcPr>
            <w:tcW w:w="1280" w:type="dxa"/>
            <w:tcBorders>
              <w:top w:val="nil"/>
              <w:left w:val="nil"/>
              <w:bottom w:val="single" w:sz="8" w:space="0" w:color="auto"/>
              <w:right w:val="single" w:sz="8" w:space="0" w:color="auto"/>
            </w:tcBorders>
            <w:vAlign w:val="center"/>
            <w:hideMark/>
          </w:tcPr>
          <w:p w14:paraId="4166ED6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24AD968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32748F4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3CA9BFF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5736DF9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F795961"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77B0C57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Obstarávanie kapitálových aktív (710)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53955CC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2415D8D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752CD56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5403785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242D0DD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A8D44E0"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1D66E1B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Kapitálové transfery (720)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0EEEE11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7D3EB3A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697F0E9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4A60B47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7AF816B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844AEFF"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389814B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z transakcií s finančnými aktívami a finančnými pasívami (800)</w:t>
            </w:r>
          </w:p>
        </w:tc>
        <w:tc>
          <w:tcPr>
            <w:tcW w:w="1280" w:type="dxa"/>
            <w:tcBorders>
              <w:top w:val="nil"/>
              <w:left w:val="nil"/>
              <w:bottom w:val="single" w:sz="8" w:space="0" w:color="auto"/>
              <w:right w:val="single" w:sz="8" w:space="0" w:color="auto"/>
            </w:tcBorders>
            <w:noWrap/>
            <w:vAlign w:val="center"/>
            <w:hideMark/>
          </w:tcPr>
          <w:p w14:paraId="3D5FE4C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22D7C15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4A21F34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137F23F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0F92A80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25A8480"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4DFA24AF"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výdavky verejnej správy celkom</w:t>
            </w:r>
          </w:p>
        </w:tc>
        <w:tc>
          <w:tcPr>
            <w:tcW w:w="1280" w:type="dxa"/>
            <w:tcBorders>
              <w:top w:val="nil"/>
              <w:left w:val="nil"/>
              <w:bottom w:val="single" w:sz="8" w:space="0" w:color="auto"/>
              <w:right w:val="single" w:sz="8" w:space="0" w:color="auto"/>
            </w:tcBorders>
            <w:shd w:val="clear" w:color="000000" w:fill="BFBFBF"/>
            <w:vAlign w:val="center"/>
            <w:hideMark/>
          </w:tcPr>
          <w:p w14:paraId="105E225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vAlign w:val="center"/>
          </w:tcPr>
          <w:p w14:paraId="065767F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vAlign w:val="center"/>
          </w:tcPr>
          <w:p w14:paraId="623CA08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vAlign w:val="center"/>
          </w:tcPr>
          <w:p w14:paraId="4AE782E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000000" w:fill="BFBFBF"/>
            <w:noWrap/>
            <w:vAlign w:val="center"/>
            <w:hideMark/>
          </w:tcPr>
          <w:p w14:paraId="2E94ED2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0599F719"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7EA93054"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3BAFF3D6" w14:textId="77777777" w:rsidR="00AD62CD" w:rsidRPr="00AD62CD" w:rsidRDefault="00AD62CD" w:rsidP="00AD62CD">
      <w:pPr>
        <w:spacing w:after="20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br w:type="page"/>
      </w:r>
    </w:p>
    <w:p w14:paraId="682A332E"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Tabuľka č. 4/A-5</w:t>
      </w:r>
    </w:p>
    <w:tbl>
      <w:tblPr>
        <w:tblW w:w="14198" w:type="dxa"/>
        <w:tblCellMar>
          <w:left w:w="70" w:type="dxa"/>
          <w:right w:w="70" w:type="dxa"/>
        </w:tblCellMar>
        <w:tblLook w:val="04A0" w:firstRow="1" w:lastRow="0" w:firstColumn="1" w:lastColumn="0" w:noHBand="0" w:noVBand="1"/>
      </w:tblPr>
      <w:tblGrid>
        <w:gridCol w:w="7361"/>
        <w:gridCol w:w="1275"/>
        <w:gridCol w:w="1402"/>
        <w:gridCol w:w="1420"/>
        <w:gridCol w:w="1420"/>
        <w:gridCol w:w="1320"/>
      </w:tblGrid>
      <w:tr w:rsidR="00AD62CD" w:rsidRPr="00AD62CD" w14:paraId="6F48484B"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5FA4EC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(v eurách)</w:t>
            </w:r>
          </w:p>
        </w:tc>
        <w:tc>
          <w:tcPr>
            <w:tcW w:w="5517" w:type="dxa"/>
            <w:gridSpan w:val="4"/>
            <w:tcBorders>
              <w:top w:val="single" w:sz="8" w:space="0" w:color="auto"/>
              <w:left w:val="nil"/>
              <w:bottom w:val="single" w:sz="8" w:space="0" w:color="auto"/>
              <w:right w:val="single" w:sz="8" w:space="0" w:color="000000"/>
            </w:tcBorders>
            <w:shd w:val="clear" w:color="000000" w:fill="BFBFBF"/>
            <w:vAlign w:val="center"/>
            <w:hideMark/>
          </w:tcPr>
          <w:p w14:paraId="5EAC93F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Sociálnu poisťovňu</w:t>
            </w:r>
          </w:p>
        </w:tc>
        <w:tc>
          <w:tcPr>
            <w:tcW w:w="1320" w:type="dxa"/>
            <w:tcBorders>
              <w:top w:val="single" w:sz="8" w:space="0" w:color="auto"/>
              <w:left w:val="nil"/>
              <w:bottom w:val="single" w:sz="8" w:space="0" w:color="000000"/>
              <w:right w:val="single" w:sz="8" w:space="0" w:color="auto"/>
            </w:tcBorders>
            <w:shd w:val="clear" w:color="000000" w:fill="BFBFBF"/>
            <w:noWrap/>
            <w:vAlign w:val="center"/>
            <w:hideMark/>
          </w:tcPr>
          <w:p w14:paraId="1DB6222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025DFC8A"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430A4C3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75" w:type="dxa"/>
            <w:tcBorders>
              <w:top w:val="nil"/>
              <w:left w:val="nil"/>
              <w:bottom w:val="single" w:sz="8" w:space="0" w:color="auto"/>
              <w:right w:val="single" w:sz="8" w:space="0" w:color="auto"/>
            </w:tcBorders>
            <w:shd w:val="clear" w:color="000000" w:fill="BFBFBF"/>
            <w:vAlign w:val="center"/>
            <w:hideMark/>
          </w:tcPr>
          <w:p w14:paraId="7D1A0A2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402" w:type="dxa"/>
            <w:tcBorders>
              <w:top w:val="nil"/>
              <w:left w:val="nil"/>
              <w:bottom w:val="single" w:sz="8" w:space="0" w:color="auto"/>
              <w:right w:val="single" w:sz="8" w:space="0" w:color="auto"/>
            </w:tcBorders>
            <w:shd w:val="clear" w:color="000000" w:fill="BFBFBF"/>
            <w:vAlign w:val="center"/>
            <w:hideMark/>
          </w:tcPr>
          <w:p w14:paraId="6B0575C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4B834E7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0765437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20" w:type="dxa"/>
            <w:tcBorders>
              <w:top w:val="nil"/>
              <w:left w:val="nil"/>
              <w:bottom w:val="single" w:sz="8" w:space="0" w:color="000000"/>
              <w:right w:val="single" w:sz="8" w:space="0" w:color="auto"/>
            </w:tcBorders>
            <w:vAlign w:val="center"/>
            <w:hideMark/>
          </w:tcPr>
          <w:p w14:paraId="52D9A36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584B83B"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6AADD900"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Bežné výdavky (600)</w:t>
            </w:r>
          </w:p>
        </w:tc>
        <w:tc>
          <w:tcPr>
            <w:tcW w:w="1275" w:type="dxa"/>
            <w:tcBorders>
              <w:top w:val="nil"/>
              <w:left w:val="nil"/>
              <w:bottom w:val="single" w:sz="8" w:space="0" w:color="auto"/>
              <w:right w:val="single" w:sz="8" w:space="0" w:color="auto"/>
            </w:tcBorders>
            <w:vAlign w:val="center"/>
            <w:hideMark/>
          </w:tcPr>
          <w:p w14:paraId="2A6ACEE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02" w:type="dxa"/>
            <w:tcBorders>
              <w:top w:val="nil"/>
              <w:left w:val="nil"/>
              <w:bottom w:val="single" w:sz="8" w:space="0" w:color="auto"/>
              <w:right w:val="single" w:sz="8" w:space="0" w:color="auto"/>
            </w:tcBorders>
            <w:shd w:val="clear" w:color="auto" w:fill="auto"/>
            <w:vAlign w:val="center"/>
          </w:tcPr>
          <w:p w14:paraId="5E909F6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-5 657 484</w:t>
            </w:r>
          </w:p>
        </w:tc>
        <w:tc>
          <w:tcPr>
            <w:tcW w:w="1420" w:type="dxa"/>
            <w:tcBorders>
              <w:top w:val="nil"/>
              <w:left w:val="nil"/>
              <w:bottom w:val="single" w:sz="8" w:space="0" w:color="auto"/>
              <w:right w:val="single" w:sz="8" w:space="0" w:color="auto"/>
            </w:tcBorders>
            <w:shd w:val="clear" w:color="auto" w:fill="auto"/>
            <w:vAlign w:val="center"/>
          </w:tcPr>
          <w:p w14:paraId="6D41102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-6 780 898</w:t>
            </w:r>
          </w:p>
        </w:tc>
        <w:tc>
          <w:tcPr>
            <w:tcW w:w="1420" w:type="dxa"/>
            <w:tcBorders>
              <w:top w:val="nil"/>
              <w:left w:val="nil"/>
              <w:bottom w:val="single" w:sz="8" w:space="0" w:color="auto"/>
              <w:right w:val="single" w:sz="8" w:space="0" w:color="auto"/>
            </w:tcBorders>
            <w:shd w:val="clear" w:color="auto" w:fill="auto"/>
            <w:vAlign w:val="center"/>
          </w:tcPr>
          <w:p w14:paraId="7416B10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-7 108 224</w:t>
            </w:r>
          </w:p>
        </w:tc>
        <w:tc>
          <w:tcPr>
            <w:tcW w:w="1320" w:type="dxa"/>
            <w:tcBorders>
              <w:top w:val="nil"/>
              <w:left w:val="nil"/>
              <w:bottom w:val="single" w:sz="8" w:space="0" w:color="auto"/>
              <w:right w:val="single" w:sz="8" w:space="0" w:color="auto"/>
            </w:tcBorders>
            <w:noWrap/>
            <w:vAlign w:val="center"/>
            <w:hideMark/>
          </w:tcPr>
          <w:p w14:paraId="2591CD7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2F4A4F0"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2F9C936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Mzdy, platy, služobné príjmy a ostatné osobné vyrovnania (610)</w:t>
            </w:r>
          </w:p>
        </w:tc>
        <w:tc>
          <w:tcPr>
            <w:tcW w:w="1275" w:type="dxa"/>
            <w:tcBorders>
              <w:top w:val="nil"/>
              <w:left w:val="nil"/>
              <w:bottom w:val="single" w:sz="8" w:space="0" w:color="auto"/>
              <w:right w:val="single" w:sz="8" w:space="0" w:color="auto"/>
            </w:tcBorders>
            <w:noWrap/>
            <w:vAlign w:val="center"/>
            <w:hideMark/>
          </w:tcPr>
          <w:p w14:paraId="24CF22A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02" w:type="dxa"/>
            <w:tcBorders>
              <w:top w:val="nil"/>
              <w:left w:val="nil"/>
              <w:bottom w:val="single" w:sz="8" w:space="0" w:color="auto"/>
              <w:right w:val="single" w:sz="8" w:space="0" w:color="auto"/>
            </w:tcBorders>
            <w:shd w:val="clear" w:color="auto" w:fill="auto"/>
            <w:noWrap/>
            <w:vAlign w:val="center"/>
          </w:tcPr>
          <w:p w14:paraId="3970DA1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tcPr>
          <w:p w14:paraId="396AE55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tcPr>
          <w:p w14:paraId="54ED1DA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2797BB2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9D5ACAB"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7E683AC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Poistné a príspevok do poisťovní (620)</w:t>
            </w:r>
          </w:p>
        </w:tc>
        <w:tc>
          <w:tcPr>
            <w:tcW w:w="1275" w:type="dxa"/>
            <w:tcBorders>
              <w:top w:val="nil"/>
              <w:left w:val="nil"/>
              <w:bottom w:val="single" w:sz="8" w:space="0" w:color="auto"/>
              <w:right w:val="single" w:sz="8" w:space="0" w:color="auto"/>
            </w:tcBorders>
            <w:noWrap/>
            <w:vAlign w:val="center"/>
            <w:hideMark/>
          </w:tcPr>
          <w:p w14:paraId="7FA3582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02" w:type="dxa"/>
            <w:tcBorders>
              <w:top w:val="nil"/>
              <w:left w:val="nil"/>
              <w:bottom w:val="single" w:sz="8" w:space="0" w:color="auto"/>
              <w:right w:val="single" w:sz="8" w:space="0" w:color="auto"/>
            </w:tcBorders>
            <w:shd w:val="clear" w:color="auto" w:fill="auto"/>
            <w:noWrap/>
            <w:vAlign w:val="center"/>
          </w:tcPr>
          <w:p w14:paraId="3879D71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tcPr>
          <w:p w14:paraId="353E529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tcPr>
          <w:p w14:paraId="32F4647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64C0219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FAD7DA5"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554DFDE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Tovary a služby (630)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75" w:type="dxa"/>
            <w:tcBorders>
              <w:top w:val="nil"/>
              <w:left w:val="nil"/>
              <w:bottom w:val="single" w:sz="8" w:space="0" w:color="auto"/>
              <w:right w:val="single" w:sz="8" w:space="0" w:color="auto"/>
            </w:tcBorders>
            <w:noWrap/>
            <w:vAlign w:val="center"/>
            <w:hideMark/>
          </w:tcPr>
          <w:p w14:paraId="2C12625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02" w:type="dxa"/>
            <w:tcBorders>
              <w:top w:val="nil"/>
              <w:left w:val="nil"/>
              <w:bottom w:val="single" w:sz="8" w:space="0" w:color="auto"/>
              <w:right w:val="single" w:sz="8" w:space="0" w:color="auto"/>
            </w:tcBorders>
            <w:shd w:val="clear" w:color="auto" w:fill="auto"/>
            <w:noWrap/>
            <w:vAlign w:val="center"/>
          </w:tcPr>
          <w:p w14:paraId="5853216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tcPr>
          <w:p w14:paraId="08366EE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tcPr>
          <w:p w14:paraId="2B4943A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34B505D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C78F8F6"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5DB9DE6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Bežné transfery (640)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75" w:type="dxa"/>
            <w:tcBorders>
              <w:top w:val="nil"/>
              <w:left w:val="nil"/>
              <w:bottom w:val="single" w:sz="8" w:space="0" w:color="auto"/>
              <w:right w:val="single" w:sz="8" w:space="0" w:color="auto"/>
            </w:tcBorders>
            <w:vAlign w:val="center"/>
            <w:hideMark/>
          </w:tcPr>
          <w:p w14:paraId="3E972AB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02" w:type="dxa"/>
            <w:tcBorders>
              <w:top w:val="nil"/>
              <w:left w:val="nil"/>
              <w:bottom w:val="single" w:sz="8" w:space="0" w:color="auto"/>
              <w:right w:val="single" w:sz="8" w:space="0" w:color="auto"/>
            </w:tcBorders>
            <w:shd w:val="clear" w:color="auto" w:fill="auto"/>
            <w:vAlign w:val="center"/>
          </w:tcPr>
          <w:p w14:paraId="484E283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-5 657 484</w:t>
            </w:r>
          </w:p>
        </w:tc>
        <w:tc>
          <w:tcPr>
            <w:tcW w:w="1420" w:type="dxa"/>
            <w:tcBorders>
              <w:top w:val="nil"/>
              <w:left w:val="nil"/>
              <w:bottom w:val="single" w:sz="8" w:space="0" w:color="auto"/>
              <w:right w:val="single" w:sz="8" w:space="0" w:color="auto"/>
            </w:tcBorders>
            <w:shd w:val="clear" w:color="auto" w:fill="auto"/>
            <w:vAlign w:val="center"/>
          </w:tcPr>
          <w:p w14:paraId="7968896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-6 780 898</w:t>
            </w:r>
          </w:p>
        </w:tc>
        <w:tc>
          <w:tcPr>
            <w:tcW w:w="1420" w:type="dxa"/>
            <w:tcBorders>
              <w:top w:val="nil"/>
              <w:left w:val="nil"/>
              <w:bottom w:val="single" w:sz="8" w:space="0" w:color="auto"/>
              <w:right w:val="single" w:sz="8" w:space="0" w:color="auto"/>
            </w:tcBorders>
            <w:shd w:val="clear" w:color="auto" w:fill="auto"/>
            <w:vAlign w:val="center"/>
          </w:tcPr>
          <w:p w14:paraId="3A6B6D8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-7 108 224</w:t>
            </w:r>
          </w:p>
        </w:tc>
        <w:tc>
          <w:tcPr>
            <w:tcW w:w="1320" w:type="dxa"/>
            <w:tcBorders>
              <w:top w:val="nil"/>
              <w:left w:val="nil"/>
              <w:bottom w:val="single" w:sz="8" w:space="0" w:color="auto"/>
              <w:right w:val="single" w:sz="8" w:space="0" w:color="auto"/>
            </w:tcBorders>
            <w:noWrap/>
            <w:vAlign w:val="center"/>
            <w:hideMark/>
          </w:tcPr>
          <w:p w14:paraId="4656013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8C31904"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77F3E3BC" w14:textId="77777777" w:rsidR="00AD62CD" w:rsidRPr="00AD62CD" w:rsidRDefault="00AD62CD" w:rsidP="00AD62CD">
            <w:pPr>
              <w:spacing w:after="0" w:line="240" w:lineRule="auto"/>
              <w:ind w:firstLineChars="200" w:firstLine="400"/>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Transfery jednotlivcom a neziskovým právnickým osobám (642)</w:t>
            </w:r>
          </w:p>
        </w:tc>
        <w:tc>
          <w:tcPr>
            <w:tcW w:w="1275" w:type="dxa"/>
            <w:tcBorders>
              <w:top w:val="nil"/>
              <w:left w:val="nil"/>
              <w:bottom w:val="single" w:sz="8" w:space="0" w:color="auto"/>
              <w:right w:val="single" w:sz="8" w:space="0" w:color="auto"/>
            </w:tcBorders>
            <w:noWrap/>
            <w:vAlign w:val="center"/>
            <w:hideMark/>
          </w:tcPr>
          <w:p w14:paraId="6274929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02" w:type="dxa"/>
            <w:tcBorders>
              <w:top w:val="nil"/>
              <w:left w:val="nil"/>
              <w:bottom w:val="single" w:sz="8" w:space="0" w:color="auto"/>
              <w:right w:val="single" w:sz="8" w:space="0" w:color="auto"/>
            </w:tcBorders>
            <w:shd w:val="clear" w:color="auto" w:fill="auto"/>
            <w:noWrap/>
            <w:vAlign w:val="center"/>
          </w:tcPr>
          <w:p w14:paraId="2D27947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-5 657 484</w:t>
            </w:r>
          </w:p>
        </w:tc>
        <w:tc>
          <w:tcPr>
            <w:tcW w:w="1420" w:type="dxa"/>
            <w:tcBorders>
              <w:top w:val="nil"/>
              <w:left w:val="nil"/>
              <w:bottom w:val="single" w:sz="8" w:space="0" w:color="auto"/>
              <w:right w:val="single" w:sz="8" w:space="0" w:color="auto"/>
            </w:tcBorders>
            <w:shd w:val="clear" w:color="auto" w:fill="auto"/>
            <w:noWrap/>
            <w:vAlign w:val="center"/>
          </w:tcPr>
          <w:p w14:paraId="6277D0F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-6 780 898</w:t>
            </w:r>
          </w:p>
        </w:tc>
        <w:tc>
          <w:tcPr>
            <w:tcW w:w="1420" w:type="dxa"/>
            <w:tcBorders>
              <w:top w:val="nil"/>
              <w:left w:val="nil"/>
              <w:bottom w:val="single" w:sz="8" w:space="0" w:color="auto"/>
              <w:right w:val="single" w:sz="8" w:space="0" w:color="auto"/>
            </w:tcBorders>
            <w:shd w:val="clear" w:color="auto" w:fill="auto"/>
            <w:noWrap/>
            <w:vAlign w:val="center"/>
          </w:tcPr>
          <w:p w14:paraId="2998092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-7 108 224</w:t>
            </w:r>
          </w:p>
        </w:tc>
        <w:tc>
          <w:tcPr>
            <w:tcW w:w="1320" w:type="dxa"/>
            <w:tcBorders>
              <w:top w:val="nil"/>
              <w:left w:val="nil"/>
              <w:bottom w:val="single" w:sz="8" w:space="0" w:color="auto"/>
              <w:right w:val="single" w:sz="8" w:space="0" w:color="auto"/>
            </w:tcBorders>
            <w:noWrap/>
            <w:vAlign w:val="center"/>
            <w:hideMark/>
          </w:tcPr>
          <w:p w14:paraId="48A4790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0DE37EB" w14:textId="77777777" w:rsidTr="003627DF">
        <w:trPr>
          <w:trHeight w:val="585"/>
        </w:trPr>
        <w:tc>
          <w:tcPr>
            <w:tcW w:w="7361" w:type="dxa"/>
            <w:tcBorders>
              <w:top w:val="nil"/>
              <w:left w:val="single" w:sz="8" w:space="0" w:color="auto"/>
              <w:bottom w:val="single" w:sz="8" w:space="0" w:color="auto"/>
              <w:right w:val="single" w:sz="8" w:space="0" w:color="auto"/>
            </w:tcBorders>
            <w:vAlign w:val="center"/>
            <w:hideMark/>
          </w:tcPr>
          <w:p w14:paraId="1FA39FB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Splácanie úrokov a ostatné platby súvisiace s  úverom, pôžičkou, návratnou finančnou výpomocou a finančným prenájmom (650)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75" w:type="dxa"/>
            <w:tcBorders>
              <w:top w:val="nil"/>
              <w:left w:val="nil"/>
              <w:bottom w:val="single" w:sz="8" w:space="0" w:color="auto"/>
              <w:right w:val="single" w:sz="8" w:space="0" w:color="auto"/>
            </w:tcBorders>
            <w:noWrap/>
            <w:vAlign w:val="center"/>
            <w:hideMark/>
          </w:tcPr>
          <w:p w14:paraId="63342E7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02" w:type="dxa"/>
            <w:tcBorders>
              <w:top w:val="nil"/>
              <w:left w:val="nil"/>
              <w:bottom w:val="single" w:sz="8" w:space="0" w:color="auto"/>
              <w:right w:val="single" w:sz="8" w:space="0" w:color="auto"/>
            </w:tcBorders>
            <w:noWrap/>
            <w:vAlign w:val="center"/>
          </w:tcPr>
          <w:p w14:paraId="63E6668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18F88C8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1234136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72DA042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6AFDA80"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5813EDA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výdavky (700)</w:t>
            </w:r>
          </w:p>
        </w:tc>
        <w:tc>
          <w:tcPr>
            <w:tcW w:w="1275" w:type="dxa"/>
            <w:tcBorders>
              <w:top w:val="nil"/>
              <w:left w:val="nil"/>
              <w:bottom w:val="single" w:sz="8" w:space="0" w:color="auto"/>
              <w:right w:val="single" w:sz="8" w:space="0" w:color="auto"/>
            </w:tcBorders>
            <w:vAlign w:val="center"/>
            <w:hideMark/>
          </w:tcPr>
          <w:p w14:paraId="0F907A0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02" w:type="dxa"/>
            <w:tcBorders>
              <w:top w:val="nil"/>
              <w:left w:val="nil"/>
              <w:bottom w:val="single" w:sz="8" w:space="0" w:color="auto"/>
              <w:right w:val="single" w:sz="8" w:space="0" w:color="auto"/>
            </w:tcBorders>
            <w:vAlign w:val="center"/>
          </w:tcPr>
          <w:p w14:paraId="34A73DE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0EFDD5E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3B04C23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409C492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2E534DB"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635E3F3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Obstarávanie kapitálových aktív (710)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75" w:type="dxa"/>
            <w:tcBorders>
              <w:top w:val="nil"/>
              <w:left w:val="nil"/>
              <w:bottom w:val="single" w:sz="8" w:space="0" w:color="auto"/>
              <w:right w:val="single" w:sz="8" w:space="0" w:color="auto"/>
            </w:tcBorders>
            <w:noWrap/>
            <w:vAlign w:val="center"/>
            <w:hideMark/>
          </w:tcPr>
          <w:p w14:paraId="31ABC4D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02" w:type="dxa"/>
            <w:tcBorders>
              <w:top w:val="nil"/>
              <w:left w:val="nil"/>
              <w:bottom w:val="single" w:sz="8" w:space="0" w:color="auto"/>
              <w:right w:val="single" w:sz="8" w:space="0" w:color="auto"/>
            </w:tcBorders>
            <w:noWrap/>
            <w:vAlign w:val="center"/>
          </w:tcPr>
          <w:p w14:paraId="25AC791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64ADB47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76F19FB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2E88D87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C0F39BC"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3E29976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Kapitálové transfery (720)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75" w:type="dxa"/>
            <w:tcBorders>
              <w:top w:val="nil"/>
              <w:left w:val="nil"/>
              <w:bottom w:val="single" w:sz="8" w:space="0" w:color="auto"/>
              <w:right w:val="single" w:sz="8" w:space="0" w:color="auto"/>
            </w:tcBorders>
            <w:noWrap/>
            <w:vAlign w:val="center"/>
            <w:hideMark/>
          </w:tcPr>
          <w:p w14:paraId="5CA29FE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02" w:type="dxa"/>
            <w:tcBorders>
              <w:top w:val="nil"/>
              <w:left w:val="nil"/>
              <w:bottom w:val="single" w:sz="8" w:space="0" w:color="auto"/>
              <w:right w:val="single" w:sz="8" w:space="0" w:color="auto"/>
            </w:tcBorders>
            <w:noWrap/>
            <w:vAlign w:val="center"/>
          </w:tcPr>
          <w:p w14:paraId="65DCB44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5EFC3E4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DEE6F7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0F36956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4C2FB18"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2F26B18C"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z transakcií s finančnými aktívami a finančnými pasívami (800)</w:t>
            </w:r>
          </w:p>
        </w:tc>
        <w:tc>
          <w:tcPr>
            <w:tcW w:w="1275" w:type="dxa"/>
            <w:tcBorders>
              <w:top w:val="nil"/>
              <w:left w:val="nil"/>
              <w:bottom w:val="single" w:sz="8" w:space="0" w:color="auto"/>
              <w:right w:val="single" w:sz="8" w:space="0" w:color="auto"/>
            </w:tcBorders>
            <w:noWrap/>
            <w:vAlign w:val="center"/>
            <w:hideMark/>
          </w:tcPr>
          <w:p w14:paraId="7A760FF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02" w:type="dxa"/>
            <w:tcBorders>
              <w:top w:val="nil"/>
              <w:left w:val="nil"/>
              <w:bottom w:val="single" w:sz="8" w:space="0" w:color="auto"/>
              <w:right w:val="single" w:sz="8" w:space="0" w:color="auto"/>
            </w:tcBorders>
            <w:noWrap/>
            <w:vAlign w:val="center"/>
          </w:tcPr>
          <w:p w14:paraId="1E4E605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3FD3216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21B55BE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4593DE4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55D7C3B"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5727B57D"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výdavky verejnej správy celkom</w:t>
            </w:r>
          </w:p>
        </w:tc>
        <w:tc>
          <w:tcPr>
            <w:tcW w:w="1275" w:type="dxa"/>
            <w:tcBorders>
              <w:top w:val="nil"/>
              <w:left w:val="nil"/>
              <w:bottom w:val="single" w:sz="8" w:space="0" w:color="auto"/>
              <w:right w:val="single" w:sz="8" w:space="0" w:color="auto"/>
            </w:tcBorders>
            <w:shd w:val="clear" w:color="000000" w:fill="BFBFBF"/>
            <w:vAlign w:val="center"/>
            <w:hideMark/>
          </w:tcPr>
          <w:p w14:paraId="296A5A3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02" w:type="dxa"/>
            <w:tcBorders>
              <w:top w:val="nil"/>
              <w:left w:val="nil"/>
              <w:bottom w:val="single" w:sz="8" w:space="0" w:color="auto"/>
              <w:right w:val="single" w:sz="8" w:space="0" w:color="auto"/>
            </w:tcBorders>
            <w:shd w:val="clear" w:color="000000" w:fill="BFBFBF"/>
            <w:vAlign w:val="center"/>
          </w:tcPr>
          <w:p w14:paraId="7014001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-5 657 484</w:t>
            </w:r>
          </w:p>
        </w:tc>
        <w:tc>
          <w:tcPr>
            <w:tcW w:w="1420" w:type="dxa"/>
            <w:tcBorders>
              <w:top w:val="nil"/>
              <w:left w:val="nil"/>
              <w:bottom w:val="single" w:sz="8" w:space="0" w:color="auto"/>
              <w:right w:val="single" w:sz="8" w:space="0" w:color="auto"/>
            </w:tcBorders>
            <w:shd w:val="clear" w:color="000000" w:fill="BFBFBF"/>
            <w:vAlign w:val="center"/>
          </w:tcPr>
          <w:p w14:paraId="4A53715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-6 780 898</w:t>
            </w:r>
          </w:p>
        </w:tc>
        <w:tc>
          <w:tcPr>
            <w:tcW w:w="1420" w:type="dxa"/>
            <w:tcBorders>
              <w:top w:val="nil"/>
              <w:left w:val="nil"/>
              <w:bottom w:val="single" w:sz="8" w:space="0" w:color="auto"/>
              <w:right w:val="single" w:sz="8" w:space="0" w:color="auto"/>
            </w:tcBorders>
            <w:shd w:val="clear" w:color="000000" w:fill="BFBFBF"/>
            <w:vAlign w:val="center"/>
          </w:tcPr>
          <w:p w14:paraId="7E2F85B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-7 108 224</w:t>
            </w:r>
          </w:p>
        </w:tc>
        <w:tc>
          <w:tcPr>
            <w:tcW w:w="1320" w:type="dxa"/>
            <w:tcBorders>
              <w:top w:val="nil"/>
              <w:left w:val="nil"/>
              <w:bottom w:val="single" w:sz="8" w:space="0" w:color="auto"/>
              <w:right w:val="single" w:sz="8" w:space="0" w:color="auto"/>
            </w:tcBorders>
            <w:shd w:val="clear" w:color="000000" w:fill="BFBFBF"/>
            <w:noWrap/>
            <w:vAlign w:val="center"/>
            <w:hideMark/>
          </w:tcPr>
          <w:p w14:paraId="002ACF4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6E739CD4"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64545E78" w14:textId="77777777" w:rsidR="00AD62CD" w:rsidRPr="00AD62CD" w:rsidRDefault="00AD62CD" w:rsidP="00AD62CD">
      <w:pPr>
        <w:spacing w:after="200" w:line="276" w:lineRule="auto"/>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br w:type="page"/>
      </w:r>
    </w:p>
    <w:p w14:paraId="13B91968"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Tabuľka č. 4/A-6</w:t>
      </w: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1033C0EC"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F106F4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74895E4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ostatné subjekty verejnej správy</w:t>
            </w:r>
          </w:p>
        </w:tc>
        <w:tc>
          <w:tcPr>
            <w:tcW w:w="1320" w:type="dxa"/>
            <w:tcBorders>
              <w:top w:val="single" w:sz="8" w:space="0" w:color="auto"/>
              <w:left w:val="nil"/>
              <w:bottom w:val="single" w:sz="8" w:space="0" w:color="000000"/>
              <w:right w:val="single" w:sz="8" w:space="0" w:color="auto"/>
            </w:tcBorders>
            <w:shd w:val="clear" w:color="000000" w:fill="BFBFBF"/>
            <w:noWrap/>
            <w:vAlign w:val="center"/>
            <w:hideMark/>
          </w:tcPr>
          <w:p w14:paraId="54F32DE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2B8A864D"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2C7CC958"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4A4503D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2023</w:t>
            </w:r>
          </w:p>
        </w:tc>
        <w:tc>
          <w:tcPr>
            <w:tcW w:w="1360" w:type="dxa"/>
            <w:tcBorders>
              <w:top w:val="nil"/>
              <w:left w:val="nil"/>
              <w:bottom w:val="single" w:sz="8" w:space="0" w:color="auto"/>
              <w:right w:val="single" w:sz="8" w:space="0" w:color="auto"/>
            </w:tcBorders>
            <w:shd w:val="clear" w:color="000000" w:fill="BFBFBF"/>
            <w:vAlign w:val="center"/>
            <w:hideMark/>
          </w:tcPr>
          <w:p w14:paraId="54B23FC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2024</w:t>
            </w:r>
          </w:p>
        </w:tc>
        <w:tc>
          <w:tcPr>
            <w:tcW w:w="1420" w:type="dxa"/>
            <w:tcBorders>
              <w:top w:val="nil"/>
              <w:left w:val="nil"/>
              <w:bottom w:val="single" w:sz="8" w:space="0" w:color="auto"/>
              <w:right w:val="single" w:sz="8" w:space="0" w:color="auto"/>
            </w:tcBorders>
            <w:shd w:val="clear" w:color="000000" w:fill="BFBFBF"/>
            <w:vAlign w:val="center"/>
            <w:hideMark/>
          </w:tcPr>
          <w:p w14:paraId="55449C5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420" w:type="dxa"/>
            <w:tcBorders>
              <w:top w:val="nil"/>
              <w:left w:val="nil"/>
              <w:bottom w:val="single" w:sz="8" w:space="0" w:color="auto"/>
              <w:right w:val="single" w:sz="8" w:space="0" w:color="auto"/>
            </w:tcBorders>
            <w:shd w:val="clear" w:color="000000" w:fill="BFBFBF"/>
            <w:vAlign w:val="center"/>
            <w:hideMark/>
          </w:tcPr>
          <w:p w14:paraId="442F800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320" w:type="dxa"/>
            <w:tcBorders>
              <w:top w:val="nil"/>
              <w:left w:val="nil"/>
              <w:bottom w:val="single" w:sz="8" w:space="0" w:color="000000"/>
              <w:right w:val="single" w:sz="8" w:space="0" w:color="auto"/>
            </w:tcBorders>
            <w:vAlign w:val="center"/>
            <w:hideMark/>
          </w:tcPr>
          <w:p w14:paraId="6D4FDAD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AB0C1E4"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7C4F13E8"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Bežné výdavky (600)</w:t>
            </w:r>
          </w:p>
        </w:tc>
        <w:tc>
          <w:tcPr>
            <w:tcW w:w="1280" w:type="dxa"/>
            <w:tcBorders>
              <w:top w:val="nil"/>
              <w:left w:val="nil"/>
              <w:bottom w:val="single" w:sz="8" w:space="0" w:color="auto"/>
              <w:right w:val="single" w:sz="8" w:space="0" w:color="auto"/>
            </w:tcBorders>
            <w:vAlign w:val="center"/>
            <w:hideMark/>
          </w:tcPr>
          <w:p w14:paraId="00BBA69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39F3AE4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54719A1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2530F71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6283F09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256A6E8"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6A0B322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Mzdy, platy, služobné príjmy a ostatné osobné vyrovnania (610)</w:t>
            </w:r>
          </w:p>
        </w:tc>
        <w:tc>
          <w:tcPr>
            <w:tcW w:w="1280" w:type="dxa"/>
            <w:tcBorders>
              <w:top w:val="nil"/>
              <w:left w:val="nil"/>
              <w:bottom w:val="single" w:sz="8" w:space="0" w:color="auto"/>
              <w:right w:val="single" w:sz="8" w:space="0" w:color="auto"/>
            </w:tcBorders>
            <w:noWrap/>
            <w:vAlign w:val="center"/>
            <w:hideMark/>
          </w:tcPr>
          <w:p w14:paraId="4A8FD26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0A881AF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227ED27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765BFDA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42200B1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A2B9BDA"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314DF08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Poistné a príspevok do poisťovní (620)</w:t>
            </w:r>
          </w:p>
        </w:tc>
        <w:tc>
          <w:tcPr>
            <w:tcW w:w="1280" w:type="dxa"/>
            <w:tcBorders>
              <w:top w:val="nil"/>
              <w:left w:val="nil"/>
              <w:bottom w:val="single" w:sz="8" w:space="0" w:color="auto"/>
              <w:right w:val="single" w:sz="8" w:space="0" w:color="auto"/>
            </w:tcBorders>
            <w:noWrap/>
            <w:vAlign w:val="center"/>
            <w:hideMark/>
          </w:tcPr>
          <w:p w14:paraId="1611CB4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43B13BC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14E8C2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3D642FC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4789BD2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8B1AB4D"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4606C3A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Tovary a služby (630)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0C8BAB4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653616E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6718CB5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3D3ECB3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2D07A0D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3EF1D71"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73056AF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Bežné transfery (640)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vAlign w:val="center"/>
            <w:hideMark/>
          </w:tcPr>
          <w:p w14:paraId="31E6205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647448F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5C1FA92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45AA432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2FDFB35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0133062"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77494AEB" w14:textId="77777777" w:rsidR="00AD62CD" w:rsidRPr="00AD62CD" w:rsidRDefault="00AD62CD" w:rsidP="00AD62CD">
            <w:pPr>
              <w:spacing w:after="0" w:line="240" w:lineRule="auto"/>
              <w:ind w:firstLineChars="200" w:firstLine="400"/>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Transfery jednotlivcom a neziskovým právnickým osobám (642)</w:t>
            </w:r>
          </w:p>
        </w:tc>
        <w:tc>
          <w:tcPr>
            <w:tcW w:w="1280" w:type="dxa"/>
            <w:tcBorders>
              <w:top w:val="nil"/>
              <w:left w:val="nil"/>
              <w:bottom w:val="single" w:sz="8" w:space="0" w:color="auto"/>
              <w:right w:val="single" w:sz="8" w:space="0" w:color="auto"/>
            </w:tcBorders>
            <w:noWrap/>
            <w:vAlign w:val="center"/>
            <w:hideMark/>
          </w:tcPr>
          <w:p w14:paraId="51CC158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1D62B52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6ECBB21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177B126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677E370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866A871" w14:textId="77777777" w:rsidTr="003627DF">
        <w:trPr>
          <w:trHeight w:val="585"/>
        </w:trPr>
        <w:tc>
          <w:tcPr>
            <w:tcW w:w="7361" w:type="dxa"/>
            <w:tcBorders>
              <w:top w:val="nil"/>
              <w:left w:val="single" w:sz="8" w:space="0" w:color="auto"/>
              <w:bottom w:val="single" w:sz="8" w:space="0" w:color="auto"/>
              <w:right w:val="single" w:sz="8" w:space="0" w:color="auto"/>
            </w:tcBorders>
            <w:vAlign w:val="center"/>
            <w:hideMark/>
          </w:tcPr>
          <w:p w14:paraId="2B341C0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Splácanie úrokov a ostatné platby súvisiace s  úverom, pôžičkou, návratnou finančnou výpomocou a finančným prenájmom (650)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09253A0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7430CCF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F338A6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475067B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72A754A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CD2D53C"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3558A59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výdavky (700)</w:t>
            </w:r>
          </w:p>
        </w:tc>
        <w:tc>
          <w:tcPr>
            <w:tcW w:w="1280" w:type="dxa"/>
            <w:tcBorders>
              <w:top w:val="nil"/>
              <w:left w:val="nil"/>
              <w:bottom w:val="single" w:sz="8" w:space="0" w:color="auto"/>
              <w:right w:val="single" w:sz="8" w:space="0" w:color="auto"/>
            </w:tcBorders>
            <w:vAlign w:val="center"/>
            <w:hideMark/>
          </w:tcPr>
          <w:p w14:paraId="24D5174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vAlign w:val="center"/>
          </w:tcPr>
          <w:p w14:paraId="1DE9CF1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2DBA5AD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vAlign w:val="center"/>
          </w:tcPr>
          <w:p w14:paraId="613C518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6211B82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4464C5E"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1F4B3E8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Obstarávanie kapitálových aktív (710)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24ABACA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690C093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0DCA6EC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2A0996E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4CEFBD8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5922472" w14:textId="77777777" w:rsidTr="003627DF">
        <w:trPr>
          <w:trHeight w:val="330"/>
        </w:trPr>
        <w:tc>
          <w:tcPr>
            <w:tcW w:w="7361" w:type="dxa"/>
            <w:tcBorders>
              <w:top w:val="nil"/>
              <w:left w:val="single" w:sz="8" w:space="0" w:color="auto"/>
              <w:bottom w:val="single" w:sz="8" w:space="0" w:color="auto"/>
              <w:right w:val="single" w:sz="8" w:space="0" w:color="auto"/>
            </w:tcBorders>
            <w:vAlign w:val="center"/>
            <w:hideMark/>
          </w:tcPr>
          <w:p w14:paraId="37EC7CB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Kapitálové transfery (720)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noWrap/>
            <w:vAlign w:val="center"/>
            <w:hideMark/>
          </w:tcPr>
          <w:p w14:paraId="0678D4F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648EDDD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57E0B62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62B9C3F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0BA0095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503C1AB" w14:textId="77777777" w:rsidTr="003627DF">
        <w:trPr>
          <w:trHeight w:val="270"/>
        </w:trPr>
        <w:tc>
          <w:tcPr>
            <w:tcW w:w="7361" w:type="dxa"/>
            <w:tcBorders>
              <w:top w:val="nil"/>
              <w:left w:val="single" w:sz="8" w:space="0" w:color="auto"/>
              <w:bottom w:val="single" w:sz="8" w:space="0" w:color="auto"/>
              <w:right w:val="single" w:sz="8" w:space="0" w:color="auto"/>
            </w:tcBorders>
            <w:vAlign w:val="center"/>
            <w:hideMark/>
          </w:tcPr>
          <w:p w14:paraId="228CEFD9"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z transakcií s finančnými aktívami a finančnými pasívami (800)</w:t>
            </w:r>
          </w:p>
        </w:tc>
        <w:tc>
          <w:tcPr>
            <w:tcW w:w="1280" w:type="dxa"/>
            <w:tcBorders>
              <w:top w:val="nil"/>
              <w:left w:val="nil"/>
              <w:bottom w:val="single" w:sz="8" w:space="0" w:color="auto"/>
              <w:right w:val="single" w:sz="8" w:space="0" w:color="auto"/>
            </w:tcBorders>
            <w:noWrap/>
            <w:vAlign w:val="center"/>
            <w:hideMark/>
          </w:tcPr>
          <w:p w14:paraId="13DA27C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noWrap/>
            <w:vAlign w:val="center"/>
          </w:tcPr>
          <w:p w14:paraId="3334F63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11D6EF5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noWrap/>
            <w:vAlign w:val="center"/>
          </w:tcPr>
          <w:p w14:paraId="7DA9393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noWrap/>
            <w:vAlign w:val="center"/>
            <w:hideMark/>
          </w:tcPr>
          <w:p w14:paraId="6004036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C8590DA"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4C296D86"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výdavky verejnej správy celkom</w:t>
            </w:r>
          </w:p>
        </w:tc>
        <w:tc>
          <w:tcPr>
            <w:tcW w:w="1280" w:type="dxa"/>
            <w:tcBorders>
              <w:top w:val="nil"/>
              <w:left w:val="nil"/>
              <w:bottom w:val="single" w:sz="8" w:space="0" w:color="auto"/>
              <w:right w:val="single" w:sz="8" w:space="0" w:color="auto"/>
            </w:tcBorders>
            <w:shd w:val="clear" w:color="000000" w:fill="BFBFBF"/>
            <w:vAlign w:val="center"/>
            <w:hideMark/>
          </w:tcPr>
          <w:p w14:paraId="6C5B948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vAlign w:val="center"/>
          </w:tcPr>
          <w:p w14:paraId="105EF47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vAlign w:val="center"/>
          </w:tcPr>
          <w:p w14:paraId="25D61E4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vAlign w:val="center"/>
          </w:tcPr>
          <w:p w14:paraId="22544C7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000000" w:fill="BFBFBF"/>
            <w:noWrap/>
            <w:vAlign w:val="center"/>
            <w:hideMark/>
          </w:tcPr>
          <w:p w14:paraId="1706D77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2B12EF1C"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106BDF04"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155747C4" w14:textId="77777777" w:rsidR="00AD62CD" w:rsidRPr="00AD62CD" w:rsidRDefault="00AD62CD" w:rsidP="00AD62CD">
      <w:pPr>
        <w:spacing w:after="200" w:line="276" w:lineRule="auto"/>
        <w:rPr>
          <w:rFonts w:ascii="Times New Roman" w:eastAsia="Calibri" w:hAnsi="Times New Roman" w:cs="Times New Roman"/>
          <w:bCs/>
          <w:kern w:val="0"/>
          <w:sz w:val="20"/>
          <w:szCs w:val="20"/>
          <w:highlight w:val="yellow"/>
          <w:lang w:eastAsia="sk-SK"/>
          <w14:ligatures w14:val="none"/>
        </w:rPr>
      </w:pPr>
      <w:r w:rsidRPr="00AD62CD">
        <w:rPr>
          <w:rFonts w:ascii="Times New Roman" w:eastAsia="Calibri" w:hAnsi="Times New Roman" w:cs="Times New Roman"/>
          <w:bCs/>
          <w:kern w:val="0"/>
          <w:sz w:val="20"/>
          <w:szCs w:val="20"/>
          <w:highlight w:val="yellow"/>
          <w:lang w:eastAsia="sk-SK"/>
          <w14:ligatures w14:val="none"/>
        </w:rPr>
        <w:br w:type="page"/>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20099EC9"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5068DD3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cPr>
          <w:p w14:paraId="61FBEEA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18FF952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poznámka</w:t>
            </w:r>
          </w:p>
        </w:tc>
      </w:tr>
      <w:tr w:rsidR="00AD62CD" w:rsidRPr="00AD62CD" w14:paraId="7B7A9B5E"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C1D3F8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791B65A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650" w:type="dxa"/>
            <w:tcBorders>
              <w:top w:val="nil"/>
              <w:left w:val="nil"/>
              <w:bottom w:val="single" w:sz="4" w:space="0" w:color="auto"/>
              <w:right w:val="single" w:sz="4" w:space="0" w:color="auto"/>
            </w:tcBorders>
            <w:shd w:val="clear" w:color="auto" w:fill="BFBFBF"/>
          </w:tcPr>
          <w:p w14:paraId="2B178D5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540" w:type="dxa"/>
            <w:tcBorders>
              <w:top w:val="nil"/>
              <w:left w:val="nil"/>
              <w:bottom w:val="single" w:sz="4" w:space="0" w:color="auto"/>
              <w:right w:val="single" w:sz="4" w:space="0" w:color="auto"/>
            </w:tcBorders>
            <w:shd w:val="clear" w:color="auto" w:fill="BFBFBF"/>
          </w:tcPr>
          <w:p w14:paraId="4195013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540" w:type="dxa"/>
            <w:tcBorders>
              <w:top w:val="nil"/>
              <w:left w:val="nil"/>
              <w:bottom w:val="single" w:sz="4" w:space="0" w:color="auto"/>
              <w:right w:val="single" w:sz="4" w:space="0" w:color="auto"/>
            </w:tcBorders>
            <w:shd w:val="clear" w:color="auto" w:fill="BFBFBF"/>
          </w:tcPr>
          <w:p w14:paraId="0C5C7BF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530B81AD"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p>
        </w:tc>
      </w:tr>
      <w:tr w:rsidR="00AD62CD" w:rsidRPr="00AD62CD" w14:paraId="181D334A" w14:textId="77777777" w:rsidTr="003627DF">
        <w:trPr>
          <w:trHeight w:val="255"/>
        </w:trPr>
        <w:tc>
          <w:tcPr>
            <w:tcW w:w="7070" w:type="dxa"/>
            <w:tcBorders>
              <w:top w:val="nil"/>
              <w:left w:val="single" w:sz="4" w:space="0" w:color="auto"/>
              <w:bottom w:val="single" w:sz="4" w:space="0" w:color="auto"/>
              <w:right w:val="single" w:sz="4" w:space="0" w:color="auto"/>
            </w:tcBorders>
          </w:tcPr>
          <w:p w14:paraId="29A756F7"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príjmy (230)</w:t>
            </w:r>
          </w:p>
        </w:tc>
        <w:tc>
          <w:tcPr>
            <w:tcW w:w="1430" w:type="dxa"/>
            <w:tcBorders>
              <w:top w:val="nil"/>
              <w:left w:val="nil"/>
              <w:bottom w:val="single" w:sz="4" w:space="0" w:color="auto"/>
              <w:right w:val="single" w:sz="4" w:space="0" w:color="auto"/>
            </w:tcBorders>
          </w:tcPr>
          <w:p w14:paraId="13C0184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B70076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3D8C95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EB00C8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52DD8AA8"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p>
        </w:tc>
      </w:tr>
      <w:tr w:rsidR="00AD62CD" w:rsidRPr="00AD62CD" w14:paraId="3BF43D03" w14:textId="77777777" w:rsidTr="003627DF">
        <w:trPr>
          <w:trHeight w:val="255"/>
        </w:trPr>
        <w:tc>
          <w:tcPr>
            <w:tcW w:w="7070" w:type="dxa"/>
            <w:tcBorders>
              <w:top w:val="nil"/>
              <w:left w:val="single" w:sz="4" w:space="0" w:color="auto"/>
              <w:bottom w:val="single" w:sz="4" w:space="0" w:color="auto"/>
              <w:right w:val="single" w:sz="4" w:space="0" w:color="auto"/>
            </w:tcBorders>
          </w:tcPr>
          <w:p w14:paraId="334552B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tcPr>
          <w:p w14:paraId="0582C5C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04E9CC2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849560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076E37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7C008B7D"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7399CCFA" w14:textId="77777777" w:rsidTr="003627DF">
        <w:trPr>
          <w:trHeight w:val="255"/>
        </w:trPr>
        <w:tc>
          <w:tcPr>
            <w:tcW w:w="7070" w:type="dxa"/>
            <w:tcBorders>
              <w:top w:val="nil"/>
              <w:left w:val="single" w:sz="4" w:space="0" w:color="auto"/>
              <w:bottom w:val="single" w:sz="4" w:space="0" w:color="auto"/>
              <w:right w:val="single" w:sz="4" w:space="0" w:color="auto"/>
            </w:tcBorders>
          </w:tcPr>
          <w:p w14:paraId="23D566A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4CCF9784"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52F4790B"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7D48FE3"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0A0B8BB"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30DB996E"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477EC674" w14:textId="77777777" w:rsidTr="003627DF">
        <w:trPr>
          <w:trHeight w:val="255"/>
        </w:trPr>
        <w:tc>
          <w:tcPr>
            <w:tcW w:w="7070" w:type="dxa"/>
            <w:tcBorders>
              <w:top w:val="nil"/>
              <w:left w:val="single" w:sz="4" w:space="0" w:color="auto"/>
              <w:bottom w:val="single" w:sz="4" w:space="0" w:color="auto"/>
              <w:right w:val="single" w:sz="4" w:space="0" w:color="auto"/>
            </w:tcBorders>
          </w:tcPr>
          <w:p w14:paraId="6E598B1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vertAlign w:val="superscript"/>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tcPr>
          <w:p w14:paraId="7C3ADC88"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792B3720"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9EED238"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A03711B"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6116EC94"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1A86B934" w14:textId="77777777" w:rsidTr="003627DF">
        <w:trPr>
          <w:trHeight w:val="255"/>
        </w:trPr>
        <w:tc>
          <w:tcPr>
            <w:tcW w:w="7070" w:type="dxa"/>
            <w:tcBorders>
              <w:top w:val="nil"/>
              <w:left w:val="single" w:sz="4" w:space="0" w:color="auto"/>
              <w:bottom w:val="single" w:sz="4" w:space="0" w:color="auto"/>
              <w:right w:val="single" w:sz="4" w:space="0" w:color="auto"/>
            </w:tcBorders>
          </w:tcPr>
          <w:p w14:paraId="65901E1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vertAlign w:val="superscript"/>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Tovary a služby (630)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64DE486B"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3E8D0D55"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4455543"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2E4CDF2"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0EBD9841"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59D45FC2" w14:textId="77777777" w:rsidTr="003627DF">
        <w:trPr>
          <w:trHeight w:val="255"/>
        </w:trPr>
        <w:tc>
          <w:tcPr>
            <w:tcW w:w="7070" w:type="dxa"/>
            <w:tcBorders>
              <w:top w:val="nil"/>
              <w:left w:val="single" w:sz="4" w:space="0" w:color="auto"/>
              <w:bottom w:val="single" w:sz="4" w:space="0" w:color="auto"/>
              <w:right w:val="single" w:sz="4" w:space="0" w:color="auto"/>
            </w:tcBorders>
          </w:tcPr>
          <w:p w14:paraId="3D7BAD3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Bežné transfery (640)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4CB1396D"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5F4DCA5"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DC17BCF"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2B7942E"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37BC9CB3"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366A1E8B"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436A826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Splácanie úrokov a ostatné platby súvisiace s </w:t>
            </w:r>
            <w:r w:rsidRPr="00AD62CD">
              <w:rPr>
                <w:rFonts w:ascii="Calibri" w:eastAsia="Calibri" w:hAnsi="Calibri" w:cs="Times New Roman"/>
                <w:color w:val="000000"/>
                <w:kern w:val="0"/>
                <w:sz w:val="22"/>
                <w:szCs w:val="22"/>
                <w14:ligatures w14:val="none"/>
              </w:rPr>
              <w:t xml:space="preserve"> </w:t>
            </w:r>
            <w:r w:rsidRPr="00AD62CD">
              <w:rPr>
                <w:rFonts w:ascii="Times New Roman" w:eastAsia="Calibri" w:hAnsi="Times New Roman" w:cs="Times New Roman"/>
                <w:color w:val="000000"/>
                <w:kern w:val="0"/>
                <w:sz w:val="20"/>
                <w:szCs w:val="20"/>
                <w:lang w:eastAsia="sk-SK"/>
                <w14:ligatures w14:val="none"/>
              </w:rPr>
              <w:t>úverom, pôžičkou, návratnou finančnou výpomocou a finančným prenájmom (650)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681A471E"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53273A97"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2FF93E4"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1D94DEC"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488F2423"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p>
        </w:tc>
      </w:tr>
      <w:tr w:rsidR="00AD62CD" w:rsidRPr="00AD62CD" w14:paraId="44F2566F" w14:textId="77777777" w:rsidTr="003627DF">
        <w:trPr>
          <w:trHeight w:val="255"/>
        </w:trPr>
        <w:tc>
          <w:tcPr>
            <w:tcW w:w="7070" w:type="dxa"/>
            <w:tcBorders>
              <w:top w:val="nil"/>
              <w:left w:val="single" w:sz="4" w:space="0" w:color="auto"/>
              <w:bottom w:val="single" w:sz="4" w:space="0" w:color="auto"/>
              <w:right w:val="single" w:sz="4" w:space="0" w:color="auto"/>
            </w:tcBorders>
          </w:tcPr>
          <w:p w14:paraId="20228D72"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tcPr>
          <w:p w14:paraId="689904CF"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515A747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6327EA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A309CF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2602653B"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53791D4C" w14:textId="77777777" w:rsidTr="003627DF">
        <w:trPr>
          <w:trHeight w:val="255"/>
        </w:trPr>
        <w:tc>
          <w:tcPr>
            <w:tcW w:w="7070" w:type="dxa"/>
            <w:tcBorders>
              <w:top w:val="nil"/>
              <w:left w:val="single" w:sz="4" w:space="0" w:color="auto"/>
              <w:bottom w:val="single" w:sz="4" w:space="0" w:color="auto"/>
              <w:right w:val="single" w:sz="4" w:space="0" w:color="auto"/>
            </w:tcBorders>
          </w:tcPr>
          <w:p w14:paraId="1FEABD8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Obstarávanie kapitálových aktív (710)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0B76091D"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A4856EE"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43BC78B"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4630C98"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36E6E8AE"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435769D9" w14:textId="77777777" w:rsidTr="003627DF">
        <w:trPr>
          <w:trHeight w:val="255"/>
        </w:trPr>
        <w:tc>
          <w:tcPr>
            <w:tcW w:w="7070" w:type="dxa"/>
            <w:tcBorders>
              <w:top w:val="nil"/>
              <w:left w:val="single" w:sz="4" w:space="0" w:color="auto"/>
              <w:bottom w:val="single" w:sz="4" w:space="0" w:color="auto"/>
              <w:right w:val="single" w:sz="4" w:space="0" w:color="auto"/>
            </w:tcBorders>
          </w:tcPr>
          <w:p w14:paraId="6865CE6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Kapitálové transfery (720)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24ABADBE"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69351C93"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5962957"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CBCC4B2"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50D2D58D"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60C7F491"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0B848BB1"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76EFC15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650" w:type="dxa"/>
            <w:tcBorders>
              <w:top w:val="single" w:sz="4" w:space="0" w:color="auto"/>
              <w:left w:val="nil"/>
              <w:bottom w:val="single" w:sz="4" w:space="0" w:color="auto"/>
              <w:right w:val="single" w:sz="4" w:space="0" w:color="auto"/>
            </w:tcBorders>
            <w:shd w:val="clear" w:color="auto" w:fill="BFBFBF"/>
          </w:tcPr>
          <w:p w14:paraId="66D82D3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540" w:type="dxa"/>
            <w:tcBorders>
              <w:top w:val="single" w:sz="4" w:space="0" w:color="auto"/>
              <w:left w:val="nil"/>
              <w:bottom w:val="single" w:sz="4" w:space="0" w:color="auto"/>
              <w:right w:val="single" w:sz="4" w:space="0" w:color="auto"/>
            </w:tcBorders>
            <w:shd w:val="clear" w:color="auto" w:fill="BFBFBF"/>
          </w:tcPr>
          <w:p w14:paraId="0E4BB3A9"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540" w:type="dxa"/>
            <w:tcBorders>
              <w:top w:val="single" w:sz="4" w:space="0" w:color="auto"/>
              <w:left w:val="nil"/>
              <w:bottom w:val="single" w:sz="4" w:space="0" w:color="auto"/>
              <w:right w:val="single" w:sz="4" w:space="0" w:color="auto"/>
            </w:tcBorders>
            <w:shd w:val="clear" w:color="auto" w:fill="BFBFBF"/>
          </w:tcPr>
          <w:p w14:paraId="0938069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0"/>
                <w:lang w:eastAsia="sk-SK"/>
                <w14:ligatures w14:val="none"/>
              </w:rPr>
              <w:t>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4562223A"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bl>
    <w:p w14:paraId="71FE5549"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color w:val="000000"/>
          <w:kern w:val="0"/>
          <w:sz w:val="20"/>
          <w:szCs w:val="20"/>
          <w:lang w:eastAsia="sk-SK"/>
          <w14:ligatures w14:val="none"/>
        </w:rPr>
        <w:t xml:space="preserve">  2 –  výdavky rozpísať až do podpo</w:t>
      </w:r>
      <w:r w:rsidRPr="00AD62CD">
        <w:rPr>
          <w:rFonts w:ascii="Times New Roman" w:eastAsia="Calibri" w:hAnsi="Times New Roman" w:cs="Times New Roman"/>
          <w:bCs/>
          <w:kern w:val="0"/>
          <w:sz w:val="20"/>
          <w:szCs w:val="20"/>
          <w:lang w:eastAsia="sk-SK"/>
          <w14:ligatures w14:val="none"/>
        </w:rPr>
        <w:t>ložiek platnej ekonomickej klasifikácie</w:t>
      </w:r>
    </w:p>
    <w:p w14:paraId="451ABFF7"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2E4336AE"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Cs w:val="20"/>
          <w:lang w:eastAsia="sk-SK"/>
          <w14:ligatures w14:val="none"/>
        </w:rPr>
        <w:t xml:space="preserve">  Poznámka:</w:t>
      </w:r>
    </w:p>
    <w:p w14:paraId="639583C8"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Cs w:val="20"/>
          <w:lang w:eastAsia="sk-SK"/>
          <w14:ligatures w14:val="none"/>
        </w:rPr>
        <w:t xml:space="preserve">  Ak sa vplyv týka viacerých subjektov verejnej správy, vypĺňa sa samostatná tabuľka za každý subjekt.</w:t>
      </w:r>
    </w:p>
    <w:p w14:paraId="79ED6FF0" w14:textId="77777777" w:rsidR="00AD62CD" w:rsidRPr="00AD62CD" w:rsidRDefault="00AD62CD" w:rsidP="00AD62CD">
      <w:pPr>
        <w:spacing w:after="200" w:line="276" w:lineRule="auto"/>
        <w:rPr>
          <w:rFonts w:ascii="Times New Roman" w:eastAsia="Calibri" w:hAnsi="Times New Roman" w:cs="Times New Roman"/>
          <w:bCs/>
          <w:kern w:val="0"/>
          <w:sz w:val="20"/>
          <w:szCs w:val="20"/>
          <w:highlight w:val="yellow"/>
          <w:lang w:eastAsia="sk-SK"/>
          <w14:ligatures w14:val="none"/>
        </w:rPr>
      </w:pPr>
      <w:r w:rsidRPr="00AD62CD">
        <w:rPr>
          <w:rFonts w:ascii="Times New Roman" w:eastAsia="Calibri" w:hAnsi="Times New Roman" w:cs="Times New Roman"/>
          <w:bCs/>
          <w:kern w:val="0"/>
          <w:sz w:val="20"/>
          <w:szCs w:val="20"/>
          <w:highlight w:val="yellow"/>
          <w:lang w:eastAsia="sk-SK"/>
          <w14:ligatures w14:val="none"/>
        </w:rPr>
        <w:br w:type="page"/>
      </w:r>
    </w:p>
    <w:p w14:paraId="24EC33B0" w14:textId="77777777" w:rsidR="00AD62CD" w:rsidRPr="00AD62CD" w:rsidRDefault="00AD62CD" w:rsidP="00AD62CD">
      <w:pPr>
        <w:spacing w:after="200" w:line="276" w:lineRule="auto"/>
        <w:rPr>
          <w:rFonts w:ascii="Times New Roman" w:eastAsia="Calibri" w:hAnsi="Times New Roman" w:cs="Times New Roman"/>
          <w:bCs/>
          <w:kern w:val="0"/>
          <w:sz w:val="20"/>
          <w:szCs w:val="20"/>
          <w:highlight w:val="yellow"/>
          <w:lang w:eastAsia="sk-SK"/>
          <w14:ligatures w14:val="none"/>
        </w:rPr>
      </w:pPr>
    </w:p>
    <w:p w14:paraId="1487B730"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                Tabuľka č. 5 </w:t>
      </w:r>
    </w:p>
    <w:p w14:paraId="358B7485"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highlight w:val="yellow"/>
          <w:lang w:eastAsia="sk-SK"/>
          <w14:ligatures w14:val="none"/>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AD62CD" w:rsidRPr="00AD62CD" w14:paraId="6BBC1D35" w14:textId="77777777" w:rsidTr="00AD62CD">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201E21E"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14:paraId="5D4C5D88"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5AD12EE"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poznámka</w:t>
            </w:r>
          </w:p>
        </w:tc>
      </w:tr>
      <w:tr w:rsidR="00AD62CD" w:rsidRPr="00AD62CD" w14:paraId="55E28B11" w14:textId="77777777" w:rsidTr="00AD62CD">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2AB977E9"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p>
        </w:tc>
        <w:tc>
          <w:tcPr>
            <w:tcW w:w="1698" w:type="dxa"/>
            <w:tcBorders>
              <w:top w:val="nil"/>
              <w:left w:val="nil"/>
              <w:bottom w:val="single" w:sz="4" w:space="0" w:color="auto"/>
              <w:right w:val="single" w:sz="4" w:space="0" w:color="auto"/>
            </w:tcBorders>
            <w:shd w:val="clear" w:color="auto" w:fill="BFBFBF"/>
            <w:vAlign w:val="center"/>
          </w:tcPr>
          <w:p w14:paraId="2839F0A6"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965" w:type="dxa"/>
            <w:tcBorders>
              <w:top w:val="nil"/>
              <w:left w:val="nil"/>
              <w:bottom w:val="single" w:sz="4" w:space="0" w:color="auto"/>
              <w:right w:val="single" w:sz="4" w:space="0" w:color="auto"/>
            </w:tcBorders>
            <w:shd w:val="clear" w:color="auto" w:fill="BFBFBF"/>
            <w:vAlign w:val="center"/>
          </w:tcPr>
          <w:p w14:paraId="51D1E353"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985" w:type="dxa"/>
            <w:gridSpan w:val="2"/>
            <w:tcBorders>
              <w:top w:val="nil"/>
              <w:left w:val="nil"/>
              <w:bottom w:val="single" w:sz="4" w:space="0" w:color="auto"/>
              <w:right w:val="single" w:sz="4" w:space="0" w:color="auto"/>
            </w:tcBorders>
            <w:shd w:val="clear" w:color="auto" w:fill="BFBFBF"/>
            <w:vAlign w:val="center"/>
          </w:tcPr>
          <w:p w14:paraId="7C0ACAE1"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978" w:type="dxa"/>
            <w:tcBorders>
              <w:top w:val="nil"/>
              <w:left w:val="nil"/>
              <w:bottom w:val="single" w:sz="4" w:space="0" w:color="auto"/>
              <w:right w:val="single" w:sz="4" w:space="0" w:color="auto"/>
            </w:tcBorders>
            <w:shd w:val="clear" w:color="auto" w:fill="BFBFBF"/>
            <w:vAlign w:val="center"/>
          </w:tcPr>
          <w:p w14:paraId="451610E0"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7A923405"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r>
      <w:tr w:rsidR="00AD62CD" w:rsidRPr="00AD62CD" w14:paraId="05AC6C79" w14:textId="77777777" w:rsidTr="003627DF">
        <w:trPr>
          <w:trHeight w:val="255"/>
        </w:trPr>
        <w:tc>
          <w:tcPr>
            <w:tcW w:w="6188" w:type="dxa"/>
            <w:tcBorders>
              <w:top w:val="nil"/>
              <w:left w:val="single" w:sz="8" w:space="0" w:color="auto"/>
              <w:bottom w:val="single" w:sz="8" w:space="0" w:color="auto"/>
              <w:right w:val="single" w:sz="8" w:space="0" w:color="auto"/>
            </w:tcBorders>
            <w:vAlign w:val="center"/>
          </w:tcPr>
          <w:p w14:paraId="6EFDF0B3"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Počet zamestnancov celkom</w:t>
            </w:r>
          </w:p>
        </w:tc>
        <w:tc>
          <w:tcPr>
            <w:tcW w:w="1698" w:type="dxa"/>
            <w:tcBorders>
              <w:top w:val="nil"/>
              <w:left w:val="nil"/>
              <w:bottom w:val="single" w:sz="8" w:space="0" w:color="auto"/>
              <w:right w:val="single" w:sz="8" w:space="0" w:color="auto"/>
            </w:tcBorders>
            <w:vAlign w:val="center"/>
          </w:tcPr>
          <w:p w14:paraId="1F0807F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vAlign w:val="center"/>
          </w:tcPr>
          <w:p w14:paraId="1225D81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single" w:sz="8" w:space="0" w:color="auto"/>
              <w:left w:val="nil"/>
              <w:bottom w:val="single" w:sz="8" w:space="0" w:color="auto"/>
              <w:right w:val="nil"/>
            </w:tcBorders>
            <w:vAlign w:val="center"/>
          </w:tcPr>
          <w:p w14:paraId="50E0740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single" w:sz="8" w:space="0" w:color="auto"/>
              <w:left w:val="single" w:sz="8" w:space="0" w:color="auto"/>
              <w:bottom w:val="single" w:sz="8" w:space="0" w:color="auto"/>
              <w:right w:val="single" w:sz="8" w:space="0" w:color="auto"/>
            </w:tcBorders>
            <w:vAlign w:val="center"/>
          </w:tcPr>
          <w:p w14:paraId="4DD0F44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64394F84"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0F173AC3" w14:textId="77777777" w:rsidTr="003627DF">
        <w:trPr>
          <w:trHeight w:val="255"/>
        </w:trPr>
        <w:tc>
          <w:tcPr>
            <w:tcW w:w="6188" w:type="dxa"/>
            <w:tcBorders>
              <w:top w:val="nil"/>
              <w:left w:val="single" w:sz="8" w:space="0" w:color="auto"/>
              <w:bottom w:val="single" w:sz="8" w:space="0" w:color="auto"/>
              <w:right w:val="single" w:sz="8" w:space="0" w:color="auto"/>
            </w:tcBorders>
            <w:vAlign w:val="center"/>
          </w:tcPr>
          <w:p w14:paraId="42CA188D"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vAlign w:val="center"/>
          </w:tcPr>
          <w:p w14:paraId="5E1CB4B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vAlign w:val="center"/>
          </w:tcPr>
          <w:p w14:paraId="0E4D7BA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nil"/>
              <w:left w:val="nil"/>
              <w:bottom w:val="single" w:sz="8" w:space="0" w:color="auto"/>
              <w:right w:val="nil"/>
            </w:tcBorders>
            <w:vAlign w:val="center"/>
          </w:tcPr>
          <w:p w14:paraId="4D8D0E0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nil"/>
              <w:left w:val="single" w:sz="8" w:space="0" w:color="auto"/>
              <w:bottom w:val="single" w:sz="8" w:space="0" w:color="auto"/>
              <w:right w:val="single" w:sz="8" w:space="0" w:color="auto"/>
            </w:tcBorders>
            <w:vAlign w:val="center"/>
          </w:tcPr>
          <w:p w14:paraId="37601F6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7DA070E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16CF12C0" w14:textId="77777777" w:rsidTr="003627DF">
        <w:trPr>
          <w:trHeight w:val="255"/>
        </w:trPr>
        <w:tc>
          <w:tcPr>
            <w:tcW w:w="6188" w:type="dxa"/>
            <w:tcBorders>
              <w:top w:val="nil"/>
              <w:left w:val="single" w:sz="8" w:space="0" w:color="auto"/>
              <w:bottom w:val="single" w:sz="8" w:space="0" w:color="auto"/>
              <w:right w:val="single" w:sz="8" w:space="0" w:color="auto"/>
            </w:tcBorders>
            <w:vAlign w:val="center"/>
          </w:tcPr>
          <w:p w14:paraId="09360836"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Priemerný mzdový výdavok (v eurách)</w:t>
            </w:r>
          </w:p>
        </w:tc>
        <w:tc>
          <w:tcPr>
            <w:tcW w:w="1698" w:type="dxa"/>
            <w:tcBorders>
              <w:top w:val="nil"/>
              <w:left w:val="nil"/>
              <w:bottom w:val="single" w:sz="8" w:space="0" w:color="auto"/>
              <w:right w:val="single" w:sz="8" w:space="0" w:color="auto"/>
            </w:tcBorders>
            <w:vAlign w:val="center"/>
          </w:tcPr>
          <w:p w14:paraId="78E5AA0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vAlign w:val="center"/>
          </w:tcPr>
          <w:p w14:paraId="1DB8A10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nil"/>
              <w:left w:val="nil"/>
              <w:bottom w:val="single" w:sz="8" w:space="0" w:color="auto"/>
              <w:right w:val="nil"/>
            </w:tcBorders>
            <w:vAlign w:val="center"/>
          </w:tcPr>
          <w:p w14:paraId="4F06D60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nil"/>
              <w:left w:val="single" w:sz="8" w:space="0" w:color="auto"/>
              <w:bottom w:val="single" w:sz="8" w:space="0" w:color="auto"/>
              <w:right w:val="single" w:sz="8" w:space="0" w:color="auto"/>
            </w:tcBorders>
            <w:vAlign w:val="center"/>
          </w:tcPr>
          <w:p w14:paraId="544D726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620" w:type="dxa"/>
            <w:gridSpan w:val="2"/>
            <w:tcBorders>
              <w:top w:val="nil"/>
              <w:left w:val="nil"/>
              <w:bottom w:val="single" w:sz="4" w:space="0" w:color="auto"/>
              <w:right w:val="single" w:sz="4" w:space="0" w:color="auto"/>
            </w:tcBorders>
            <w:noWrap/>
            <w:vAlign w:val="bottom"/>
          </w:tcPr>
          <w:p w14:paraId="3A2ACB89"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2FAA076E" w14:textId="77777777" w:rsidTr="003627DF">
        <w:trPr>
          <w:trHeight w:val="255"/>
        </w:trPr>
        <w:tc>
          <w:tcPr>
            <w:tcW w:w="6188" w:type="dxa"/>
            <w:tcBorders>
              <w:top w:val="nil"/>
              <w:left w:val="single" w:sz="8" w:space="0" w:color="auto"/>
              <w:bottom w:val="single" w:sz="8" w:space="0" w:color="auto"/>
              <w:right w:val="single" w:sz="8" w:space="0" w:color="auto"/>
            </w:tcBorders>
            <w:vAlign w:val="center"/>
          </w:tcPr>
          <w:p w14:paraId="210F0A45"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vAlign w:val="center"/>
          </w:tcPr>
          <w:p w14:paraId="5909CD96"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65" w:type="dxa"/>
            <w:tcBorders>
              <w:top w:val="nil"/>
              <w:left w:val="nil"/>
              <w:bottom w:val="single" w:sz="8" w:space="0" w:color="auto"/>
              <w:right w:val="single" w:sz="8" w:space="0" w:color="auto"/>
            </w:tcBorders>
            <w:vAlign w:val="center"/>
          </w:tcPr>
          <w:p w14:paraId="6820C922"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85" w:type="dxa"/>
            <w:gridSpan w:val="2"/>
            <w:tcBorders>
              <w:top w:val="nil"/>
              <w:left w:val="nil"/>
              <w:bottom w:val="single" w:sz="8" w:space="0" w:color="auto"/>
              <w:right w:val="nil"/>
            </w:tcBorders>
            <w:vAlign w:val="center"/>
          </w:tcPr>
          <w:p w14:paraId="4CD10ECB"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0   </w:t>
            </w:r>
          </w:p>
        </w:tc>
        <w:tc>
          <w:tcPr>
            <w:tcW w:w="1978" w:type="dxa"/>
            <w:tcBorders>
              <w:top w:val="nil"/>
              <w:left w:val="single" w:sz="8" w:space="0" w:color="auto"/>
              <w:bottom w:val="single" w:sz="8" w:space="0" w:color="auto"/>
              <w:right w:val="single" w:sz="8" w:space="0" w:color="auto"/>
            </w:tcBorders>
            <w:vAlign w:val="center"/>
          </w:tcPr>
          <w:p w14:paraId="0B315BBD"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7F991AE7"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3FA3C64D" w14:textId="77777777" w:rsidTr="00AD62CD">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14:paraId="28EBD603"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14:paraId="7A7DFCC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000000" w:fill="BFBFBF"/>
            <w:vAlign w:val="center"/>
          </w:tcPr>
          <w:p w14:paraId="4E56D69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14:paraId="7472AA7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78" w:type="dxa"/>
            <w:tcBorders>
              <w:top w:val="nil"/>
              <w:left w:val="nil"/>
              <w:bottom w:val="single" w:sz="8" w:space="0" w:color="auto"/>
              <w:right w:val="single" w:sz="8" w:space="0" w:color="auto"/>
            </w:tcBorders>
            <w:shd w:val="clear" w:color="000000" w:fill="BFBFBF"/>
            <w:vAlign w:val="center"/>
          </w:tcPr>
          <w:p w14:paraId="6E030BC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620" w:type="dxa"/>
            <w:gridSpan w:val="2"/>
            <w:tcBorders>
              <w:top w:val="nil"/>
              <w:left w:val="nil"/>
              <w:bottom w:val="single" w:sz="4" w:space="0" w:color="auto"/>
              <w:right w:val="single" w:sz="4" w:space="0" w:color="auto"/>
            </w:tcBorders>
            <w:shd w:val="clear" w:color="auto" w:fill="BFBFBF"/>
            <w:noWrap/>
            <w:vAlign w:val="bottom"/>
          </w:tcPr>
          <w:p w14:paraId="05E86628"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w:t>
            </w:r>
          </w:p>
        </w:tc>
      </w:tr>
      <w:tr w:rsidR="00AD62CD" w:rsidRPr="00AD62CD" w14:paraId="7D0AB2FF" w14:textId="77777777" w:rsidTr="003627DF">
        <w:trPr>
          <w:trHeight w:val="255"/>
        </w:trPr>
        <w:tc>
          <w:tcPr>
            <w:tcW w:w="6188" w:type="dxa"/>
            <w:tcBorders>
              <w:top w:val="nil"/>
              <w:left w:val="single" w:sz="8" w:space="0" w:color="auto"/>
              <w:bottom w:val="single" w:sz="8" w:space="0" w:color="auto"/>
              <w:right w:val="single" w:sz="8" w:space="0" w:color="auto"/>
            </w:tcBorders>
            <w:vAlign w:val="center"/>
          </w:tcPr>
          <w:p w14:paraId="08FB538A"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Mzdy, platy, služobné príjmy a ostatné osobné vyrovnania (610)</w:t>
            </w:r>
          </w:p>
        </w:tc>
        <w:tc>
          <w:tcPr>
            <w:tcW w:w="1698" w:type="dxa"/>
            <w:tcBorders>
              <w:top w:val="nil"/>
              <w:left w:val="nil"/>
              <w:bottom w:val="single" w:sz="8" w:space="0" w:color="auto"/>
              <w:right w:val="single" w:sz="8" w:space="0" w:color="auto"/>
            </w:tcBorders>
            <w:vAlign w:val="center"/>
          </w:tcPr>
          <w:p w14:paraId="2CC0874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vAlign w:val="center"/>
          </w:tcPr>
          <w:p w14:paraId="7111DCA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85" w:type="dxa"/>
            <w:gridSpan w:val="2"/>
            <w:tcBorders>
              <w:top w:val="nil"/>
              <w:left w:val="nil"/>
              <w:bottom w:val="single" w:sz="8" w:space="0" w:color="auto"/>
              <w:right w:val="single" w:sz="8" w:space="0" w:color="auto"/>
            </w:tcBorders>
            <w:vAlign w:val="center"/>
          </w:tcPr>
          <w:p w14:paraId="554B895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78" w:type="dxa"/>
            <w:tcBorders>
              <w:top w:val="nil"/>
              <w:left w:val="nil"/>
              <w:bottom w:val="single" w:sz="8" w:space="0" w:color="auto"/>
              <w:right w:val="single" w:sz="8" w:space="0" w:color="auto"/>
            </w:tcBorders>
            <w:vAlign w:val="center"/>
          </w:tcPr>
          <w:p w14:paraId="4DE0231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2AAE554A"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w:t>
            </w:r>
          </w:p>
        </w:tc>
      </w:tr>
      <w:tr w:rsidR="00AD62CD" w:rsidRPr="00AD62CD" w14:paraId="2DCF9068" w14:textId="77777777" w:rsidTr="003627DF">
        <w:trPr>
          <w:trHeight w:val="255"/>
        </w:trPr>
        <w:tc>
          <w:tcPr>
            <w:tcW w:w="6188" w:type="dxa"/>
            <w:tcBorders>
              <w:top w:val="nil"/>
              <w:left w:val="single" w:sz="8" w:space="0" w:color="auto"/>
              <w:bottom w:val="single" w:sz="8" w:space="0" w:color="auto"/>
              <w:right w:val="single" w:sz="8" w:space="0" w:color="auto"/>
            </w:tcBorders>
            <w:vAlign w:val="center"/>
          </w:tcPr>
          <w:p w14:paraId="1E81ECE8"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vAlign w:val="center"/>
          </w:tcPr>
          <w:p w14:paraId="796A34F4"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65" w:type="dxa"/>
            <w:tcBorders>
              <w:top w:val="nil"/>
              <w:left w:val="nil"/>
              <w:bottom w:val="single" w:sz="8" w:space="0" w:color="auto"/>
              <w:right w:val="single" w:sz="8" w:space="0" w:color="auto"/>
            </w:tcBorders>
            <w:vAlign w:val="center"/>
          </w:tcPr>
          <w:p w14:paraId="7A7E6913"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0   </w:t>
            </w:r>
          </w:p>
        </w:tc>
        <w:tc>
          <w:tcPr>
            <w:tcW w:w="1985" w:type="dxa"/>
            <w:gridSpan w:val="2"/>
            <w:tcBorders>
              <w:top w:val="nil"/>
              <w:left w:val="nil"/>
              <w:bottom w:val="single" w:sz="8" w:space="0" w:color="auto"/>
              <w:right w:val="nil"/>
            </w:tcBorders>
            <w:vAlign w:val="center"/>
          </w:tcPr>
          <w:p w14:paraId="5E920898"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0   </w:t>
            </w:r>
          </w:p>
        </w:tc>
        <w:tc>
          <w:tcPr>
            <w:tcW w:w="1978" w:type="dxa"/>
            <w:tcBorders>
              <w:top w:val="nil"/>
              <w:left w:val="single" w:sz="8" w:space="0" w:color="auto"/>
              <w:bottom w:val="single" w:sz="8" w:space="0" w:color="auto"/>
              <w:right w:val="single" w:sz="8" w:space="0" w:color="auto"/>
            </w:tcBorders>
            <w:vAlign w:val="center"/>
          </w:tcPr>
          <w:p w14:paraId="23609174"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0   </w:t>
            </w:r>
          </w:p>
        </w:tc>
        <w:tc>
          <w:tcPr>
            <w:tcW w:w="1620" w:type="dxa"/>
            <w:gridSpan w:val="2"/>
            <w:tcBorders>
              <w:top w:val="nil"/>
              <w:left w:val="nil"/>
              <w:bottom w:val="single" w:sz="4" w:space="0" w:color="auto"/>
              <w:right w:val="single" w:sz="4" w:space="0" w:color="auto"/>
            </w:tcBorders>
            <w:noWrap/>
            <w:vAlign w:val="bottom"/>
          </w:tcPr>
          <w:p w14:paraId="4AB8C7A3"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7BB09E3E" w14:textId="77777777" w:rsidTr="003627DF">
        <w:trPr>
          <w:trHeight w:val="255"/>
        </w:trPr>
        <w:tc>
          <w:tcPr>
            <w:tcW w:w="6188" w:type="dxa"/>
            <w:tcBorders>
              <w:top w:val="nil"/>
              <w:left w:val="single" w:sz="8" w:space="0" w:color="auto"/>
              <w:bottom w:val="single" w:sz="8" w:space="0" w:color="auto"/>
              <w:right w:val="single" w:sz="8" w:space="0" w:color="auto"/>
            </w:tcBorders>
            <w:vAlign w:val="center"/>
          </w:tcPr>
          <w:p w14:paraId="0EE3B79B"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Poistné a príspevok do poisťovní (620)</w:t>
            </w:r>
          </w:p>
        </w:tc>
        <w:tc>
          <w:tcPr>
            <w:tcW w:w="1698" w:type="dxa"/>
            <w:tcBorders>
              <w:top w:val="nil"/>
              <w:left w:val="nil"/>
              <w:bottom w:val="single" w:sz="8" w:space="0" w:color="auto"/>
              <w:right w:val="single" w:sz="8" w:space="0" w:color="auto"/>
            </w:tcBorders>
            <w:vAlign w:val="center"/>
          </w:tcPr>
          <w:p w14:paraId="5107764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vAlign w:val="center"/>
          </w:tcPr>
          <w:p w14:paraId="2651216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nil"/>
              <w:left w:val="nil"/>
              <w:bottom w:val="single" w:sz="8" w:space="0" w:color="auto"/>
              <w:right w:val="single" w:sz="8" w:space="0" w:color="auto"/>
            </w:tcBorders>
            <w:vAlign w:val="center"/>
          </w:tcPr>
          <w:p w14:paraId="117BAC0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nil"/>
              <w:left w:val="nil"/>
              <w:bottom w:val="single" w:sz="8" w:space="0" w:color="auto"/>
              <w:right w:val="single" w:sz="8" w:space="0" w:color="auto"/>
            </w:tcBorders>
            <w:vAlign w:val="center"/>
          </w:tcPr>
          <w:p w14:paraId="5082B40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41412837"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w:t>
            </w:r>
          </w:p>
        </w:tc>
      </w:tr>
      <w:tr w:rsidR="00AD62CD" w:rsidRPr="00AD62CD" w14:paraId="2BDC2B28" w14:textId="77777777" w:rsidTr="003627DF">
        <w:trPr>
          <w:trHeight w:val="255"/>
        </w:trPr>
        <w:tc>
          <w:tcPr>
            <w:tcW w:w="6188" w:type="dxa"/>
            <w:tcBorders>
              <w:top w:val="nil"/>
              <w:left w:val="single" w:sz="8" w:space="0" w:color="auto"/>
              <w:bottom w:val="single" w:sz="8" w:space="0" w:color="auto"/>
              <w:right w:val="single" w:sz="8" w:space="0" w:color="auto"/>
            </w:tcBorders>
            <w:vAlign w:val="center"/>
          </w:tcPr>
          <w:p w14:paraId="41B3AFAD"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vAlign w:val="center"/>
          </w:tcPr>
          <w:p w14:paraId="25676321"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65" w:type="dxa"/>
            <w:tcBorders>
              <w:top w:val="nil"/>
              <w:left w:val="nil"/>
              <w:bottom w:val="single" w:sz="8" w:space="0" w:color="auto"/>
              <w:right w:val="single" w:sz="8" w:space="0" w:color="auto"/>
            </w:tcBorders>
            <w:vAlign w:val="center"/>
          </w:tcPr>
          <w:p w14:paraId="0A52B651"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85" w:type="dxa"/>
            <w:gridSpan w:val="2"/>
            <w:tcBorders>
              <w:top w:val="nil"/>
              <w:left w:val="nil"/>
              <w:bottom w:val="single" w:sz="8" w:space="0" w:color="auto"/>
              <w:right w:val="nil"/>
            </w:tcBorders>
            <w:vAlign w:val="center"/>
          </w:tcPr>
          <w:p w14:paraId="22290649"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78" w:type="dxa"/>
            <w:tcBorders>
              <w:top w:val="nil"/>
              <w:left w:val="single" w:sz="8" w:space="0" w:color="auto"/>
              <w:bottom w:val="single" w:sz="8" w:space="0" w:color="auto"/>
              <w:right w:val="single" w:sz="8" w:space="0" w:color="auto"/>
            </w:tcBorders>
            <w:vAlign w:val="center"/>
          </w:tcPr>
          <w:p w14:paraId="1AE2F597"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0FF457E2"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5097AC02" w14:textId="77777777" w:rsidTr="003627DF">
        <w:trPr>
          <w:trHeight w:val="255"/>
        </w:trPr>
        <w:tc>
          <w:tcPr>
            <w:tcW w:w="6188" w:type="dxa"/>
            <w:tcBorders>
              <w:top w:val="nil"/>
              <w:left w:val="nil"/>
              <w:bottom w:val="nil"/>
              <w:right w:val="nil"/>
            </w:tcBorders>
            <w:noWrap/>
            <w:vAlign w:val="bottom"/>
          </w:tcPr>
          <w:p w14:paraId="38705DE5"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698" w:type="dxa"/>
            <w:tcBorders>
              <w:top w:val="nil"/>
              <w:left w:val="nil"/>
              <w:bottom w:val="nil"/>
              <w:right w:val="nil"/>
            </w:tcBorders>
            <w:noWrap/>
            <w:vAlign w:val="bottom"/>
          </w:tcPr>
          <w:p w14:paraId="49CEF527"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65" w:type="dxa"/>
            <w:tcBorders>
              <w:top w:val="nil"/>
              <w:left w:val="nil"/>
              <w:bottom w:val="nil"/>
              <w:right w:val="nil"/>
            </w:tcBorders>
            <w:noWrap/>
            <w:vAlign w:val="bottom"/>
          </w:tcPr>
          <w:p w14:paraId="239FC6A4"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85" w:type="dxa"/>
            <w:gridSpan w:val="2"/>
            <w:tcBorders>
              <w:top w:val="nil"/>
              <w:left w:val="nil"/>
              <w:bottom w:val="nil"/>
              <w:right w:val="nil"/>
            </w:tcBorders>
            <w:noWrap/>
            <w:vAlign w:val="bottom"/>
          </w:tcPr>
          <w:p w14:paraId="43944384"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78" w:type="dxa"/>
            <w:tcBorders>
              <w:top w:val="nil"/>
              <w:left w:val="nil"/>
              <w:bottom w:val="nil"/>
              <w:right w:val="nil"/>
            </w:tcBorders>
            <w:noWrap/>
            <w:vAlign w:val="bottom"/>
          </w:tcPr>
          <w:p w14:paraId="29EEF2CD"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620" w:type="dxa"/>
            <w:gridSpan w:val="2"/>
            <w:tcBorders>
              <w:top w:val="nil"/>
              <w:left w:val="nil"/>
              <w:bottom w:val="nil"/>
              <w:right w:val="nil"/>
            </w:tcBorders>
            <w:noWrap/>
            <w:vAlign w:val="bottom"/>
          </w:tcPr>
          <w:p w14:paraId="4EE55FC3"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596DD1FC" w14:textId="77777777" w:rsidTr="003627DF">
        <w:trPr>
          <w:trHeight w:val="255"/>
        </w:trPr>
        <w:tc>
          <w:tcPr>
            <w:tcW w:w="6188" w:type="dxa"/>
            <w:tcBorders>
              <w:top w:val="nil"/>
              <w:left w:val="nil"/>
              <w:bottom w:val="nil"/>
              <w:right w:val="nil"/>
            </w:tcBorders>
          </w:tcPr>
          <w:p w14:paraId="65AE9F57"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Poznámky:</w:t>
            </w:r>
          </w:p>
        </w:tc>
        <w:tc>
          <w:tcPr>
            <w:tcW w:w="1698" w:type="dxa"/>
            <w:tcBorders>
              <w:top w:val="nil"/>
              <w:left w:val="nil"/>
              <w:bottom w:val="nil"/>
              <w:right w:val="nil"/>
            </w:tcBorders>
            <w:noWrap/>
            <w:vAlign w:val="bottom"/>
          </w:tcPr>
          <w:p w14:paraId="7723CBE8"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65" w:type="dxa"/>
            <w:tcBorders>
              <w:top w:val="nil"/>
              <w:left w:val="nil"/>
              <w:bottom w:val="nil"/>
              <w:right w:val="nil"/>
            </w:tcBorders>
            <w:noWrap/>
            <w:vAlign w:val="bottom"/>
          </w:tcPr>
          <w:p w14:paraId="3352746D"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85" w:type="dxa"/>
            <w:gridSpan w:val="2"/>
            <w:tcBorders>
              <w:top w:val="nil"/>
              <w:left w:val="nil"/>
              <w:bottom w:val="nil"/>
              <w:right w:val="nil"/>
            </w:tcBorders>
            <w:noWrap/>
            <w:vAlign w:val="bottom"/>
          </w:tcPr>
          <w:p w14:paraId="7D4937DC"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78" w:type="dxa"/>
            <w:tcBorders>
              <w:top w:val="nil"/>
              <w:left w:val="nil"/>
              <w:bottom w:val="nil"/>
              <w:right w:val="nil"/>
            </w:tcBorders>
            <w:noWrap/>
            <w:vAlign w:val="bottom"/>
          </w:tcPr>
          <w:p w14:paraId="7CF0F0F3"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620" w:type="dxa"/>
            <w:gridSpan w:val="2"/>
            <w:tcBorders>
              <w:top w:val="nil"/>
              <w:left w:val="nil"/>
              <w:bottom w:val="nil"/>
              <w:right w:val="nil"/>
            </w:tcBorders>
            <w:noWrap/>
            <w:vAlign w:val="bottom"/>
          </w:tcPr>
          <w:p w14:paraId="42588833"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1A985F13" w14:textId="77777777" w:rsidTr="003627DF">
        <w:trPr>
          <w:trHeight w:val="255"/>
        </w:trPr>
        <w:tc>
          <w:tcPr>
            <w:tcW w:w="13814" w:type="dxa"/>
            <w:gridSpan w:val="6"/>
            <w:tcBorders>
              <w:top w:val="nil"/>
              <w:left w:val="nil"/>
              <w:bottom w:val="nil"/>
              <w:right w:val="nil"/>
            </w:tcBorders>
            <w:noWrap/>
          </w:tcPr>
          <w:p w14:paraId="651D98FF"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2"/>
                <w:szCs w:val="22"/>
                <w:lang w:eastAsia="sk-SK"/>
                <w14:ligatures w14:val="none"/>
              </w:rPr>
            </w:pPr>
            <w:r w:rsidRPr="00AD62CD">
              <w:rPr>
                <w:rFonts w:ascii="Times New Roman" w:eastAsia="Calibri" w:hAnsi="Times New Roman" w:cs="Times New Roman"/>
                <w:bCs/>
                <w:kern w:val="0"/>
                <w:sz w:val="22"/>
                <w:szCs w:val="22"/>
                <w:lang w:eastAsia="sk-SK"/>
                <w14:ligatures w14:val="none"/>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3B83506B"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37B0F449"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1A905F44" w14:textId="77777777" w:rsidTr="003627DF">
        <w:trPr>
          <w:trHeight w:val="255"/>
        </w:trPr>
        <w:tc>
          <w:tcPr>
            <w:tcW w:w="10394" w:type="dxa"/>
            <w:gridSpan w:val="4"/>
            <w:tcBorders>
              <w:top w:val="nil"/>
              <w:left w:val="nil"/>
              <w:bottom w:val="nil"/>
              <w:right w:val="nil"/>
            </w:tcBorders>
            <w:noWrap/>
            <w:vAlign w:val="bottom"/>
          </w:tcPr>
          <w:p w14:paraId="62842B79"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Kategórie 610 a 620 sú z tejto prílohy prenášané do príslušných kategórií prílohy „výdavky“.</w:t>
            </w:r>
          </w:p>
        </w:tc>
        <w:tc>
          <w:tcPr>
            <w:tcW w:w="1442" w:type="dxa"/>
            <w:tcBorders>
              <w:top w:val="nil"/>
              <w:left w:val="nil"/>
              <w:bottom w:val="nil"/>
              <w:right w:val="nil"/>
            </w:tcBorders>
            <w:noWrap/>
            <w:vAlign w:val="bottom"/>
          </w:tcPr>
          <w:p w14:paraId="0384BD6B"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2608" w:type="dxa"/>
            <w:gridSpan w:val="2"/>
            <w:tcBorders>
              <w:top w:val="nil"/>
              <w:left w:val="nil"/>
              <w:bottom w:val="nil"/>
              <w:right w:val="nil"/>
            </w:tcBorders>
            <w:noWrap/>
            <w:vAlign w:val="bottom"/>
          </w:tcPr>
          <w:p w14:paraId="16635A09"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990" w:type="dxa"/>
            <w:tcBorders>
              <w:top w:val="nil"/>
              <w:left w:val="nil"/>
              <w:bottom w:val="nil"/>
              <w:right w:val="nil"/>
            </w:tcBorders>
            <w:noWrap/>
            <w:vAlign w:val="bottom"/>
          </w:tcPr>
          <w:p w14:paraId="7C81CC87"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bl>
    <w:p w14:paraId="2FA36FDF" w14:textId="77777777" w:rsidR="00AD62CD" w:rsidRPr="00AD62CD" w:rsidRDefault="00AD62CD" w:rsidP="00AD62CD">
      <w:pPr>
        <w:spacing w:after="0" w:line="276" w:lineRule="auto"/>
        <w:rPr>
          <w:rFonts w:ascii="Times New Roman" w:eastAsia="Calibri" w:hAnsi="Times New Roman" w:cs="Times New Roman"/>
          <w:bCs/>
          <w:kern w:val="0"/>
          <w:sz w:val="18"/>
          <w:szCs w:val="20"/>
          <w:lang w:eastAsia="sk-SK"/>
          <w14:ligatures w14:val="none"/>
        </w:rPr>
        <w:sectPr w:rsidR="00AD62CD" w:rsidRPr="00AD62CD" w:rsidSect="00AD62CD">
          <w:headerReference w:type="even" r:id="rId29"/>
          <w:headerReference w:type="default" r:id="rId30"/>
          <w:footerReference w:type="even" r:id="rId31"/>
          <w:headerReference w:type="first" r:id="rId32"/>
          <w:footerReference w:type="first" r:id="rId33"/>
          <w:pgSz w:w="16838" w:h="11906" w:orient="landscape"/>
          <w:pgMar w:top="1418" w:right="1418" w:bottom="1418" w:left="1276" w:header="709" w:footer="709" w:gutter="0"/>
          <w:cols w:space="708"/>
          <w:docGrid w:linePitch="360"/>
        </w:sectPr>
      </w:pPr>
    </w:p>
    <w:p w14:paraId="2C079262" w14:textId="77777777" w:rsidR="00AD62CD" w:rsidRPr="00AD62CD" w:rsidRDefault="00AD62CD" w:rsidP="00AD62CD">
      <w:pPr>
        <w:spacing w:after="0" w:line="240" w:lineRule="auto"/>
        <w:jc w:val="both"/>
        <w:rPr>
          <w:rFonts w:ascii="Times New Roman" w:eastAsia="Calibri" w:hAnsi="Times New Roman" w:cs="Times New Roman"/>
          <w:b/>
          <w:kern w:val="0"/>
          <w:lang w:eastAsia="sk-SK"/>
          <w14:ligatures w14:val="none"/>
        </w:rPr>
      </w:pPr>
      <w:r w:rsidRPr="00AD62CD">
        <w:rPr>
          <w:rFonts w:ascii="Times New Roman" w:eastAsia="Calibri" w:hAnsi="Times New Roman" w:cs="Times New Roman"/>
          <w:b/>
          <w:kern w:val="0"/>
          <w:lang w:eastAsia="sk-SK"/>
          <w14:ligatures w14:val="none"/>
        </w:rPr>
        <w:t xml:space="preserve">2.2.5. Výpočet vplyvov na dlhodobú udržateľnosť verejných financií </w:t>
      </w:r>
    </w:p>
    <w:p w14:paraId="3987814F"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1E788706"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10E0A40F"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p>
    <w:p w14:paraId="150293BE" w14:textId="77777777" w:rsidR="00AD62CD" w:rsidRPr="00AD62CD" w:rsidRDefault="00AD62CD" w:rsidP="00AD62CD">
      <w:pPr>
        <w:spacing w:after="0" w:line="240" w:lineRule="auto"/>
        <w:jc w:val="both"/>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AD62CD" w:rsidRPr="00AD62CD" w14:paraId="453DAD49" w14:textId="77777777" w:rsidTr="00AD62CD">
        <w:trPr>
          <w:trHeight w:val="284"/>
        </w:trPr>
        <w:tc>
          <w:tcPr>
            <w:tcW w:w="2943" w:type="dxa"/>
            <w:vMerge w:val="restart"/>
            <w:shd w:val="clear" w:color="auto" w:fill="BFBFBF"/>
            <w:vAlign w:val="center"/>
          </w:tcPr>
          <w:p w14:paraId="1EEA8DA8"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kern w:val="0"/>
                <w:lang w:eastAsia="sk-SK"/>
                <w14:ligatures w14:val="none"/>
              </w:rPr>
            </w:pPr>
            <w:r w:rsidRPr="00AD62CD">
              <w:rPr>
                <w:rFonts w:ascii="Times New Roman" w:eastAsia="Calibri" w:hAnsi="Times New Roman" w:cs="Times New Roman"/>
                <w:b/>
                <w:kern w:val="0"/>
                <w:lang w:eastAsia="sk-SK"/>
                <w14:ligatures w14:val="none"/>
              </w:rPr>
              <w:t>Dlhodobá udržateľnosť</w:t>
            </w:r>
          </w:p>
        </w:tc>
        <w:tc>
          <w:tcPr>
            <w:tcW w:w="7967" w:type="dxa"/>
            <w:gridSpan w:val="5"/>
            <w:shd w:val="clear" w:color="auto" w:fill="BFBFBF"/>
          </w:tcPr>
          <w:p w14:paraId="27493143"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kern w:val="0"/>
                <w:lang w:eastAsia="sk-SK"/>
                <w14:ligatures w14:val="none"/>
              </w:rPr>
            </w:pPr>
            <w:r w:rsidRPr="00AD62CD">
              <w:rPr>
                <w:rFonts w:ascii="Times New Roman" w:eastAsia="Calibri" w:hAnsi="Times New Roman" w:cs="Times New Roman"/>
                <w:b/>
                <w:kern w:val="0"/>
                <w:lang w:eastAsia="sk-SK"/>
                <w14:ligatures w14:val="none"/>
              </w:rPr>
              <w:t>Vplyv na verejné financie</w:t>
            </w:r>
          </w:p>
        </w:tc>
        <w:tc>
          <w:tcPr>
            <w:tcW w:w="3119" w:type="dxa"/>
            <w:vMerge w:val="restart"/>
            <w:shd w:val="clear" w:color="auto" w:fill="BFBFBF"/>
            <w:vAlign w:val="center"/>
          </w:tcPr>
          <w:p w14:paraId="3DF398E7"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kern w:val="0"/>
                <w:lang w:eastAsia="sk-SK"/>
                <w14:ligatures w14:val="none"/>
              </w:rPr>
            </w:pPr>
            <w:r w:rsidRPr="00AD62CD">
              <w:rPr>
                <w:rFonts w:ascii="Times New Roman" w:eastAsia="Calibri" w:hAnsi="Times New Roman" w:cs="Times New Roman"/>
                <w:b/>
                <w:kern w:val="0"/>
                <w:lang w:eastAsia="sk-SK"/>
                <w14:ligatures w14:val="none"/>
              </w:rPr>
              <w:t>Poznámka</w:t>
            </w:r>
          </w:p>
        </w:tc>
      </w:tr>
      <w:tr w:rsidR="00AD62CD" w:rsidRPr="00AD62CD" w14:paraId="013B357A" w14:textId="77777777" w:rsidTr="00AD62CD">
        <w:trPr>
          <w:trHeight w:val="284"/>
        </w:trPr>
        <w:tc>
          <w:tcPr>
            <w:tcW w:w="2943" w:type="dxa"/>
            <w:vMerge/>
            <w:shd w:val="clear" w:color="auto" w:fill="BFBFBF"/>
          </w:tcPr>
          <w:p w14:paraId="6A2D9B6A" w14:textId="77777777" w:rsidR="00AD62CD" w:rsidRPr="00AD62CD" w:rsidRDefault="00AD62CD" w:rsidP="00AD62CD">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kern w:val="0"/>
                <w:lang w:eastAsia="sk-SK"/>
                <w14:ligatures w14:val="none"/>
              </w:rPr>
            </w:pPr>
          </w:p>
        </w:tc>
        <w:tc>
          <w:tcPr>
            <w:tcW w:w="1447" w:type="dxa"/>
            <w:shd w:val="clear" w:color="auto" w:fill="BFBFBF"/>
          </w:tcPr>
          <w:p w14:paraId="72B01FCD"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2030</w:t>
            </w:r>
          </w:p>
        </w:tc>
        <w:tc>
          <w:tcPr>
            <w:tcW w:w="1559" w:type="dxa"/>
            <w:shd w:val="clear" w:color="auto" w:fill="BFBFBF"/>
          </w:tcPr>
          <w:p w14:paraId="69C0E3B2"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2040</w:t>
            </w:r>
          </w:p>
        </w:tc>
        <w:tc>
          <w:tcPr>
            <w:tcW w:w="1559" w:type="dxa"/>
            <w:shd w:val="clear" w:color="auto" w:fill="BFBFBF"/>
          </w:tcPr>
          <w:p w14:paraId="27EC16FB"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2050</w:t>
            </w:r>
          </w:p>
        </w:tc>
        <w:tc>
          <w:tcPr>
            <w:tcW w:w="1418" w:type="dxa"/>
            <w:shd w:val="clear" w:color="auto" w:fill="BFBFBF"/>
          </w:tcPr>
          <w:p w14:paraId="273A6391"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2060</w:t>
            </w:r>
          </w:p>
        </w:tc>
        <w:tc>
          <w:tcPr>
            <w:tcW w:w="1984" w:type="dxa"/>
            <w:shd w:val="clear" w:color="auto" w:fill="BFBFBF"/>
          </w:tcPr>
          <w:p w14:paraId="060A76FD"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2070</w:t>
            </w:r>
          </w:p>
        </w:tc>
        <w:tc>
          <w:tcPr>
            <w:tcW w:w="3119" w:type="dxa"/>
            <w:vMerge/>
            <w:shd w:val="clear" w:color="auto" w:fill="BFBFBF"/>
          </w:tcPr>
          <w:p w14:paraId="5A837C0F" w14:textId="77777777" w:rsidR="00AD62CD" w:rsidRPr="00AD62CD" w:rsidRDefault="00AD62CD" w:rsidP="00AD62CD">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kern w:val="0"/>
                <w:lang w:eastAsia="sk-SK"/>
                <w14:ligatures w14:val="none"/>
              </w:rPr>
            </w:pPr>
          </w:p>
        </w:tc>
      </w:tr>
      <w:tr w:rsidR="00AD62CD" w:rsidRPr="00AD62CD" w14:paraId="5BED88FB" w14:textId="77777777" w:rsidTr="003627DF">
        <w:trPr>
          <w:trHeight w:val="284"/>
        </w:trPr>
        <w:tc>
          <w:tcPr>
            <w:tcW w:w="2943" w:type="dxa"/>
            <w:vAlign w:val="bottom"/>
          </w:tcPr>
          <w:p w14:paraId="577F3D9F" w14:textId="77777777" w:rsidR="00AD62CD" w:rsidRPr="00AD62CD" w:rsidRDefault="00AD62CD" w:rsidP="00AD62CD">
            <w:pPr>
              <w:widowControl w:val="0"/>
              <w:overflowPunct w:val="0"/>
              <w:autoSpaceDE w:val="0"/>
              <w:autoSpaceDN w:val="0"/>
              <w:adjustRightInd w:val="0"/>
              <w:spacing w:after="0" w:line="240" w:lineRule="auto"/>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Vplyv na výdavky v p. b. HDP</w:t>
            </w:r>
          </w:p>
        </w:tc>
        <w:tc>
          <w:tcPr>
            <w:tcW w:w="1447" w:type="dxa"/>
            <w:vAlign w:val="center"/>
          </w:tcPr>
          <w:p w14:paraId="476BCE5C"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559" w:type="dxa"/>
            <w:vAlign w:val="center"/>
          </w:tcPr>
          <w:p w14:paraId="0DD87D4F"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559" w:type="dxa"/>
            <w:vAlign w:val="center"/>
          </w:tcPr>
          <w:p w14:paraId="454C0A07"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418" w:type="dxa"/>
            <w:vAlign w:val="center"/>
          </w:tcPr>
          <w:p w14:paraId="11298F94"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984" w:type="dxa"/>
            <w:vAlign w:val="center"/>
          </w:tcPr>
          <w:p w14:paraId="0275DCDD"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val="en-GB" w:eastAsia="sk-SK"/>
                <w14:ligatures w14:val="none"/>
              </w:rPr>
            </w:pPr>
          </w:p>
        </w:tc>
        <w:tc>
          <w:tcPr>
            <w:tcW w:w="3119" w:type="dxa"/>
            <w:vAlign w:val="center"/>
          </w:tcPr>
          <w:p w14:paraId="7EA6B152"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r>
      <w:tr w:rsidR="00AD62CD" w:rsidRPr="00AD62CD" w14:paraId="7FCC11A7" w14:textId="77777777" w:rsidTr="003627DF">
        <w:trPr>
          <w:trHeight w:val="284"/>
        </w:trPr>
        <w:tc>
          <w:tcPr>
            <w:tcW w:w="2943" w:type="dxa"/>
          </w:tcPr>
          <w:p w14:paraId="42ACEF35" w14:textId="77777777" w:rsidR="00AD62CD" w:rsidRPr="00AD62CD" w:rsidRDefault="00AD62CD" w:rsidP="00AD62CD">
            <w:pPr>
              <w:widowControl w:val="0"/>
              <w:overflowPunct w:val="0"/>
              <w:autoSpaceDE w:val="0"/>
              <w:autoSpaceDN w:val="0"/>
              <w:adjustRightInd w:val="0"/>
              <w:spacing w:after="0" w:line="240" w:lineRule="auto"/>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Vplyv na príjmy v p. b. HDP</w:t>
            </w:r>
          </w:p>
        </w:tc>
        <w:tc>
          <w:tcPr>
            <w:tcW w:w="1447" w:type="dxa"/>
            <w:vAlign w:val="center"/>
          </w:tcPr>
          <w:p w14:paraId="7F619EEA"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559" w:type="dxa"/>
            <w:vAlign w:val="center"/>
          </w:tcPr>
          <w:p w14:paraId="5F1A6EF7"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559" w:type="dxa"/>
            <w:vAlign w:val="center"/>
          </w:tcPr>
          <w:p w14:paraId="141FF298"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418" w:type="dxa"/>
            <w:vAlign w:val="center"/>
          </w:tcPr>
          <w:p w14:paraId="28AA642C"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984" w:type="dxa"/>
            <w:vAlign w:val="center"/>
          </w:tcPr>
          <w:p w14:paraId="2BD1B33E"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3119" w:type="dxa"/>
            <w:vAlign w:val="center"/>
          </w:tcPr>
          <w:p w14:paraId="26D62166"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r>
      <w:tr w:rsidR="00AD62CD" w:rsidRPr="00AD62CD" w14:paraId="44FE7DDB" w14:textId="77777777" w:rsidTr="003627DF">
        <w:trPr>
          <w:trHeight w:val="284"/>
        </w:trPr>
        <w:tc>
          <w:tcPr>
            <w:tcW w:w="2943" w:type="dxa"/>
          </w:tcPr>
          <w:p w14:paraId="52CE3E6F" w14:textId="77777777" w:rsidR="00AD62CD" w:rsidRPr="00AD62CD" w:rsidRDefault="00AD62CD" w:rsidP="00AD62CD">
            <w:pPr>
              <w:widowControl w:val="0"/>
              <w:overflowPunct w:val="0"/>
              <w:autoSpaceDE w:val="0"/>
              <w:autoSpaceDN w:val="0"/>
              <w:adjustRightInd w:val="0"/>
              <w:spacing w:after="0" w:line="240" w:lineRule="auto"/>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Vplyv na bilanciu  v p. b. HDP</w:t>
            </w:r>
          </w:p>
        </w:tc>
        <w:tc>
          <w:tcPr>
            <w:tcW w:w="1447" w:type="dxa"/>
            <w:vAlign w:val="center"/>
          </w:tcPr>
          <w:p w14:paraId="4D3E1173"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559" w:type="dxa"/>
            <w:vAlign w:val="center"/>
          </w:tcPr>
          <w:p w14:paraId="61303C8C"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559" w:type="dxa"/>
            <w:vAlign w:val="center"/>
          </w:tcPr>
          <w:p w14:paraId="128FA38C"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418" w:type="dxa"/>
            <w:vAlign w:val="center"/>
          </w:tcPr>
          <w:p w14:paraId="2B81FFC9"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984" w:type="dxa"/>
            <w:vAlign w:val="center"/>
          </w:tcPr>
          <w:p w14:paraId="353E9843"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3119" w:type="dxa"/>
            <w:vAlign w:val="center"/>
          </w:tcPr>
          <w:p w14:paraId="3D641ECD"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r>
    </w:tbl>
    <w:p w14:paraId="722F1D29"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147EAF99"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5B23443E"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72FDD92F"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0F81D80A"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0349A3C5"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3B1C6F85"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4CEF0893"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0928D648"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7EB14AB0"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728B4D87" w14:textId="77777777" w:rsidR="00AD62CD" w:rsidRPr="00AD62CD" w:rsidRDefault="00AD62CD" w:rsidP="00AD62CD">
      <w:pPr>
        <w:spacing w:after="0" w:line="240" w:lineRule="auto"/>
        <w:rPr>
          <w:rFonts w:ascii="Calibri" w:eastAsia="Calibri" w:hAnsi="Calibri" w:cs="Times New Roman"/>
          <w:kern w:val="0"/>
          <w:sz w:val="22"/>
          <w:szCs w:val="22"/>
          <w14:ligatures w14:val="none"/>
        </w:rPr>
        <w:sectPr w:rsidR="00AD62CD" w:rsidRPr="00AD62CD" w:rsidSect="00AD62CD">
          <w:pgSz w:w="16838" w:h="11906" w:orient="landscape"/>
          <w:pgMar w:top="1417" w:right="1417" w:bottom="1417" w:left="1276" w:header="708" w:footer="708" w:gutter="0"/>
          <w:cols w:space="708"/>
          <w:docGrid w:linePitch="360"/>
        </w:sectPr>
      </w:pPr>
    </w:p>
    <w:p w14:paraId="652A1D2A" w14:textId="77777777" w:rsidR="00AD62CD" w:rsidRPr="00AD62CD" w:rsidRDefault="00AD62CD" w:rsidP="00AD62CD">
      <w:pPr>
        <w:spacing w:after="0" w:line="240" w:lineRule="auto"/>
        <w:jc w:val="center"/>
        <w:rPr>
          <w:rFonts w:ascii="Times New Roman" w:eastAsia="Calibri" w:hAnsi="Times New Roman" w:cs="Times New Roman"/>
          <w:b/>
          <w:bCs/>
          <w:kern w:val="0"/>
          <w:sz w:val="28"/>
          <w:szCs w:val="28"/>
          <w:lang w:eastAsia="sk-SK"/>
          <w14:ligatures w14:val="none"/>
        </w:rPr>
      </w:pPr>
      <w:r w:rsidRPr="00AD62CD">
        <w:rPr>
          <w:rFonts w:ascii="Times New Roman" w:eastAsia="Calibri" w:hAnsi="Times New Roman" w:cs="Times New Roman"/>
          <w:b/>
          <w:bCs/>
          <w:kern w:val="0"/>
          <w:sz w:val="28"/>
          <w:szCs w:val="28"/>
          <w:lang w:eastAsia="sk-SK"/>
          <w14:ligatures w14:val="none"/>
        </w:rPr>
        <w:t>Analýza vplyvov na rozpočet verejnej správy,</w:t>
      </w:r>
    </w:p>
    <w:p w14:paraId="1BADCE78" w14:textId="77777777" w:rsidR="00AD62CD" w:rsidRPr="00AD62CD" w:rsidRDefault="00AD62CD" w:rsidP="00AD62CD">
      <w:pPr>
        <w:spacing w:after="0" w:line="240" w:lineRule="auto"/>
        <w:jc w:val="center"/>
        <w:rPr>
          <w:rFonts w:ascii="Times New Roman" w:eastAsia="Calibri" w:hAnsi="Times New Roman" w:cs="Times New Roman"/>
          <w:b/>
          <w:bCs/>
          <w:kern w:val="0"/>
          <w:sz w:val="28"/>
          <w:szCs w:val="28"/>
          <w:lang w:eastAsia="sk-SK"/>
          <w14:ligatures w14:val="none"/>
        </w:rPr>
      </w:pPr>
      <w:r w:rsidRPr="00AD62CD">
        <w:rPr>
          <w:rFonts w:ascii="Times New Roman" w:eastAsia="Calibri" w:hAnsi="Times New Roman" w:cs="Times New Roman"/>
          <w:b/>
          <w:bCs/>
          <w:kern w:val="0"/>
          <w:sz w:val="28"/>
          <w:szCs w:val="28"/>
          <w:lang w:eastAsia="sk-SK"/>
          <w14:ligatures w14:val="none"/>
        </w:rPr>
        <w:t>na zamestnanosť vo verejnej správe a financovanie návrhu</w:t>
      </w:r>
    </w:p>
    <w:p w14:paraId="75D68EE2" w14:textId="77777777" w:rsidR="00AD62CD" w:rsidRPr="00AD62CD" w:rsidRDefault="00AD62CD" w:rsidP="00AD62CD">
      <w:pPr>
        <w:spacing w:after="0" w:line="240" w:lineRule="auto"/>
        <w:jc w:val="center"/>
        <w:rPr>
          <w:rFonts w:ascii="Times New Roman" w:eastAsia="Calibri" w:hAnsi="Times New Roman" w:cs="Times New Roman"/>
          <w:b/>
          <w:bCs/>
          <w:kern w:val="0"/>
          <w:sz w:val="28"/>
          <w:szCs w:val="28"/>
          <w:lang w:eastAsia="sk-SK"/>
          <w14:ligatures w14:val="none"/>
        </w:rPr>
      </w:pPr>
      <w:r w:rsidRPr="00AD62CD">
        <w:rPr>
          <w:rFonts w:ascii="Times New Roman" w:eastAsia="Calibri" w:hAnsi="Times New Roman" w:cs="Times New Roman"/>
          <w:b/>
          <w:bCs/>
          <w:kern w:val="0"/>
          <w:sz w:val="28"/>
          <w:szCs w:val="28"/>
          <w:lang w:eastAsia="sk-SK"/>
          <w14:ligatures w14:val="none"/>
        </w:rPr>
        <w:t>(Zákon o sociálnom poistení)</w:t>
      </w:r>
      <w:r w:rsidRPr="00AD62CD">
        <w:rPr>
          <w:rFonts w:ascii="Times New Roman" w:eastAsia="Calibri" w:hAnsi="Times New Roman" w:cs="Times New Roman"/>
          <w:b/>
          <w:bCs/>
          <w:kern w:val="0"/>
          <w:sz w:val="28"/>
          <w:szCs w:val="28"/>
          <w:lang w:eastAsia="sk-SK"/>
          <w14:ligatures w14:val="none"/>
        </w:rPr>
        <w:br/>
      </w:r>
    </w:p>
    <w:p w14:paraId="43346445" w14:textId="77777777" w:rsidR="00AD62CD" w:rsidRPr="00AD62CD" w:rsidRDefault="00AD62CD" w:rsidP="00AD62CD">
      <w:pPr>
        <w:spacing w:after="0" w:line="240" w:lineRule="auto"/>
        <w:jc w:val="right"/>
        <w:rPr>
          <w:rFonts w:ascii="Times New Roman" w:eastAsia="Calibri" w:hAnsi="Times New Roman" w:cs="Times New Roman"/>
          <w:b/>
          <w:bCs/>
          <w:kern w:val="0"/>
          <w:lang w:eastAsia="sk-SK"/>
          <w14:ligatures w14:val="none"/>
        </w:rPr>
      </w:pPr>
    </w:p>
    <w:p w14:paraId="4BF781C2" w14:textId="77777777" w:rsidR="00AD62CD" w:rsidRPr="00AD62CD" w:rsidRDefault="00AD62CD" w:rsidP="00AD62CD">
      <w:pPr>
        <w:spacing w:after="0" w:line="240" w:lineRule="auto"/>
        <w:jc w:val="right"/>
        <w:rPr>
          <w:rFonts w:ascii="Times New Roman" w:eastAsia="Calibri" w:hAnsi="Times New Roman" w:cs="Times New Roman"/>
          <w:b/>
          <w:bCs/>
          <w:kern w:val="0"/>
          <w:lang w:eastAsia="sk-SK"/>
          <w14:ligatures w14:val="none"/>
        </w:rPr>
      </w:pPr>
    </w:p>
    <w:p w14:paraId="7139CF62"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2.1 Zhrnutie vplyvov na rozpočet verejnej správy v návrhu</w:t>
      </w:r>
    </w:p>
    <w:p w14:paraId="51D5CF9F"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128AEBB1"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val="en-GB" w:eastAsia="sk-SK"/>
          <w14:ligatures w14:val="none"/>
        </w:rPr>
      </w:pPr>
      <w:r w:rsidRPr="00AD62CD">
        <w:rPr>
          <w:rFonts w:ascii="Times New Roman" w:eastAsia="Calibri" w:hAnsi="Times New Roman" w:cs="Times New Roman"/>
          <w:kern w:val="0"/>
          <w:sz w:val="20"/>
          <w:szCs w:val="20"/>
          <w:lang w:eastAsia="sk-SK"/>
          <w14:ligatures w14:val="none"/>
        </w:rPr>
        <w:t xml:space="preserve">Tabuľka č. 1/A </w:t>
      </w:r>
    </w:p>
    <w:tbl>
      <w:tblPr>
        <w:tblW w:w="9511" w:type="dxa"/>
        <w:tblCellMar>
          <w:left w:w="70" w:type="dxa"/>
          <w:right w:w="70" w:type="dxa"/>
        </w:tblCellMar>
        <w:tblLook w:val="04A0" w:firstRow="1" w:lastRow="0" w:firstColumn="1" w:lastColumn="0" w:noHBand="0" w:noVBand="1"/>
      </w:tblPr>
      <w:tblGrid>
        <w:gridCol w:w="3959"/>
        <w:gridCol w:w="1134"/>
        <w:gridCol w:w="1555"/>
        <w:gridCol w:w="1420"/>
        <w:gridCol w:w="1420"/>
        <w:gridCol w:w="23"/>
      </w:tblGrid>
      <w:tr w:rsidR="00AD62CD" w:rsidRPr="00AD62CD" w14:paraId="71684CB1" w14:textId="77777777" w:rsidTr="003627DF">
        <w:trPr>
          <w:trHeight w:val="889"/>
        </w:trPr>
        <w:tc>
          <w:tcPr>
            <w:tcW w:w="39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680B27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Vplyvy na rozpočet verejnej správy</w:t>
            </w:r>
          </w:p>
        </w:tc>
        <w:tc>
          <w:tcPr>
            <w:tcW w:w="5552" w:type="dxa"/>
            <w:gridSpan w:val="5"/>
            <w:tcBorders>
              <w:top w:val="single" w:sz="8" w:space="0" w:color="auto"/>
              <w:left w:val="nil"/>
              <w:bottom w:val="single" w:sz="8" w:space="0" w:color="auto"/>
              <w:right w:val="single" w:sz="8" w:space="0" w:color="000000"/>
            </w:tcBorders>
            <w:shd w:val="clear" w:color="000000" w:fill="BFBFBF"/>
            <w:vAlign w:val="center"/>
            <w:hideMark/>
          </w:tcPr>
          <w:p w14:paraId="424BCF9B"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rozpočet verejnej správy (v eurách, v metodike ESA)</w:t>
            </w:r>
          </w:p>
        </w:tc>
      </w:tr>
      <w:tr w:rsidR="00AD62CD" w:rsidRPr="00AD62CD" w14:paraId="4B8E6663" w14:textId="77777777" w:rsidTr="003627DF">
        <w:trPr>
          <w:gridAfter w:val="1"/>
          <w:wAfter w:w="23" w:type="dxa"/>
          <w:trHeight w:val="270"/>
        </w:trPr>
        <w:tc>
          <w:tcPr>
            <w:tcW w:w="3959" w:type="dxa"/>
            <w:vMerge/>
            <w:tcBorders>
              <w:top w:val="single" w:sz="8" w:space="0" w:color="auto"/>
              <w:left w:val="single" w:sz="8" w:space="0" w:color="auto"/>
              <w:bottom w:val="single" w:sz="8" w:space="0" w:color="000000"/>
              <w:right w:val="single" w:sz="8" w:space="0" w:color="auto"/>
            </w:tcBorders>
            <w:vAlign w:val="center"/>
            <w:hideMark/>
          </w:tcPr>
          <w:p w14:paraId="495304E8"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134" w:type="dxa"/>
            <w:tcBorders>
              <w:top w:val="nil"/>
              <w:left w:val="nil"/>
              <w:bottom w:val="single" w:sz="8" w:space="0" w:color="auto"/>
              <w:right w:val="single" w:sz="8" w:space="0" w:color="auto"/>
            </w:tcBorders>
            <w:shd w:val="clear" w:color="000000" w:fill="BFBFBF"/>
            <w:vAlign w:val="center"/>
            <w:hideMark/>
          </w:tcPr>
          <w:p w14:paraId="10F0139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1555" w:type="dxa"/>
            <w:tcBorders>
              <w:top w:val="nil"/>
              <w:left w:val="nil"/>
              <w:bottom w:val="single" w:sz="8" w:space="0" w:color="auto"/>
              <w:right w:val="single" w:sz="8" w:space="0" w:color="auto"/>
            </w:tcBorders>
            <w:shd w:val="clear" w:color="000000" w:fill="BFBFBF"/>
            <w:vAlign w:val="center"/>
            <w:hideMark/>
          </w:tcPr>
          <w:p w14:paraId="652D7E5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1D54F00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5E89124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r>
      <w:tr w:rsidR="00AD62CD" w:rsidRPr="00AD62CD" w14:paraId="2BB91AAD"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000000" w:fill="C0C0C0"/>
            <w:noWrap/>
            <w:vAlign w:val="center"/>
            <w:hideMark/>
          </w:tcPr>
          <w:p w14:paraId="30FAB9D5"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Príjmy verejnej správy celkom</w:t>
            </w:r>
          </w:p>
        </w:tc>
        <w:tc>
          <w:tcPr>
            <w:tcW w:w="1134" w:type="dxa"/>
            <w:tcBorders>
              <w:top w:val="nil"/>
              <w:left w:val="nil"/>
              <w:bottom w:val="single" w:sz="8" w:space="0" w:color="auto"/>
              <w:right w:val="single" w:sz="8" w:space="0" w:color="auto"/>
            </w:tcBorders>
            <w:shd w:val="clear" w:color="000000" w:fill="C0C0C0"/>
            <w:vAlign w:val="center"/>
            <w:hideMark/>
          </w:tcPr>
          <w:p w14:paraId="1DB8005D"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000000" w:fill="C0C0C0"/>
            <w:vAlign w:val="center"/>
            <w:hideMark/>
          </w:tcPr>
          <w:p w14:paraId="36F2BD69"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254 288 929</w:t>
            </w:r>
          </w:p>
        </w:tc>
        <w:tc>
          <w:tcPr>
            <w:tcW w:w="1420" w:type="dxa"/>
            <w:tcBorders>
              <w:top w:val="nil"/>
              <w:left w:val="nil"/>
              <w:bottom w:val="single" w:sz="8" w:space="0" w:color="auto"/>
              <w:right w:val="single" w:sz="8" w:space="0" w:color="auto"/>
            </w:tcBorders>
            <w:shd w:val="clear" w:color="000000" w:fill="C0C0C0"/>
            <w:vAlign w:val="center"/>
            <w:hideMark/>
          </w:tcPr>
          <w:p w14:paraId="195945E1"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388 449 854</w:t>
            </w:r>
          </w:p>
        </w:tc>
        <w:tc>
          <w:tcPr>
            <w:tcW w:w="1420" w:type="dxa"/>
            <w:tcBorders>
              <w:top w:val="nil"/>
              <w:left w:val="nil"/>
              <w:bottom w:val="single" w:sz="8" w:space="0" w:color="auto"/>
              <w:right w:val="single" w:sz="8" w:space="0" w:color="auto"/>
            </w:tcBorders>
            <w:shd w:val="clear" w:color="000000" w:fill="C0C0C0"/>
            <w:vAlign w:val="center"/>
            <w:hideMark/>
          </w:tcPr>
          <w:p w14:paraId="10DA8F5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407 168 493</w:t>
            </w:r>
          </w:p>
        </w:tc>
      </w:tr>
      <w:tr w:rsidR="00AD62CD" w:rsidRPr="00AD62CD" w14:paraId="5A9AE696"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7741292C"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v tom: za každý subjekt verejnej správy zvlášť</w:t>
            </w:r>
          </w:p>
        </w:tc>
        <w:tc>
          <w:tcPr>
            <w:tcW w:w="1134" w:type="dxa"/>
            <w:tcBorders>
              <w:top w:val="nil"/>
              <w:left w:val="nil"/>
              <w:bottom w:val="single" w:sz="8" w:space="0" w:color="auto"/>
              <w:right w:val="single" w:sz="8" w:space="0" w:color="auto"/>
            </w:tcBorders>
            <w:shd w:val="clear" w:color="auto" w:fill="auto"/>
            <w:noWrap/>
            <w:vAlign w:val="center"/>
            <w:hideMark/>
          </w:tcPr>
          <w:p w14:paraId="19D5846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c>
          <w:tcPr>
            <w:tcW w:w="1555" w:type="dxa"/>
            <w:tcBorders>
              <w:top w:val="nil"/>
              <w:left w:val="nil"/>
              <w:bottom w:val="single" w:sz="8" w:space="0" w:color="auto"/>
              <w:right w:val="single" w:sz="8" w:space="0" w:color="auto"/>
            </w:tcBorders>
            <w:shd w:val="clear" w:color="auto" w:fill="auto"/>
            <w:noWrap/>
            <w:vAlign w:val="center"/>
            <w:hideMark/>
          </w:tcPr>
          <w:p w14:paraId="2F445FC5"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6D1ADCEF"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A9AAAE5"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r>
      <w:tr w:rsidR="00AD62CD" w:rsidRPr="00AD62CD" w14:paraId="11BA20BF"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038CE8B4"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xml:space="preserve">z toho:  </w:t>
            </w:r>
          </w:p>
        </w:tc>
        <w:tc>
          <w:tcPr>
            <w:tcW w:w="1134" w:type="dxa"/>
            <w:tcBorders>
              <w:top w:val="nil"/>
              <w:left w:val="nil"/>
              <w:bottom w:val="single" w:sz="8" w:space="0" w:color="auto"/>
              <w:right w:val="single" w:sz="8" w:space="0" w:color="auto"/>
            </w:tcBorders>
            <w:shd w:val="clear" w:color="auto" w:fill="auto"/>
            <w:noWrap/>
            <w:vAlign w:val="center"/>
            <w:hideMark/>
          </w:tcPr>
          <w:p w14:paraId="4FC7FD8F"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555" w:type="dxa"/>
            <w:tcBorders>
              <w:top w:val="nil"/>
              <w:left w:val="nil"/>
              <w:bottom w:val="single" w:sz="8" w:space="0" w:color="auto"/>
              <w:right w:val="single" w:sz="8" w:space="0" w:color="auto"/>
            </w:tcBorders>
            <w:shd w:val="clear" w:color="auto" w:fill="auto"/>
            <w:noWrap/>
            <w:vAlign w:val="center"/>
            <w:hideMark/>
          </w:tcPr>
          <w:p w14:paraId="46572B52"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420" w:type="dxa"/>
            <w:tcBorders>
              <w:top w:val="nil"/>
              <w:left w:val="nil"/>
              <w:bottom w:val="single" w:sz="8" w:space="0" w:color="auto"/>
              <w:right w:val="single" w:sz="8" w:space="0" w:color="auto"/>
            </w:tcBorders>
            <w:shd w:val="clear" w:color="auto" w:fill="auto"/>
            <w:noWrap/>
            <w:vAlign w:val="center"/>
            <w:hideMark/>
          </w:tcPr>
          <w:p w14:paraId="1925B08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420" w:type="dxa"/>
            <w:tcBorders>
              <w:top w:val="nil"/>
              <w:left w:val="nil"/>
              <w:bottom w:val="single" w:sz="8" w:space="0" w:color="auto"/>
              <w:right w:val="single" w:sz="8" w:space="0" w:color="auto"/>
            </w:tcBorders>
            <w:shd w:val="clear" w:color="auto" w:fill="auto"/>
            <w:noWrap/>
            <w:vAlign w:val="center"/>
            <w:hideMark/>
          </w:tcPr>
          <w:p w14:paraId="55F0CB75"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r>
      <w:tr w:rsidR="00AD62CD" w:rsidRPr="00AD62CD" w14:paraId="3C29C89B"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2C86FFAD"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ŠR</w:t>
            </w:r>
          </w:p>
        </w:tc>
        <w:tc>
          <w:tcPr>
            <w:tcW w:w="1134" w:type="dxa"/>
            <w:tcBorders>
              <w:top w:val="nil"/>
              <w:left w:val="nil"/>
              <w:bottom w:val="single" w:sz="8" w:space="0" w:color="auto"/>
              <w:right w:val="single" w:sz="8" w:space="0" w:color="auto"/>
            </w:tcBorders>
            <w:shd w:val="clear" w:color="auto" w:fill="auto"/>
            <w:noWrap/>
            <w:vAlign w:val="center"/>
            <w:hideMark/>
          </w:tcPr>
          <w:p w14:paraId="520B63D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1A0220B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-13 450 402</w:t>
            </w:r>
          </w:p>
        </w:tc>
        <w:tc>
          <w:tcPr>
            <w:tcW w:w="1420" w:type="dxa"/>
            <w:tcBorders>
              <w:top w:val="nil"/>
              <w:left w:val="nil"/>
              <w:bottom w:val="single" w:sz="8" w:space="0" w:color="auto"/>
              <w:right w:val="single" w:sz="8" w:space="0" w:color="auto"/>
            </w:tcBorders>
            <w:shd w:val="clear" w:color="auto" w:fill="auto"/>
            <w:noWrap/>
            <w:vAlign w:val="center"/>
            <w:hideMark/>
          </w:tcPr>
          <w:p w14:paraId="5EAD349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-10 088 175</w:t>
            </w:r>
          </w:p>
        </w:tc>
        <w:tc>
          <w:tcPr>
            <w:tcW w:w="1420" w:type="dxa"/>
            <w:tcBorders>
              <w:top w:val="nil"/>
              <w:left w:val="nil"/>
              <w:bottom w:val="single" w:sz="8" w:space="0" w:color="auto"/>
              <w:right w:val="single" w:sz="8" w:space="0" w:color="auto"/>
            </w:tcBorders>
            <w:shd w:val="clear" w:color="auto" w:fill="auto"/>
            <w:noWrap/>
            <w:vAlign w:val="center"/>
            <w:hideMark/>
          </w:tcPr>
          <w:p w14:paraId="35C75C39"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-6 024 414</w:t>
            </w:r>
          </w:p>
        </w:tc>
      </w:tr>
      <w:tr w:rsidR="00AD62CD" w:rsidRPr="00AD62CD" w14:paraId="777E958B"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2A01AA3E"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w:t>
            </w:r>
          </w:p>
        </w:tc>
        <w:tc>
          <w:tcPr>
            <w:tcW w:w="1134" w:type="dxa"/>
            <w:tcBorders>
              <w:top w:val="nil"/>
              <w:left w:val="nil"/>
              <w:bottom w:val="single" w:sz="8" w:space="0" w:color="auto"/>
              <w:right w:val="single" w:sz="8" w:space="0" w:color="auto"/>
            </w:tcBorders>
            <w:shd w:val="clear" w:color="auto" w:fill="auto"/>
            <w:noWrap/>
            <w:vAlign w:val="center"/>
            <w:hideMark/>
          </w:tcPr>
          <w:p w14:paraId="1CECCE6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43B678D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-13 450 402</w:t>
            </w:r>
          </w:p>
        </w:tc>
        <w:tc>
          <w:tcPr>
            <w:tcW w:w="1420" w:type="dxa"/>
            <w:tcBorders>
              <w:top w:val="nil"/>
              <w:left w:val="nil"/>
              <w:bottom w:val="single" w:sz="8" w:space="0" w:color="auto"/>
              <w:right w:val="single" w:sz="8" w:space="0" w:color="auto"/>
            </w:tcBorders>
            <w:shd w:val="clear" w:color="auto" w:fill="auto"/>
            <w:noWrap/>
            <w:vAlign w:val="center"/>
            <w:hideMark/>
          </w:tcPr>
          <w:p w14:paraId="4A46B7E1"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-10 088 175</w:t>
            </w:r>
          </w:p>
        </w:tc>
        <w:tc>
          <w:tcPr>
            <w:tcW w:w="1420" w:type="dxa"/>
            <w:tcBorders>
              <w:top w:val="nil"/>
              <w:left w:val="nil"/>
              <w:bottom w:val="single" w:sz="8" w:space="0" w:color="auto"/>
              <w:right w:val="single" w:sz="8" w:space="0" w:color="auto"/>
            </w:tcBorders>
            <w:shd w:val="clear" w:color="auto" w:fill="auto"/>
            <w:noWrap/>
            <w:vAlign w:val="center"/>
            <w:hideMark/>
          </w:tcPr>
          <w:p w14:paraId="16092289"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-6 024 414</w:t>
            </w:r>
          </w:p>
        </w:tc>
      </w:tr>
      <w:tr w:rsidR="00AD62CD" w:rsidRPr="00AD62CD" w14:paraId="67C27AC0"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4E3BE30A"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EÚ zdroje</w:t>
            </w:r>
          </w:p>
        </w:tc>
        <w:tc>
          <w:tcPr>
            <w:tcW w:w="1134" w:type="dxa"/>
            <w:tcBorders>
              <w:top w:val="nil"/>
              <w:left w:val="nil"/>
              <w:bottom w:val="single" w:sz="8" w:space="0" w:color="auto"/>
              <w:right w:val="single" w:sz="8" w:space="0" w:color="auto"/>
            </w:tcBorders>
            <w:shd w:val="clear" w:color="auto" w:fill="auto"/>
            <w:noWrap/>
            <w:vAlign w:val="center"/>
            <w:hideMark/>
          </w:tcPr>
          <w:p w14:paraId="6A81E60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14635E6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328B16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0B2A105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r>
      <w:tr w:rsidR="00AD62CD" w:rsidRPr="00AD62CD" w14:paraId="2560C963"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2AEC1615"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obce</w:t>
            </w:r>
          </w:p>
        </w:tc>
        <w:tc>
          <w:tcPr>
            <w:tcW w:w="1134" w:type="dxa"/>
            <w:tcBorders>
              <w:top w:val="nil"/>
              <w:left w:val="nil"/>
              <w:bottom w:val="single" w:sz="8" w:space="0" w:color="auto"/>
              <w:right w:val="single" w:sz="8" w:space="0" w:color="auto"/>
            </w:tcBorders>
            <w:shd w:val="clear" w:color="auto" w:fill="auto"/>
            <w:noWrap/>
            <w:vAlign w:val="center"/>
            <w:hideMark/>
          </w:tcPr>
          <w:p w14:paraId="3E17E08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350E283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-870 771</w:t>
            </w:r>
          </w:p>
        </w:tc>
        <w:tc>
          <w:tcPr>
            <w:tcW w:w="1420" w:type="dxa"/>
            <w:tcBorders>
              <w:top w:val="nil"/>
              <w:left w:val="nil"/>
              <w:bottom w:val="single" w:sz="8" w:space="0" w:color="auto"/>
              <w:right w:val="single" w:sz="8" w:space="0" w:color="auto"/>
            </w:tcBorders>
            <w:shd w:val="clear" w:color="auto" w:fill="auto"/>
            <w:noWrap/>
            <w:vAlign w:val="center"/>
            <w:hideMark/>
          </w:tcPr>
          <w:p w14:paraId="7B287E4B"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-6 990 066</w:t>
            </w:r>
          </w:p>
        </w:tc>
        <w:tc>
          <w:tcPr>
            <w:tcW w:w="1420" w:type="dxa"/>
            <w:tcBorders>
              <w:top w:val="nil"/>
              <w:left w:val="nil"/>
              <w:bottom w:val="single" w:sz="8" w:space="0" w:color="auto"/>
              <w:right w:val="single" w:sz="8" w:space="0" w:color="auto"/>
            </w:tcBorders>
            <w:shd w:val="clear" w:color="auto" w:fill="auto"/>
            <w:noWrap/>
            <w:vAlign w:val="center"/>
            <w:hideMark/>
          </w:tcPr>
          <w:p w14:paraId="5B8200AD"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-10 277 920</w:t>
            </w:r>
          </w:p>
        </w:tc>
      </w:tr>
      <w:tr w:rsidR="00AD62CD" w:rsidRPr="00AD62CD" w14:paraId="3C1074FE"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0D1A9AF5"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vyššie územné celky</w:t>
            </w:r>
          </w:p>
        </w:tc>
        <w:tc>
          <w:tcPr>
            <w:tcW w:w="1134" w:type="dxa"/>
            <w:tcBorders>
              <w:top w:val="nil"/>
              <w:left w:val="nil"/>
              <w:bottom w:val="single" w:sz="8" w:space="0" w:color="auto"/>
              <w:right w:val="single" w:sz="8" w:space="0" w:color="auto"/>
            </w:tcBorders>
            <w:shd w:val="clear" w:color="auto" w:fill="auto"/>
            <w:noWrap/>
            <w:vAlign w:val="center"/>
            <w:hideMark/>
          </w:tcPr>
          <w:p w14:paraId="50B7612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2615E45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-466 202</w:t>
            </w:r>
          </w:p>
        </w:tc>
        <w:tc>
          <w:tcPr>
            <w:tcW w:w="1420" w:type="dxa"/>
            <w:tcBorders>
              <w:top w:val="nil"/>
              <w:left w:val="nil"/>
              <w:bottom w:val="single" w:sz="8" w:space="0" w:color="auto"/>
              <w:right w:val="single" w:sz="8" w:space="0" w:color="auto"/>
            </w:tcBorders>
            <w:shd w:val="clear" w:color="auto" w:fill="auto"/>
            <w:noWrap/>
            <w:vAlign w:val="center"/>
            <w:hideMark/>
          </w:tcPr>
          <w:p w14:paraId="30E59DA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-3 742 413</w:t>
            </w:r>
          </w:p>
        </w:tc>
        <w:tc>
          <w:tcPr>
            <w:tcW w:w="1420" w:type="dxa"/>
            <w:tcBorders>
              <w:top w:val="nil"/>
              <w:left w:val="nil"/>
              <w:bottom w:val="single" w:sz="8" w:space="0" w:color="auto"/>
              <w:right w:val="single" w:sz="8" w:space="0" w:color="auto"/>
            </w:tcBorders>
            <w:shd w:val="clear" w:color="auto" w:fill="auto"/>
            <w:noWrap/>
            <w:vAlign w:val="center"/>
            <w:hideMark/>
          </w:tcPr>
          <w:p w14:paraId="73DE8E92"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-5 502 698</w:t>
            </w:r>
          </w:p>
        </w:tc>
      </w:tr>
      <w:tr w:rsidR="00AD62CD" w:rsidRPr="00AD62CD" w14:paraId="217ECB93"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5E651B26"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ostatné subjekty verejnej správy</w:t>
            </w:r>
          </w:p>
        </w:tc>
        <w:tc>
          <w:tcPr>
            <w:tcW w:w="1134" w:type="dxa"/>
            <w:tcBorders>
              <w:top w:val="nil"/>
              <w:left w:val="nil"/>
              <w:bottom w:val="single" w:sz="8" w:space="0" w:color="auto"/>
              <w:right w:val="single" w:sz="8" w:space="0" w:color="auto"/>
            </w:tcBorders>
            <w:shd w:val="clear" w:color="auto" w:fill="auto"/>
            <w:noWrap/>
            <w:vAlign w:val="center"/>
            <w:hideMark/>
          </w:tcPr>
          <w:p w14:paraId="67CF69B4"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1B17039F"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269 076 304</w:t>
            </w:r>
          </w:p>
        </w:tc>
        <w:tc>
          <w:tcPr>
            <w:tcW w:w="1420" w:type="dxa"/>
            <w:tcBorders>
              <w:top w:val="nil"/>
              <w:left w:val="nil"/>
              <w:bottom w:val="single" w:sz="8" w:space="0" w:color="auto"/>
              <w:right w:val="single" w:sz="8" w:space="0" w:color="auto"/>
            </w:tcBorders>
            <w:shd w:val="clear" w:color="auto" w:fill="auto"/>
            <w:noWrap/>
            <w:vAlign w:val="center"/>
            <w:hideMark/>
          </w:tcPr>
          <w:p w14:paraId="5CF2AD72"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409 270 507</w:t>
            </w:r>
          </w:p>
        </w:tc>
        <w:tc>
          <w:tcPr>
            <w:tcW w:w="1420" w:type="dxa"/>
            <w:tcBorders>
              <w:top w:val="nil"/>
              <w:left w:val="nil"/>
              <w:bottom w:val="single" w:sz="8" w:space="0" w:color="auto"/>
              <w:right w:val="single" w:sz="8" w:space="0" w:color="auto"/>
            </w:tcBorders>
            <w:shd w:val="clear" w:color="auto" w:fill="auto"/>
            <w:noWrap/>
            <w:vAlign w:val="center"/>
            <w:hideMark/>
          </w:tcPr>
          <w:p w14:paraId="64F4E194"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428 973 525</w:t>
            </w:r>
          </w:p>
        </w:tc>
      </w:tr>
      <w:tr w:rsidR="00AD62CD" w:rsidRPr="00AD62CD" w14:paraId="3E4963A3"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185493F5" w14:textId="77777777" w:rsidR="00AD62CD" w:rsidRPr="00AD62CD" w:rsidRDefault="00AD62CD" w:rsidP="00AD62CD">
            <w:pPr>
              <w:spacing w:after="0" w:line="240" w:lineRule="auto"/>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 xml:space="preserve">      - vplyv na Sociálnu poisťovňu</w:t>
            </w:r>
          </w:p>
        </w:tc>
        <w:tc>
          <w:tcPr>
            <w:tcW w:w="1134" w:type="dxa"/>
            <w:tcBorders>
              <w:top w:val="nil"/>
              <w:left w:val="nil"/>
              <w:bottom w:val="single" w:sz="8" w:space="0" w:color="auto"/>
              <w:right w:val="single" w:sz="8" w:space="0" w:color="auto"/>
            </w:tcBorders>
            <w:shd w:val="clear" w:color="auto" w:fill="auto"/>
            <w:noWrap/>
            <w:vAlign w:val="center"/>
            <w:hideMark/>
          </w:tcPr>
          <w:p w14:paraId="7FBCD16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09BA4D7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269 076 304</w:t>
            </w:r>
          </w:p>
        </w:tc>
        <w:tc>
          <w:tcPr>
            <w:tcW w:w="1420" w:type="dxa"/>
            <w:tcBorders>
              <w:top w:val="nil"/>
              <w:left w:val="nil"/>
              <w:bottom w:val="single" w:sz="8" w:space="0" w:color="auto"/>
              <w:right w:val="single" w:sz="8" w:space="0" w:color="auto"/>
            </w:tcBorders>
            <w:shd w:val="clear" w:color="auto" w:fill="auto"/>
            <w:noWrap/>
            <w:vAlign w:val="center"/>
            <w:hideMark/>
          </w:tcPr>
          <w:p w14:paraId="4B3B6BA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409 270 507</w:t>
            </w:r>
          </w:p>
        </w:tc>
        <w:tc>
          <w:tcPr>
            <w:tcW w:w="1420" w:type="dxa"/>
            <w:tcBorders>
              <w:top w:val="nil"/>
              <w:left w:val="nil"/>
              <w:bottom w:val="single" w:sz="8" w:space="0" w:color="auto"/>
              <w:right w:val="single" w:sz="8" w:space="0" w:color="auto"/>
            </w:tcBorders>
            <w:shd w:val="clear" w:color="auto" w:fill="auto"/>
            <w:noWrap/>
            <w:vAlign w:val="center"/>
            <w:hideMark/>
          </w:tcPr>
          <w:p w14:paraId="419CFAAC"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428 973 525</w:t>
            </w:r>
          </w:p>
        </w:tc>
      </w:tr>
      <w:tr w:rsidR="00AD62CD" w:rsidRPr="00AD62CD" w14:paraId="3B1E8414"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000000" w:fill="C0C0C0"/>
            <w:noWrap/>
            <w:vAlign w:val="center"/>
            <w:hideMark/>
          </w:tcPr>
          <w:p w14:paraId="2080452D"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Výdavky verejnej správy celkom</w:t>
            </w:r>
          </w:p>
        </w:tc>
        <w:tc>
          <w:tcPr>
            <w:tcW w:w="1134" w:type="dxa"/>
            <w:tcBorders>
              <w:top w:val="nil"/>
              <w:left w:val="nil"/>
              <w:bottom w:val="single" w:sz="8" w:space="0" w:color="auto"/>
              <w:right w:val="single" w:sz="8" w:space="0" w:color="auto"/>
            </w:tcBorders>
            <w:shd w:val="clear" w:color="000000" w:fill="C0C0C0"/>
            <w:vAlign w:val="center"/>
            <w:hideMark/>
          </w:tcPr>
          <w:p w14:paraId="73EA847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000000" w:fill="C0C0C0"/>
            <w:vAlign w:val="center"/>
            <w:hideMark/>
          </w:tcPr>
          <w:p w14:paraId="06E8E77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-70 971 796</w:t>
            </w:r>
          </w:p>
        </w:tc>
        <w:tc>
          <w:tcPr>
            <w:tcW w:w="1420" w:type="dxa"/>
            <w:tcBorders>
              <w:top w:val="nil"/>
              <w:left w:val="nil"/>
              <w:bottom w:val="single" w:sz="8" w:space="0" w:color="auto"/>
              <w:right w:val="single" w:sz="8" w:space="0" w:color="auto"/>
            </w:tcBorders>
            <w:shd w:val="clear" w:color="000000" w:fill="C0C0C0"/>
            <w:vAlign w:val="center"/>
            <w:hideMark/>
          </w:tcPr>
          <w:p w14:paraId="3005252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-104 831 756</w:t>
            </w:r>
          </w:p>
        </w:tc>
        <w:tc>
          <w:tcPr>
            <w:tcW w:w="1420" w:type="dxa"/>
            <w:tcBorders>
              <w:top w:val="nil"/>
              <w:left w:val="nil"/>
              <w:bottom w:val="single" w:sz="8" w:space="0" w:color="auto"/>
              <w:right w:val="single" w:sz="8" w:space="0" w:color="auto"/>
            </w:tcBorders>
            <w:shd w:val="clear" w:color="000000" w:fill="C0C0C0"/>
            <w:vAlign w:val="center"/>
            <w:hideMark/>
          </w:tcPr>
          <w:p w14:paraId="506E862E"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-151 524 981</w:t>
            </w:r>
          </w:p>
        </w:tc>
      </w:tr>
      <w:tr w:rsidR="00AD62CD" w:rsidRPr="00AD62CD" w14:paraId="62B2E283"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1CBDC64A"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xml:space="preserve">z toho: </w:t>
            </w:r>
          </w:p>
        </w:tc>
        <w:tc>
          <w:tcPr>
            <w:tcW w:w="1134" w:type="dxa"/>
            <w:tcBorders>
              <w:top w:val="nil"/>
              <w:left w:val="nil"/>
              <w:bottom w:val="single" w:sz="8" w:space="0" w:color="auto"/>
              <w:right w:val="single" w:sz="8" w:space="0" w:color="auto"/>
            </w:tcBorders>
            <w:shd w:val="clear" w:color="auto" w:fill="auto"/>
            <w:noWrap/>
            <w:vAlign w:val="center"/>
            <w:hideMark/>
          </w:tcPr>
          <w:p w14:paraId="376CC24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555" w:type="dxa"/>
            <w:tcBorders>
              <w:top w:val="nil"/>
              <w:left w:val="nil"/>
              <w:bottom w:val="single" w:sz="8" w:space="0" w:color="auto"/>
              <w:right w:val="single" w:sz="8" w:space="0" w:color="auto"/>
            </w:tcBorders>
            <w:shd w:val="clear" w:color="auto" w:fill="auto"/>
            <w:noWrap/>
            <w:vAlign w:val="center"/>
            <w:hideMark/>
          </w:tcPr>
          <w:p w14:paraId="6264E205"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420" w:type="dxa"/>
            <w:tcBorders>
              <w:top w:val="nil"/>
              <w:left w:val="nil"/>
              <w:bottom w:val="single" w:sz="8" w:space="0" w:color="auto"/>
              <w:right w:val="single" w:sz="8" w:space="0" w:color="auto"/>
            </w:tcBorders>
            <w:shd w:val="clear" w:color="auto" w:fill="auto"/>
            <w:noWrap/>
            <w:vAlign w:val="center"/>
            <w:hideMark/>
          </w:tcPr>
          <w:p w14:paraId="533FD2AD"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1420" w:type="dxa"/>
            <w:tcBorders>
              <w:top w:val="nil"/>
              <w:left w:val="nil"/>
              <w:bottom w:val="single" w:sz="8" w:space="0" w:color="auto"/>
              <w:right w:val="single" w:sz="8" w:space="0" w:color="auto"/>
            </w:tcBorders>
            <w:shd w:val="clear" w:color="auto" w:fill="auto"/>
            <w:noWrap/>
            <w:vAlign w:val="center"/>
            <w:hideMark/>
          </w:tcPr>
          <w:p w14:paraId="52821029"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r>
      <w:tr w:rsidR="00AD62CD" w:rsidRPr="00AD62CD" w14:paraId="3C542162"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03A8B1D5"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ŠR</w:t>
            </w:r>
          </w:p>
        </w:tc>
        <w:tc>
          <w:tcPr>
            <w:tcW w:w="1134" w:type="dxa"/>
            <w:tcBorders>
              <w:top w:val="nil"/>
              <w:left w:val="nil"/>
              <w:bottom w:val="single" w:sz="8" w:space="0" w:color="auto"/>
              <w:right w:val="single" w:sz="8" w:space="0" w:color="auto"/>
            </w:tcBorders>
            <w:shd w:val="clear" w:color="auto" w:fill="auto"/>
            <w:noWrap/>
            <w:vAlign w:val="center"/>
            <w:hideMark/>
          </w:tcPr>
          <w:p w14:paraId="79BADD9D"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10D4DACE"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4 386 932</w:t>
            </w:r>
          </w:p>
        </w:tc>
        <w:tc>
          <w:tcPr>
            <w:tcW w:w="1420" w:type="dxa"/>
            <w:tcBorders>
              <w:top w:val="nil"/>
              <w:left w:val="nil"/>
              <w:bottom w:val="single" w:sz="8" w:space="0" w:color="auto"/>
              <w:right w:val="single" w:sz="8" w:space="0" w:color="auto"/>
            </w:tcBorders>
            <w:shd w:val="clear" w:color="auto" w:fill="auto"/>
            <w:noWrap/>
            <w:vAlign w:val="center"/>
            <w:hideMark/>
          </w:tcPr>
          <w:p w14:paraId="50DAD399"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4 628 905</w:t>
            </w:r>
          </w:p>
        </w:tc>
        <w:tc>
          <w:tcPr>
            <w:tcW w:w="1420" w:type="dxa"/>
            <w:tcBorders>
              <w:top w:val="nil"/>
              <w:left w:val="nil"/>
              <w:bottom w:val="single" w:sz="8" w:space="0" w:color="auto"/>
              <w:right w:val="single" w:sz="8" w:space="0" w:color="auto"/>
            </w:tcBorders>
            <w:shd w:val="clear" w:color="auto" w:fill="auto"/>
            <w:noWrap/>
            <w:vAlign w:val="center"/>
            <w:hideMark/>
          </w:tcPr>
          <w:p w14:paraId="75F46859"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4 384 937</w:t>
            </w:r>
          </w:p>
        </w:tc>
      </w:tr>
      <w:tr w:rsidR="00AD62CD" w:rsidRPr="00AD62CD" w14:paraId="3DF218D6"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02917A9B"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Rozpočtové prostriedky</w:t>
            </w:r>
          </w:p>
        </w:tc>
        <w:tc>
          <w:tcPr>
            <w:tcW w:w="1134" w:type="dxa"/>
            <w:tcBorders>
              <w:top w:val="nil"/>
              <w:left w:val="nil"/>
              <w:bottom w:val="single" w:sz="8" w:space="0" w:color="auto"/>
              <w:right w:val="single" w:sz="8" w:space="0" w:color="auto"/>
            </w:tcBorders>
            <w:shd w:val="clear" w:color="auto" w:fill="auto"/>
            <w:noWrap/>
            <w:vAlign w:val="center"/>
            <w:hideMark/>
          </w:tcPr>
          <w:p w14:paraId="22194329"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3E322DE0"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4 386 932</w:t>
            </w:r>
          </w:p>
        </w:tc>
        <w:tc>
          <w:tcPr>
            <w:tcW w:w="1420" w:type="dxa"/>
            <w:tcBorders>
              <w:top w:val="nil"/>
              <w:left w:val="nil"/>
              <w:bottom w:val="single" w:sz="8" w:space="0" w:color="auto"/>
              <w:right w:val="single" w:sz="8" w:space="0" w:color="auto"/>
            </w:tcBorders>
            <w:shd w:val="clear" w:color="auto" w:fill="auto"/>
            <w:noWrap/>
            <w:vAlign w:val="center"/>
            <w:hideMark/>
          </w:tcPr>
          <w:p w14:paraId="2616BAC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4 628 905</w:t>
            </w:r>
          </w:p>
        </w:tc>
        <w:tc>
          <w:tcPr>
            <w:tcW w:w="1420" w:type="dxa"/>
            <w:tcBorders>
              <w:top w:val="nil"/>
              <w:left w:val="nil"/>
              <w:bottom w:val="single" w:sz="8" w:space="0" w:color="auto"/>
              <w:right w:val="single" w:sz="8" w:space="0" w:color="auto"/>
            </w:tcBorders>
            <w:shd w:val="clear" w:color="auto" w:fill="auto"/>
            <w:noWrap/>
            <w:vAlign w:val="center"/>
            <w:hideMark/>
          </w:tcPr>
          <w:p w14:paraId="510813F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4 384 937</w:t>
            </w:r>
          </w:p>
        </w:tc>
      </w:tr>
      <w:tr w:rsidR="00AD62CD" w:rsidRPr="00AD62CD" w14:paraId="7A50787C"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0BAF8F21"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EÚ zdroje</w:t>
            </w:r>
          </w:p>
        </w:tc>
        <w:tc>
          <w:tcPr>
            <w:tcW w:w="1134" w:type="dxa"/>
            <w:tcBorders>
              <w:top w:val="nil"/>
              <w:left w:val="nil"/>
              <w:bottom w:val="single" w:sz="8" w:space="0" w:color="auto"/>
              <w:right w:val="single" w:sz="8" w:space="0" w:color="auto"/>
            </w:tcBorders>
            <w:shd w:val="clear" w:color="auto" w:fill="auto"/>
            <w:noWrap/>
            <w:vAlign w:val="center"/>
            <w:hideMark/>
          </w:tcPr>
          <w:p w14:paraId="6912A01B"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0A9511B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13D54E28"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924229A"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r>
      <w:tr w:rsidR="00AD62CD" w:rsidRPr="00AD62CD" w14:paraId="246DA9C0"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7C2B27B3"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spolufinancovanie</w:t>
            </w:r>
          </w:p>
        </w:tc>
        <w:tc>
          <w:tcPr>
            <w:tcW w:w="1134" w:type="dxa"/>
            <w:tcBorders>
              <w:top w:val="nil"/>
              <w:left w:val="nil"/>
              <w:bottom w:val="single" w:sz="8" w:space="0" w:color="auto"/>
              <w:right w:val="single" w:sz="8" w:space="0" w:color="auto"/>
            </w:tcBorders>
            <w:shd w:val="clear" w:color="auto" w:fill="auto"/>
            <w:noWrap/>
            <w:vAlign w:val="center"/>
            <w:hideMark/>
          </w:tcPr>
          <w:p w14:paraId="1E9F0B9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568B9829"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459389B"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DDD78B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r>
      <w:tr w:rsidR="00AD62CD" w:rsidRPr="00AD62CD" w14:paraId="5CC3419A"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1E160258"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obce</w:t>
            </w:r>
          </w:p>
        </w:tc>
        <w:tc>
          <w:tcPr>
            <w:tcW w:w="1134" w:type="dxa"/>
            <w:tcBorders>
              <w:top w:val="nil"/>
              <w:left w:val="nil"/>
              <w:bottom w:val="single" w:sz="8" w:space="0" w:color="auto"/>
              <w:right w:val="single" w:sz="8" w:space="0" w:color="auto"/>
            </w:tcBorders>
            <w:shd w:val="clear" w:color="auto" w:fill="auto"/>
            <w:noWrap/>
            <w:vAlign w:val="center"/>
            <w:hideMark/>
          </w:tcPr>
          <w:p w14:paraId="4D64AA6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29EA39B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4 080 253</w:t>
            </w:r>
          </w:p>
        </w:tc>
        <w:tc>
          <w:tcPr>
            <w:tcW w:w="1420" w:type="dxa"/>
            <w:tcBorders>
              <w:top w:val="nil"/>
              <w:left w:val="nil"/>
              <w:bottom w:val="single" w:sz="8" w:space="0" w:color="auto"/>
              <w:right w:val="single" w:sz="8" w:space="0" w:color="auto"/>
            </w:tcBorders>
            <w:shd w:val="clear" w:color="auto" w:fill="auto"/>
            <w:noWrap/>
            <w:vAlign w:val="center"/>
            <w:hideMark/>
          </w:tcPr>
          <w:p w14:paraId="19B4E47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4 667 429</w:t>
            </w:r>
          </w:p>
        </w:tc>
        <w:tc>
          <w:tcPr>
            <w:tcW w:w="1420" w:type="dxa"/>
            <w:tcBorders>
              <w:top w:val="nil"/>
              <w:left w:val="nil"/>
              <w:bottom w:val="single" w:sz="8" w:space="0" w:color="auto"/>
              <w:right w:val="single" w:sz="8" w:space="0" w:color="auto"/>
            </w:tcBorders>
            <w:shd w:val="clear" w:color="auto" w:fill="auto"/>
            <w:noWrap/>
            <w:vAlign w:val="center"/>
            <w:hideMark/>
          </w:tcPr>
          <w:p w14:paraId="4BAD91E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4 881 594</w:t>
            </w:r>
          </w:p>
        </w:tc>
      </w:tr>
      <w:tr w:rsidR="00AD62CD" w:rsidRPr="00AD62CD" w14:paraId="13BE3AA9" w14:textId="77777777" w:rsidTr="003627DF">
        <w:trPr>
          <w:gridAfter w:val="1"/>
          <w:wAfter w:w="23" w:type="dxa"/>
          <w:trHeight w:val="525"/>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9B8A65C"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z toho vplyv nových úloh v zmysle ods. 2 Čl. 6 ústavného zákona č. 493/2011 Z. z.  o rozpočtovej zodpovednosti</w:t>
            </w:r>
          </w:p>
        </w:tc>
        <w:tc>
          <w:tcPr>
            <w:tcW w:w="1134" w:type="dxa"/>
            <w:tcBorders>
              <w:top w:val="nil"/>
              <w:left w:val="nil"/>
              <w:bottom w:val="single" w:sz="8" w:space="0" w:color="auto"/>
              <w:right w:val="single" w:sz="8" w:space="0" w:color="auto"/>
            </w:tcBorders>
            <w:shd w:val="clear" w:color="auto" w:fill="auto"/>
            <w:noWrap/>
            <w:vAlign w:val="center"/>
            <w:hideMark/>
          </w:tcPr>
          <w:p w14:paraId="4BD2E319"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745F217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0093442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CAA139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r>
      <w:tr w:rsidR="00AD62CD" w:rsidRPr="00AD62CD" w14:paraId="057E753E"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03DD2A38"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vyššie územné celky</w:t>
            </w:r>
          </w:p>
        </w:tc>
        <w:tc>
          <w:tcPr>
            <w:tcW w:w="1134" w:type="dxa"/>
            <w:tcBorders>
              <w:top w:val="nil"/>
              <w:left w:val="nil"/>
              <w:bottom w:val="single" w:sz="8" w:space="0" w:color="auto"/>
              <w:right w:val="single" w:sz="8" w:space="0" w:color="auto"/>
            </w:tcBorders>
            <w:shd w:val="clear" w:color="auto" w:fill="auto"/>
            <w:noWrap/>
            <w:vAlign w:val="center"/>
            <w:hideMark/>
          </w:tcPr>
          <w:p w14:paraId="56A966BE"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3BD778A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1 052 968</w:t>
            </w:r>
          </w:p>
        </w:tc>
        <w:tc>
          <w:tcPr>
            <w:tcW w:w="1420" w:type="dxa"/>
            <w:tcBorders>
              <w:top w:val="nil"/>
              <w:left w:val="nil"/>
              <w:bottom w:val="single" w:sz="8" w:space="0" w:color="auto"/>
              <w:right w:val="single" w:sz="8" w:space="0" w:color="auto"/>
            </w:tcBorders>
            <w:shd w:val="clear" w:color="auto" w:fill="auto"/>
            <w:noWrap/>
            <w:vAlign w:val="center"/>
            <w:hideMark/>
          </w:tcPr>
          <w:p w14:paraId="543C76EF"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1 204 498</w:t>
            </w:r>
          </w:p>
        </w:tc>
        <w:tc>
          <w:tcPr>
            <w:tcW w:w="1420" w:type="dxa"/>
            <w:tcBorders>
              <w:top w:val="nil"/>
              <w:left w:val="nil"/>
              <w:bottom w:val="single" w:sz="8" w:space="0" w:color="auto"/>
              <w:right w:val="single" w:sz="8" w:space="0" w:color="auto"/>
            </w:tcBorders>
            <w:shd w:val="clear" w:color="auto" w:fill="auto"/>
            <w:noWrap/>
            <w:vAlign w:val="center"/>
            <w:hideMark/>
          </w:tcPr>
          <w:p w14:paraId="2EAB879E"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1 259 766</w:t>
            </w:r>
          </w:p>
        </w:tc>
      </w:tr>
      <w:tr w:rsidR="00AD62CD" w:rsidRPr="00AD62CD" w14:paraId="1153646E" w14:textId="77777777" w:rsidTr="003627DF">
        <w:trPr>
          <w:gridAfter w:val="1"/>
          <w:wAfter w:w="23" w:type="dxa"/>
          <w:trHeight w:val="525"/>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5F6491E1" w14:textId="77777777" w:rsidR="00AD62CD" w:rsidRPr="00AD62CD" w:rsidRDefault="00AD62CD" w:rsidP="00AD62CD">
            <w:pPr>
              <w:spacing w:after="0" w:line="240" w:lineRule="auto"/>
              <w:ind w:firstLineChars="100" w:firstLine="200"/>
              <w:rPr>
                <w:rFonts w:ascii="Times New Roman" w:eastAsia="Times New Roman" w:hAnsi="Times New Roman" w:cs="Times New Roman"/>
                <w:i/>
                <w:iCs/>
                <w:color w:val="000000"/>
                <w:kern w:val="0"/>
                <w:sz w:val="20"/>
                <w:szCs w:val="20"/>
                <w:lang w:eastAsia="sk-SK"/>
                <w14:ligatures w14:val="none"/>
              </w:rPr>
            </w:pPr>
            <w:r w:rsidRPr="00AD62CD">
              <w:rPr>
                <w:rFonts w:ascii="Times New Roman" w:eastAsia="Times New Roman" w:hAnsi="Times New Roman" w:cs="Times New Roman"/>
                <w:i/>
                <w:iCs/>
                <w:color w:val="000000"/>
                <w:kern w:val="0"/>
                <w:sz w:val="20"/>
                <w:szCs w:val="20"/>
                <w:lang w:eastAsia="sk-SK"/>
                <w14:ligatures w14:val="none"/>
              </w:rPr>
              <w:t>z toho vplyv nových úloh v zmysle ods. 2 Čl. 6 ústavného zákona č. 493/2011 Z. z.  o rozpočtovej zodpovednosti</w:t>
            </w:r>
          </w:p>
        </w:tc>
        <w:tc>
          <w:tcPr>
            <w:tcW w:w="1134" w:type="dxa"/>
            <w:tcBorders>
              <w:top w:val="nil"/>
              <w:left w:val="nil"/>
              <w:bottom w:val="single" w:sz="8" w:space="0" w:color="auto"/>
              <w:right w:val="single" w:sz="8" w:space="0" w:color="auto"/>
            </w:tcBorders>
            <w:shd w:val="clear" w:color="auto" w:fill="auto"/>
            <w:noWrap/>
            <w:vAlign w:val="center"/>
            <w:hideMark/>
          </w:tcPr>
          <w:p w14:paraId="303D5415"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3BCF805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27AA9B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56CCFEAF"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r>
      <w:tr w:rsidR="00AD62CD" w:rsidRPr="00AD62CD" w14:paraId="2E993A61"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4740962B"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ostatné subjekty verejnej správy</w:t>
            </w:r>
          </w:p>
        </w:tc>
        <w:tc>
          <w:tcPr>
            <w:tcW w:w="1134" w:type="dxa"/>
            <w:tcBorders>
              <w:top w:val="nil"/>
              <w:left w:val="nil"/>
              <w:bottom w:val="single" w:sz="8" w:space="0" w:color="auto"/>
              <w:right w:val="single" w:sz="8" w:space="0" w:color="auto"/>
            </w:tcBorders>
            <w:shd w:val="clear" w:color="auto" w:fill="auto"/>
            <w:noWrap/>
            <w:vAlign w:val="center"/>
            <w:hideMark/>
          </w:tcPr>
          <w:p w14:paraId="13CDD10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59D8D87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-80 491 949</w:t>
            </w:r>
          </w:p>
        </w:tc>
        <w:tc>
          <w:tcPr>
            <w:tcW w:w="1420" w:type="dxa"/>
            <w:tcBorders>
              <w:top w:val="nil"/>
              <w:left w:val="nil"/>
              <w:bottom w:val="single" w:sz="8" w:space="0" w:color="auto"/>
              <w:right w:val="single" w:sz="8" w:space="0" w:color="auto"/>
            </w:tcBorders>
            <w:shd w:val="clear" w:color="auto" w:fill="auto"/>
            <w:noWrap/>
            <w:vAlign w:val="center"/>
            <w:hideMark/>
          </w:tcPr>
          <w:p w14:paraId="6EF59F7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-115 332 587</w:t>
            </w:r>
          </w:p>
        </w:tc>
        <w:tc>
          <w:tcPr>
            <w:tcW w:w="1420" w:type="dxa"/>
            <w:tcBorders>
              <w:top w:val="nil"/>
              <w:left w:val="nil"/>
              <w:bottom w:val="single" w:sz="8" w:space="0" w:color="auto"/>
              <w:right w:val="single" w:sz="8" w:space="0" w:color="auto"/>
            </w:tcBorders>
            <w:shd w:val="clear" w:color="auto" w:fill="auto"/>
            <w:noWrap/>
            <w:vAlign w:val="center"/>
            <w:hideMark/>
          </w:tcPr>
          <w:p w14:paraId="5FF3FF62"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-162 051 279</w:t>
            </w:r>
          </w:p>
        </w:tc>
      </w:tr>
      <w:tr w:rsidR="00AD62CD" w:rsidRPr="00AD62CD" w14:paraId="19399FF2"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476164AB"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xml:space="preserve">      - vplyv na Sociálnu poisťovňu</w:t>
            </w:r>
          </w:p>
        </w:tc>
        <w:tc>
          <w:tcPr>
            <w:tcW w:w="1134" w:type="dxa"/>
            <w:tcBorders>
              <w:top w:val="nil"/>
              <w:left w:val="nil"/>
              <w:bottom w:val="single" w:sz="8" w:space="0" w:color="auto"/>
              <w:right w:val="single" w:sz="8" w:space="0" w:color="auto"/>
            </w:tcBorders>
            <w:shd w:val="clear" w:color="auto" w:fill="auto"/>
            <w:noWrap/>
            <w:vAlign w:val="center"/>
            <w:hideMark/>
          </w:tcPr>
          <w:p w14:paraId="7E5FCE42"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3C78A786"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-83 914 096</w:t>
            </w:r>
          </w:p>
        </w:tc>
        <w:tc>
          <w:tcPr>
            <w:tcW w:w="1420" w:type="dxa"/>
            <w:tcBorders>
              <w:top w:val="nil"/>
              <w:left w:val="nil"/>
              <w:bottom w:val="single" w:sz="8" w:space="0" w:color="auto"/>
              <w:right w:val="single" w:sz="8" w:space="0" w:color="auto"/>
            </w:tcBorders>
            <w:shd w:val="clear" w:color="auto" w:fill="auto"/>
            <w:noWrap/>
            <w:vAlign w:val="center"/>
            <w:hideMark/>
          </w:tcPr>
          <w:p w14:paraId="7BBF88BB"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-119 247 205</w:t>
            </w:r>
          </w:p>
        </w:tc>
        <w:tc>
          <w:tcPr>
            <w:tcW w:w="1420" w:type="dxa"/>
            <w:tcBorders>
              <w:top w:val="nil"/>
              <w:left w:val="nil"/>
              <w:bottom w:val="single" w:sz="8" w:space="0" w:color="auto"/>
              <w:right w:val="single" w:sz="8" w:space="0" w:color="auto"/>
            </w:tcBorders>
            <w:shd w:val="clear" w:color="auto" w:fill="auto"/>
            <w:noWrap/>
            <w:vAlign w:val="center"/>
            <w:hideMark/>
          </w:tcPr>
          <w:p w14:paraId="7DED71F4"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-166 145 520</w:t>
            </w:r>
          </w:p>
        </w:tc>
      </w:tr>
      <w:tr w:rsidR="00AD62CD" w:rsidRPr="00AD62CD" w14:paraId="52963992"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52B9B598"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xml:space="preserve">      - vplyv na ostatné subjekty verejnej správy</w:t>
            </w:r>
          </w:p>
        </w:tc>
        <w:tc>
          <w:tcPr>
            <w:tcW w:w="1134" w:type="dxa"/>
            <w:tcBorders>
              <w:top w:val="nil"/>
              <w:left w:val="nil"/>
              <w:bottom w:val="single" w:sz="8" w:space="0" w:color="auto"/>
              <w:right w:val="single" w:sz="8" w:space="0" w:color="auto"/>
            </w:tcBorders>
            <w:shd w:val="clear" w:color="auto" w:fill="auto"/>
            <w:noWrap/>
            <w:vAlign w:val="center"/>
            <w:hideMark/>
          </w:tcPr>
          <w:p w14:paraId="3978684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5B45406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3 422 147</w:t>
            </w:r>
          </w:p>
        </w:tc>
        <w:tc>
          <w:tcPr>
            <w:tcW w:w="1420" w:type="dxa"/>
            <w:tcBorders>
              <w:top w:val="nil"/>
              <w:left w:val="nil"/>
              <w:bottom w:val="single" w:sz="8" w:space="0" w:color="auto"/>
              <w:right w:val="single" w:sz="8" w:space="0" w:color="auto"/>
            </w:tcBorders>
            <w:shd w:val="clear" w:color="auto" w:fill="auto"/>
            <w:noWrap/>
            <w:vAlign w:val="center"/>
            <w:hideMark/>
          </w:tcPr>
          <w:p w14:paraId="0AC3F294"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3 914 618</w:t>
            </w:r>
          </w:p>
        </w:tc>
        <w:tc>
          <w:tcPr>
            <w:tcW w:w="1420" w:type="dxa"/>
            <w:tcBorders>
              <w:top w:val="nil"/>
              <w:left w:val="nil"/>
              <w:bottom w:val="single" w:sz="8" w:space="0" w:color="auto"/>
              <w:right w:val="single" w:sz="8" w:space="0" w:color="auto"/>
            </w:tcBorders>
            <w:shd w:val="clear" w:color="auto" w:fill="auto"/>
            <w:noWrap/>
            <w:vAlign w:val="center"/>
            <w:hideMark/>
          </w:tcPr>
          <w:p w14:paraId="1A3DDEB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4 094 241</w:t>
            </w:r>
          </w:p>
        </w:tc>
      </w:tr>
      <w:tr w:rsidR="00AD62CD" w:rsidRPr="00AD62CD" w14:paraId="5BAB5B50"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682B7220"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xml:space="preserve">Vplyv na počet zamestnancov </w:t>
            </w:r>
          </w:p>
        </w:tc>
        <w:tc>
          <w:tcPr>
            <w:tcW w:w="1134" w:type="dxa"/>
            <w:tcBorders>
              <w:top w:val="nil"/>
              <w:left w:val="nil"/>
              <w:bottom w:val="single" w:sz="8" w:space="0" w:color="auto"/>
              <w:right w:val="single" w:sz="8" w:space="0" w:color="auto"/>
            </w:tcBorders>
            <w:shd w:val="clear" w:color="000000" w:fill="BFBFBF"/>
            <w:noWrap/>
            <w:vAlign w:val="center"/>
            <w:hideMark/>
          </w:tcPr>
          <w:p w14:paraId="65C6188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000000" w:fill="BFBFBF"/>
            <w:noWrap/>
            <w:vAlign w:val="center"/>
            <w:hideMark/>
          </w:tcPr>
          <w:p w14:paraId="7BA7EA4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noWrap/>
            <w:vAlign w:val="center"/>
            <w:hideMark/>
          </w:tcPr>
          <w:p w14:paraId="73D2991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noWrap/>
            <w:vAlign w:val="center"/>
            <w:hideMark/>
          </w:tcPr>
          <w:p w14:paraId="7147699B"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3C15065F"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57DAFD94"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ŠR</w:t>
            </w:r>
          </w:p>
        </w:tc>
        <w:tc>
          <w:tcPr>
            <w:tcW w:w="1134" w:type="dxa"/>
            <w:tcBorders>
              <w:top w:val="nil"/>
              <w:left w:val="nil"/>
              <w:bottom w:val="single" w:sz="8" w:space="0" w:color="auto"/>
              <w:right w:val="single" w:sz="8" w:space="0" w:color="auto"/>
            </w:tcBorders>
            <w:shd w:val="clear" w:color="auto" w:fill="auto"/>
            <w:noWrap/>
            <w:vAlign w:val="center"/>
            <w:hideMark/>
          </w:tcPr>
          <w:p w14:paraId="073EF7B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15B24FB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4A8312F"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373C9E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0C68260F"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0DA23C90"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obce</w:t>
            </w:r>
          </w:p>
        </w:tc>
        <w:tc>
          <w:tcPr>
            <w:tcW w:w="1134" w:type="dxa"/>
            <w:tcBorders>
              <w:top w:val="nil"/>
              <w:left w:val="nil"/>
              <w:bottom w:val="single" w:sz="8" w:space="0" w:color="auto"/>
              <w:right w:val="single" w:sz="8" w:space="0" w:color="auto"/>
            </w:tcBorders>
            <w:shd w:val="clear" w:color="auto" w:fill="auto"/>
            <w:noWrap/>
            <w:vAlign w:val="center"/>
            <w:hideMark/>
          </w:tcPr>
          <w:p w14:paraId="23FA0FD2"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4B3DA4E9"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16EC4C46"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0236D3CE"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69C46EBF"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1288C4FA"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vyššie územné celky</w:t>
            </w:r>
          </w:p>
        </w:tc>
        <w:tc>
          <w:tcPr>
            <w:tcW w:w="1134" w:type="dxa"/>
            <w:tcBorders>
              <w:top w:val="nil"/>
              <w:left w:val="nil"/>
              <w:bottom w:val="single" w:sz="8" w:space="0" w:color="auto"/>
              <w:right w:val="single" w:sz="8" w:space="0" w:color="auto"/>
            </w:tcBorders>
            <w:shd w:val="clear" w:color="auto" w:fill="auto"/>
            <w:noWrap/>
            <w:vAlign w:val="center"/>
            <w:hideMark/>
          </w:tcPr>
          <w:p w14:paraId="23F965C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31C2726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0BAA9E5D"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B8A0A9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46815ABE"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2FD98691"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ostatné subjekty verejnej správy</w:t>
            </w:r>
          </w:p>
        </w:tc>
        <w:tc>
          <w:tcPr>
            <w:tcW w:w="1134" w:type="dxa"/>
            <w:tcBorders>
              <w:top w:val="nil"/>
              <w:left w:val="nil"/>
              <w:bottom w:val="single" w:sz="8" w:space="0" w:color="auto"/>
              <w:right w:val="single" w:sz="8" w:space="0" w:color="auto"/>
            </w:tcBorders>
            <w:shd w:val="clear" w:color="auto" w:fill="auto"/>
            <w:noWrap/>
            <w:vAlign w:val="center"/>
            <w:hideMark/>
          </w:tcPr>
          <w:p w14:paraId="470C3D7F"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3B9FFC4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039E83D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334AA9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425633F9"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6B82F679"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mzdové výdavky</w:t>
            </w:r>
          </w:p>
        </w:tc>
        <w:tc>
          <w:tcPr>
            <w:tcW w:w="1134" w:type="dxa"/>
            <w:tcBorders>
              <w:top w:val="nil"/>
              <w:left w:val="nil"/>
              <w:bottom w:val="single" w:sz="8" w:space="0" w:color="auto"/>
              <w:right w:val="single" w:sz="8" w:space="0" w:color="auto"/>
            </w:tcBorders>
            <w:shd w:val="clear" w:color="000000" w:fill="BFBFBF"/>
            <w:noWrap/>
            <w:vAlign w:val="center"/>
            <w:hideMark/>
          </w:tcPr>
          <w:p w14:paraId="1A367CC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000000" w:fill="BFBFBF"/>
            <w:noWrap/>
            <w:vAlign w:val="center"/>
            <w:hideMark/>
          </w:tcPr>
          <w:p w14:paraId="375E1C89"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noWrap/>
            <w:vAlign w:val="center"/>
            <w:hideMark/>
          </w:tcPr>
          <w:p w14:paraId="307994B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noWrap/>
            <w:vAlign w:val="center"/>
            <w:hideMark/>
          </w:tcPr>
          <w:p w14:paraId="434B7F0F"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09BD026F"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0014A2EA"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ŠR</w:t>
            </w:r>
          </w:p>
        </w:tc>
        <w:tc>
          <w:tcPr>
            <w:tcW w:w="1134" w:type="dxa"/>
            <w:tcBorders>
              <w:top w:val="nil"/>
              <w:left w:val="nil"/>
              <w:bottom w:val="single" w:sz="8" w:space="0" w:color="auto"/>
              <w:right w:val="single" w:sz="8" w:space="0" w:color="auto"/>
            </w:tcBorders>
            <w:shd w:val="clear" w:color="auto" w:fill="auto"/>
            <w:noWrap/>
            <w:vAlign w:val="center"/>
            <w:hideMark/>
          </w:tcPr>
          <w:p w14:paraId="32BA9B1D"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3BDD728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97FF8CB"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D78435B"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698C0362"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3312FFEB"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obce</w:t>
            </w:r>
          </w:p>
        </w:tc>
        <w:tc>
          <w:tcPr>
            <w:tcW w:w="1134" w:type="dxa"/>
            <w:tcBorders>
              <w:top w:val="nil"/>
              <w:left w:val="nil"/>
              <w:bottom w:val="single" w:sz="8" w:space="0" w:color="auto"/>
              <w:right w:val="single" w:sz="8" w:space="0" w:color="auto"/>
            </w:tcBorders>
            <w:shd w:val="clear" w:color="auto" w:fill="auto"/>
            <w:noWrap/>
            <w:vAlign w:val="center"/>
            <w:hideMark/>
          </w:tcPr>
          <w:p w14:paraId="7AF0988F"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7B199D02"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0A947B2"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193035C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40E5BE71"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3B6ABC9D"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vyššie územné celky</w:t>
            </w:r>
          </w:p>
        </w:tc>
        <w:tc>
          <w:tcPr>
            <w:tcW w:w="1134" w:type="dxa"/>
            <w:tcBorders>
              <w:top w:val="nil"/>
              <w:left w:val="nil"/>
              <w:bottom w:val="single" w:sz="8" w:space="0" w:color="auto"/>
              <w:right w:val="single" w:sz="8" w:space="0" w:color="auto"/>
            </w:tcBorders>
            <w:shd w:val="clear" w:color="auto" w:fill="auto"/>
            <w:noWrap/>
            <w:vAlign w:val="center"/>
            <w:hideMark/>
          </w:tcPr>
          <w:p w14:paraId="08D2B01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15BA797D"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DD3720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3CB14B2"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4FC4DCFA" w14:textId="77777777" w:rsidTr="003627DF">
        <w:trPr>
          <w:gridAfter w:val="1"/>
          <w:wAfter w:w="23" w:type="dxa"/>
          <w:trHeight w:val="28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48C7BD5B" w14:textId="77777777" w:rsidR="00AD62CD" w:rsidRPr="00AD62CD" w:rsidRDefault="00AD62CD" w:rsidP="00AD62CD">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AD62CD">
              <w:rPr>
                <w:rFonts w:ascii="Times New Roman" w:eastAsia="Times New Roman" w:hAnsi="Times New Roman" w:cs="Times New Roman"/>
                <w:b/>
                <w:bCs/>
                <w:i/>
                <w:iCs/>
                <w:color w:val="000000"/>
                <w:kern w:val="0"/>
                <w:sz w:val="20"/>
                <w:szCs w:val="20"/>
                <w:lang w:eastAsia="sk-SK"/>
                <w14:ligatures w14:val="none"/>
              </w:rPr>
              <w:t>- vplyv na ostatné subjekty verejnej správy</w:t>
            </w:r>
          </w:p>
        </w:tc>
        <w:tc>
          <w:tcPr>
            <w:tcW w:w="1134" w:type="dxa"/>
            <w:tcBorders>
              <w:top w:val="nil"/>
              <w:left w:val="nil"/>
              <w:bottom w:val="single" w:sz="8" w:space="0" w:color="auto"/>
              <w:right w:val="single" w:sz="8" w:space="0" w:color="auto"/>
            </w:tcBorders>
            <w:shd w:val="clear" w:color="auto" w:fill="auto"/>
            <w:noWrap/>
            <w:vAlign w:val="center"/>
            <w:hideMark/>
          </w:tcPr>
          <w:p w14:paraId="31B830C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0233877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0DE1169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0F2D168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45AC187C"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000000" w:fill="C0C0C0"/>
            <w:noWrap/>
            <w:vAlign w:val="center"/>
            <w:hideMark/>
          </w:tcPr>
          <w:p w14:paraId="4E5E50AA"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Financovanie zabezpečené v rozpočte</w:t>
            </w:r>
          </w:p>
        </w:tc>
        <w:tc>
          <w:tcPr>
            <w:tcW w:w="1134" w:type="dxa"/>
            <w:tcBorders>
              <w:top w:val="nil"/>
              <w:left w:val="nil"/>
              <w:bottom w:val="single" w:sz="8" w:space="0" w:color="auto"/>
              <w:right w:val="single" w:sz="8" w:space="0" w:color="auto"/>
            </w:tcBorders>
            <w:shd w:val="clear" w:color="000000" w:fill="C0C0C0"/>
            <w:noWrap/>
            <w:vAlign w:val="center"/>
            <w:hideMark/>
          </w:tcPr>
          <w:p w14:paraId="13496E8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000000" w:fill="C0C0C0"/>
            <w:noWrap/>
            <w:vAlign w:val="center"/>
            <w:hideMark/>
          </w:tcPr>
          <w:p w14:paraId="0322636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C0C0C0"/>
            <w:noWrap/>
            <w:vAlign w:val="center"/>
            <w:hideMark/>
          </w:tcPr>
          <w:p w14:paraId="594B190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C0C0C0"/>
            <w:noWrap/>
            <w:vAlign w:val="center"/>
            <w:hideMark/>
          </w:tcPr>
          <w:p w14:paraId="310C7332"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6CE33262"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76342649"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v tom: za každý subjekt verejnej správy / program zvlášť</w:t>
            </w:r>
          </w:p>
        </w:tc>
        <w:tc>
          <w:tcPr>
            <w:tcW w:w="1134" w:type="dxa"/>
            <w:tcBorders>
              <w:top w:val="nil"/>
              <w:left w:val="nil"/>
              <w:bottom w:val="single" w:sz="8" w:space="0" w:color="auto"/>
              <w:right w:val="single" w:sz="8" w:space="0" w:color="auto"/>
            </w:tcBorders>
            <w:shd w:val="clear" w:color="auto" w:fill="auto"/>
            <w:noWrap/>
            <w:vAlign w:val="center"/>
            <w:hideMark/>
          </w:tcPr>
          <w:p w14:paraId="49ADA52C"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auto" w:fill="auto"/>
            <w:noWrap/>
            <w:vAlign w:val="center"/>
            <w:hideMark/>
          </w:tcPr>
          <w:p w14:paraId="25A65D21"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A4F942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59F37BDA"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r>
      <w:tr w:rsidR="00AD62CD" w:rsidRPr="00AD62CD" w14:paraId="0931C99A"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6310D1C9"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Iné ako rozpočtové zdroje</w:t>
            </w:r>
          </w:p>
        </w:tc>
        <w:tc>
          <w:tcPr>
            <w:tcW w:w="1134" w:type="dxa"/>
            <w:tcBorders>
              <w:top w:val="nil"/>
              <w:left w:val="nil"/>
              <w:bottom w:val="single" w:sz="8" w:space="0" w:color="auto"/>
              <w:right w:val="single" w:sz="8" w:space="0" w:color="auto"/>
            </w:tcBorders>
            <w:shd w:val="clear" w:color="000000" w:fill="BFBFBF"/>
            <w:noWrap/>
            <w:vAlign w:val="center"/>
            <w:hideMark/>
          </w:tcPr>
          <w:p w14:paraId="174CF359"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000000" w:fill="BFBFBF"/>
            <w:noWrap/>
            <w:vAlign w:val="center"/>
            <w:hideMark/>
          </w:tcPr>
          <w:p w14:paraId="7E20635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noWrap/>
            <w:vAlign w:val="center"/>
            <w:hideMark/>
          </w:tcPr>
          <w:p w14:paraId="3B8EE6EE"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000000" w:fill="BFBFBF"/>
            <w:noWrap/>
            <w:vAlign w:val="center"/>
            <w:hideMark/>
          </w:tcPr>
          <w:p w14:paraId="743DFD7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r>
      <w:tr w:rsidR="00AD62CD" w:rsidRPr="00AD62CD" w14:paraId="0327A82E" w14:textId="77777777" w:rsidTr="003627DF">
        <w:trPr>
          <w:gridAfter w:val="1"/>
          <w:wAfter w:w="23" w:type="dxa"/>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560FC6BA"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Rozpočtovo nekrytý vplyv / úspora - Celkový vplyv na rozpočet (+negatívum/-pozitívum)</w:t>
            </w:r>
          </w:p>
        </w:tc>
        <w:tc>
          <w:tcPr>
            <w:tcW w:w="1134" w:type="dxa"/>
            <w:tcBorders>
              <w:top w:val="nil"/>
              <w:left w:val="nil"/>
              <w:bottom w:val="single" w:sz="8" w:space="0" w:color="auto"/>
              <w:right w:val="single" w:sz="8" w:space="0" w:color="auto"/>
            </w:tcBorders>
            <w:shd w:val="clear" w:color="000000" w:fill="C0C0C0"/>
            <w:vAlign w:val="center"/>
            <w:hideMark/>
          </w:tcPr>
          <w:p w14:paraId="3647A6B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55" w:type="dxa"/>
            <w:tcBorders>
              <w:top w:val="nil"/>
              <w:left w:val="nil"/>
              <w:bottom w:val="single" w:sz="8" w:space="0" w:color="auto"/>
              <w:right w:val="single" w:sz="8" w:space="0" w:color="auto"/>
            </w:tcBorders>
            <w:shd w:val="clear" w:color="000000" w:fill="C0C0C0"/>
            <w:vAlign w:val="center"/>
            <w:hideMark/>
          </w:tcPr>
          <w:p w14:paraId="75D459F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-325 260 725</w:t>
            </w:r>
          </w:p>
        </w:tc>
        <w:tc>
          <w:tcPr>
            <w:tcW w:w="1420" w:type="dxa"/>
            <w:tcBorders>
              <w:top w:val="nil"/>
              <w:left w:val="nil"/>
              <w:bottom w:val="single" w:sz="8" w:space="0" w:color="auto"/>
              <w:right w:val="single" w:sz="8" w:space="0" w:color="auto"/>
            </w:tcBorders>
            <w:shd w:val="clear" w:color="000000" w:fill="C0C0C0"/>
            <w:vAlign w:val="center"/>
            <w:hideMark/>
          </w:tcPr>
          <w:p w14:paraId="6E8CCA4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-493 281 610</w:t>
            </w:r>
          </w:p>
        </w:tc>
        <w:tc>
          <w:tcPr>
            <w:tcW w:w="1420" w:type="dxa"/>
            <w:tcBorders>
              <w:top w:val="nil"/>
              <w:left w:val="nil"/>
              <w:bottom w:val="single" w:sz="8" w:space="0" w:color="auto"/>
              <w:right w:val="single" w:sz="8" w:space="0" w:color="auto"/>
            </w:tcBorders>
            <w:shd w:val="clear" w:color="000000" w:fill="C0C0C0"/>
            <w:vAlign w:val="center"/>
            <w:hideMark/>
          </w:tcPr>
          <w:p w14:paraId="2A39B6D4"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-558 693 474</w:t>
            </w:r>
          </w:p>
        </w:tc>
      </w:tr>
    </w:tbl>
    <w:p w14:paraId="236B92ED" w14:textId="77777777" w:rsidR="00AD62CD" w:rsidRPr="00AD62CD" w:rsidRDefault="00AD62CD" w:rsidP="00AD62CD">
      <w:pPr>
        <w:spacing w:after="0" w:line="276" w:lineRule="auto"/>
        <w:jc w:val="both"/>
        <w:rPr>
          <w:rFonts w:ascii="Times New Roman" w:eastAsia="Calibri" w:hAnsi="Times New Roman" w:cs="Times New Roman"/>
          <w:b/>
          <w:bCs/>
          <w:kern w:val="0"/>
          <w:sz w:val="22"/>
          <w:szCs w:val="20"/>
          <w:lang w:eastAsia="sk-SK"/>
          <w14:ligatures w14:val="none"/>
        </w:rPr>
      </w:pPr>
    </w:p>
    <w:p w14:paraId="70F05A00" w14:textId="77777777" w:rsidR="00AD62CD" w:rsidRPr="00AD62CD" w:rsidRDefault="00AD62CD" w:rsidP="00AD62CD">
      <w:pPr>
        <w:spacing w:after="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Tabuľka č. 1/B</w:t>
      </w:r>
    </w:p>
    <w:tbl>
      <w:tblPr>
        <w:tblW w:w="9493" w:type="dxa"/>
        <w:tblCellMar>
          <w:left w:w="70" w:type="dxa"/>
          <w:right w:w="70" w:type="dxa"/>
        </w:tblCellMar>
        <w:tblLook w:val="04A0" w:firstRow="1" w:lastRow="0" w:firstColumn="1" w:lastColumn="0" w:noHBand="0" w:noVBand="1"/>
      </w:tblPr>
      <w:tblGrid>
        <w:gridCol w:w="3959"/>
        <w:gridCol w:w="1134"/>
        <w:gridCol w:w="1560"/>
        <w:gridCol w:w="1420"/>
        <w:gridCol w:w="1420"/>
      </w:tblGrid>
      <w:tr w:rsidR="00AD62CD" w:rsidRPr="00AD62CD" w14:paraId="339FA59A" w14:textId="77777777" w:rsidTr="003627DF">
        <w:trPr>
          <w:trHeight w:val="270"/>
        </w:trPr>
        <w:tc>
          <w:tcPr>
            <w:tcW w:w="3959"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FB9A2EB"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14:paraId="1FABE10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1560" w:type="dxa"/>
            <w:tcBorders>
              <w:top w:val="single" w:sz="8" w:space="0" w:color="auto"/>
              <w:left w:val="nil"/>
              <w:bottom w:val="single" w:sz="8" w:space="0" w:color="auto"/>
              <w:right w:val="single" w:sz="8" w:space="0" w:color="auto"/>
            </w:tcBorders>
            <w:shd w:val="clear" w:color="000000" w:fill="BFBFBF"/>
            <w:noWrap/>
            <w:vAlign w:val="center"/>
            <w:hideMark/>
          </w:tcPr>
          <w:p w14:paraId="1FE459E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420" w:type="dxa"/>
            <w:tcBorders>
              <w:top w:val="single" w:sz="8" w:space="0" w:color="auto"/>
              <w:left w:val="nil"/>
              <w:bottom w:val="single" w:sz="8" w:space="0" w:color="auto"/>
              <w:right w:val="single" w:sz="8" w:space="0" w:color="auto"/>
            </w:tcBorders>
            <w:shd w:val="clear" w:color="000000" w:fill="BFBFBF"/>
            <w:noWrap/>
            <w:vAlign w:val="center"/>
            <w:hideMark/>
          </w:tcPr>
          <w:p w14:paraId="1658D725"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420" w:type="dxa"/>
            <w:tcBorders>
              <w:top w:val="single" w:sz="8" w:space="0" w:color="auto"/>
              <w:left w:val="nil"/>
              <w:bottom w:val="single" w:sz="8" w:space="0" w:color="auto"/>
              <w:right w:val="single" w:sz="8" w:space="0" w:color="auto"/>
            </w:tcBorders>
            <w:shd w:val="clear" w:color="000000" w:fill="BFBFBF"/>
            <w:noWrap/>
            <w:vAlign w:val="center"/>
            <w:hideMark/>
          </w:tcPr>
          <w:p w14:paraId="6942681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r>
      <w:tr w:rsidR="00AD62CD" w:rsidRPr="00AD62CD" w14:paraId="7933BD26" w14:textId="77777777" w:rsidTr="003627DF">
        <w:trPr>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0EA0D2B9"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Vplyvy na limit verejných výdavkov verejnej správy celkom (v metodike ESA 2010)</w:t>
            </w:r>
          </w:p>
        </w:tc>
        <w:tc>
          <w:tcPr>
            <w:tcW w:w="1134" w:type="dxa"/>
            <w:tcBorders>
              <w:top w:val="nil"/>
              <w:left w:val="nil"/>
              <w:bottom w:val="single" w:sz="8" w:space="0" w:color="auto"/>
              <w:right w:val="single" w:sz="8" w:space="0" w:color="auto"/>
            </w:tcBorders>
            <w:shd w:val="clear" w:color="auto" w:fill="auto"/>
            <w:noWrap/>
            <w:vAlign w:val="center"/>
            <w:hideMark/>
          </w:tcPr>
          <w:p w14:paraId="4AC0CB8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60" w:type="dxa"/>
            <w:tcBorders>
              <w:top w:val="nil"/>
              <w:left w:val="nil"/>
              <w:bottom w:val="single" w:sz="8" w:space="0" w:color="auto"/>
              <w:right w:val="single" w:sz="8" w:space="0" w:color="auto"/>
            </w:tcBorders>
            <w:shd w:val="clear" w:color="auto" w:fill="auto"/>
            <w:noWrap/>
            <w:vAlign w:val="center"/>
            <w:hideMark/>
          </w:tcPr>
          <w:p w14:paraId="614C454B"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-325 260 725</w:t>
            </w:r>
          </w:p>
        </w:tc>
        <w:tc>
          <w:tcPr>
            <w:tcW w:w="1420" w:type="dxa"/>
            <w:tcBorders>
              <w:top w:val="nil"/>
              <w:left w:val="nil"/>
              <w:bottom w:val="single" w:sz="8" w:space="0" w:color="auto"/>
              <w:right w:val="single" w:sz="8" w:space="0" w:color="auto"/>
            </w:tcBorders>
            <w:shd w:val="clear" w:color="auto" w:fill="auto"/>
            <w:noWrap/>
            <w:vAlign w:val="center"/>
            <w:hideMark/>
          </w:tcPr>
          <w:p w14:paraId="460B2CE1"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-493 281 610</w:t>
            </w:r>
          </w:p>
        </w:tc>
        <w:tc>
          <w:tcPr>
            <w:tcW w:w="1420" w:type="dxa"/>
            <w:tcBorders>
              <w:top w:val="nil"/>
              <w:left w:val="nil"/>
              <w:bottom w:val="single" w:sz="8" w:space="0" w:color="auto"/>
              <w:right w:val="single" w:sz="8" w:space="0" w:color="auto"/>
            </w:tcBorders>
            <w:shd w:val="clear" w:color="auto" w:fill="auto"/>
            <w:noWrap/>
            <w:vAlign w:val="center"/>
            <w:hideMark/>
          </w:tcPr>
          <w:p w14:paraId="35C59D6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-558 693 474</w:t>
            </w:r>
          </w:p>
        </w:tc>
      </w:tr>
      <w:tr w:rsidR="00AD62CD" w:rsidRPr="00AD62CD" w14:paraId="15C0FD53" w14:textId="77777777" w:rsidTr="003627DF">
        <w:trPr>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50EC4102"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v tom: za každý subjekt verejnej správy zvlášť / program zvlášť</w:t>
            </w:r>
          </w:p>
        </w:tc>
        <w:tc>
          <w:tcPr>
            <w:tcW w:w="1134" w:type="dxa"/>
            <w:tcBorders>
              <w:top w:val="nil"/>
              <w:left w:val="nil"/>
              <w:bottom w:val="single" w:sz="8" w:space="0" w:color="auto"/>
              <w:right w:val="single" w:sz="8" w:space="0" w:color="auto"/>
            </w:tcBorders>
            <w:shd w:val="clear" w:color="auto" w:fill="auto"/>
            <w:noWrap/>
            <w:vAlign w:val="center"/>
            <w:hideMark/>
          </w:tcPr>
          <w:p w14:paraId="1286BA4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60" w:type="dxa"/>
            <w:tcBorders>
              <w:top w:val="nil"/>
              <w:left w:val="nil"/>
              <w:bottom w:val="single" w:sz="8" w:space="0" w:color="auto"/>
              <w:right w:val="single" w:sz="8" w:space="0" w:color="auto"/>
            </w:tcBorders>
            <w:shd w:val="clear" w:color="auto" w:fill="auto"/>
            <w:noWrap/>
            <w:vAlign w:val="center"/>
            <w:hideMark/>
          </w:tcPr>
          <w:p w14:paraId="55A4F36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419DC48"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5F247C4A"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r>
      <w:tr w:rsidR="00AD62CD" w:rsidRPr="00AD62CD" w14:paraId="2D377FD9" w14:textId="77777777" w:rsidTr="003627DF">
        <w:trPr>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27C315D9"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z toho:</w:t>
            </w:r>
          </w:p>
        </w:tc>
        <w:tc>
          <w:tcPr>
            <w:tcW w:w="1134" w:type="dxa"/>
            <w:tcBorders>
              <w:top w:val="nil"/>
              <w:left w:val="nil"/>
              <w:bottom w:val="single" w:sz="8" w:space="0" w:color="auto"/>
              <w:right w:val="single" w:sz="8" w:space="0" w:color="auto"/>
            </w:tcBorders>
            <w:shd w:val="clear" w:color="auto" w:fill="auto"/>
            <w:noWrap/>
            <w:vAlign w:val="center"/>
            <w:hideMark/>
          </w:tcPr>
          <w:p w14:paraId="0229DE4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c>
          <w:tcPr>
            <w:tcW w:w="1560" w:type="dxa"/>
            <w:tcBorders>
              <w:top w:val="nil"/>
              <w:left w:val="nil"/>
              <w:bottom w:val="single" w:sz="8" w:space="0" w:color="auto"/>
              <w:right w:val="single" w:sz="8" w:space="0" w:color="auto"/>
            </w:tcBorders>
            <w:shd w:val="clear" w:color="auto" w:fill="auto"/>
            <w:noWrap/>
            <w:vAlign w:val="center"/>
            <w:hideMark/>
          </w:tcPr>
          <w:p w14:paraId="1B4034D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c>
          <w:tcPr>
            <w:tcW w:w="1420" w:type="dxa"/>
            <w:tcBorders>
              <w:top w:val="nil"/>
              <w:left w:val="nil"/>
              <w:bottom w:val="single" w:sz="8" w:space="0" w:color="auto"/>
              <w:right w:val="single" w:sz="8" w:space="0" w:color="auto"/>
            </w:tcBorders>
            <w:shd w:val="clear" w:color="auto" w:fill="auto"/>
            <w:noWrap/>
            <w:vAlign w:val="center"/>
            <w:hideMark/>
          </w:tcPr>
          <w:p w14:paraId="0937CBB1"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c>
          <w:tcPr>
            <w:tcW w:w="1420" w:type="dxa"/>
            <w:tcBorders>
              <w:top w:val="nil"/>
              <w:left w:val="nil"/>
              <w:bottom w:val="single" w:sz="8" w:space="0" w:color="auto"/>
              <w:right w:val="single" w:sz="8" w:space="0" w:color="auto"/>
            </w:tcBorders>
            <w:shd w:val="clear" w:color="auto" w:fill="auto"/>
            <w:noWrap/>
            <w:vAlign w:val="center"/>
            <w:hideMark/>
          </w:tcPr>
          <w:p w14:paraId="3C8DF68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064B24EE" w14:textId="77777777" w:rsidTr="003627DF">
        <w:trPr>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45306366"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ŠR</w:t>
            </w:r>
          </w:p>
        </w:tc>
        <w:tc>
          <w:tcPr>
            <w:tcW w:w="1134" w:type="dxa"/>
            <w:tcBorders>
              <w:top w:val="nil"/>
              <w:left w:val="nil"/>
              <w:bottom w:val="single" w:sz="8" w:space="0" w:color="auto"/>
              <w:right w:val="single" w:sz="8" w:space="0" w:color="auto"/>
            </w:tcBorders>
            <w:shd w:val="clear" w:color="auto" w:fill="auto"/>
            <w:noWrap/>
            <w:vAlign w:val="center"/>
            <w:hideMark/>
          </w:tcPr>
          <w:p w14:paraId="6C62296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60" w:type="dxa"/>
            <w:tcBorders>
              <w:top w:val="nil"/>
              <w:left w:val="nil"/>
              <w:bottom w:val="single" w:sz="8" w:space="0" w:color="auto"/>
              <w:right w:val="single" w:sz="8" w:space="0" w:color="auto"/>
            </w:tcBorders>
            <w:shd w:val="clear" w:color="auto" w:fill="auto"/>
            <w:noWrap/>
            <w:vAlign w:val="center"/>
            <w:hideMark/>
          </w:tcPr>
          <w:p w14:paraId="0CDB3D19"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17 837 334</w:t>
            </w:r>
          </w:p>
        </w:tc>
        <w:tc>
          <w:tcPr>
            <w:tcW w:w="1420" w:type="dxa"/>
            <w:tcBorders>
              <w:top w:val="nil"/>
              <w:left w:val="nil"/>
              <w:bottom w:val="single" w:sz="8" w:space="0" w:color="auto"/>
              <w:right w:val="single" w:sz="8" w:space="0" w:color="auto"/>
            </w:tcBorders>
            <w:shd w:val="clear" w:color="auto" w:fill="auto"/>
            <w:noWrap/>
            <w:vAlign w:val="center"/>
            <w:hideMark/>
          </w:tcPr>
          <w:p w14:paraId="51C3921E"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14 717 079</w:t>
            </w:r>
          </w:p>
        </w:tc>
        <w:tc>
          <w:tcPr>
            <w:tcW w:w="1420" w:type="dxa"/>
            <w:tcBorders>
              <w:top w:val="nil"/>
              <w:left w:val="nil"/>
              <w:bottom w:val="single" w:sz="8" w:space="0" w:color="auto"/>
              <w:right w:val="single" w:sz="8" w:space="0" w:color="auto"/>
            </w:tcBorders>
            <w:shd w:val="clear" w:color="auto" w:fill="auto"/>
            <w:noWrap/>
            <w:vAlign w:val="center"/>
            <w:hideMark/>
          </w:tcPr>
          <w:p w14:paraId="56C95EE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10 409 352</w:t>
            </w:r>
          </w:p>
        </w:tc>
      </w:tr>
      <w:tr w:rsidR="00AD62CD" w:rsidRPr="00AD62CD" w14:paraId="4D4E26D5" w14:textId="77777777" w:rsidTr="003627DF">
        <w:trPr>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0BD483D9"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ostatných subjekty verejnej správy</w:t>
            </w:r>
          </w:p>
        </w:tc>
        <w:tc>
          <w:tcPr>
            <w:tcW w:w="1134" w:type="dxa"/>
            <w:tcBorders>
              <w:top w:val="nil"/>
              <w:left w:val="nil"/>
              <w:bottom w:val="single" w:sz="8" w:space="0" w:color="auto"/>
              <w:right w:val="single" w:sz="8" w:space="0" w:color="auto"/>
            </w:tcBorders>
            <w:shd w:val="clear" w:color="auto" w:fill="auto"/>
            <w:noWrap/>
            <w:vAlign w:val="center"/>
            <w:hideMark/>
          </w:tcPr>
          <w:p w14:paraId="72D2D6F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60" w:type="dxa"/>
            <w:tcBorders>
              <w:top w:val="nil"/>
              <w:left w:val="nil"/>
              <w:bottom w:val="single" w:sz="8" w:space="0" w:color="auto"/>
              <w:right w:val="single" w:sz="8" w:space="0" w:color="auto"/>
            </w:tcBorders>
            <w:shd w:val="clear" w:color="auto" w:fill="auto"/>
            <w:noWrap/>
            <w:vAlign w:val="center"/>
            <w:hideMark/>
          </w:tcPr>
          <w:p w14:paraId="1D8D0E2F"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-349 568 253</w:t>
            </w:r>
          </w:p>
        </w:tc>
        <w:tc>
          <w:tcPr>
            <w:tcW w:w="1420" w:type="dxa"/>
            <w:tcBorders>
              <w:top w:val="nil"/>
              <w:left w:val="nil"/>
              <w:bottom w:val="single" w:sz="8" w:space="0" w:color="auto"/>
              <w:right w:val="single" w:sz="8" w:space="0" w:color="auto"/>
            </w:tcBorders>
            <w:shd w:val="clear" w:color="auto" w:fill="auto"/>
            <w:noWrap/>
            <w:vAlign w:val="center"/>
            <w:hideMark/>
          </w:tcPr>
          <w:p w14:paraId="4765D5C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-524 603 094</w:t>
            </w:r>
          </w:p>
        </w:tc>
        <w:tc>
          <w:tcPr>
            <w:tcW w:w="1420" w:type="dxa"/>
            <w:tcBorders>
              <w:top w:val="nil"/>
              <w:left w:val="nil"/>
              <w:bottom w:val="single" w:sz="8" w:space="0" w:color="auto"/>
              <w:right w:val="single" w:sz="8" w:space="0" w:color="auto"/>
            </w:tcBorders>
            <w:shd w:val="clear" w:color="auto" w:fill="auto"/>
            <w:noWrap/>
            <w:vAlign w:val="center"/>
            <w:hideMark/>
          </w:tcPr>
          <w:p w14:paraId="28C5F4D4"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-591 024 804</w:t>
            </w:r>
          </w:p>
        </w:tc>
      </w:tr>
      <w:tr w:rsidR="00AD62CD" w:rsidRPr="00AD62CD" w14:paraId="3E3FC5DE" w14:textId="77777777" w:rsidTr="003627DF">
        <w:trPr>
          <w:trHeight w:val="270"/>
        </w:trPr>
        <w:tc>
          <w:tcPr>
            <w:tcW w:w="3959" w:type="dxa"/>
            <w:tcBorders>
              <w:top w:val="nil"/>
              <w:left w:val="single" w:sz="8" w:space="0" w:color="auto"/>
              <w:bottom w:val="single" w:sz="8" w:space="0" w:color="auto"/>
              <w:right w:val="single" w:sz="8" w:space="0" w:color="auto"/>
            </w:tcBorders>
            <w:shd w:val="clear" w:color="000000" w:fill="BFBFBF"/>
            <w:noWrap/>
            <w:vAlign w:val="center"/>
            <w:hideMark/>
          </w:tcPr>
          <w:p w14:paraId="4A348D99"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limit verejných výdavkov ďalších súčastí rozpočtu verejnej správy</w:t>
            </w:r>
          </w:p>
        </w:tc>
        <w:tc>
          <w:tcPr>
            <w:tcW w:w="1134" w:type="dxa"/>
            <w:tcBorders>
              <w:top w:val="nil"/>
              <w:left w:val="nil"/>
              <w:bottom w:val="single" w:sz="8" w:space="0" w:color="auto"/>
              <w:right w:val="single" w:sz="8" w:space="0" w:color="auto"/>
            </w:tcBorders>
            <w:shd w:val="clear" w:color="auto" w:fill="auto"/>
            <w:noWrap/>
            <w:vAlign w:val="center"/>
            <w:hideMark/>
          </w:tcPr>
          <w:p w14:paraId="5D2906B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60" w:type="dxa"/>
            <w:tcBorders>
              <w:top w:val="nil"/>
              <w:left w:val="nil"/>
              <w:bottom w:val="single" w:sz="8" w:space="0" w:color="auto"/>
              <w:right w:val="single" w:sz="8" w:space="0" w:color="auto"/>
            </w:tcBorders>
            <w:shd w:val="clear" w:color="auto" w:fill="auto"/>
            <w:noWrap/>
            <w:vAlign w:val="center"/>
            <w:hideMark/>
          </w:tcPr>
          <w:p w14:paraId="09F3760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6 470 194</w:t>
            </w:r>
          </w:p>
        </w:tc>
        <w:tc>
          <w:tcPr>
            <w:tcW w:w="1420" w:type="dxa"/>
            <w:tcBorders>
              <w:top w:val="nil"/>
              <w:left w:val="nil"/>
              <w:bottom w:val="single" w:sz="8" w:space="0" w:color="auto"/>
              <w:right w:val="single" w:sz="8" w:space="0" w:color="auto"/>
            </w:tcBorders>
            <w:shd w:val="clear" w:color="auto" w:fill="auto"/>
            <w:noWrap/>
            <w:vAlign w:val="center"/>
            <w:hideMark/>
          </w:tcPr>
          <w:p w14:paraId="5C045C7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16 604 405</w:t>
            </w:r>
          </w:p>
        </w:tc>
        <w:tc>
          <w:tcPr>
            <w:tcW w:w="1420" w:type="dxa"/>
            <w:tcBorders>
              <w:top w:val="nil"/>
              <w:left w:val="nil"/>
              <w:bottom w:val="single" w:sz="8" w:space="0" w:color="auto"/>
              <w:right w:val="single" w:sz="8" w:space="0" w:color="auto"/>
            </w:tcBorders>
            <w:shd w:val="clear" w:color="auto" w:fill="auto"/>
            <w:noWrap/>
            <w:vAlign w:val="center"/>
            <w:hideMark/>
          </w:tcPr>
          <w:p w14:paraId="2E5CEEBE"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21 921 979</w:t>
            </w:r>
          </w:p>
        </w:tc>
      </w:tr>
    </w:tbl>
    <w:p w14:paraId="2F969D22" w14:textId="77777777" w:rsidR="00AD62CD" w:rsidRPr="00AD62CD" w:rsidRDefault="00AD62CD" w:rsidP="00AD62CD">
      <w:pPr>
        <w:spacing w:after="200" w:line="276" w:lineRule="auto"/>
        <w:rPr>
          <w:rFonts w:ascii="Times New Roman" w:eastAsia="Calibri" w:hAnsi="Times New Roman" w:cs="Times New Roman"/>
          <w:b/>
          <w:bCs/>
          <w:kern w:val="0"/>
          <w:lang w:eastAsia="sk-SK"/>
          <w14:ligatures w14:val="none"/>
        </w:rPr>
      </w:pPr>
    </w:p>
    <w:p w14:paraId="4016DFC4" w14:textId="77777777" w:rsidR="00AD62CD" w:rsidRPr="00AD62CD" w:rsidRDefault="00AD62CD" w:rsidP="00AD62CD">
      <w:pPr>
        <w:spacing w:after="200" w:line="276"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2.1.1. Financovanie návrhu - Návrh na riešenie úbytku príjmov alebo zvýšených výdavkov podľa § 33 ods. 1 zákona č. 523/2004 Z. z. o rozpočtových pravidlách verejnej správy:</w:t>
      </w:r>
    </w:p>
    <w:p w14:paraId="489347CE"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kern w:val="0"/>
          <w14:ligatures w14:val="none"/>
        </w:rPr>
      </w:pPr>
      <w:r w:rsidRPr="00AD62CD">
        <w:rPr>
          <w:rFonts w:ascii="Times New Roman" w:eastAsia="Calibri" w:hAnsi="Times New Roman" w:cs="Times New Roman"/>
          <w:bCs/>
          <w:kern w:val="0"/>
          <w14:ligatures w14:val="none"/>
        </w:rPr>
        <w:t xml:space="preserve">Návrh zákona má celkovo pozitívny vplyv na saldo rozpočtu verejnej správy. V oblasti príjmov sa navrhujú najmä úpravy pre samostatne zárobkovo činné osoby  (ďalej len „SZČO“) s cieľom zamedziť výpadkom v systéme sociálneho poistenia, ktoré sú spôsobené existujúcimi výnimkami z platenia poistného na sociálne poistenie a nízkym minimálnym vymeriavacím základom. </w:t>
      </w:r>
    </w:p>
    <w:p w14:paraId="55368F5D"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kern w:val="0"/>
          <w14:ligatures w14:val="none"/>
        </w:rPr>
      </w:pPr>
    </w:p>
    <w:p w14:paraId="2926C159"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kern w:val="0"/>
          <w14:ligatures w14:val="none"/>
        </w:rPr>
      </w:pPr>
      <w:r w:rsidRPr="00AD62CD">
        <w:rPr>
          <w:rFonts w:ascii="Times New Roman" w:eastAsia="Calibri" w:hAnsi="Times New Roman" w:cs="Times New Roman"/>
          <w:bCs/>
          <w:kern w:val="0"/>
          <w14:ligatures w14:val="none"/>
        </w:rPr>
        <w:t>V oblasti výdavkov sú opatrenia zamerané na zníženie výdavkov Sociálnej poisťovne úpravou dĺžky platby náhrady príjmu pri dočasnej pracovnej neschopnosti (ďalej len „PN“) zamestnávateľom, zachovaním sumy  13. dôchodku na nominálnej úrovni roka 2025 na roky 2026 až 2028 a zavedením degresívneho modelu dávky v nezamestnanosti pre zvýšenie motivácie k návratu na trh práce.</w:t>
      </w:r>
    </w:p>
    <w:p w14:paraId="4ED42FA6" w14:textId="77777777" w:rsidR="00AD62CD" w:rsidRPr="00AD62CD" w:rsidRDefault="00AD62CD" w:rsidP="00AD62CD">
      <w:pPr>
        <w:spacing w:after="200" w:line="276" w:lineRule="auto"/>
        <w:rPr>
          <w:rFonts w:ascii="Times New Roman" w:eastAsia="Calibri" w:hAnsi="Times New Roman" w:cs="Times New Roman"/>
          <w:b/>
          <w:bCs/>
          <w:kern w:val="0"/>
          <w:lang w:eastAsia="sk-SK"/>
          <w14:ligatures w14:val="none"/>
        </w:rPr>
      </w:pPr>
    </w:p>
    <w:p w14:paraId="3D34D59C"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 Popis a charakteristika návrhu</w:t>
      </w:r>
    </w:p>
    <w:p w14:paraId="2EF3A780"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546DAD92"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2.2.1. Popis návrhu:</w:t>
      </w:r>
    </w:p>
    <w:tbl>
      <w:tblPr>
        <w:tblW w:w="9487" w:type="dxa"/>
        <w:tblCellMar>
          <w:left w:w="70" w:type="dxa"/>
          <w:right w:w="70" w:type="dxa"/>
        </w:tblCellMar>
        <w:tblLook w:val="04A0" w:firstRow="1" w:lastRow="0" w:firstColumn="1" w:lastColumn="0" w:noHBand="0" w:noVBand="1"/>
      </w:tblPr>
      <w:tblGrid>
        <w:gridCol w:w="3959"/>
        <w:gridCol w:w="1134"/>
        <w:gridCol w:w="1560"/>
        <w:gridCol w:w="1412"/>
        <w:gridCol w:w="1412"/>
        <w:gridCol w:w="10"/>
      </w:tblGrid>
      <w:tr w:rsidR="00AD62CD" w:rsidRPr="00AD62CD" w14:paraId="172E94B0" w14:textId="77777777" w:rsidTr="003627DF">
        <w:trPr>
          <w:trHeight w:val="315"/>
        </w:trPr>
        <w:tc>
          <w:tcPr>
            <w:tcW w:w="39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EA88C3D"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 </w:t>
            </w:r>
          </w:p>
        </w:tc>
        <w:tc>
          <w:tcPr>
            <w:tcW w:w="5528" w:type="dxa"/>
            <w:gridSpan w:val="5"/>
            <w:tcBorders>
              <w:top w:val="single" w:sz="8" w:space="0" w:color="auto"/>
              <w:left w:val="nil"/>
              <w:bottom w:val="single" w:sz="8" w:space="0" w:color="auto"/>
              <w:right w:val="single" w:sz="8" w:space="0" w:color="000000"/>
            </w:tcBorders>
            <w:shd w:val="clear" w:color="000000" w:fill="BFBFBF"/>
            <w:vAlign w:val="center"/>
            <w:hideMark/>
          </w:tcPr>
          <w:p w14:paraId="7318BD9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rozpočet verejnej správy (v eurách, v metodike ESA)</w:t>
            </w:r>
          </w:p>
        </w:tc>
      </w:tr>
      <w:tr w:rsidR="00AD62CD" w:rsidRPr="00AD62CD" w14:paraId="250FB09B" w14:textId="77777777" w:rsidTr="003627DF">
        <w:trPr>
          <w:gridAfter w:val="1"/>
          <w:wAfter w:w="10" w:type="dxa"/>
          <w:trHeight w:val="315"/>
        </w:trPr>
        <w:tc>
          <w:tcPr>
            <w:tcW w:w="3959" w:type="dxa"/>
            <w:vMerge/>
            <w:tcBorders>
              <w:top w:val="single" w:sz="8" w:space="0" w:color="auto"/>
              <w:left w:val="single" w:sz="8" w:space="0" w:color="auto"/>
              <w:bottom w:val="single" w:sz="8" w:space="0" w:color="000000"/>
              <w:right w:val="single" w:sz="8" w:space="0" w:color="auto"/>
            </w:tcBorders>
            <w:vAlign w:val="center"/>
            <w:hideMark/>
          </w:tcPr>
          <w:p w14:paraId="710AF262"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134" w:type="dxa"/>
            <w:tcBorders>
              <w:top w:val="nil"/>
              <w:left w:val="nil"/>
              <w:bottom w:val="single" w:sz="8" w:space="0" w:color="auto"/>
              <w:right w:val="single" w:sz="8" w:space="0" w:color="auto"/>
            </w:tcBorders>
            <w:shd w:val="clear" w:color="000000" w:fill="BFBFBF"/>
            <w:vAlign w:val="center"/>
            <w:hideMark/>
          </w:tcPr>
          <w:p w14:paraId="4C01A09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1560" w:type="dxa"/>
            <w:tcBorders>
              <w:top w:val="nil"/>
              <w:left w:val="nil"/>
              <w:bottom w:val="single" w:sz="8" w:space="0" w:color="auto"/>
              <w:right w:val="single" w:sz="8" w:space="0" w:color="auto"/>
            </w:tcBorders>
            <w:shd w:val="clear" w:color="000000" w:fill="BFBFBF"/>
            <w:vAlign w:val="center"/>
            <w:hideMark/>
          </w:tcPr>
          <w:p w14:paraId="757BD9E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412" w:type="dxa"/>
            <w:tcBorders>
              <w:top w:val="nil"/>
              <w:left w:val="nil"/>
              <w:bottom w:val="single" w:sz="8" w:space="0" w:color="auto"/>
              <w:right w:val="single" w:sz="8" w:space="0" w:color="auto"/>
            </w:tcBorders>
            <w:shd w:val="clear" w:color="000000" w:fill="BFBFBF"/>
            <w:vAlign w:val="center"/>
            <w:hideMark/>
          </w:tcPr>
          <w:p w14:paraId="2B62C96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412" w:type="dxa"/>
            <w:tcBorders>
              <w:top w:val="nil"/>
              <w:left w:val="nil"/>
              <w:bottom w:val="single" w:sz="8" w:space="0" w:color="auto"/>
              <w:right w:val="single" w:sz="8" w:space="0" w:color="auto"/>
            </w:tcBorders>
            <w:shd w:val="clear" w:color="000000" w:fill="BFBFBF"/>
            <w:vAlign w:val="center"/>
            <w:hideMark/>
          </w:tcPr>
          <w:p w14:paraId="07D5830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r>
      <w:tr w:rsidR="00AD62CD" w:rsidRPr="00AD62CD" w14:paraId="6FB180AF" w14:textId="77777777" w:rsidTr="003627DF">
        <w:trPr>
          <w:gridAfter w:val="1"/>
          <w:wAfter w:w="10" w:type="dxa"/>
          <w:trHeight w:val="31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65F6EBB8"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Zrušenie odvodových prázdnin SZČO</w:t>
            </w:r>
          </w:p>
        </w:tc>
        <w:tc>
          <w:tcPr>
            <w:tcW w:w="1134" w:type="dxa"/>
            <w:tcBorders>
              <w:top w:val="nil"/>
              <w:left w:val="nil"/>
              <w:bottom w:val="single" w:sz="8" w:space="0" w:color="auto"/>
              <w:right w:val="single" w:sz="8" w:space="0" w:color="auto"/>
            </w:tcBorders>
            <w:shd w:val="clear" w:color="auto" w:fill="auto"/>
            <w:noWrap/>
            <w:vAlign w:val="center"/>
            <w:hideMark/>
          </w:tcPr>
          <w:p w14:paraId="4CBDE1A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60" w:type="dxa"/>
            <w:tcBorders>
              <w:top w:val="nil"/>
              <w:left w:val="nil"/>
              <w:bottom w:val="single" w:sz="8" w:space="0" w:color="auto"/>
              <w:right w:val="single" w:sz="8" w:space="0" w:color="auto"/>
            </w:tcBorders>
            <w:shd w:val="clear" w:color="auto" w:fill="auto"/>
            <w:noWrap/>
            <w:vAlign w:val="center"/>
            <w:hideMark/>
          </w:tcPr>
          <w:p w14:paraId="2B86045B"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-117 856 251</w:t>
            </w:r>
          </w:p>
        </w:tc>
        <w:tc>
          <w:tcPr>
            <w:tcW w:w="1412" w:type="dxa"/>
            <w:tcBorders>
              <w:top w:val="nil"/>
              <w:left w:val="nil"/>
              <w:bottom w:val="single" w:sz="8" w:space="0" w:color="auto"/>
              <w:right w:val="single" w:sz="8" w:space="0" w:color="auto"/>
            </w:tcBorders>
            <w:shd w:val="clear" w:color="auto" w:fill="auto"/>
            <w:noWrap/>
            <w:vAlign w:val="center"/>
            <w:hideMark/>
          </w:tcPr>
          <w:p w14:paraId="4F61DE3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-230 080 964</w:t>
            </w:r>
          </w:p>
        </w:tc>
        <w:tc>
          <w:tcPr>
            <w:tcW w:w="1412" w:type="dxa"/>
            <w:tcBorders>
              <w:top w:val="nil"/>
              <w:left w:val="nil"/>
              <w:bottom w:val="single" w:sz="8" w:space="0" w:color="auto"/>
              <w:right w:val="single" w:sz="8" w:space="0" w:color="auto"/>
            </w:tcBorders>
            <w:shd w:val="clear" w:color="auto" w:fill="auto"/>
            <w:noWrap/>
            <w:vAlign w:val="center"/>
            <w:hideMark/>
          </w:tcPr>
          <w:p w14:paraId="7897B96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-238 894 419</w:t>
            </w:r>
          </w:p>
        </w:tc>
      </w:tr>
      <w:tr w:rsidR="00AD62CD" w:rsidRPr="00AD62CD" w14:paraId="6C2388A7" w14:textId="77777777" w:rsidTr="003627DF">
        <w:trPr>
          <w:gridAfter w:val="1"/>
          <w:wAfter w:w="10" w:type="dxa"/>
          <w:trHeight w:val="31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07A29D9B"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Zvýšenie minimálneho vymeriavacieho základu SZČO</w:t>
            </w:r>
          </w:p>
        </w:tc>
        <w:tc>
          <w:tcPr>
            <w:tcW w:w="1134" w:type="dxa"/>
            <w:tcBorders>
              <w:top w:val="nil"/>
              <w:left w:val="nil"/>
              <w:bottom w:val="single" w:sz="8" w:space="0" w:color="auto"/>
              <w:right w:val="single" w:sz="8" w:space="0" w:color="auto"/>
            </w:tcBorders>
            <w:shd w:val="clear" w:color="auto" w:fill="auto"/>
            <w:noWrap/>
            <w:vAlign w:val="center"/>
            <w:hideMark/>
          </w:tcPr>
          <w:p w14:paraId="048509AC"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60" w:type="dxa"/>
            <w:tcBorders>
              <w:top w:val="nil"/>
              <w:left w:val="nil"/>
              <w:bottom w:val="single" w:sz="8" w:space="0" w:color="auto"/>
              <w:right w:val="single" w:sz="8" w:space="0" w:color="auto"/>
            </w:tcBorders>
            <w:shd w:val="clear" w:color="auto" w:fill="auto"/>
            <w:noWrap/>
            <w:vAlign w:val="center"/>
            <w:hideMark/>
          </w:tcPr>
          <w:p w14:paraId="7ED0AE19"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-101 960 377</w:t>
            </w:r>
          </w:p>
        </w:tc>
        <w:tc>
          <w:tcPr>
            <w:tcW w:w="1412" w:type="dxa"/>
            <w:tcBorders>
              <w:top w:val="nil"/>
              <w:left w:val="nil"/>
              <w:bottom w:val="single" w:sz="8" w:space="0" w:color="auto"/>
              <w:right w:val="single" w:sz="8" w:space="0" w:color="auto"/>
            </w:tcBorders>
            <w:shd w:val="clear" w:color="auto" w:fill="auto"/>
            <w:noWrap/>
            <w:vAlign w:val="center"/>
            <w:hideMark/>
          </w:tcPr>
          <w:p w14:paraId="26B3F22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-96 617 552</w:t>
            </w:r>
          </w:p>
        </w:tc>
        <w:tc>
          <w:tcPr>
            <w:tcW w:w="1412" w:type="dxa"/>
            <w:tcBorders>
              <w:top w:val="nil"/>
              <w:left w:val="nil"/>
              <w:bottom w:val="single" w:sz="8" w:space="0" w:color="auto"/>
              <w:right w:val="single" w:sz="8" w:space="0" w:color="auto"/>
            </w:tcBorders>
            <w:shd w:val="clear" w:color="auto" w:fill="auto"/>
            <w:noWrap/>
            <w:vAlign w:val="center"/>
            <w:hideMark/>
          </w:tcPr>
          <w:p w14:paraId="605D08B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-101 327 665</w:t>
            </w:r>
          </w:p>
        </w:tc>
      </w:tr>
      <w:tr w:rsidR="00AD62CD" w:rsidRPr="00AD62CD" w14:paraId="0C01701F" w14:textId="77777777" w:rsidTr="003627DF">
        <w:trPr>
          <w:gridAfter w:val="1"/>
          <w:wAfter w:w="10" w:type="dxa"/>
          <w:trHeight w:val="31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2A3E4F67"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Zrušenie vylúčenia povinnosti platiť poistné vo vybraných obdobiach (§ 140 ods. 1)</w:t>
            </w:r>
          </w:p>
        </w:tc>
        <w:tc>
          <w:tcPr>
            <w:tcW w:w="1134" w:type="dxa"/>
            <w:tcBorders>
              <w:top w:val="nil"/>
              <w:left w:val="nil"/>
              <w:bottom w:val="single" w:sz="8" w:space="0" w:color="auto"/>
              <w:right w:val="single" w:sz="8" w:space="0" w:color="auto"/>
            </w:tcBorders>
            <w:shd w:val="clear" w:color="auto" w:fill="auto"/>
            <w:noWrap/>
            <w:vAlign w:val="center"/>
            <w:hideMark/>
          </w:tcPr>
          <w:p w14:paraId="3378E91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60" w:type="dxa"/>
            <w:tcBorders>
              <w:top w:val="nil"/>
              <w:left w:val="nil"/>
              <w:bottom w:val="single" w:sz="8" w:space="0" w:color="auto"/>
              <w:right w:val="single" w:sz="8" w:space="0" w:color="auto"/>
            </w:tcBorders>
            <w:shd w:val="clear" w:color="auto" w:fill="auto"/>
            <w:noWrap/>
            <w:vAlign w:val="center"/>
            <w:hideMark/>
          </w:tcPr>
          <w:p w14:paraId="409262C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-22 242 131</w:t>
            </w:r>
          </w:p>
        </w:tc>
        <w:tc>
          <w:tcPr>
            <w:tcW w:w="1412" w:type="dxa"/>
            <w:tcBorders>
              <w:top w:val="nil"/>
              <w:left w:val="nil"/>
              <w:bottom w:val="single" w:sz="8" w:space="0" w:color="auto"/>
              <w:right w:val="single" w:sz="8" w:space="0" w:color="auto"/>
            </w:tcBorders>
            <w:shd w:val="clear" w:color="auto" w:fill="auto"/>
            <w:noWrap/>
            <w:vAlign w:val="center"/>
            <w:hideMark/>
          </w:tcPr>
          <w:p w14:paraId="4AE372AF"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-24 806 863</w:t>
            </w:r>
          </w:p>
        </w:tc>
        <w:tc>
          <w:tcPr>
            <w:tcW w:w="1412" w:type="dxa"/>
            <w:tcBorders>
              <w:top w:val="nil"/>
              <w:left w:val="nil"/>
              <w:bottom w:val="single" w:sz="8" w:space="0" w:color="auto"/>
              <w:right w:val="single" w:sz="8" w:space="0" w:color="auto"/>
            </w:tcBorders>
            <w:shd w:val="clear" w:color="auto" w:fill="auto"/>
            <w:noWrap/>
            <w:vAlign w:val="center"/>
            <w:hideMark/>
          </w:tcPr>
          <w:p w14:paraId="12B384FC"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-25 836 369</w:t>
            </w:r>
          </w:p>
        </w:tc>
      </w:tr>
      <w:tr w:rsidR="00AD62CD" w:rsidRPr="00AD62CD" w14:paraId="128C6656" w14:textId="77777777" w:rsidTr="003627DF">
        <w:trPr>
          <w:gridAfter w:val="1"/>
          <w:wAfter w:w="10" w:type="dxa"/>
          <w:trHeight w:val="31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2E370E0F"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Pevné určenie sumy 13. dôchodku</w:t>
            </w:r>
          </w:p>
        </w:tc>
        <w:tc>
          <w:tcPr>
            <w:tcW w:w="1134" w:type="dxa"/>
            <w:tcBorders>
              <w:top w:val="nil"/>
              <w:left w:val="nil"/>
              <w:bottom w:val="single" w:sz="8" w:space="0" w:color="auto"/>
              <w:right w:val="single" w:sz="8" w:space="0" w:color="auto"/>
            </w:tcBorders>
            <w:shd w:val="clear" w:color="auto" w:fill="auto"/>
            <w:noWrap/>
            <w:vAlign w:val="center"/>
            <w:hideMark/>
          </w:tcPr>
          <w:p w14:paraId="1123232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60" w:type="dxa"/>
            <w:tcBorders>
              <w:top w:val="nil"/>
              <w:left w:val="nil"/>
              <w:bottom w:val="single" w:sz="8" w:space="0" w:color="auto"/>
              <w:right w:val="single" w:sz="8" w:space="0" w:color="auto"/>
            </w:tcBorders>
            <w:shd w:val="clear" w:color="auto" w:fill="auto"/>
            <w:noWrap/>
            <w:vAlign w:val="center"/>
            <w:hideMark/>
          </w:tcPr>
          <w:p w14:paraId="0C08508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-34 028 486</w:t>
            </w:r>
          </w:p>
        </w:tc>
        <w:tc>
          <w:tcPr>
            <w:tcW w:w="1412" w:type="dxa"/>
            <w:tcBorders>
              <w:top w:val="nil"/>
              <w:left w:val="nil"/>
              <w:bottom w:val="single" w:sz="8" w:space="0" w:color="auto"/>
              <w:right w:val="single" w:sz="8" w:space="0" w:color="auto"/>
            </w:tcBorders>
            <w:shd w:val="clear" w:color="auto" w:fill="auto"/>
            <w:noWrap/>
            <w:vAlign w:val="center"/>
            <w:hideMark/>
          </w:tcPr>
          <w:p w14:paraId="36054DB0"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-79 026 737</w:t>
            </w:r>
          </w:p>
        </w:tc>
        <w:tc>
          <w:tcPr>
            <w:tcW w:w="1412" w:type="dxa"/>
            <w:tcBorders>
              <w:top w:val="nil"/>
              <w:left w:val="nil"/>
              <w:bottom w:val="single" w:sz="8" w:space="0" w:color="auto"/>
              <w:right w:val="single" w:sz="8" w:space="0" w:color="auto"/>
            </w:tcBorders>
            <w:shd w:val="clear" w:color="auto" w:fill="auto"/>
            <w:noWrap/>
            <w:vAlign w:val="center"/>
            <w:hideMark/>
          </w:tcPr>
          <w:p w14:paraId="0482373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-126 981 256</w:t>
            </w:r>
          </w:p>
        </w:tc>
      </w:tr>
      <w:tr w:rsidR="00AD62CD" w:rsidRPr="00AD62CD" w14:paraId="75669B31" w14:textId="77777777" w:rsidTr="003627DF">
        <w:trPr>
          <w:gridAfter w:val="1"/>
          <w:wAfter w:w="10" w:type="dxa"/>
          <w:trHeight w:val="31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2F3EBDAC"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Predĺženie obdobia výplaty nemocenského zamestnávateľom z 10 na 14 dní</w:t>
            </w:r>
          </w:p>
        </w:tc>
        <w:tc>
          <w:tcPr>
            <w:tcW w:w="1134" w:type="dxa"/>
            <w:tcBorders>
              <w:top w:val="nil"/>
              <w:left w:val="nil"/>
              <w:bottom w:val="single" w:sz="8" w:space="0" w:color="auto"/>
              <w:right w:val="single" w:sz="8" w:space="0" w:color="auto"/>
            </w:tcBorders>
            <w:shd w:val="clear" w:color="auto" w:fill="auto"/>
            <w:noWrap/>
            <w:vAlign w:val="center"/>
            <w:hideMark/>
          </w:tcPr>
          <w:p w14:paraId="14FF2D7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60" w:type="dxa"/>
            <w:tcBorders>
              <w:top w:val="nil"/>
              <w:left w:val="nil"/>
              <w:bottom w:val="single" w:sz="8" w:space="0" w:color="auto"/>
              <w:right w:val="single" w:sz="8" w:space="0" w:color="auto"/>
            </w:tcBorders>
            <w:shd w:val="clear" w:color="auto" w:fill="auto"/>
            <w:noWrap/>
            <w:vAlign w:val="center"/>
            <w:hideMark/>
          </w:tcPr>
          <w:p w14:paraId="1C7F76F0"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-24 685 272</w:t>
            </w:r>
          </w:p>
        </w:tc>
        <w:tc>
          <w:tcPr>
            <w:tcW w:w="1412" w:type="dxa"/>
            <w:tcBorders>
              <w:top w:val="nil"/>
              <w:left w:val="nil"/>
              <w:bottom w:val="single" w:sz="8" w:space="0" w:color="auto"/>
              <w:right w:val="single" w:sz="8" w:space="0" w:color="auto"/>
            </w:tcBorders>
            <w:shd w:val="clear" w:color="auto" w:fill="auto"/>
            <w:noWrap/>
            <w:vAlign w:val="center"/>
            <w:hideMark/>
          </w:tcPr>
          <w:p w14:paraId="610286B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-28 573 981</w:t>
            </w:r>
          </w:p>
        </w:tc>
        <w:tc>
          <w:tcPr>
            <w:tcW w:w="1412" w:type="dxa"/>
            <w:tcBorders>
              <w:top w:val="nil"/>
              <w:left w:val="nil"/>
              <w:bottom w:val="single" w:sz="8" w:space="0" w:color="auto"/>
              <w:right w:val="single" w:sz="8" w:space="0" w:color="auto"/>
            </w:tcBorders>
            <w:shd w:val="clear" w:color="auto" w:fill="auto"/>
            <w:noWrap/>
            <w:vAlign w:val="center"/>
            <w:hideMark/>
          </w:tcPr>
          <w:p w14:paraId="38F6F6CB"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-29 953 298</w:t>
            </w:r>
          </w:p>
        </w:tc>
      </w:tr>
      <w:tr w:rsidR="00AD62CD" w:rsidRPr="00AD62CD" w14:paraId="442ACF89" w14:textId="77777777" w:rsidTr="003627DF">
        <w:trPr>
          <w:gridAfter w:val="1"/>
          <w:wAfter w:w="10" w:type="dxa"/>
          <w:trHeight w:val="315"/>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7C5C91A5"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Postupné zníženie dávky v nezamestnanosti od 4. mesiaca poberania</w:t>
            </w:r>
          </w:p>
        </w:tc>
        <w:tc>
          <w:tcPr>
            <w:tcW w:w="1134" w:type="dxa"/>
            <w:tcBorders>
              <w:top w:val="nil"/>
              <w:left w:val="nil"/>
              <w:bottom w:val="single" w:sz="8" w:space="0" w:color="auto"/>
              <w:right w:val="single" w:sz="8" w:space="0" w:color="auto"/>
            </w:tcBorders>
            <w:shd w:val="clear" w:color="auto" w:fill="auto"/>
            <w:noWrap/>
            <w:vAlign w:val="center"/>
            <w:hideMark/>
          </w:tcPr>
          <w:p w14:paraId="064C680C"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560" w:type="dxa"/>
            <w:tcBorders>
              <w:top w:val="nil"/>
              <w:left w:val="nil"/>
              <w:bottom w:val="single" w:sz="8" w:space="0" w:color="auto"/>
              <w:right w:val="single" w:sz="8" w:space="0" w:color="auto"/>
            </w:tcBorders>
            <w:shd w:val="clear" w:color="auto" w:fill="auto"/>
            <w:noWrap/>
            <w:vAlign w:val="center"/>
            <w:hideMark/>
          </w:tcPr>
          <w:p w14:paraId="3C4046A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-24 488 208</w:t>
            </w:r>
          </w:p>
        </w:tc>
        <w:tc>
          <w:tcPr>
            <w:tcW w:w="1412" w:type="dxa"/>
            <w:tcBorders>
              <w:top w:val="nil"/>
              <w:left w:val="nil"/>
              <w:bottom w:val="single" w:sz="8" w:space="0" w:color="auto"/>
              <w:right w:val="single" w:sz="8" w:space="0" w:color="auto"/>
            </w:tcBorders>
            <w:shd w:val="clear" w:color="auto" w:fill="auto"/>
            <w:noWrap/>
            <w:vAlign w:val="center"/>
            <w:hideMark/>
          </w:tcPr>
          <w:p w14:paraId="08E2B07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-34 175 513</w:t>
            </w:r>
          </w:p>
        </w:tc>
        <w:tc>
          <w:tcPr>
            <w:tcW w:w="1412" w:type="dxa"/>
            <w:tcBorders>
              <w:top w:val="nil"/>
              <w:left w:val="nil"/>
              <w:bottom w:val="single" w:sz="8" w:space="0" w:color="auto"/>
              <w:right w:val="single" w:sz="8" w:space="0" w:color="auto"/>
            </w:tcBorders>
            <w:shd w:val="clear" w:color="auto" w:fill="auto"/>
            <w:noWrap/>
            <w:vAlign w:val="center"/>
            <w:hideMark/>
          </w:tcPr>
          <w:p w14:paraId="7B9953A5"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-35 700 467</w:t>
            </w:r>
          </w:p>
        </w:tc>
      </w:tr>
      <w:tr w:rsidR="00AD62CD" w:rsidRPr="00AD62CD" w14:paraId="1166FA53" w14:textId="77777777" w:rsidTr="003627DF">
        <w:trPr>
          <w:gridAfter w:val="1"/>
          <w:wAfter w:w="10" w:type="dxa"/>
          <w:trHeight w:val="315"/>
        </w:trPr>
        <w:tc>
          <w:tcPr>
            <w:tcW w:w="3959" w:type="dxa"/>
            <w:tcBorders>
              <w:top w:val="nil"/>
              <w:left w:val="single" w:sz="8" w:space="0" w:color="auto"/>
              <w:bottom w:val="single" w:sz="8" w:space="0" w:color="auto"/>
              <w:right w:val="single" w:sz="8" w:space="0" w:color="auto"/>
            </w:tcBorders>
            <w:shd w:val="clear" w:color="000000" w:fill="C0C0C0"/>
            <w:noWrap/>
            <w:vAlign w:val="center"/>
            <w:hideMark/>
          </w:tcPr>
          <w:p w14:paraId="39689881"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Celkový vplyv na rozpočet verejnej správy</w:t>
            </w:r>
          </w:p>
        </w:tc>
        <w:tc>
          <w:tcPr>
            <w:tcW w:w="1134" w:type="dxa"/>
            <w:tcBorders>
              <w:top w:val="nil"/>
              <w:left w:val="nil"/>
              <w:bottom w:val="single" w:sz="8" w:space="0" w:color="auto"/>
              <w:right w:val="single" w:sz="8" w:space="0" w:color="auto"/>
            </w:tcBorders>
            <w:shd w:val="clear" w:color="000000" w:fill="C0C0C0"/>
            <w:vAlign w:val="center"/>
            <w:hideMark/>
          </w:tcPr>
          <w:p w14:paraId="7CAF6F9E"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560" w:type="dxa"/>
            <w:tcBorders>
              <w:top w:val="nil"/>
              <w:left w:val="nil"/>
              <w:bottom w:val="single" w:sz="8" w:space="0" w:color="auto"/>
              <w:right w:val="single" w:sz="8" w:space="0" w:color="auto"/>
            </w:tcBorders>
            <w:shd w:val="clear" w:color="000000" w:fill="C0C0C0"/>
            <w:vAlign w:val="center"/>
            <w:hideMark/>
          </w:tcPr>
          <w:p w14:paraId="7159E9A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-325 260 725</w:t>
            </w:r>
          </w:p>
        </w:tc>
        <w:tc>
          <w:tcPr>
            <w:tcW w:w="1412" w:type="dxa"/>
            <w:tcBorders>
              <w:top w:val="nil"/>
              <w:left w:val="nil"/>
              <w:bottom w:val="single" w:sz="8" w:space="0" w:color="auto"/>
              <w:right w:val="single" w:sz="8" w:space="0" w:color="auto"/>
            </w:tcBorders>
            <w:shd w:val="clear" w:color="000000" w:fill="C0C0C0"/>
            <w:vAlign w:val="center"/>
            <w:hideMark/>
          </w:tcPr>
          <w:p w14:paraId="21664D45"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-493 281 610</w:t>
            </w:r>
          </w:p>
        </w:tc>
        <w:tc>
          <w:tcPr>
            <w:tcW w:w="1412" w:type="dxa"/>
            <w:tcBorders>
              <w:top w:val="nil"/>
              <w:left w:val="nil"/>
              <w:bottom w:val="single" w:sz="8" w:space="0" w:color="auto"/>
              <w:right w:val="single" w:sz="8" w:space="0" w:color="auto"/>
            </w:tcBorders>
            <w:shd w:val="clear" w:color="000000" w:fill="C0C0C0"/>
            <w:vAlign w:val="center"/>
            <w:hideMark/>
          </w:tcPr>
          <w:p w14:paraId="6CAF053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-558 693 474</w:t>
            </w:r>
          </w:p>
        </w:tc>
      </w:tr>
    </w:tbl>
    <w:p w14:paraId="369E0D9B"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687CC9C6"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1655A24D"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6E4010A1"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bookmarkStart w:id="8" w:name="_Hlk207618147"/>
      <w:r w:rsidRPr="00AD62CD">
        <w:rPr>
          <w:rFonts w:ascii="Times New Roman" w:eastAsia="Calibri" w:hAnsi="Times New Roman" w:cs="Times New Roman"/>
          <w:b/>
          <w:bCs/>
          <w:kern w:val="0"/>
          <w:lang w:eastAsia="sk-SK"/>
          <w14:ligatures w14:val="none"/>
        </w:rPr>
        <w:t>Úprava vzniku a zániku povinného NP, DP a poistného do RFS pre SZČO</w:t>
      </w:r>
    </w:p>
    <w:p w14:paraId="2ACAD438"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423C3931"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kern w:val="0"/>
          <w:lang w:eastAsia="sk-SK"/>
          <w14:ligatures w14:val="none"/>
        </w:rPr>
        <w:t>Navrhuje sa, aby povinné nemocenské a dôchodkové poistenie SZČO už nebolo viazané na dosiahnutie príjmu nad zákonom stanovený limit v predchádzajúcom roku, ale vzniklo od prvého dňa šiesteho kalendárneho mesiaca po vzniku oprávnenia na podnikanie alebo po doručení čestného vyhlásenia SZČO bez oprávnenia. Poistenie bude trvať, kým trvá oprávnenie alebo deklarovaná činnosť, a zanikne až po ich ukončení. Výška poistného sa stanovuje na úrovni 26% z priemernej mzdy spred dvoch rokov. Zmena znamená, že novovzniknuté SZČO budú vstupovať do systému sociálneho poistenia skôr než doteraz, čím sa skráti obdobie bez platenia poistného. Prechodné ustanovenia umožnia postupný prechod na nový režim od 1. januára 2026, pričom pre SZČO, ktoré už podnikajú, sa zachová plynulé pokračovanie povinného poistenia od 1. júla 2026.</w:t>
      </w:r>
    </w:p>
    <w:p w14:paraId="1B6AE645"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6F1093E5"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Zvýšenie minimálneho vymeriavacieho základu SZČO</w:t>
      </w:r>
    </w:p>
    <w:p w14:paraId="6A06A62F"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1C224BCB"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Cs/>
          <w:kern w:val="0"/>
          <w:lang w:eastAsia="sk-SK"/>
          <w14:ligatures w14:val="none"/>
        </w:rPr>
        <w:t>Navrhuje sa zvýšenie minimálneho vymeriavacieho základu  pre platenie poistného na sociálne poistenie z 50 % na 60 % priemernej mesačnej mzdy v národnom hospodárstve spred dvoch rokov. Táto zmena sa priamo týka SZČO a dobrovoľne poistených osôb, ktoré platia poistné z minimálneho vymeriavacieho základu, resp. z vymeriavacieho základu nižšieho ako 60 % priemernej mesačnej mzdy spred dvoch rokov.</w:t>
      </w:r>
    </w:p>
    <w:p w14:paraId="6AC261BE"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3E2C9C4D"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 xml:space="preserve">Zrušenie vylúčenia povinnosti platiť poistné vo vybraných obdobiach (§ 140 ods. 1 a ods.  4 ) </w:t>
      </w:r>
    </w:p>
    <w:p w14:paraId="50750D7D"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3593543F"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Navrhuje sa legislatívna zmena týkajúca sa § 140 zákona č. 461/2003 Z. z. o sociálnom poistení v znení neskorších predpisov. Cieľom navrhovanej úpravy je modifikácia definície a uplatňovania vymeriavacieho základu zamestnanca a zamestnávateľa v špecifických prípadoch prostredníctvom dvoch kľúčových opatrení.</w:t>
      </w:r>
    </w:p>
    <w:p w14:paraId="7013B493"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Prvým opatrením je zahrnutie príjmu vyplateného počas obdobia vylúčenia povinnosti zamestnanca a zamestnávateľa platiť poistné na sociálne poistenie do vymeriavacieho základu. Navrhuje sa zrušiť existujúcu právnu úpravu, ktorá oslobodzuje príjem od platenia poistného, ak je tento príjem vyplatený zamestnancovi počas obdobia, v ktorom má zamestnanec a zamestnávateľ zo zákonných dôvodov vylúčenú povinnosť platiť poistné, napríklad počas dočasnej práceneschopnosti, ošetrovania člena rodiny alebo poberania materského. Podľa návrhu by takýto príjem, ktorý sa kauzálne viaže na výkon závislej činnosti, podliehal odvodovej povinnosti zamestnanca aj zamestnávateľa.</w:t>
      </w:r>
    </w:p>
    <w:p w14:paraId="3F035461"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Cs/>
          <w:kern w:val="0"/>
          <w:lang w:eastAsia="sk-SK"/>
          <w14:ligatures w14:val="none"/>
        </w:rPr>
        <w:t>Druhým opatrením je zrušenie alikvotného znižovania maximálneho vymeriavacieho základu. Súčasťou návrhu je zrušenie mechanizmu, pri ktorom sa maximálny vymeriavací základ pomerne znižuje, ak povinnosť zamestnanca a zamestnávateľa platiť poistné netrvá celý kalendárny mesiac z dôvodu existencie dní s vylúčenou povinnosťou. Po zmene sa na príjem vyplatený v danom mesiaci bude aplikovať plný mesačný maximálny vymeriavací základ bez ohľadu na počet kalendárnych dní, počas ktorých mal zamestnanec a zamestnávateľ vylúčenú povinnosť platiť poistné.</w:t>
      </w:r>
    </w:p>
    <w:p w14:paraId="7DC8D325"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1C591E57"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Zachovanie sumy 13. dôchodku na nominálnej úrovni roka 2025</w:t>
      </w:r>
    </w:p>
    <w:p w14:paraId="21EDB8AA"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37D2090E"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kern w:val="0"/>
          <w:lang w:eastAsia="sk-SK"/>
          <w14:ligatures w14:val="none"/>
        </w:rPr>
        <w:t>Navrhuje sa stanovenie súm dávok 13. dôchodku na nominálnej úrovni roku 2025 na najbližšie tri roky. To znamená, že výška 13. dôchodku sa v rokoch 2026 až 2028 nebude odvíjať v závislosti od priemerných dôchodkových dávok, ale bola pevne určená na úrovni 667,3 eur pre starobný a predčasný starobný dôchodok; 548,5 eur pre invalidný dôchodok s poklesom schopnosti vykonávať pracovnú činnosť nad 70%;</w:t>
      </w:r>
      <w:r w:rsidRPr="00AD62CD">
        <w:rPr>
          <w:rFonts w:ascii="Calibri" w:eastAsia="Calibri" w:hAnsi="Calibri" w:cs="Times New Roman"/>
          <w:kern w:val="0"/>
          <w:sz w:val="22"/>
          <w:szCs w:val="22"/>
          <w14:ligatures w14:val="none"/>
        </w:rPr>
        <w:t xml:space="preserve"> </w:t>
      </w:r>
      <w:r w:rsidRPr="00AD62CD">
        <w:rPr>
          <w:rFonts w:ascii="Times New Roman" w:eastAsia="Calibri" w:hAnsi="Times New Roman" w:cs="Times New Roman"/>
          <w:kern w:val="0"/>
          <w:lang w:eastAsia="sk-SK"/>
          <w14:ligatures w14:val="none"/>
        </w:rPr>
        <w:t>301,4 eur pre invalidný dôchodok s poklesom schopnosti vykonávať pracovnú činnosť menej ako 70%; 363,2 eur pre vdovský dôchodok; 300,1 eur pre vdovecký dôchodok a 300 eur pre sirotský dôchodok. Návrh predpokladá, že od roku 2029 budú sumy dávok 13. dôchodku opätovne stanovené na základe súčasného mechanizmu, to znamená ako priemerná hodnota dávky za predošlý rok.</w:t>
      </w:r>
    </w:p>
    <w:p w14:paraId="0FB239E0"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43630D68"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 xml:space="preserve">Predĺženie obdobia výplaty nemocenského zamestnávateľom z 10 na 14 kalendárnych dní </w:t>
      </w:r>
    </w:p>
    <w:p w14:paraId="4A06301D"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6A70A080"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Navrhuje sa predĺženie obdobia, počas ktorého zamestnávateľ vypláca náhradu príjmu v prípade PN svojho zamestnanca, a to zo súčasných 10 kalendárnych dní na 14 kalendárnych dní. Po uplynutí tejto lehoty, t. j. od 15. dňa trvania PN, preberá vyplácanie dávky (nemocenské) Sociálna poisťovňa.</w:t>
      </w:r>
    </w:p>
    <w:p w14:paraId="7DCA31C7"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50E492FB"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Postupné zníženie dávky v nezamestnanosti od 4. mesiaca poberania</w:t>
      </w:r>
    </w:p>
    <w:p w14:paraId="6BE79267"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2DE876D9"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Navrhuje sa postupný pokles dávky v nezamestnanosti v závislosti od dĺžky obdobia poberania. Opatrenie znižuje výšku dávky z nezamestnanosti zo súčasných 50% na 40 % vymeriavacieho základu pre štvrtý mesiac, 30 % pre piaty mesiac a 20 % pre šiesty mesiac poberania dávky v nezamestnanosti. Úroveň dávky pre prvé tri mesiace je ponechaná vo výške 50 % vymeriavacieho základu. Účinnosť opatrenia je od 1. januára 2026, pričom dávok priznaných pred dňom účinnosti opatrenia sa zmena nedotkne.</w:t>
      </w:r>
    </w:p>
    <w:bookmarkEnd w:id="8"/>
    <w:p w14:paraId="4A243F5E"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6B9FDF80" w14:textId="77777777" w:rsidR="00AD62CD" w:rsidRPr="00AD62CD" w:rsidRDefault="00AD62CD" w:rsidP="00AD62CD">
      <w:pPr>
        <w:spacing w:after="0" w:line="240" w:lineRule="auto"/>
        <w:ind w:left="780"/>
        <w:contextualSpacing/>
        <w:jc w:val="both"/>
        <w:rPr>
          <w:rFonts w:ascii="Times New Roman" w:eastAsia="Times New Roman" w:hAnsi="Times New Roman" w:cs="Times New Roman"/>
          <w:kern w:val="0"/>
          <w:lang w:eastAsia="sk-SK"/>
          <w14:ligatures w14:val="none"/>
        </w:rPr>
      </w:pPr>
    </w:p>
    <w:p w14:paraId="6F4E0FFB"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2.2.2. Charakteristika návrhu:</w:t>
      </w:r>
    </w:p>
    <w:p w14:paraId="20C81256"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3674345A"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kern w:val="0"/>
          <w:bdr w:val="single" w:sz="4" w:space="0" w:color="auto"/>
          <w:lang w:eastAsia="sk-SK"/>
          <w14:ligatures w14:val="none"/>
        </w:rPr>
        <w:t xml:space="preserve">     </w:t>
      </w:r>
      <w:r w:rsidRPr="00AD62CD">
        <w:rPr>
          <w:rFonts w:ascii="Times New Roman" w:eastAsia="Calibri" w:hAnsi="Times New Roman" w:cs="Times New Roman"/>
          <w:b/>
          <w:kern w:val="0"/>
          <w:lang w:eastAsia="sk-SK"/>
          <w14:ligatures w14:val="none"/>
        </w:rPr>
        <w:t xml:space="preserve">  </w:t>
      </w:r>
      <w:r w:rsidRPr="00AD62CD">
        <w:rPr>
          <w:rFonts w:ascii="Times New Roman" w:eastAsia="Calibri" w:hAnsi="Times New Roman" w:cs="Times New Roman"/>
          <w:kern w:val="0"/>
          <w:lang w:eastAsia="sk-SK"/>
          <w14:ligatures w14:val="none"/>
        </w:rPr>
        <w:t>zmena sadzby</w:t>
      </w:r>
    </w:p>
    <w:p w14:paraId="230922A2"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zmena v nároku</w:t>
      </w:r>
    </w:p>
    <w:p w14:paraId="308274B3"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nová služba alebo nariadenie (alebo ich zrušenie)</w:t>
      </w:r>
    </w:p>
    <w:p w14:paraId="17C3B452"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X </w:t>
      </w:r>
      <w:r w:rsidRPr="00AD62CD">
        <w:rPr>
          <w:rFonts w:ascii="Times New Roman" w:eastAsia="Calibri" w:hAnsi="Times New Roman" w:cs="Times New Roman"/>
          <w:kern w:val="0"/>
          <w:lang w:eastAsia="sk-SK"/>
          <w14:ligatures w14:val="none"/>
        </w:rPr>
        <w:t xml:space="preserve">  kombinovaný návrh</w:t>
      </w:r>
    </w:p>
    <w:p w14:paraId="49E97798"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iné </w:t>
      </w:r>
    </w:p>
    <w:p w14:paraId="1C9DD8D7"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6E9462AE"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4D9A9E5A"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2.2.3. Predpoklady vývoja objemu aktivít:</w:t>
      </w:r>
    </w:p>
    <w:p w14:paraId="3FB9C753"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552092D1"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Plnenie návrhu zákona je podmienené úpravou informačných systémov Sociálnej poisťovne v celkovej výške 3 650 000 eur bez DPH a to v nasledovnom členení:</w:t>
      </w:r>
    </w:p>
    <w:p w14:paraId="5DAD49B2" w14:textId="77777777" w:rsidR="00AD62CD" w:rsidRPr="00AD62CD" w:rsidRDefault="00AD62CD" w:rsidP="00AD62CD">
      <w:pPr>
        <w:numPr>
          <w:ilvl w:val="0"/>
          <w:numId w:val="43"/>
        </w:numPr>
        <w:spacing w:after="0" w:line="240" w:lineRule="auto"/>
        <w:ind w:left="851" w:hanging="283"/>
        <w:contextualSpacing/>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Informačný systém nemocenského poistenia a lekárskej posudkovej činnosti – v sume 865 000 eur bez DPH na rok 2026.</w:t>
      </w:r>
    </w:p>
    <w:p w14:paraId="5BF10F79" w14:textId="77777777" w:rsidR="00AD62CD" w:rsidRPr="00AD62CD" w:rsidRDefault="00AD62CD" w:rsidP="00AD62CD">
      <w:pPr>
        <w:numPr>
          <w:ilvl w:val="0"/>
          <w:numId w:val="43"/>
        </w:numPr>
        <w:spacing w:after="0" w:line="240" w:lineRule="auto"/>
        <w:ind w:left="851" w:hanging="283"/>
        <w:contextualSpacing/>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Informačný systém Jednotného výberu poistného – v sume 2 560 000 eur bez DPH na rok 2026.</w:t>
      </w:r>
    </w:p>
    <w:p w14:paraId="49EB7EAE" w14:textId="77777777" w:rsidR="00AD62CD" w:rsidRPr="00AD62CD" w:rsidRDefault="00AD62CD" w:rsidP="00AD62CD">
      <w:pPr>
        <w:numPr>
          <w:ilvl w:val="0"/>
          <w:numId w:val="43"/>
        </w:numPr>
        <w:spacing w:after="0" w:line="240" w:lineRule="auto"/>
        <w:ind w:left="851" w:hanging="283"/>
        <w:contextualSpacing/>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Informačný systém poistenia v nezamestnanosti a garančného poistenia – v sume 160 000 eur bez DPH na rok 2026</w:t>
      </w:r>
    </w:p>
    <w:p w14:paraId="6A67BE5D" w14:textId="77777777" w:rsidR="00AD62CD" w:rsidRPr="00AD62CD" w:rsidRDefault="00AD62CD" w:rsidP="00AD62CD">
      <w:pPr>
        <w:numPr>
          <w:ilvl w:val="0"/>
          <w:numId w:val="43"/>
        </w:numPr>
        <w:spacing w:after="0" w:line="240" w:lineRule="auto"/>
        <w:ind w:left="851" w:hanging="283"/>
        <w:contextualSpacing/>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Informačný systém úrazového poistenia – v sume 15 000 eur bez DPH na rok 2026</w:t>
      </w:r>
    </w:p>
    <w:p w14:paraId="28FED7DE" w14:textId="77777777" w:rsidR="00AD62CD" w:rsidRPr="00AD62CD" w:rsidRDefault="00AD62CD" w:rsidP="00AD62CD">
      <w:pPr>
        <w:numPr>
          <w:ilvl w:val="0"/>
          <w:numId w:val="43"/>
        </w:numPr>
        <w:spacing w:after="0" w:line="240" w:lineRule="auto"/>
        <w:ind w:left="851" w:hanging="283"/>
        <w:contextualSpacing/>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Systém elektronických služieb – v sume 50 000 eur bez DPH na rok 2026.</w:t>
      </w:r>
    </w:p>
    <w:p w14:paraId="53AC3092" w14:textId="77777777" w:rsidR="00AD62CD" w:rsidRPr="00AD62CD" w:rsidRDefault="00AD62CD" w:rsidP="00AD62CD">
      <w:pPr>
        <w:spacing w:after="0" w:line="240" w:lineRule="auto"/>
        <w:ind w:left="851"/>
        <w:contextualSpacing/>
        <w:rPr>
          <w:rFonts w:ascii="Times New Roman" w:eastAsia="Calibri" w:hAnsi="Times New Roman" w:cs="Times New Roman"/>
          <w:kern w:val="0"/>
          <w:lang w:eastAsia="sk-SK"/>
          <w14:ligatures w14:val="none"/>
        </w:rPr>
      </w:pPr>
    </w:p>
    <w:p w14:paraId="0FD0317A"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Predpokladaný objem kapitálových a prevádzkových výdavkov je uvedený v tabuľke nižšie:</w:t>
      </w:r>
    </w:p>
    <w:p w14:paraId="4106C008"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3B01BAEA" w14:textId="77777777" w:rsidR="00AD62CD" w:rsidRPr="00AD62CD" w:rsidRDefault="00AD62CD" w:rsidP="00AD62CD">
      <w:pPr>
        <w:spacing w:after="0" w:line="240" w:lineRule="auto"/>
        <w:jc w:val="right"/>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D62CD" w:rsidRPr="00AD62CD" w14:paraId="09A5E313" w14:textId="77777777" w:rsidTr="00AD62CD">
        <w:trPr>
          <w:cantSplit/>
          <w:trHeight w:val="70"/>
        </w:trPr>
        <w:tc>
          <w:tcPr>
            <w:tcW w:w="4530" w:type="dxa"/>
            <w:vMerge w:val="restart"/>
            <w:shd w:val="clear" w:color="auto" w:fill="BFBFBF"/>
            <w:vAlign w:val="center"/>
          </w:tcPr>
          <w:p w14:paraId="4C6C6BD6" w14:textId="77777777" w:rsidR="00AD62CD" w:rsidRPr="00AD62CD" w:rsidRDefault="00AD62CD" w:rsidP="00AD62CD">
            <w:pPr>
              <w:spacing w:after="0" w:line="240" w:lineRule="auto"/>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Objem aktivít</w:t>
            </w:r>
          </w:p>
        </w:tc>
        <w:tc>
          <w:tcPr>
            <w:tcW w:w="4536" w:type="dxa"/>
            <w:gridSpan w:val="4"/>
            <w:shd w:val="clear" w:color="auto" w:fill="BFBFBF"/>
            <w:vAlign w:val="center"/>
          </w:tcPr>
          <w:p w14:paraId="7671DFDC" w14:textId="77777777" w:rsidR="00AD62CD" w:rsidRPr="00AD62CD" w:rsidRDefault="00AD62CD" w:rsidP="00AD62CD">
            <w:pPr>
              <w:spacing w:after="0" w:line="240" w:lineRule="auto"/>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Odhadované objemy (v eur)</w:t>
            </w:r>
          </w:p>
        </w:tc>
      </w:tr>
      <w:tr w:rsidR="00AD62CD" w:rsidRPr="00AD62CD" w14:paraId="2C7A22AE" w14:textId="77777777" w:rsidTr="00AD62CD">
        <w:trPr>
          <w:cantSplit/>
          <w:trHeight w:val="70"/>
        </w:trPr>
        <w:tc>
          <w:tcPr>
            <w:tcW w:w="4530" w:type="dxa"/>
            <w:vMerge/>
            <w:shd w:val="clear" w:color="auto" w:fill="BFBFBF"/>
          </w:tcPr>
          <w:p w14:paraId="3C0515F6" w14:textId="77777777" w:rsidR="00AD62CD" w:rsidRPr="00AD62CD" w:rsidRDefault="00AD62CD" w:rsidP="00AD62CD">
            <w:pPr>
              <w:spacing w:after="0" w:line="240" w:lineRule="auto"/>
              <w:rPr>
                <w:rFonts w:ascii="Times New Roman" w:eastAsia="Calibri" w:hAnsi="Times New Roman" w:cs="Times New Roman"/>
                <w:b/>
                <w:bCs/>
                <w:kern w:val="0"/>
                <w:sz w:val="20"/>
                <w:szCs w:val="20"/>
                <w:lang w:eastAsia="sk-SK"/>
                <w14:ligatures w14:val="none"/>
              </w:rPr>
            </w:pPr>
          </w:p>
        </w:tc>
        <w:tc>
          <w:tcPr>
            <w:tcW w:w="1134" w:type="dxa"/>
            <w:shd w:val="clear" w:color="auto" w:fill="BFBFBF"/>
            <w:vAlign w:val="center"/>
          </w:tcPr>
          <w:p w14:paraId="2A2851D7"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2025</w:t>
            </w:r>
          </w:p>
        </w:tc>
        <w:tc>
          <w:tcPr>
            <w:tcW w:w="1134" w:type="dxa"/>
            <w:shd w:val="clear" w:color="auto" w:fill="BFBFBF"/>
            <w:vAlign w:val="center"/>
          </w:tcPr>
          <w:p w14:paraId="67D865EB"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2026</w:t>
            </w:r>
          </w:p>
        </w:tc>
        <w:tc>
          <w:tcPr>
            <w:tcW w:w="1134" w:type="dxa"/>
            <w:shd w:val="clear" w:color="auto" w:fill="BFBFBF"/>
            <w:vAlign w:val="center"/>
          </w:tcPr>
          <w:p w14:paraId="73CAC6C7"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2027</w:t>
            </w:r>
          </w:p>
        </w:tc>
        <w:tc>
          <w:tcPr>
            <w:tcW w:w="1134" w:type="dxa"/>
            <w:shd w:val="clear" w:color="auto" w:fill="BFBFBF"/>
            <w:vAlign w:val="center"/>
          </w:tcPr>
          <w:p w14:paraId="4538BB66"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2028</w:t>
            </w:r>
          </w:p>
        </w:tc>
      </w:tr>
      <w:tr w:rsidR="00AD62CD" w:rsidRPr="00AD62CD" w14:paraId="2C6CDA15" w14:textId="77777777" w:rsidTr="003627DF">
        <w:trPr>
          <w:trHeight w:val="70"/>
        </w:trPr>
        <w:tc>
          <w:tcPr>
            <w:tcW w:w="4530" w:type="dxa"/>
          </w:tcPr>
          <w:p w14:paraId="649132E4" w14:textId="77777777" w:rsidR="00AD62CD" w:rsidRPr="00AD62CD" w:rsidRDefault="00AD62CD" w:rsidP="00AD62CD">
            <w:pPr>
              <w:spacing w:after="0" w:line="240" w:lineRule="auto"/>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Sociálna poisťovňa</w:t>
            </w:r>
          </w:p>
        </w:tc>
        <w:tc>
          <w:tcPr>
            <w:tcW w:w="1134" w:type="dxa"/>
          </w:tcPr>
          <w:p w14:paraId="315A522F" w14:textId="77777777" w:rsidR="00AD62CD" w:rsidRPr="00AD62CD" w:rsidRDefault="00AD62CD" w:rsidP="00AD62CD">
            <w:pPr>
              <w:spacing w:after="0" w:line="240" w:lineRule="auto"/>
              <w:jc w:val="right"/>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0</w:t>
            </w:r>
          </w:p>
        </w:tc>
        <w:tc>
          <w:tcPr>
            <w:tcW w:w="1134" w:type="dxa"/>
          </w:tcPr>
          <w:p w14:paraId="710FAA7D" w14:textId="77777777" w:rsidR="00AD62CD" w:rsidRPr="00AD62CD" w:rsidRDefault="00AD62CD" w:rsidP="00AD62CD">
            <w:pPr>
              <w:spacing w:after="0" w:line="240" w:lineRule="auto"/>
              <w:jc w:val="right"/>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3 650 000</w:t>
            </w:r>
          </w:p>
        </w:tc>
        <w:tc>
          <w:tcPr>
            <w:tcW w:w="1134" w:type="dxa"/>
          </w:tcPr>
          <w:p w14:paraId="010C8050" w14:textId="77777777" w:rsidR="00AD62CD" w:rsidRPr="00AD62CD" w:rsidRDefault="00AD62CD" w:rsidP="00AD62CD">
            <w:pPr>
              <w:spacing w:after="0" w:line="240" w:lineRule="auto"/>
              <w:jc w:val="right"/>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0</w:t>
            </w:r>
          </w:p>
        </w:tc>
        <w:tc>
          <w:tcPr>
            <w:tcW w:w="1134" w:type="dxa"/>
          </w:tcPr>
          <w:p w14:paraId="57A33D20" w14:textId="77777777" w:rsidR="00AD62CD" w:rsidRPr="00AD62CD" w:rsidRDefault="00AD62CD" w:rsidP="00AD62CD">
            <w:pPr>
              <w:spacing w:after="0" w:line="240" w:lineRule="auto"/>
              <w:jc w:val="right"/>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0</w:t>
            </w:r>
          </w:p>
        </w:tc>
      </w:tr>
      <w:tr w:rsidR="00AD62CD" w:rsidRPr="00AD62CD" w14:paraId="4CB5367E" w14:textId="77777777" w:rsidTr="003627DF">
        <w:trPr>
          <w:trHeight w:val="70"/>
        </w:trPr>
        <w:tc>
          <w:tcPr>
            <w:tcW w:w="4530" w:type="dxa"/>
          </w:tcPr>
          <w:p w14:paraId="66F71452"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z toho:</w:t>
            </w:r>
          </w:p>
        </w:tc>
        <w:tc>
          <w:tcPr>
            <w:tcW w:w="1134" w:type="dxa"/>
          </w:tcPr>
          <w:p w14:paraId="2FD36C93"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p>
        </w:tc>
        <w:tc>
          <w:tcPr>
            <w:tcW w:w="1134" w:type="dxa"/>
          </w:tcPr>
          <w:p w14:paraId="5CF914A0"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p>
        </w:tc>
        <w:tc>
          <w:tcPr>
            <w:tcW w:w="1134" w:type="dxa"/>
          </w:tcPr>
          <w:p w14:paraId="5A991411"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p>
        </w:tc>
        <w:tc>
          <w:tcPr>
            <w:tcW w:w="1134" w:type="dxa"/>
          </w:tcPr>
          <w:p w14:paraId="3DA3B721"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p>
        </w:tc>
      </w:tr>
      <w:tr w:rsidR="00AD62CD" w:rsidRPr="00AD62CD" w14:paraId="3C1B44EE" w14:textId="77777777" w:rsidTr="003627DF">
        <w:trPr>
          <w:trHeight w:val="70"/>
        </w:trPr>
        <w:tc>
          <w:tcPr>
            <w:tcW w:w="4530" w:type="dxa"/>
          </w:tcPr>
          <w:p w14:paraId="5EF860E1" w14:textId="77777777" w:rsidR="00AD62CD" w:rsidRPr="00AD62CD" w:rsidRDefault="00AD62CD" w:rsidP="00AD62CD">
            <w:pPr>
              <w:spacing w:after="0" w:line="240" w:lineRule="auto"/>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 xml:space="preserve"> Prevádzkové náklady</w:t>
            </w:r>
          </w:p>
        </w:tc>
        <w:tc>
          <w:tcPr>
            <w:tcW w:w="1134" w:type="dxa"/>
          </w:tcPr>
          <w:p w14:paraId="79A98129" w14:textId="77777777" w:rsidR="00AD62CD" w:rsidRPr="00AD62CD" w:rsidRDefault="00AD62CD" w:rsidP="00AD62CD">
            <w:pPr>
              <w:spacing w:after="0" w:line="240" w:lineRule="auto"/>
              <w:jc w:val="right"/>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0</w:t>
            </w:r>
          </w:p>
        </w:tc>
        <w:tc>
          <w:tcPr>
            <w:tcW w:w="1134" w:type="dxa"/>
          </w:tcPr>
          <w:p w14:paraId="76CCF189" w14:textId="77777777" w:rsidR="00AD62CD" w:rsidRPr="00AD62CD" w:rsidRDefault="00AD62CD" w:rsidP="00AD62CD">
            <w:pPr>
              <w:spacing w:after="0" w:line="240" w:lineRule="auto"/>
              <w:jc w:val="right"/>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 xml:space="preserve">3 650 000 </w:t>
            </w:r>
          </w:p>
        </w:tc>
        <w:tc>
          <w:tcPr>
            <w:tcW w:w="1134" w:type="dxa"/>
          </w:tcPr>
          <w:p w14:paraId="2F5B077C" w14:textId="77777777" w:rsidR="00AD62CD" w:rsidRPr="00AD62CD" w:rsidRDefault="00AD62CD" w:rsidP="00AD62CD">
            <w:pPr>
              <w:spacing w:after="0" w:line="240" w:lineRule="auto"/>
              <w:jc w:val="right"/>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0</w:t>
            </w:r>
          </w:p>
        </w:tc>
        <w:tc>
          <w:tcPr>
            <w:tcW w:w="1134" w:type="dxa"/>
          </w:tcPr>
          <w:p w14:paraId="523AFD7B" w14:textId="77777777" w:rsidR="00AD62CD" w:rsidRPr="00AD62CD" w:rsidRDefault="00AD62CD" w:rsidP="00AD62CD">
            <w:pPr>
              <w:spacing w:after="0" w:line="240" w:lineRule="auto"/>
              <w:jc w:val="right"/>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0</w:t>
            </w:r>
          </w:p>
        </w:tc>
      </w:tr>
      <w:tr w:rsidR="00AD62CD" w:rsidRPr="00AD62CD" w14:paraId="2B542656" w14:textId="77777777" w:rsidTr="003627DF">
        <w:trPr>
          <w:trHeight w:val="70"/>
        </w:trPr>
        <w:tc>
          <w:tcPr>
            <w:tcW w:w="4530" w:type="dxa"/>
          </w:tcPr>
          <w:p w14:paraId="7D3031DA"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Úprava vzniku a zániku povinného NP, DP a poistného do RFS pre SZČO</w:t>
            </w:r>
          </w:p>
        </w:tc>
        <w:tc>
          <w:tcPr>
            <w:tcW w:w="1134" w:type="dxa"/>
          </w:tcPr>
          <w:p w14:paraId="3CF57EC4"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0</w:t>
            </w:r>
          </w:p>
        </w:tc>
        <w:tc>
          <w:tcPr>
            <w:tcW w:w="1134" w:type="dxa"/>
          </w:tcPr>
          <w:p w14:paraId="310D07BC"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1 500 000</w:t>
            </w:r>
          </w:p>
        </w:tc>
        <w:tc>
          <w:tcPr>
            <w:tcW w:w="1134" w:type="dxa"/>
          </w:tcPr>
          <w:p w14:paraId="5BEE8BAA"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0</w:t>
            </w:r>
          </w:p>
        </w:tc>
        <w:tc>
          <w:tcPr>
            <w:tcW w:w="1134" w:type="dxa"/>
          </w:tcPr>
          <w:p w14:paraId="6970E6D3"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0</w:t>
            </w:r>
          </w:p>
        </w:tc>
      </w:tr>
      <w:tr w:rsidR="00AD62CD" w:rsidRPr="00AD62CD" w14:paraId="49370C32" w14:textId="77777777" w:rsidTr="003627DF">
        <w:trPr>
          <w:trHeight w:val="70"/>
        </w:trPr>
        <w:tc>
          <w:tcPr>
            <w:tcW w:w="4530" w:type="dxa"/>
          </w:tcPr>
          <w:p w14:paraId="564F8A7B"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Zvýšenie minimálneho vymeriavacieho základu SZČO</w:t>
            </w:r>
          </w:p>
        </w:tc>
        <w:tc>
          <w:tcPr>
            <w:tcW w:w="1134" w:type="dxa"/>
          </w:tcPr>
          <w:p w14:paraId="44807756"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0</w:t>
            </w:r>
          </w:p>
        </w:tc>
        <w:tc>
          <w:tcPr>
            <w:tcW w:w="1134" w:type="dxa"/>
          </w:tcPr>
          <w:p w14:paraId="0F6EF23D"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60 000</w:t>
            </w:r>
          </w:p>
        </w:tc>
        <w:tc>
          <w:tcPr>
            <w:tcW w:w="1134" w:type="dxa"/>
          </w:tcPr>
          <w:p w14:paraId="2E4FD964"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0</w:t>
            </w:r>
          </w:p>
        </w:tc>
        <w:tc>
          <w:tcPr>
            <w:tcW w:w="1134" w:type="dxa"/>
          </w:tcPr>
          <w:p w14:paraId="485392E4"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0</w:t>
            </w:r>
          </w:p>
        </w:tc>
      </w:tr>
      <w:tr w:rsidR="00AD62CD" w:rsidRPr="00AD62CD" w14:paraId="134E6198" w14:textId="77777777" w:rsidTr="003627DF">
        <w:trPr>
          <w:trHeight w:val="70"/>
        </w:trPr>
        <w:tc>
          <w:tcPr>
            <w:tcW w:w="4530" w:type="dxa"/>
          </w:tcPr>
          <w:p w14:paraId="5FDBAC0F"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Zrušenie vylúčenia povinnosti zamestnanca a zamestnávateľa platiť poistné v situáciách vymedzených zákonom  (§ 140 ods. 1 a ods. 4)</w:t>
            </w:r>
          </w:p>
        </w:tc>
        <w:tc>
          <w:tcPr>
            <w:tcW w:w="1134" w:type="dxa"/>
          </w:tcPr>
          <w:p w14:paraId="0964A9BF"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0</w:t>
            </w:r>
          </w:p>
        </w:tc>
        <w:tc>
          <w:tcPr>
            <w:tcW w:w="1134" w:type="dxa"/>
          </w:tcPr>
          <w:p w14:paraId="75D0C63F"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1 800 000</w:t>
            </w:r>
          </w:p>
        </w:tc>
        <w:tc>
          <w:tcPr>
            <w:tcW w:w="1134" w:type="dxa"/>
          </w:tcPr>
          <w:p w14:paraId="65525220"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0</w:t>
            </w:r>
          </w:p>
        </w:tc>
        <w:tc>
          <w:tcPr>
            <w:tcW w:w="1134" w:type="dxa"/>
          </w:tcPr>
          <w:p w14:paraId="22257D8D"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0</w:t>
            </w:r>
          </w:p>
        </w:tc>
      </w:tr>
      <w:tr w:rsidR="00AD62CD" w:rsidRPr="00AD62CD" w14:paraId="1E6B08B7" w14:textId="77777777" w:rsidTr="003627DF">
        <w:trPr>
          <w:trHeight w:val="70"/>
        </w:trPr>
        <w:tc>
          <w:tcPr>
            <w:tcW w:w="4530" w:type="dxa"/>
            <w:vAlign w:val="center"/>
          </w:tcPr>
          <w:p w14:paraId="4102AFC1"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Predĺženie obdobia výplaty náhrady príjmu pri dočasnej PN zamestnávateľom z 10 na 14 kalendárnych dní</w:t>
            </w:r>
          </w:p>
        </w:tc>
        <w:tc>
          <w:tcPr>
            <w:tcW w:w="1134" w:type="dxa"/>
          </w:tcPr>
          <w:p w14:paraId="1F1D470C"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0</w:t>
            </w:r>
          </w:p>
        </w:tc>
        <w:tc>
          <w:tcPr>
            <w:tcW w:w="1134" w:type="dxa"/>
          </w:tcPr>
          <w:p w14:paraId="413B5939"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290 000</w:t>
            </w:r>
          </w:p>
        </w:tc>
        <w:tc>
          <w:tcPr>
            <w:tcW w:w="1134" w:type="dxa"/>
          </w:tcPr>
          <w:p w14:paraId="1CDAAC96"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0</w:t>
            </w:r>
          </w:p>
        </w:tc>
        <w:tc>
          <w:tcPr>
            <w:tcW w:w="1134" w:type="dxa"/>
          </w:tcPr>
          <w:p w14:paraId="0C1BB7E8" w14:textId="77777777" w:rsidR="00AD62CD" w:rsidRPr="00AD62CD" w:rsidRDefault="00AD62CD" w:rsidP="00AD62CD">
            <w:pPr>
              <w:spacing w:after="0" w:line="240" w:lineRule="auto"/>
              <w:jc w:val="right"/>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0</w:t>
            </w:r>
          </w:p>
        </w:tc>
      </w:tr>
      <w:tr w:rsidR="00AD62CD" w:rsidRPr="00AD62CD" w14:paraId="1F0C4A86" w14:textId="77777777" w:rsidTr="003627DF">
        <w:trPr>
          <w:trHeight w:val="70"/>
        </w:trPr>
        <w:tc>
          <w:tcPr>
            <w:tcW w:w="4530" w:type="dxa"/>
            <w:vAlign w:val="center"/>
          </w:tcPr>
          <w:p w14:paraId="0B3A0842" w14:textId="77777777" w:rsidR="00AD62CD" w:rsidRPr="00AD62CD" w:rsidRDefault="00AD62CD" w:rsidP="00AD62CD">
            <w:pPr>
              <w:spacing w:after="0" w:line="240" w:lineRule="auto"/>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 xml:space="preserve">Kapitálové výdavky </w:t>
            </w:r>
          </w:p>
        </w:tc>
        <w:tc>
          <w:tcPr>
            <w:tcW w:w="1134" w:type="dxa"/>
          </w:tcPr>
          <w:p w14:paraId="4C5B9328" w14:textId="77777777" w:rsidR="00AD62CD" w:rsidRPr="00AD62CD" w:rsidRDefault="00AD62CD" w:rsidP="00AD62CD">
            <w:pPr>
              <w:spacing w:after="0" w:line="240" w:lineRule="auto"/>
              <w:jc w:val="right"/>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0</w:t>
            </w:r>
          </w:p>
        </w:tc>
        <w:tc>
          <w:tcPr>
            <w:tcW w:w="1134" w:type="dxa"/>
          </w:tcPr>
          <w:p w14:paraId="702954CC" w14:textId="77777777" w:rsidR="00AD62CD" w:rsidRPr="00AD62CD" w:rsidRDefault="00AD62CD" w:rsidP="00AD62CD">
            <w:pPr>
              <w:spacing w:after="0" w:line="240" w:lineRule="auto"/>
              <w:jc w:val="right"/>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0</w:t>
            </w:r>
          </w:p>
        </w:tc>
        <w:tc>
          <w:tcPr>
            <w:tcW w:w="1134" w:type="dxa"/>
          </w:tcPr>
          <w:p w14:paraId="7CA70C31" w14:textId="77777777" w:rsidR="00AD62CD" w:rsidRPr="00AD62CD" w:rsidRDefault="00AD62CD" w:rsidP="00AD62CD">
            <w:pPr>
              <w:spacing w:after="0" w:line="240" w:lineRule="auto"/>
              <w:jc w:val="right"/>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0</w:t>
            </w:r>
          </w:p>
        </w:tc>
        <w:tc>
          <w:tcPr>
            <w:tcW w:w="1134" w:type="dxa"/>
          </w:tcPr>
          <w:p w14:paraId="2F8BBE32" w14:textId="77777777" w:rsidR="00AD62CD" w:rsidRPr="00AD62CD" w:rsidRDefault="00AD62CD" w:rsidP="00AD62CD">
            <w:pPr>
              <w:spacing w:after="0" w:line="240" w:lineRule="auto"/>
              <w:jc w:val="right"/>
              <w:rPr>
                <w:rFonts w:ascii="Times New Roman" w:eastAsia="Calibri" w:hAnsi="Times New Roman" w:cs="Times New Roman"/>
                <w:b/>
                <w:kern w:val="0"/>
                <w:sz w:val="20"/>
                <w:szCs w:val="20"/>
                <w:lang w:eastAsia="sk-SK"/>
                <w14:ligatures w14:val="none"/>
              </w:rPr>
            </w:pPr>
            <w:r w:rsidRPr="00AD62CD">
              <w:rPr>
                <w:rFonts w:ascii="Times New Roman" w:eastAsia="Calibri" w:hAnsi="Times New Roman" w:cs="Times New Roman"/>
                <w:b/>
                <w:kern w:val="0"/>
                <w:sz w:val="20"/>
                <w:szCs w:val="20"/>
                <w:lang w:eastAsia="sk-SK"/>
                <w14:ligatures w14:val="none"/>
              </w:rPr>
              <w:t>0</w:t>
            </w:r>
          </w:p>
        </w:tc>
      </w:tr>
    </w:tbl>
    <w:p w14:paraId="3593BFA9" w14:textId="77777777" w:rsidR="00AD62CD" w:rsidRPr="00AD62CD" w:rsidRDefault="00AD62CD" w:rsidP="00AD62CD">
      <w:pPr>
        <w:spacing w:after="0" w:line="240" w:lineRule="auto"/>
        <w:rPr>
          <w:rFonts w:ascii="Times New Roman" w:eastAsia="Calibri" w:hAnsi="Times New Roman" w:cs="Times New Roman"/>
          <w:i/>
          <w:kern w:val="0"/>
          <w:sz w:val="20"/>
          <w:szCs w:val="20"/>
          <w:lang w:eastAsia="sk-SK"/>
          <w14:ligatures w14:val="none"/>
        </w:rPr>
      </w:pPr>
      <w:r w:rsidRPr="00AD62CD">
        <w:rPr>
          <w:rFonts w:ascii="Times New Roman" w:eastAsia="Calibri" w:hAnsi="Times New Roman" w:cs="Times New Roman"/>
          <w:i/>
          <w:kern w:val="0"/>
          <w:sz w:val="20"/>
          <w:szCs w:val="20"/>
          <w:lang w:eastAsia="sk-SK"/>
          <w14:ligatures w14:val="none"/>
        </w:rPr>
        <w:t>Zdroj: Sociálna poisťovňa</w:t>
      </w:r>
    </w:p>
    <w:p w14:paraId="002C8D17"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482D64E6"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1084B894"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2.2.4. Výpočty vplyvov na verejné financie</w:t>
      </w:r>
    </w:p>
    <w:p w14:paraId="4EA9D2A4"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6402C55A"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Navrhovaný balík konsolidačných opatrení zakladá pozitívny vplyv na rozpočet verejnej správy. Vplyv sa prejavuje kombináciou zvýšenia príjmov a zníženia výdavkov. V roku 2026 sa očakáva zvýšenie príjmov verejnej správy o približne 254,3 mil. eur a súčasne zníženie výdavkov o 71,0 mil. eur, čo predstavuje celkovú úsporu 325,3 mil. eur. V roku 2027 sa úspora zvyšuje na 493,3 mil. eur a v roku 2028 na 558,7 mil. eur. Použité ekonomické predpoklady vychádzajú z makroekonomickej prognózy Výboru pre makroekonomické prognózy z júna 2025. Predpoklady výpočtu vplyvov pre jednotlivé opatrenia sú uvedené v ďalších častiach tejto sekcie.</w:t>
      </w:r>
    </w:p>
    <w:p w14:paraId="5959FD7D"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p>
    <w:p w14:paraId="6C5E7E8C"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Úprava vzniku a zániku povinného NP, DP a poistného do RFS pre SZČO</w:t>
      </w:r>
    </w:p>
    <w:p w14:paraId="0029AE69"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5A1494D6"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Kvantifikácia bola zostavená na základe individuálnych údajov Sociálnej poisťovne, zdravotných poisťovní a daňových priznaní pre daň z príjmov fyzických osôb. Z údajov vyplýva, že v roku 2023 dosahovalo príjmy z podnikania na Slovensku v priemere 439 tis. SZČO. Sociálne odvody platilo 242 tis. SZČO, z čoho približne 74 % (resp. 78 % podľa údajov z roka 2024) platilo minimálne sociálne odvody. Zvyšných 196 tis. živnostníkov neplatilo žiadne sociálne odvody</w:t>
      </w:r>
    </w:p>
    <w:p w14:paraId="629EB367"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7D556097"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xml:space="preserve">Vplyv opatrenia sa sústredí na tri kategórie. </w:t>
      </w:r>
    </w:p>
    <w:p w14:paraId="4F676974" w14:textId="77777777" w:rsidR="00AD62CD" w:rsidRPr="00AD62CD" w:rsidRDefault="00AD62CD" w:rsidP="00AD62CD">
      <w:pPr>
        <w:numPr>
          <w:ilvl w:val="0"/>
          <w:numId w:val="42"/>
        </w:numPr>
        <w:spacing w:after="0" w:line="240" w:lineRule="auto"/>
        <w:contextualSpacing/>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xml:space="preserve">Novovzniknutí živnostníci, ktorým sa skrátia odvodové prázdniny a začnú platiť odvody skôr (odhad vplyvu 16 mil. eur, počet 42 tis.). </w:t>
      </w:r>
    </w:p>
    <w:p w14:paraId="4D4576DC" w14:textId="77777777" w:rsidR="00AD62CD" w:rsidRPr="00AD62CD" w:rsidRDefault="00AD62CD" w:rsidP="00AD62CD">
      <w:pPr>
        <w:numPr>
          <w:ilvl w:val="0"/>
          <w:numId w:val="42"/>
        </w:numPr>
        <w:spacing w:after="0" w:line="240" w:lineRule="auto"/>
        <w:contextualSpacing/>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Existujúci živnostníci, ktorí dnes neplatia sociálne odvody z dôvodu nedosiahnutia rozhodnej hranice príjmu pre ich platenie (12-násobok súčasného min. VZ, t. j. 50 % priemernej mzdy). Príspevok týchto živnostníkov v rámci opatrenia odhadujeme na 113 mil. eur v prvom roku a 232 mil. eur v druhom roku (počet 154. tis.).</w:t>
      </w:r>
    </w:p>
    <w:p w14:paraId="7CEDA917" w14:textId="77777777" w:rsidR="00AD62CD" w:rsidRPr="00AD62CD" w:rsidRDefault="00AD62CD" w:rsidP="00AD62CD">
      <w:pPr>
        <w:numPr>
          <w:ilvl w:val="0"/>
          <w:numId w:val="42"/>
        </w:numPr>
        <w:spacing w:after="0" w:line="240" w:lineRule="auto"/>
        <w:contextualSpacing/>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Treťou kategóriou sú živnostníci, ktorí sa v priebehu roku menia z neplatičov na platcov sociálnych odvodov (tí, čo v minulom roku presiahli rozhodnú hranicu platenia SO). V prvom roku platnosti opatrenie sa neprejavia, ale v druhom roku ich príspevok je na úrovni 14 mil. eur (počet 42 tis.).</w:t>
      </w:r>
    </w:p>
    <w:p w14:paraId="447CC906"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0238B3CA"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Zvýšením zaplatených odvodov SZČO dôjde k zníženiu ich základu dane z príjmu fyzických osôb, čo sa prejaví na nižších príjmoch samospráv.</w:t>
      </w:r>
    </w:p>
    <w:p w14:paraId="5456003B"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0253CBF4"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xml:space="preserve">Nárast výdavkov vyplýva zo zvýšeného počtu nárokov na vybrané dávky sociálneho poistenia, z dôvodu zvýšenému počtu ľudí participujúcich v systéme sociálneho zabezpečenia (platiteľov odvodov). Kvantifikácia dodatočného počtu poberateľov vychádza z historického podielu poberateľov dávok v rámci skupiny SZČO a výška dávky zodpovedá zaplateným odvodom z nového minima. Zvýšené výdavky na nemocenské dávky sa predpokladajú vo výške 4,2 mil. eur v 2026, 21,1 mil. eur v 2027 a 24,6 mil. eur v 2028. </w:t>
      </w:r>
    </w:p>
    <w:p w14:paraId="63C40510" w14:textId="77777777" w:rsidR="00AD62CD" w:rsidRPr="00AD62CD" w:rsidRDefault="00AD62CD" w:rsidP="00AD62CD">
      <w:pPr>
        <w:spacing w:after="0" w:line="240" w:lineRule="auto"/>
        <w:jc w:val="both"/>
        <w:rPr>
          <w:rFonts w:ascii="Times New Roman" w:eastAsia="Calibri" w:hAnsi="Times New Roman" w:cs="Times New Roman"/>
          <w:b/>
          <w:bCs/>
          <w:kern w:val="0"/>
          <w:highlight w:val="yellow"/>
          <w:lang w:eastAsia="sk-SK"/>
          <w14:ligatures w14:val="none"/>
        </w:rPr>
      </w:pPr>
    </w:p>
    <w:p w14:paraId="72032435"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Zvýšenie minimálneho vymeriavacieho základu SZČO</w:t>
      </w:r>
    </w:p>
    <w:p w14:paraId="7D90FD96"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3E5D58E8"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Podľa individuálnych údajov Sociálnej poisťovne za rok 2024 platilo poistné z aktuálne platného minimálneho vymeriavacieho základu, ktorý predstavuje 50 % priemernej mesačnej mzdy spred dvoch rokov, viac ako 78 % všetkých sociálne poistených SZČO. Ešte vyšší podiel, takmer 87 % SZČO, platilo poistné z  vymeriavacieho základu, ktorý je nižší ako navrhovaná nová hranica 60 % priemernej mesačnej mzdy spred dvoch rokov.</w:t>
      </w:r>
    </w:p>
    <w:p w14:paraId="1E288809"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p>
    <w:p w14:paraId="13F78D40"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Navrhované opatrenie sa okrem SZČO dotkne aj osôb, ktoré nie sú povinne poistené, ale využívajú inštitút dobrovoľného poistenia na zabezpečenie si sociálnej ochrany. Tieto osoby si najčastejšie platia poistné práve z minimálneho vymeriavacieho základu. Podľa individuálnych údajov Sociálnej poisťovne za rok 2024 išlo v priemere mesačne o 7 759 dobrovoľne dôchodkovo poistených osôb, 7 075 dobrovoľne poistených osôb v nezamestnanosti a 5 919 dobrovoľne nemocensky poistených osôb. Pre viac ako 87 % tejto skupiny poistencov bude zvýšenie minimálneho vymeriavacieho základu znamenať nárast mesačného poistného, čo sa pozitívne prejaví na príjmovej stránke Sociálnej poisťovne. </w:t>
      </w:r>
    </w:p>
    <w:p w14:paraId="1AF28AC6"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p>
    <w:p w14:paraId="65C27C15"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Na druhej strane, vyšší vymeriavací základ bude mať za následok aj zvýšené výdavky Sociálnej poisťovne na nemocenské dávky, keďže ich výška závisí od vymeriavacieho základu. Výpočet tohto dopadu vychádza z reálneho čerpania nemocenských dávok v roku 2024. Vplyv opatrenia na výšku ostatných dávok sociálneho poistenia sa v rámci sledovaného obdobia doložky považuje za zanedbateľný.</w:t>
      </w:r>
    </w:p>
    <w:p w14:paraId="711F2DA2"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5426914B"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Zrušenie vylúčenia povinnosti platiť poistné vo vybraných obdobiach (§ 140 ods. 1 a ods.  4)</w:t>
      </w:r>
    </w:p>
    <w:p w14:paraId="66A0C462"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409AD126"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Kvantifikácia fiškálnych vplyvov vychádza z analýzy individuálnych údajov Sociálnej poisťovne za referenčný rok 2024. Na základe metodiky porovnania vymeriavacieho základu na úrazové poistenie a ostatné fondy bolo za rok 2024 identifikovaných viac ako 131-tisíc prípadov u 85-tisíc unikátnych poistencov, kedy bol vyplatený príjem počas obdobia vylúčenia povinnosti zamestnanca platiť poistné.</w:t>
      </w:r>
    </w:p>
    <w:p w14:paraId="0E5667B7"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p>
    <w:p w14:paraId="23D580D8"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Navrhované opatrenie sa dotkne aj všetkých zamestnávateľov, ktorí vyplácajú zamestnancom príjem počas obdobia vylúčenia povinnosti platiť poistné. Významnú časť z nich tvoria subjekty štátnej a verejnej správy, čo implikuje priamy vplyv na výdavkovú stranu rozpočtu verejnej správy. Z  celkového počtu približne 15-tisíc identifikovaných zamestnávateľov, ktorých sa opatrenie týka, patrilo viac ako 3 700 subjektov do sektora štátnej a verejnej správy (podľa klasifikácie SK NACE). Analýza individuálnych údajov ukázala, že pre túto špecifickú skupinu zamestnávateľov predstavuje priemerný dodatočný vymeriavací základ  911 eur na jeden prípad. Zvýšenie odvodovej povinnosti na strane zamestnávateľa sa tak priamo prejaví ako nárast mzdových nákladov v rozpočte verejnej správy.</w:t>
      </w:r>
    </w:p>
    <w:p w14:paraId="50BC9C22"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p>
    <w:p w14:paraId="6EBEB0FF"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Zavedením povinnosti platiť poistné aj z príjmu vyplateného počas pôvodného vylúčenia povinnosti sa zvýši celková suma poistného plateného zamestnancom. Toto zvýšenie odvodov následne zníži základ dane z príjmov, z ktorého sa vypočítava daň. Výsledkom je nižší výber dane z príjmov fyzických osôb, ktorý sa v súlade s pravidlami rozpočtového určenia dane prerozdeľuje medzi štátny rozpočet, obce a vyššie územné celky.</w:t>
      </w:r>
    </w:p>
    <w:p w14:paraId="24990F04" w14:textId="77777777" w:rsidR="00AD62CD" w:rsidRPr="00AD62CD" w:rsidRDefault="00AD62CD" w:rsidP="00AD62CD">
      <w:pPr>
        <w:spacing w:after="0" w:line="240" w:lineRule="auto"/>
        <w:jc w:val="both"/>
        <w:rPr>
          <w:rFonts w:ascii="Times New Roman" w:eastAsia="Calibri" w:hAnsi="Times New Roman" w:cs="Times New Roman"/>
          <w:bCs/>
          <w:kern w:val="0"/>
          <w:lang w:eastAsia="sk-SK"/>
          <w14:ligatures w14:val="none"/>
        </w:rPr>
      </w:pPr>
    </w:p>
    <w:p w14:paraId="1EE1C0FB"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Cs/>
          <w:kern w:val="0"/>
          <w:lang w:eastAsia="sk-SK"/>
          <w14:ligatures w14:val="none"/>
        </w:rPr>
        <w:t>Navrhované opatrenie má sekundárny negatívny vplyv aj na výnos dane z príjmov právnických osôb. Zvýšenie odvodovej povinnosti na strane zamestnávateľa predstavuje nárast jeho celkových mzdových nákladov. Keďže poistné platené zamestnávateľom je daňovo uznateľným výdavkom, toto zvýšenie nákladov priamo znižuje základ dane dotknutých právnických osôb. Dôsledkom je zníženie daňovej povinnosti a negatívny fiškálny vplyv v  podobe nižšieho inkasa dane z príjmov právnických osôb.</w:t>
      </w:r>
    </w:p>
    <w:p w14:paraId="55B51D52"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2032BF36"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Zachovanie sumy 13. dôchodku na nominálnej úrovni roka 2025</w:t>
      </w:r>
    </w:p>
    <w:p w14:paraId="55DE4E16"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p>
    <w:p w14:paraId="4C66892B"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Kvantifikácia vplyvu opatrenia vychádza z prognózy vybraných sociálnych výdavkov pripravených Výborom pre daňové prognózy za jún 2025. Prognóza dôchodkových dávok predpokladá rast výdavkov na 13. dôchodok v súlade s dynamikou valorizovaných dôchodkových dávok, novopriznaných a zaniknutých dávok. Tento základný scenár vývoja výdavkov na 13. dôchodok bol následne porovnaný s prognózou vývoja výdavkov, v ktorej sumy jednotlivých dávok pre ďalšie tri roky boli stanovené na úrovni dávok 13. dôchodku pre rok 2025, ktorá bola ohlásená vo februári tohto roku. Rozdiel medzi úrovňou výdavkov v prognóze zostavenej podľa súčasného nastavenia a v prognóze s pevne určenou sumou 13. dôchodku predstavuje odhadovanú úsporu verejných financií vo výške 34,0 mil. eur v roku 2026 a 79,0 mil. eur v 2027 a vo výške 127,0  mil. eur v roku 2028.</w:t>
      </w:r>
    </w:p>
    <w:p w14:paraId="14A91509"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3598A8A7"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Predĺženie obdobia výplaty náhrady príjmu pri dočasnej pracovnej neschopnosti zamestnávateľom z 10 na 14 kalendárnych dní</w:t>
      </w:r>
    </w:p>
    <w:p w14:paraId="3C8AD2DA"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34C7DA46"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xml:space="preserve">Ako vstupný podklad boli použité individuálne údaje o vyplatených nemocenských dávkach za rok 2024 (s presahom z roku 2023) z dát Sociálnej poisťovne. Úspora výdavkov Sociálnej poisťovne bola vypočítaná ako suma nemocenského, ktorú by Sociálna poisťovňa za štandardných podmienok vyplatila za 11. až 14. deň PN. Pri výpočte sa použil alikvótny prepočet na základe celkovej dĺžky a výšky dávky v danom mesiaci. Pri určovaní dodatočných nákladov bol vplyv vyčíslený pre tie subjekty, ktoré podľa klasifikácie SK NACE  tvoria sektor verejnej správy. Tento vplyv je teda vyčíslený ako dodatočný náklad pre štát a verejnú správu v role zamestnávateľa. </w:t>
      </w:r>
    </w:p>
    <w:p w14:paraId="720D8A8A"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p>
    <w:p w14:paraId="0C88CB8B"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Postupné zníženie dávky v nezamestnanosti od 4. mesiaca poberania</w:t>
      </w:r>
    </w:p>
    <w:p w14:paraId="76F54D43"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p>
    <w:p w14:paraId="3BA20544"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sectPr w:rsidR="00AD62CD" w:rsidRPr="00AD62CD" w:rsidSect="00AD62CD">
          <w:pgSz w:w="11906" w:h="16838"/>
          <w:pgMar w:top="1417" w:right="1417" w:bottom="1276" w:left="1417" w:header="708" w:footer="708" w:gutter="0"/>
          <w:cols w:space="708"/>
          <w:docGrid w:linePitch="360"/>
        </w:sectPr>
      </w:pPr>
      <w:r w:rsidRPr="00AD62CD">
        <w:rPr>
          <w:rFonts w:ascii="Times New Roman" w:eastAsia="Calibri" w:hAnsi="Times New Roman" w:cs="Times New Roman"/>
          <w:kern w:val="0"/>
          <w:lang w:eastAsia="sk-SK"/>
          <w14:ligatures w14:val="none"/>
        </w:rPr>
        <w:t>Kvantifikácia vychádza z distribúcie existujúcich poberateľov dávky v nezamestnanosti podľa mesiacov poberania dávky, získanej z individuálnych údajov Sociálnej poisťovne za rok 2024. Nezamestnaným, ktorí poberajú dávku 4 až 6 mesiacov bola v kvantifikácii dávka znížená na 40 % hrubej mzdy za štvrtý mesiac poberania dávky, 30 % pre piaty mesiac a 20 % pre šiesty mesiac (prvé tri mesiace sú bez zmeny). Krátenie sa tak dotkne približne 63 % poberateľov dávky v nezamestnanosti, pričom plných 6 mesiacov dávku poberá takmer polovica poberateľov. Celkové výdavky na dávku v nezamestnanosti poklesnú o približne 11 %. V prvom roku platnosti opatrenia je zohľadnená skutočnosť, že navrhovaná legislatívna úprava sa vzťahuje iba na dávky priznané od 1. januára 2026. Časť dávok (približne 27 %) vyplatených počas roka 2026, na ktoré vznikol nárok do konca roka 2025, sa bude naďalej vyplácať v pôvodnej výške. Vývoj dávok v nezamestnanosti vychádza z prognózy vybraných sociálnych výdavkov pripravených Výborom pre daňové prognózy za jún 2025. Predpokladaná úspora na výdavkoch na dávku v nezamestnanosti je vo výške 24,5 mil. eur v roku 2026, 34,2 mil. eur v 2027 a 35,7 mil. eur v 2028.</w:t>
      </w:r>
    </w:p>
    <w:p w14:paraId="51B0DA58"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3-1 </w:t>
      </w:r>
    </w:p>
    <w:p w14:paraId="08B5373E"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4214" w:type="dxa"/>
        <w:tblCellMar>
          <w:left w:w="70" w:type="dxa"/>
          <w:right w:w="70" w:type="dxa"/>
        </w:tblCellMar>
        <w:tblLook w:val="04A0" w:firstRow="1" w:lastRow="0" w:firstColumn="1" w:lastColumn="0" w:noHBand="0" w:noVBand="1"/>
      </w:tblPr>
      <w:tblGrid>
        <w:gridCol w:w="7361"/>
        <w:gridCol w:w="1264"/>
        <w:gridCol w:w="1360"/>
        <w:gridCol w:w="1418"/>
        <w:gridCol w:w="1418"/>
        <w:gridCol w:w="1393"/>
      </w:tblGrid>
      <w:tr w:rsidR="00AD62CD" w:rsidRPr="00AD62CD" w14:paraId="5C671A2F"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B14EDC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rozpočtu verejnej správy (v eurách)</w:t>
            </w:r>
          </w:p>
        </w:tc>
        <w:tc>
          <w:tcPr>
            <w:tcW w:w="5460" w:type="dxa"/>
            <w:gridSpan w:val="4"/>
            <w:tcBorders>
              <w:top w:val="single" w:sz="8" w:space="0" w:color="auto"/>
              <w:left w:val="nil"/>
              <w:bottom w:val="single" w:sz="8" w:space="0" w:color="auto"/>
              <w:right w:val="single" w:sz="8" w:space="0" w:color="000000"/>
            </w:tcBorders>
            <w:shd w:val="clear" w:color="000000" w:fill="BFBFBF"/>
            <w:vAlign w:val="center"/>
            <w:hideMark/>
          </w:tcPr>
          <w:p w14:paraId="5CF21A1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verejnej správy</w:t>
            </w:r>
          </w:p>
        </w:tc>
        <w:tc>
          <w:tcPr>
            <w:tcW w:w="1393" w:type="dxa"/>
            <w:tcBorders>
              <w:top w:val="single" w:sz="8" w:space="0" w:color="auto"/>
              <w:left w:val="nil"/>
              <w:bottom w:val="nil"/>
              <w:right w:val="single" w:sz="8" w:space="0" w:color="auto"/>
            </w:tcBorders>
            <w:shd w:val="clear" w:color="000000" w:fill="BFBFBF"/>
            <w:noWrap/>
            <w:vAlign w:val="center"/>
            <w:hideMark/>
          </w:tcPr>
          <w:p w14:paraId="4EDF024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53CE951F"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7A646658"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64" w:type="dxa"/>
            <w:tcBorders>
              <w:top w:val="nil"/>
              <w:left w:val="nil"/>
              <w:bottom w:val="single" w:sz="8" w:space="0" w:color="auto"/>
              <w:right w:val="single" w:sz="8" w:space="0" w:color="auto"/>
            </w:tcBorders>
            <w:shd w:val="clear" w:color="000000" w:fill="BFBFBF"/>
            <w:vAlign w:val="center"/>
            <w:hideMark/>
          </w:tcPr>
          <w:p w14:paraId="78B74609"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2A06C21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18" w:type="dxa"/>
            <w:tcBorders>
              <w:top w:val="nil"/>
              <w:left w:val="nil"/>
              <w:bottom w:val="single" w:sz="8" w:space="0" w:color="auto"/>
              <w:right w:val="single" w:sz="8" w:space="0" w:color="auto"/>
            </w:tcBorders>
            <w:shd w:val="clear" w:color="000000" w:fill="BFBFBF"/>
            <w:vAlign w:val="center"/>
            <w:hideMark/>
          </w:tcPr>
          <w:p w14:paraId="6050480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18" w:type="dxa"/>
            <w:tcBorders>
              <w:top w:val="nil"/>
              <w:left w:val="nil"/>
              <w:bottom w:val="single" w:sz="8" w:space="0" w:color="auto"/>
              <w:right w:val="single" w:sz="8" w:space="0" w:color="auto"/>
            </w:tcBorders>
            <w:shd w:val="clear" w:color="000000" w:fill="BFBFBF"/>
            <w:vAlign w:val="center"/>
            <w:hideMark/>
          </w:tcPr>
          <w:p w14:paraId="02E797A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93" w:type="dxa"/>
            <w:tcBorders>
              <w:top w:val="nil"/>
              <w:left w:val="nil"/>
              <w:bottom w:val="single" w:sz="8" w:space="0" w:color="auto"/>
              <w:right w:val="single" w:sz="8" w:space="0" w:color="auto"/>
            </w:tcBorders>
            <w:shd w:val="clear" w:color="000000" w:fill="BFBFBF"/>
            <w:noWrap/>
            <w:vAlign w:val="center"/>
            <w:hideMark/>
          </w:tcPr>
          <w:p w14:paraId="09B0844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r w:rsidR="00AD62CD" w:rsidRPr="00AD62CD" w14:paraId="672A19C5"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73B9920"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4" w:type="dxa"/>
            <w:tcBorders>
              <w:top w:val="nil"/>
              <w:left w:val="nil"/>
              <w:bottom w:val="single" w:sz="8" w:space="0" w:color="auto"/>
              <w:right w:val="single" w:sz="8" w:space="0" w:color="auto"/>
            </w:tcBorders>
            <w:shd w:val="clear" w:color="auto" w:fill="auto"/>
            <w:noWrap/>
            <w:vAlign w:val="center"/>
            <w:hideMark/>
          </w:tcPr>
          <w:p w14:paraId="046E272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10E01A4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254 288 929</w:t>
            </w:r>
          </w:p>
        </w:tc>
        <w:tc>
          <w:tcPr>
            <w:tcW w:w="1418" w:type="dxa"/>
            <w:tcBorders>
              <w:top w:val="nil"/>
              <w:left w:val="nil"/>
              <w:bottom w:val="single" w:sz="8" w:space="0" w:color="auto"/>
              <w:right w:val="single" w:sz="8" w:space="0" w:color="auto"/>
            </w:tcBorders>
            <w:shd w:val="clear" w:color="auto" w:fill="auto"/>
            <w:noWrap/>
            <w:vAlign w:val="center"/>
            <w:hideMark/>
          </w:tcPr>
          <w:p w14:paraId="005C978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388 449 854</w:t>
            </w:r>
          </w:p>
        </w:tc>
        <w:tc>
          <w:tcPr>
            <w:tcW w:w="1418" w:type="dxa"/>
            <w:tcBorders>
              <w:top w:val="nil"/>
              <w:left w:val="nil"/>
              <w:bottom w:val="single" w:sz="8" w:space="0" w:color="auto"/>
              <w:right w:val="single" w:sz="8" w:space="0" w:color="auto"/>
            </w:tcBorders>
            <w:shd w:val="clear" w:color="auto" w:fill="auto"/>
            <w:noWrap/>
            <w:vAlign w:val="center"/>
            <w:hideMark/>
          </w:tcPr>
          <w:p w14:paraId="7B2D839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407 168 493</w:t>
            </w:r>
          </w:p>
        </w:tc>
        <w:tc>
          <w:tcPr>
            <w:tcW w:w="1393" w:type="dxa"/>
            <w:tcBorders>
              <w:top w:val="nil"/>
              <w:left w:val="nil"/>
              <w:bottom w:val="single" w:sz="8" w:space="0" w:color="auto"/>
              <w:right w:val="single" w:sz="8" w:space="0" w:color="auto"/>
            </w:tcBorders>
            <w:shd w:val="clear" w:color="auto" w:fill="auto"/>
            <w:noWrap/>
            <w:vAlign w:val="center"/>
            <w:hideMark/>
          </w:tcPr>
          <w:p w14:paraId="1C1EDDA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1C9ECA8"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552B8D0E"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264" w:type="dxa"/>
            <w:tcBorders>
              <w:top w:val="nil"/>
              <w:left w:val="nil"/>
              <w:bottom w:val="single" w:sz="8" w:space="0" w:color="auto"/>
              <w:right w:val="single" w:sz="8" w:space="0" w:color="auto"/>
            </w:tcBorders>
            <w:shd w:val="clear" w:color="auto" w:fill="auto"/>
            <w:noWrap/>
            <w:vAlign w:val="center"/>
            <w:hideMark/>
          </w:tcPr>
          <w:p w14:paraId="02CF40E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3F9D08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-12 609 858</w:t>
            </w:r>
          </w:p>
        </w:tc>
        <w:tc>
          <w:tcPr>
            <w:tcW w:w="1418" w:type="dxa"/>
            <w:tcBorders>
              <w:top w:val="nil"/>
              <w:left w:val="nil"/>
              <w:bottom w:val="single" w:sz="8" w:space="0" w:color="auto"/>
              <w:right w:val="single" w:sz="8" w:space="0" w:color="auto"/>
            </w:tcBorders>
            <w:shd w:val="clear" w:color="auto" w:fill="auto"/>
            <w:noWrap/>
            <w:vAlign w:val="center"/>
            <w:hideMark/>
          </w:tcPr>
          <w:p w14:paraId="01C2D45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-18 584 461</w:t>
            </w:r>
          </w:p>
        </w:tc>
        <w:tc>
          <w:tcPr>
            <w:tcW w:w="1418" w:type="dxa"/>
            <w:tcBorders>
              <w:top w:val="nil"/>
              <w:left w:val="nil"/>
              <w:bottom w:val="single" w:sz="8" w:space="0" w:color="auto"/>
              <w:right w:val="single" w:sz="8" w:space="0" w:color="auto"/>
            </w:tcBorders>
            <w:shd w:val="clear" w:color="auto" w:fill="auto"/>
            <w:noWrap/>
            <w:vAlign w:val="center"/>
            <w:hideMark/>
          </w:tcPr>
          <w:p w14:paraId="2A590F0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-19 476 036</w:t>
            </w:r>
          </w:p>
        </w:tc>
        <w:tc>
          <w:tcPr>
            <w:tcW w:w="1393" w:type="dxa"/>
            <w:tcBorders>
              <w:top w:val="nil"/>
              <w:left w:val="nil"/>
              <w:bottom w:val="single" w:sz="8" w:space="0" w:color="auto"/>
              <w:right w:val="single" w:sz="8" w:space="0" w:color="auto"/>
            </w:tcBorders>
            <w:shd w:val="clear" w:color="auto" w:fill="auto"/>
            <w:noWrap/>
            <w:vAlign w:val="center"/>
            <w:hideMark/>
          </w:tcPr>
          <w:p w14:paraId="35A18DC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77E01A0"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0A88B430"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(112) daň z príjmov právnických osôb</w:t>
            </w:r>
          </w:p>
        </w:tc>
        <w:tc>
          <w:tcPr>
            <w:tcW w:w="1264" w:type="dxa"/>
            <w:tcBorders>
              <w:top w:val="nil"/>
              <w:left w:val="nil"/>
              <w:bottom w:val="single" w:sz="8" w:space="0" w:color="auto"/>
              <w:right w:val="single" w:sz="8" w:space="0" w:color="auto"/>
            </w:tcBorders>
            <w:shd w:val="clear" w:color="auto" w:fill="auto"/>
            <w:noWrap/>
            <w:vAlign w:val="center"/>
            <w:hideMark/>
          </w:tcPr>
          <w:p w14:paraId="3975500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48C1E6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-2 177 517</w:t>
            </w:r>
          </w:p>
        </w:tc>
        <w:tc>
          <w:tcPr>
            <w:tcW w:w="1418" w:type="dxa"/>
            <w:tcBorders>
              <w:top w:val="nil"/>
              <w:left w:val="nil"/>
              <w:bottom w:val="single" w:sz="8" w:space="0" w:color="auto"/>
              <w:right w:val="single" w:sz="8" w:space="0" w:color="auto"/>
            </w:tcBorders>
            <w:shd w:val="clear" w:color="auto" w:fill="auto"/>
            <w:noWrap/>
            <w:vAlign w:val="center"/>
            <w:hideMark/>
          </w:tcPr>
          <w:p w14:paraId="6E76DA3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-2 236 192</w:t>
            </w:r>
          </w:p>
        </w:tc>
        <w:tc>
          <w:tcPr>
            <w:tcW w:w="1418" w:type="dxa"/>
            <w:tcBorders>
              <w:top w:val="nil"/>
              <w:left w:val="nil"/>
              <w:bottom w:val="single" w:sz="8" w:space="0" w:color="auto"/>
              <w:right w:val="single" w:sz="8" w:space="0" w:color="auto"/>
            </w:tcBorders>
            <w:shd w:val="clear" w:color="auto" w:fill="auto"/>
            <w:noWrap/>
            <w:vAlign w:val="center"/>
            <w:hideMark/>
          </w:tcPr>
          <w:p w14:paraId="609E3B6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-2 328 996</w:t>
            </w:r>
          </w:p>
        </w:tc>
        <w:tc>
          <w:tcPr>
            <w:tcW w:w="1393" w:type="dxa"/>
            <w:tcBorders>
              <w:top w:val="nil"/>
              <w:left w:val="nil"/>
              <w:bottom w:val="single" w:sz="8" w:space="0" w:color="auto"/>
              <w:right w:val="single" w:sz="8" w:space="0" w:color="auto"/>
            </w:tcBorders>
            <w:shd w:val="clear" w:color="auto" w:fill="auto"/>
            <w:noWrap/>
            <w:vAlign w:val="center"/>
            <w:hideMark/>
          </w:tcPr>
          <w:p w14:paraId="315AE7D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6469ABC"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0810FFAA"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(151) poistné na nemocenské poistenie</w:t>
            </w:r>
          </w:p>
        </w:tc>
        <w:tc>
          <w:tcPr>
            <w:tcW w:w="1264" w:type="dxa"/>
            <w:tcBorders>
              <w:top w:val="nil"/>
              <w:left w:val="nil"/>
              <w:bottom w:val="single" w:sz="8" w:space="0" w:color="auto"/>
              <w:right w:val="single" w:sz="8" w:space="0" w:color="auto"/>
            </w:tcBorders>
            <w:shd w:val="clear" w:color="auto" w:fill="auto"/>
            <w:noWrap/>
            <w:vAlign w:val="center"/>
            <w:hideMark/>
          </w:tcPr>
          <w:p w14:paraId="0F2CDA8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46C72DC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34 153 199</w:t>
            </w:r>
          </w:p>
        </w:tc>
        <w:tc>
          <w:tcPr>
            <w:tcW w:w="1418" w:type="dxa"/>
            <w:tcBorders>
              <w:top w:val="nil"/>
              <w:left w:val="nil"/>
              <w:bottom w:val="single" w:sz="8" w:space="0" w:color="auto"/>
              <w:right w:val="single" w:sz="8" w:space="0" w:color="auto"/>
            </w:tcBorders>
            <w:shd w:val="clear" w:color="auto" w:fill="auto"/>
            <w:noWrap/>
            <w:vAlign w:val="center"/>
            <w:hideMark/>
          </w:tcPr>
          <w:p w14:paraId="6233030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52 685 609</w:t>
            </w:r>
          </w:p>
        </w:tc>
        <w:tc>
          <w:tcPr>
            <w:tcW w:w="1418" w:type="dxa"/>
            <w:tcBorders>
              <w:top w:val="nil"/>
              <w:left w:val="nil"/>
              <w:bottom w:val="single" w:sz="8" w:space="0" w:color="auto"/>
              <w:right w:val="single" w:sz="8" w:space="0" w:color="auto"/>
            </w:tcBorders>
            <w:shd w:val="clear" w:color="auto" w:fill="auto"/>
            <w:noWrap/>
            <w:vAlign w:val="center"/>
            <w:hideMark/>
          </w:tcPr>
          <w:p w14:paraId="5A07188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55 231 902</w:t>
            </w:r>
          </w:p>
        </w:tc>
        <w:tc>
          <w:tcPr>
            <w:tcW w:w="1393" w:type="dxa"/>
            <w:tcBorders>
              <w:top w:val="nil"/>
              <w:left w:val="nil"/>
              <w:bottom w:val="single" w:sz="8" w:space="0" w:color="auto"/>
              <w:right w:val="single" w:sz="8" w:space="0" w:color="auto"/>
            </w:tcBorders>
            <w:shd w:val="clear" w:color="auto" w:fill="auto"/>
            <w:noWrap/>
            <w:vAlign w:val="center"/>
            <w:hideMark/>
          </w:tcPr>
          <w:p w14:paraId="5D45B53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FACC0FE"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6DAAF343"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(152) poistné na starobné poistenie</w:t>
            </w:r>
          </w:p>
        </w:tc>
        <w:tc>
          <w:tcPr>
            <w:tcW w:w="1264" w:type="dxa"/>
            <w:tcBorders>
              <w:top w:val="nil"/>
              <w:left w:val="nil"/>
              <w:bottom w:val="single" w:sz="8" w:space="0" w:color="auto"/>
              <w:right w:val="single" w:sz="8" w:space="0" w:color="auto"/>
            </w:tcBorders>
            <w:shd w:val="clear" w:color="auto" w:fill="auto"/>
            <w:noWrap/>
            <w:vAlign w:val="center"/>
            <w:hideMark/>
          </w:tcPr>
          <w:p w14:paraId="524350C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7B7F548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144 597 949</w:t>
            </w:r>
          </w:p>
        </w:tc>
        <w:tc>
          <w:tcPr>
            <w:tcW w:w="1418" w:type="dxa"/>
            <w:tcBorders>
              <w:top w:val="nil"/>
              <w:left w:val="nil"/>
              <w:bottom w:val="single" w:sz="8" w:space="0" w:color="auto"/>
              <w:right w:val="single" w:sz="8" w:space="0" w:color="auto"/>
            </w:tcBorders>
            <w:shd w:val="clear" w:color="auto" w:fill="auto"/>
            <w:noWrap/>
            <w:vAlign w:val="center"/>
            <w:hideMark/>
          </w:tcPr>
          <w:p w14:paraId="5EDAEEF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220 648 692</w:t>
            </w:r>
          </w:p>
        </w:tc>
        <w:tc>
          <w:tcPr>
            <w:tcW w:w="1418" w:type="dxa"/>
            <w:tcBorders>
              <w:top w:val="nil"/>
              <w:left w:val="nil"/>
              <w:bottom w:val="single" w:sz="8" w:space="0" w:color="auto"/>
              <w:right w:val="single" w:sz="8" w:space="0" w:color="auto"/>
            </w:tcBorders>
            <w:shd w:val="clear" w:color="auto" w:fill="auto"/>
            <w:noWrap/>
            <w:vAlign w:val="center"/>
            <w:hideMark/>
          </w:tcPr>
          <w:p w14:paraId="100EB32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231 281 278</w:t>
            </w:r>
          </w:p>
        </w:tc>
        <w:tc>
          <w:tcPr>
            <w:tcW w:w="1393" w:type="dxa"/>
            <w:tcBorders>
              <w:top w:val="nil"/>
              <w:left w:val="nil"/>
              <w:bottom w:val="single" w:sz="8" w:space="0" w:color="auto"/>
              <w:right w:val="single" w:sz="8" w:space="0" w:color="auto"/>
            </w:tcBorders>
            <w:shd w:val="clear" w:color="auto" w:fill="auto"/>
            <w:noWrap/>
            <w:vAlign w:val="center"/>
            <w:hideMark/>
          </w:tcPr>
          <w:p w14:paraId="1EFCB4B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33FAAB4"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0174B030"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(155) poistné na poistenie v nezamestnanosti</w:t>
            </w:r>
          </w:p>
        </w:tc>
        <w:tc>
          <w:tcPr>
            <w:tcW w:w="1264" w:type="dxa"/>
            <w:tcBorders>
              <w:top w:val="nil"/>
              <w:left w:val="nil"/>
              <w:bottom w:val="single" w:sz="8" w:space="0" w:color="auto"/>
              <w:right w:val="single" w:sz="8" w:space="0" w:color="auto"/>
            </w:tcBorders>
            <w:shd w:val="clear" w:color="auto" w:fill="auto"/>
            <w:noWrap/>
            <w:vAlign w:val="center"/>
            <w:hideMark/>
          </w:tcPr>
          <w:p w14:paraId="7497C1B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7CF007C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2 275 049</w:t>
            </w:r>
          </w:p>
        </w:tc>
        <w:tc>
          <w:tcPr>
            <w:tcW w:w="1418" w:type="dxa"/>
            <w:tcBorders>
              <w:top w:val="nil"/>
              <w:left w:val="nil"/>
              <w:bottom w:val="single" w:sz="8" w:space="0" w:color="auto"/>
              <w:right w:val="single" w:sz="8" w:space="0" w:color="auto"/>
            </w:tcBorders>
            <w:shd w:val="clear" w:color="auto" w:fill="auto"/>
            <w:noWrap/>
            <w:vAlign w:val="center"/>
            <w:hideMark/>
          </w:tcPr>
          <w:p w14:paraId="1F67A22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2 385 181</w:t>
            </w:r>
          </w:p>
        </w:tc>
        <w:tc>
          <w:tcPr>
            <w:tcW w:w="1418" w:type="dxa"/>
            <w:tcBorders>
              <w:top w:val="nil"/>
              <w:left w:val="nil"/>
              <w:bottom w:val="single" w:sz="8" w:space="0" w:color="auto"/>
              <w:right w:val="single" w:sz="8" w:space="0" w:color="auto"/>
            </w:tcBorders>
            <w:shd w:val="clear" w:color="auto" w:fill="auto"/>
            <w:noWrap/>
            <w:vAlign w:val="center"/>
            <w:hideMark/>
          </w:tcPr>
          <w:p w14:paraId="65C3AC6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2 485 651</w:t>
            </w:r>
          </w:p>
        </w:tc>
        <w:tc>
          <w:tcPr>
            <w:tcW w:w="1393" w:type="dxa"/>
            <w:tcBorders>
              <w:top w:val="nil"/>
              <w:left w:val="nil"/>
              <w:bottom w:val="single" w:sz="8" w:space="0" w:color="auto"/>
              <w:right w:val="single" w:sz="8" w:space="0" w:color="auto"/>
            </w:tcBorders>
            <w:shd w:val="clear" w:color="auto" w:fill="auto"/>
            <w:noWrap/>
            <w:vAlign w:val="center"/>
            <w:hideMark/>
          </w:tcPr>
          <w:p w14:paraId="1EBA7C4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66A2E45"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6C84AA95"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(156) poistné na garančné poistenie</w:t>
            </w:r>
          </w:p>
        </w:tc>
        <w:tc>
          <w:tcPr>
            <w:tcW w:w="1264" w:type="dxa"/>
            <w:tcBorders>
              <w:top w:val="nil"/>
              <w:left w:val="nil"/>
              <w:bottom w:val="single" w:sz="8" w:space="0" w:color="auto"/>
              <w:right w:val="single" w:sz="8" w:space="0" w:color="auto"/>
            </w:tcBorders>
            <w:shd w:val="clear" w:color="auto" w:fill="auto"/>
            <w:noWrap/>
            <w:vAlign w:val="center"/>
            <w:hideMark/>
          </w:tcPr>
          <w:p w14:paraId="3891054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2E832A1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260 032</w:t>
            </w:r>
          </w:p>
        </w:tc>
        <w:tc>
          <w:tcPr>
            <w:tcW w:w="1418" w:type="dxa"/>
            <w:tcBorders>
              <w:top w:val="nil"/>
              <w:left w:val="nil"/>
              <w:bottom w:val="single" w:sz="8" w:space="0" w:color="auto"/>
              <w:right w:val="single" w:sz="8" w:space="0" w:color="auto"/>
            </w:tcBorders>
            <w:shd w:val="clear" w:color="auto" w:fill="auto"/>
            <w:noWrap/>
            <w:vAlign w:val="center"/>
            <w:hideMark/>
          </w:tcPr>
          <w:p w14:paraId="78F3676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272 584</w:t>
            </w:r>
          </w:p>
        </w:tc>
        <w:tc>
          <w:tcPr>
            <w:tcW w:w="1418" w:type="dxa"/>
            <w:tcBorders>
              <w:top w:val="nil"/>
              <w:left w:val="nil"/>
              <w:bottom w:val="single" w:sz="8" w:space="0" w:color="auto"/>
              <w:right w:val="single" w:sz="8" w:space="0" w:color="auto"/>
            </w:tcBorders>
            <w:shd w:val="clear" w:color="auto" w:fill="auto"/>
            <w:noWrap/>
            <w:vAlign w:val="center"/>
            <w:hideMark/>
          </w:tcPr>
          <w:p w14:paraId="2CD30EE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283 896</w:t>
            </w:r>
          </w:p>
        </w:tc>
        <w:tc>
          <w:tcPr>
            <w:tcW w:w="1393" w:type="dxa"/>
            <w:tcBorders>
              <w:top w:val="nil"/>
              <w:left w:val="nil"/>
              <w:bottom w:val="single" w:sz="8" w:space="0" w:color="auto"/>
              <w:right w:val="single" w:sz="8" w:space="0" w:color="auto"/>
            </w:tcBorders>
            <w:shd w:val="clear" w:color="auto" w:fill="auto"/>
            <w:noWrap/>
            <w:vAlign w:val="center"/>
            <w:hideMark/>
          </w:tcPr>
          <w:p w14:paraId="37F03D3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8231432"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027DD022"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(157) poistné do rezervného fondu solidarity</w:t>
            </w:r>
          </w:p>
        </w:tc>
        <w:tc>
          <w:tcPr>
            <w:tcW w:w="1264" w:type="dxa"/>
            <w:tcBorders>
              <w:top w:val="nil"/>
              <w:left w:val="nil"/>
              <w:bottom w:val="single" w:sz="8" w:space="0" w:color="auto"/>
              <w:right w:val="single" w:sz="8" w:space="0" w:color="auto"/>
            </w:tcBorders>
            <w:shd w:val="clear" w:color="auto" w:fill="auto"/>
            <w:noWrap/>
            <w:vAlign w:val="center"/>
            <w:hideMark/>
          </w:tcPr>
          <w:p w14:paraId="2FA64B4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19A2624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38 790 963</w:t>
            </w:r>
          </w:p>
        </w:tc>
        <w:tc>
          <w:tcPr>
            <w:tcW w:w="1418" w:type="dxa"/>
            <w:tcBorders>
              <w:top w:val="nil"/>
              <w:left w:val="nil"/>
              <w:bottom w:val="single" w:sz="8" w:space="0" w:color="auto"/>
              <w:right w:val="single" w:sz="8" w:space="0" w:color="auto"/>
            </w:tcBorders>
            <w:shd w:val="clear" w:color="auto" w:fill="auto"/>
            <w:noWrap/>
            <w:vAlign w:val="center"/>
            <w:hideMark/>
          </w:tcPr>
          <w:p w14:paraId="05A0D77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58 890 474</w:t>
            </w:r>
          </w:p>
        </w:tc>
        <w:tc>
          <w:tcPr>
            <w:tcW w:w="1418" w:type="dxa"/>
            <w:tcBorders>
              <w:top w:val="nil"/>
              <w:left w:val="nil"/>
              <w:bottom w:val="single" w:sz="8" w:space="0" w:color="auto"/>
              <w:right w:val="single" w:sz="8" w:space="0" w:color="auto"/>
            </w:tcBorders>
            <w:shd w:val="clear" w:color="auto" w:fill="auto"/>
            <w:noWrap/>
            <w:vAlign w:val="center"/>
            <w:hideMark/>
          </w:tcPr>
          <w:p w14:paraId="0677E23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61 723 840</w:t>
            </w:r>
          </w:p>
        </w:tc>
        <w:tc>
          <w:tcPr>
            <w:tcW w:w="1393" w:type="dxa"/>
            <w:tcBorders>
              <w:top w:val="nil"/>
              <w:left w:val="nil"/>
              <w:bottom w:val="single" w:sz="8" w:space="0" w:color="auto"/>
              <w:right w:val="single" w:sz="8" w:space="0" w:color="auto"/>
            </w:tcBorders>
            <w:shd w:val="clear" w:color="auto" w:fill="auto"/>
            <w:noWrap/>
            <w:vAlign w:val="center"/>
            <w:hideMark/>
          </w:tcPr>
          <w:p w14:paraId="402EA2A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935DF1E"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54CAA418"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(158) poistné na invalidné poistenie</w:t>
            </w:r>
          </w:p>
        </w:tc>
        <w:tc>
          <w:tcPr>
            <w:tcW w:w="1264" w:type="dxa"/>
            <w:tcBorders>
              <w:top w:val="nil"/>
              <w:left w:val="nil"/>
              <w:bottom w:val="single" w:sz="8" w:space="0" w:color="auto"/>
              <w:right w:val="single" w:sz="8" w:space="0" w:color="auto"/>
            </w:tcBorders>
            <w:shd w:val="clear" w:color="auto" w:fill="auto"/>
            <w:noWrap/>
            <w:vAlign w:val="center"/>
            <w:hideMark/>
          </w:tcPr>
          <w:p w14:paraId="7D06161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D8972D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48 999 112</w:t>
            </w:r>
          </w:p>
        </w:tc>
        <w:tc>
          <w:tcPr>
            <w:tcW w:w="1418" w:type="dxa"/>
            <w:tcBorders>
              <w:top w:val="nil"/>
              <w:left w:val="nil"/>
              <w:bottom w:val="single" w:sz="8" w:space="0" w:color="auto"/>
              <w:right w:val="single" w:sz="8" w:space="0" w:color="auto"/>
            </w:tcBorders>
            <w:shd w:val="clear" w:color="auto" w:fill="auto"/>
            <w:noWrap/>
            <w:vAlign w:val="center"/>
            <w:hideMark/>
          </w:tcPr>
          <w:p w14:paraId="4D07E59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74 387 967</w:t>
            </w:r>
          </w:p>
        </w:tc>
        <w:tc>
          <w:tcPr>
            <w:tcW w:w="1418" w:type="dxa"/>
            <w:tcBorders>
              <w:top w:val="nil"/>
              <w:left w:val="nil"/>
              <w:bottom w:val="single" w:sz="8" w:space="0" w:color="auto"/>
              <w:right w:val="single" w:sz="8" w:space="0" w:color="auto"/>
            </w:tcBorders>
            <w:shd w:val="clear" w:color="auto" w:fill="auto"/>
            <w:noWrap/>
            <w:vAlign w:val="center"/>
            <w:hideMark/>
          </w:tcPr>
          <w:p w14:paraId="42FFCE5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77 966 958</w:t>
            </w:r>
          </w:p>
        </w:tc>
        <w:tc>
          <w:tcPr>
            <w:tcW w:w="1393" w:type="dxa"/>
            <w:tcBorders>
              <w:top w:val="nil"/>
              <w:left w:val="nil"/>
              <w:bottom w:val="single" w:sz="8" w:space="0" w:color="auto"/>
              <w:right w:val="single" w:sz="8" w:space="0" w:color="auto"/>
            </w:tcBorders>
            <w:shd w:val="clear" w:color="auto" w:fill="auto"/>
            <w:noWrap/>
            <w:vAlign w:val="center"/>
            <w:hideMark/>
          </w:tcPr>
          <w:p w14:paraId="6A9AA19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1B7DE3B"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2BD63C2"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4" w:type="dxa"/>
            <w:tcBorders>
              <w:top w:val="nil"/>
              <w:left w:val="nil"/>
              <w:bottom w:val="single" w:sz="8" w:space="0" w:color="auto"/>
              <w:right w:val="single" w:sz="8" w:space="0" w:color="auto"/>
            </w:tcBorders>
            <w:shd w:val="clear" w:color="auto" w:fill="auto"/>
            <w:vAlign w:val="center"/>
            <w:hideMark/>
          </w:tcPr>
          <w:p w14:paraId="26A8C57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33AD5F9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vAlign w:val="center"/>
            <w:hideMark/>
          </w:tcPr>
          <w:p w14:paraId="1D3833F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vAlign w:val="center"/>
            <w:hideMark/>
          </w:tcPr>
          <w:p w14:paraId="102F437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003CA5F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3833715"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5D54DAE"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Granty a transfery (300)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4" w:type="dxa"/>
            <w:tcBorders>
              <w:top w:val="nil"/>
              <w:left w:val="nil"/>
              <w:bottom w:val="single" w:sz="8" w:space="0" w:color="auto"/>
              <w:right w:val="single" w:sz="8" w:space="0" w:color="auto"/>
            </w:tcBorders>
            <w:shd w:val="clear" w:color="auto" w:fill="auto"/>
            <w:vAlign w:val="center"/>
            <w:hideMark/>
          </w:tcPr>
          <w:p w14:paraId="1312090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35F1B62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vAlign w:val="center"/>
            <w:hideMark/>
          </w:tcPr>
          <w:p w14:paraId="14E5B0C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vAlign w:val="center"/>
            <w:hideMark/>
          </w:tcPr>
          <w:p w14:paraId="4ABB045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03A1DC0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F48AC51"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BE51D77"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264" w:type="dxa"/>
            <w:tcBorders>
              <w:top w:val="nil"/>
              <w:left w:val="nil"/>
              <w:bottom w:val="single" w:sz="8" w:space="0" w:color="auto"/>
              <w:right w:val="single" w:sz="8" w:space="0" w:color="auto"/>
            </w:tcBorders>
            <w:shd w:val="clear" w:color="auto" w:fill="auto"/>
            <w:vAlign w:val="center"/>
            <w:hideMark/>
          </w:tcPr>
          <w:p w14:paraId="6FA8030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1B88B7C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vAlign w:val="center"/>
            <w:hideMark/>
          </w:tcPr>
          <w:p w14:paraId="66FF029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vAlign w:val="center"/>
            <w:hideMark/>
          </w:tcPr>
          <w:p w14:paraId="6012542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3A3285E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DC0D2A8"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2076362"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264" w:type="dxa"/>
            <w:tcBorders>
              <w:top w:val="nil"/>
              <w:left w:val="nil"/>
              <w:bottom w:val="single" w:sz="8" w:space="0" w:color="auto"/>
              <w:right w:val="single" w:sz="8" w:space="0" w:color="auto"/>
            </w:tcBorders>
            <w:shd w:val="clear" w:color="auto" w:fill="auto"/>
            <w:vAlign w:val="center"/>
            <w:hideMark/>
          </w:tcPr>
          <w:p w14:paraId="507C9D2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57A52F3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vAlign w:val="center"/>
            <w:hideMark/>
          </w:tcPr>
          <w:p w14:paraId="77103EB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vAlign w:val="center"/>
            <w:hideMark/>
          </w:tcPr>
          <w:p w14:paraId="4543037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36E8D85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870D5B1"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095E485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príjmy štátneho rozpočtu celkom</w:t>
            </w:r>
          </w:p>
        </w:tc>
        <w:tc>
          <w:tcPr>
            <w:tcW w:w="1264" w:type="dxa"/>
            <w:tcBorders>
              <w:top w:val="nil"/>
              <w:left w:val="nil"/>
              <w:bottom w:val="single" w:sz="8" w:space="0" w:color="auto"/>
              <w:right w:val="single" w:sz="8" w:space="0" w:color="auto"/>
            </w:tcBorders>
            <w:shd w:val="clear" w:color="000000" w:fill="BFBFBF"/>
            <w:noWrap/>
            <w:vAlign w:val="center"/>
            <w:hideMark/>
          </w:tcPr>
          <w:p w14:paraId="01099B6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noWrap/>
            <w:vAlign w:val="center"/>
            <w:hideMark/>
          </w:tcPr>
          <w:p w14:paraId="689C876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254 288 929</w:t>
            </w:r>
          </w:p>
        </w:tc>
        <w:tc>
          <w:tcPr>
            <w:tcW w:w="1418" w:type="dxa"/>
            <w:tcBorders>
              <w:top w:val="nil"/>
              <w:left w:val="nil"/>
              <w:bottom w:val="single" w:sz="8" w:space="0" w:color="auto"/>
              <w:right w:val="single" w:sz="8" w:space="0" w:color="auto"/>
            </w:tcBorders>
            <w:shd w:val="clear" w:color="000000" w:fill="BFBFBF"/>
            <w:noWrap/>
            <w:vAlign w:val="center"/>
            <w:hideMark/>
          </w:tcPr>
          <w:p w14:paraId="580450D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388 449 854</w:t>
            </w:r>
          </w:p>
        </w:tc>
        <w:tc>
          <w:tcPr>
            <w:tcW w:w="1418" w:type="dxa"/>
            <w:tcBorders>
              <w:top w:val="nil"/>
              <w:left w:val="nil"/>
              <w:bottom w:val="single" w:sz="8" w:space="0" w:color="auto"/>
              <w:right w:val="single" w:sz="8" w:space="0" w:color="auto"/>
            </w:tcBorders>
            <w:shd w:val="clear" w:color="000000" w:fill="BFBFBF"/>
            <w:noWrap/>
            <w:vAlign w:val="center"/>
            <w:hideMark/>
          </w:tcPr>
          <w:p w14:paraId="389E312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407 168 493</w:t>
            </w:r>
          </w:p>
        </w:tc>
        <w:tc>
          <w:tcPr>
            <w:tcW w:w="1393" w:type="dxa"/>
            <w:tcBorders>
              <w:top w:val="nil"/>
              <w:left w:val="nil"/>
              <w:bottom w:val="single" w:sz="8" w:space="0" w:color="auto"/>
              <w:right w:val="single" w:sz="8" w:space="0" w:color="auto"/>
            </w:tcBorders>
            <w:shd w:val="clear" w:color="000000" w:fill="BFBFBF"/>
            <w:vAlign w:val="center"/>
            <w:hideMark/>
          </w:tcPr>
          <w:p w14:paraId="27D09856" w14:textId="77777777" w:rsidR="00AD62CD" w:rsidRPr="00AD62CD" w:rsidRDefault="00AD62CD" w:rsidP="00AD62CD">
            <w:pPr>
              <w:spacing w:after="0" w:line="240" w:lineRule="auto"/>
              <w:ind w:firstLineChars="400" w:firstLine="803"/>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r w:rsidR="00AD62CD" w:rsidRPr="00AD62CD" w14:paraId="00EF6B17" w14:textId="77777777" w:rsidTr="003627DF">
        <w:trPr>
          <w:trHeight w:val="255"/>
        </w:trPr>
        <w:tc>
          <w:tcPr>
            <w:tcW w:w="7361" w:type="dxa"/>
            <w:tcBorders>
              <w:top w:val="nil"/>
              <w:left w:val="nil"/>
              <w:bottom w:val="nil"/>
              <w:right w:val="nil"/>
            </w:tcBorders>
            <w:shd w:val="clear" w:color="auto" w:fill="auto"/>
            <w:noWrap/>
            <w:vAlign w:val="center"/>
            <w:hideMark/>
          </w:tcPr>
          <w:p w14:paraId="6BC28E7C" w14:textId="77777777" w:rsidR="00AD62CD" w:rsidRPr="00AD62CD" w:rsidRDefault="00AD62CD" w:rsidP="00AD62CD">
            <w:pPr>
              <w:spacing w:after="0" w:line="240" w:lineRule="auto"/>
              <w:jc w:val="both"/>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  príjmy rozpísať až do položiek platnej ekonomickej klasifikácie</w:t>
            </w:r>
          </w:p>
        </w:tc>
        <w:tc>
          <w:tcPr>
            <w:tcW w:w="1264" w:type="dxa"/>
            <w:tcBorders>
              <w:top w:val="nil"/>
              <w:left w:val="nil"/>
              <w:bottom w:val="nil"/>
              <w:right w:val="nil"/>
            </w:tcBorders>
            <w:shd w:val="clear" w:color="auto" w:fill="auto"/>
            <w:vAlign w:val="center"/>
            <w:hideMark/>
          </w:tcPr>
          <w:p w14:paraId="21E12B2D" w14:textId="77777777" w:rsidR="00AD62CD" w:rsidRPr="00AD62CD" w:rsidRDefault="00AD62CD" w:rsidP="00AD62CD">
            <w:pPr>
              <w:spacing w:after="0" w:line="240" w:lineRule="auto"/>
              <w:jc w:val="both"/>
              <w:rPr>
                <w:rFonts w:ascii="Times New Roman" w:eastAsia="Calibri" w:hAnsi="Times New Roman" w:cs="Times New Roman"/>
                <w:color w:val="000000"/>
                <w:kern w:val="0"/>
                <w:sz w:val="20"/>
                <w:szCs w:val="20"/>
                <w:lang w:eastAsia="sk-SK"/>
                <w14:ligatures w14:val="none"/>
              </w:rPr>
            </w:pPr>
          </w:p>
        </w:tc>
        <w:tc>
          <w:tcPr>
            <w:tcW w:w="1360" w:type="dxa"/>
            <w:tcBorders>
              <w:top w:val="nil"/>
              <w:left w:val="nil"/>
              <w:bottom w:val="nil"/>
              <w:right w:val="nil"/>
            </w:tcBorders>
            <w:shd w:val="clear" w:color="auto" w:fill="auto"/>
            <w:vAlign w:val="center"/>
            <w:hideMark/>
          </w:tcPr>
          <w:p w14:paraId="56422833"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p>
        </w:tc>
        <w:tc>
          <w:tcPr>
            <w:tcW w:w="1418" w:type="dxa"/>
            <w:tcBorders>
              <w:top w:val="nil"/>
              <w:left w:val="nil"/>
              <w:bottom w:val="nil"/>
              <w:right w:val="nil"/>
            </w:tcBorders>
            <w:shd w:val="clear" w:color="auto" w:fill="auto"/>
            <w:vAlign w:val="center"/>
            <w:hideMark/>
          </w:tcPr>
          <w:p w14:paraId="430D17FA"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p>
        </w:tc>
        <w:tc>
          <w:tcPr>
            <w:tcW w:w="1418" w:type="dxa"/>
            <w:tcBorders>
              <w:top w:val="nil"/>
              <w:left w:val="nil"/>
              <w:bottom w:val="nil"/>
              <w:right w:val="nil"/>
            </w:tcBorders>
            <w:shd w:val="clear" w:color="auto" w:fill="auto"/>
            <w:vAlign w:val="center"/>
            <w:hideMark/>
          </w:tcPr>
          <w:p w14:paraId="685D976D"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p>
        </w:tc>
        <w:tc>
          <w:tcPr>
            <w:tcW w:w="1393" w:type="dxa"/>
            <w:tcBorders>
              <w:top w:val="nil"/>
              <w:left w:val="nil"/>
              <w:bottom w:val="nil"/>
              <w:right w:val="nil"/>
            </w:tcBorders>
            <w:shd w:val="clear" w:color="auto" w:fill="auto"/>
            <w:vAlign w:val="center"/>
            <w:hideMark/>
          </w:tcPr>
          <w:p w14:paraId="698726FB"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p>
        </w:tc>
      </w:tr>
    </w:tbl>
    <w:p w14:paraId="7BEC0727"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28DB4D0B"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00277757"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0519FE01"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 </w:t>
      </w:r>
    </w:p>
    <w:p w14:paraId="51322516" w14:textId="77777777" w:rsidR="00AD62CD" w:rsidRPr="00AD62CD" w:rsidRDefault="00AD62CD" w:rsidP="00AD62CD">
      <w:pPr>
        <w:spacing w:after="200" w:line="276" w:lineRule="auto"/>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br w:type="page"/>
      </w:r>
    </w:p>
    <w:p w14:paraId="0BC5921A"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p>
    <w:p w14:paraId="35829942"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3-2 </w:t>
      </w:r>
    </w:p>
    <w:p w14:paraId="6E3E3A16"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4215" w:type="dxa"/>
        <w:tblCellMar>
          <w:left w:w="70" w:type="dxa"/>
          <w:right w:w="70" w:type="dxa"/>
        </w:tblCellMar>
        <w:tblLook w:val="04A0" w:firstRow="1" w:lastRow="0" w:firstColumn="1" w:lastColumn="0" w:noHBand="0" w:noVBand="1"/>
      </w:tblPr>
      <w:tblGrid>
        <w:gridCol w:w="7361"/>
        <w:gridCol w:w="1267"/>
        <w:gridCol w:w="1359"/>
        <w:gridCol w:w="1418"/>
        <w:gridCol w:w="1417"/>
        <w:gridCol w:w="1393"/>
      </w:tblGrid>
      <w:tr w:rsidR="00AD62CD" w:rsidRPr="00AD62CD" w14:paraId="03D26290"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447584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štátneho rozpočtu (v eurách)</w:t>
            </w:r>
          </w:p>
        </w:tc>
        <w:tc>
          <w:tcPr>
            <w:tcW w:w="5461" w:type="dxa"/>
            <w:gridSpan w:val="4"/>
            <w:tcBorders>
              <w:top w:val="single" w:sz="8" w:space="0" w:color="auto"/>
              <w:left w:val="nil"/>
              <w:bottom w:val="single" w:sz="8" w:space="0" w:color="auto"/>
              <w:right w:val="single" w:sz="8" w:space="0" w:color="000000"/>
            </w:tcBorders>
            <w:shd w:val="clear" w:color="000000" w:fill="BFBFBF"/>
            <w:vAlign w:val="center"/>
            <w:hideMark/>
          </w:tcPr>
          <w:p w14:paraId="2012600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štátny rozpočet</w:t>
            </w:r>
          </w:p>
        </w:tc>
        <w:tc>
          <w:tcPr>
            <w:tcW w:w="1393" w:type="dxa"/>
            <w:tcBorders>
              <w:top w:val="single" w:sz="8" w:space="0" w:color="auto"/>
              <w:left w:val="nil"/>
              <w:bottom w:val="nil"/>
              <w:right w:val="single" w:sz="8" w:space="0" w:color="auto"/>
            </w:tcBorders>
            <w:shd w:val="clear" w:color="000000" w:fill="BFBFBF"/>
            <w:noWrap/>
            <w:vAlign w:val="center"/>
            <w:hideMark/>
          </w:tcPr>
          <w:p w14:paraId="7BFBBEC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4D8AFC37"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391BDD71"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67" w:type="dxa"/>
            <w:tcBorders>
              <w:top w:val="nil"/>
              <w:left w:val="nil"/>
              <w:bottom w:val="single" w:sz="8" w:space="0" w:color="auto"/>
              <w:right w:val="single" w:sz="8" w:space="0" w:color="auto"/>
            </w:tcBorders>
            <w:shd w:val="clear" w:color="000000" w:fill="BFBFBF"/>
            <w:vAlign w:val="center"/>
            <w:hideMark/>
          </w:tcPr>
          <w:p w14:paraId="7D0B1B8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59" w:type="dxa"/>
            <w:tcBorders>
              <w:top w:val="nil"/>
              <w:left w:val="nil"/>
              <w:bottom w:val="single" w:sz="8" w:space="0" w:color="auto"/>
              <w:right w:val="single" w:sz="8" w:space="0" w:color="auto"/>
            </w:tcBorders>
            <w:shd w:val="clear" w:color="000000" w:fill="BFBFBF"/>
            <w:vAlign w:val="center"/>
            <w:hideMark/>
          </w:tcPr>
          <w:p w14:paraId="2E2CF8D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18" w:type="dxa"/>
            <w:tcBorders>
              <w:top w:val="nil"/>
              <w:left w:val="nil"/>
              <w:bottom w:val="single" w:sz="8" w:space="0" w:color="auto"/>
              <w:right w:val="single" w:sz="8" w:space="0" w:color="auto"/>
            </w:tcBorders>
            <w:shd w:val="clear" w:color="000000" w:fill="BFBFBF"/>
            <w:vAlign w:val="center"/>
            <w:hideMark/>
          </w:tcPr>
          <w:p w14:paraId="0E5248D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17" w:type="dxa"/>
            <w:tcBorders>
              <w:top w:val="nil"/>
              <w:left w:val="nil"/>
              <w:bottom w:val="single" w:sz="8" w:space="0" w:color="auto"/>
              <w:right w:val="single" w:sz="8" w:space="0" w:color="auto"/>
            </w:tcBorders>
            <w:shd w:val="clear" w:color="000000" w:fill="BFBFBF"/>
            <w:vAlign w:val="center"/>
            <w:hideMark/>
          </w:tcPr>
          <w:p w14:paraId="05C1FF1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93" w:type="dxa"/>
            <w:tcBorders>
              <w:top w:val="nil"/>
              <w:left w:val="nil"/>
              <w:bottom w:val="single" w:sz="8" w:space="0" w:color="auto"/>
              <w:right w:val="single" w:sz="8" w:space="0" w:color="auto"/>
            </w:tcBorders>
            <w:shd w:val="clear" w:color="000000" w:fill="BFBFBF"/>
            <w:noWrap/>
            <w:vAlign w:val="center"/>
            <w:hideMark/>
          </w:tcPr>
          <w:p w14:paraId="7E63965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r w:rsidR="00AD62CD" w:rsidRPr="00AD62CD" w14:paraId="14B7C6A6"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7FAB2CE"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7" w:type="dxa"/>
            <w:tcBorders>
              <w:top w:val="nil"/>
              <w:left w:val="nil"/>
              <w:bottom w:val="single" w:sz="8" w:space="0" w:color="auto"/>
              <w:right w:val="single" w:sz="8" w:space="0" w:color="auto"/>
            </w:tcBorders>
            <w:shd w:val="clear" w:color="auto" w:fill="auto"/>
            <w:vAlign w:val="center"/>
            <w:hideMark/>
          </w:tcPr>
          <w:p w14:paraId="17AA671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shd w:val="clear" w:color="auto" w:fill="auto"/>
            <w:vAlign w:val="center"/>
            <w:hideMark/>
          </w:tcPr>
          <w:p w14:paraId="7F41F0E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-13 450 402</w:t>
            </w:r>
          </w:p>
        </w:tc>
        <w:tc>
          <w:tcPr>
            <w:tcW w:w="1418" w:type="dxa"/>
            <w:tcBorders>
              <w:top w:val="nil"/>
              <w:left w:val="nil"/>
              <w:bottom w:val="single" w:sz="8" w:space="0" w:color="auto"/>
              <w:right w:val="single" w:sz="8" w:space="0" w:color="auto"/>
            </w:tcBorders>
            <w:shd w:val="clear" w:color="auto" w:fill="auto"/>
            <w:vAlign w:val="center"/>
            <w:hideMark/>
          </w:tcPr>
          <w:p w14:paraId="1FC3274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-10 088 175</w:t>
            </w:r>
          </w:p>
        </w:tc>
        <w:tc>
          <w:tcPr>
            <w:tcW w:w="1417" w:type="dxa"/>
            <w:tcBorders>
              <w:top w:val="nil"/>
              <w:left w:val="nil"/>
              <w:bottom w:val="single" w:sz="8" w:space="0" w:color="auto"/>
              <w:right w:val="single" w:sz="8" w:space="0" w:color="auto"/>
            </w:tcBorders>
            <w:shd w:val="clear" w:color="auto" w:fill="auto"/>
            <w:vAlign w:val="center"/>
            <w:hideMark/>
          </w:tcPr>
          <w:p w14:paraId="1CC5CCF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-6 024 414</w:t>
            </w:r>
          </w:p>
        </w:tc>
        <w:tc>
          <w:tcPr>
            <w:tcW w:w="1393" w:type="dxa"/>
            <w:tcBorders>
              <w:top w:val="nil"/>
              <w:left w:val="nil"/>
              <w:bottom w:val="single" w:sz="8" w:space="0" w:color="auto"/>
              <w:right w:val="single" w:sz="8" w:space="0" w:color="auto"/>
            </w:tcBorders>
            <w:shd w:val="clear" w:color="auto" w:fill="auto"/>
            <w:noWrap/>
            <w:vAlign w:val="center"/>
            <w:hideMark/>
          </w:tcPr>
          <w:p w14:paraId="6B541BB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36A99E6"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694C8453"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267" w:type="dxa"/>
            <w:tcBorders>
              <w:top w:val="nil"/>
              <w:left w:val="nil"/>
              <w:bottom w:val="single" w:sz="8" w:space="0" w:color="auto"/>
              <w:right w:val="single" w:sz="8" w:space="0" w:color="auto"/>
            </w:tcBorders>
            <w:shd w:val="clear" w:color="auto" w:fill="auto"/>
            <w:noWrap/>
            <w:vAlign w:val="center"/>
            <w:hideMark/>
          </w:tcPr>
          <w:p w14:paraId="377D62E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shd w:val="clear" w:color="auto" w:fill="auto"/>
            <w:noWrap/>
            <w:vAlign w:val="center"/>
            <w:hideMark/>
          </w:tcPr>
          <w:p w14:paraId="60492B3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-11 272 885</w:t>
            </w:r>
          </w:p>
        </w:tc>
        <w:tc>
          <w:tcPr>
            <w:tcW w:w="1418" w:type="dxa"/>
            <w:tcBorders>
              <w:top w:val="nil"/>
              <w:left w:val="nil"/>
              <w:bottom w:val="single" w:sz="8" w:space="0" w:color="auto"/>
              <w:right w:val="single" w:sz="8" w:space="0" w:color="auto"/>
            </w:tcBorders>
            <w:shd w:val="clear" w:color="auto" w:fill="auto"/>
            <w:noWrap/>
            <w:vAlign w:val="center"/>
            <w:hideMark/>
          </w:tcPr>
          <w:p w14:paraId="720AAB6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-7 851 983</w:t>
            </w:r>
          </w:p>
        </w:tc>
        <w:tc>
          <w:tcPr>
            <w:tcW w:w="1417" w:type="dxa"/>
            <w:tcBorders>
              <w:top w:val="nil"/>
              <w:left w:val="nil"/>
              <w:bottom w:val="single" w:sz="8" w:space="0" w:color="auto"/>
              <w:right w:val="single" w:sz="8" w:space="0" w:color="auto"/>
            </w:tcBorders>
            <w:shd w:val="clear" w:color="auto" w:fill="auto"/>
            <w:noWrap/>
            <w:vAlign w:val="center"/>
            <w:hideMark/>
          </w:tcPr>
          <w:p w14:paraId="1E5E558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-3 695 418</w:t>
            </w:r>
          </w:p>
        </w:tc>
        <w:tc>
          <w:tcPr>
            <w:tcW w:w="1393" w:type="dxa"/>
            <w:tcBorders>
              <w:top w:val="nil"/>
              <w:left w:val="nil"/>
              <w:bottom w:val="single" w:sz="8" w:space="0" w:color="auto"/>
              <w:right w:val="single" w:sz="8" w:space="0" w:color="auto"/>
            </w:tcBorders>
            <w:shd w:val="clear" w:color="auto" w:fill="auto"/>
            <w:noWrap/>
            <w:vAlign w:val="center"/>
            <w:hideMark/>
          </w:tcPr>
          <w:p w14:paraId="2403DE0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F6D5297"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6B9EEC16"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(112) daň z príjmov právnických osôb</w:t>
            </w:r>
          </w:p>
        </w:tc>
        <w:tc>
          <w:tcPr>
            <w:tcW w:w="1267" w:type="dxa"/>
            <w:tcBorders>
              <w:top w:val="nil"/>
              <w:left w:val="nil"/>
              <w:bottom w:val="single" w:sz="8" w:space="0" w:color="auto"/>
              <w:right w:val="single" w:sz="8" w:space="0" w:color="auto"/>
            </w:tcBorders>
            <w:shd w:val="clear" w:color="auto" w:fill="auto"/>
            <w:noWrap/>
            <w:vAlign w:val="center"/>
            <w:hideMark/>
          </w:tcPr>
          <w:p w14:paraId="4AD3F88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shd w:val="clear" w:color="auto" w:fill="auto"/>
            <w:noWrap/>
            <w:vAlign w:val="center"/>
            <w:hideMark/>
          </w:tcPr>
          <w:p w14:paraId="40F2730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-2 177 517</w:t>
            </w:r>
          </w:p>
        </w:tc>
        <w:tc>
          <w:tcPr>
            <w:tcW w:w="1418" w:type="dxa"/>
            <w:tcBorders>
              <w:top w:val="nil"/>
              <w:left w:val="nil"/>
              <w:bottom w:val="single" w:sz="8" w:space="0" w:color="auto"/>
              <w:right w:val="single" w:sz="8" w:space="0" w:color="auto"/>
            </w:tcBorders>
            <w:shd w:val="clear" w:color="auto" w:fill="auto"/>
            <w:noWrap/>
            <w:vAlign w:val="center"/>
            <w:hideMark/>
          </w:tcPr>
          <w:p w14:paraId="303332B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-2 236 192</w:t>
            </w:r>
          </w:p>
        </w:tc>
        <w:tc>
          <w:tcPr>
            <w:tcW w:w="1417" w:type="dxa"/>
            <w:tcBorders>
              <w:top w:val="nil"/>
              <w:left w:val="nil"/>
              <w:bottom w:val="single" w:sz="8" w:space="0" w:color="auto"/>
              <w:right w:val="single" w:sz="8" w:space="0" w:color="auto"/>
            </w:tcBorders>
            <w:shd w:val="clear" w:color="auto" w:fill="auto"/>
            <w:noWrap/>
            <w:vAlign w:val="center"/>
            <w:hideMark/>
          </w:tcPr>
          <w:p w14:paraId="372DCDF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-2 328 996</w:t>
            </w:r>
          </w:p>
        </w:tc>
        <w:tc>
          <w:tcPr>
            <w:tcW w:w="1393" w:type="dxa"/>
            <w:tcBorders>
              <w:top w:val="nil"/>
              <w:left w:val="nil"/>
              <w:bottom w:val="single" w:sz="8" w:space="0" w:color="auto"/>
              <w:right w:val="single" w:sz="8" w:space="0" w:color="auto"/>
            </w:tcBorders>
            <w:shd w:val="clear" w:color="auto" w:fill="auto"/>
            <w:noWrap/>
            <w:vAlign w:val="center"/>
            <w:hideMark/>
          </w:tcPr>
          <w:p w14:paraId="7343E9C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92489A6"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0061ABB"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7" w:type="dxa"/>
            <w:tcBorders>
              <w:top w:val="nil"/>
              <w:left w:val="nil"/>
              <w:bottom w:val="single" w:sz="8" w:space="0" w:color="auto"/>
              <w:right w:val="single" w:sz="8" w:space="0" w:color="auto"/>
            </w:tcBorders>
            <w:shd w:val="clear" w:color="auto" w:fill="auto"/>
            <w:noWrap/>
            <w:vAlign w:val="center"/>
            <w:hideMark/>
          </w:tcPr>
          <w:p w14:paraId="353C7AC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shd w:val="clear" w:color="auto" w:fill="auto"/>
            <w:noWrap/>
            <w:vAlign w:val="center"/>
            <w:hideMark/>
          </w:tcPr>
          <w:p w14:paraId="6C3E440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noWrap/>
            <w:vAlign w:val="center"/>
            <w:hideMark/>
          </w:tcPr>
          <w:p w14:paraId="2BC3F14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170BB75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37844A5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14BEF03"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9C19F4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Granty a transfery (300)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7" w:type="dxa"/>
            <w:tcBorders>
              <w:top w:val="nil"/>
              <w:left w:val="nil"/>
              <w:bottom w:val="single" w:sz="8" w:space="0" w:color="auto"/>
              <w:right w:val="single" w:sz="8" w:space="0" w:color="auto"/>
            </w:tcBorders>
            <w:shd w:val="clear" w:color="auto" w:fill="auto"/>
            <w:noWrap/>
            <w:vAlign w:val="center"/>
            <w:hideMark/>
          </w:tcPr>
          <w:p w14:paraId="5408A8A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shd w:val="clear" w:color="auto" w:fill="auto"/>
            <w:noWrap/>
            <w:vAlign w:val="center"/>
            <w:hideMark/>
          </w:tcPr>
          <w:p w14:paraId="6B3A250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noWrap/>
            <w:vAlign w:val="center"/>
            <w:hideMark/>
          </w:tcPr>
          <w:p w14:paraId="30AB065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2C1DE84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1264D4F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BE1C3DC"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91D1EA8"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267" w:type="dxa"/>
            <w:tcBorders>
              <w:top w:val="nil"/>
              <w:left w:val="nil"/>
              <w:bottom w:val="single" w:sz="8" w:space="0" w:color="auto"/>
              <w:right w:val="single" w:sz="8" w:space="0" w:color="auto"/>
            </w:tcBorders>
            <w:shd w:val="clear" w:color="auto" w:fill="auto"/>
            <w:noWrap/>
            <w:vAlign w:val="center"/>
            <w:hideMark/>
          </w:tcPr>
          <w:p w14:paraId="0D2DE15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shd w:val="clear" w:color="auto" w:fill="auto"/>
            <w:noWrap/>
            <w:vAlign w:val="center"/>
            <w:hideMark/>
          </w:tcPr>
          <w:p w14:paraId="342A4C9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noWrap/>
            <w:vAlign w:val="center"/>
            <w:hideMark/>
          </w:tcPr>
          <w:p w14:paraId="55C977C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2D05D4B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53BEDAE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58CD68B"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F23C23C"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267" w:type="dxa"/>
            <w:tcBorders>
              <w:top w:val="nil"/>
              <w:left w:val="nil"/>
              <w:bottom w:val="single" w:sz="8" w:space="0" w:color="auto"/>
              <w:right w:val="single" w:sz="8" w:space="0" w:color="auto"/>
            </w:tcBorders>
            <w:shd w:val="clear" w:color="auto" w:fill="auto"/>
            <w:noWrap/>
            <w:vAlign w:val="center"/>
            <w:hideMark/>
          </w:tcPr>
          <w:p w14:paraId="19DF668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shd w:val="clear" w:color="auto" w:fill="auto"/>
            <w:noWrap/>
            <w:vAlign w:val="center"/>
            <w:hideMark/>
          </w:tcPr>
          <w:p w14:paraId="2A6DA7F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noWrap/>
            <w:vAlign w:val="center"/>
            <w:hideMark/>
          </w:tcPr>
          <w:p w14:paraId="4BD1241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3162682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2741E22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6EDA78E"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270F6212"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príjmy štátneho rozpočtu celkom</w:t>
            </w:r>
          </w:p>
        </w:tc>
        <w:tc>
          <w:tcPr>
            <w:tcW w:w="1267" w:type="dxa"/>
            <w:tcBorders>
              <w:top w:val="nil"/>
              <w:left w:val="nil"/>
              <w:bottom w:val="single" w:sz="8" w:space="0" w:color="auto"/>
              <w:right w:val="single" w:sz="8" w:space="0" w:color="auto"/>
            </w:tcBorders>
            <w:shd w:val="clear" w:color="000000" w:fill="BFBFBF"/>
            <w:noWrap/>
            <w:vAlign w:val="center"/>
            <w:hideMark/>
          </w:tcPr>
          <w:p w14:paraId="143222A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9" w:type="dxa"/>
            <w:tcBorders>
              <w:top w:val="nil"/>
              <w:left w:val="nil"/>
              <w:bottom w:val="single" w:sz="8" w:space="0" w:color="auto"/>
              <w:right w:val="single" w:sz="8" w:space="0" w:color="auto"/>
            </w:tcBorders>
            <w:shd w:val="clear" w:color="000000" w:fill="BFBFBF"/>
            <w:noWrap/>
            <w:vAlign w:val="center"/>
            <w:hideMark/>
          </w:tcPr>
          <w:p w14:paraId="62676F6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-13 450 402</w:t>
            </w:r>
          </w:p>
        </w:tc>
        <w:tc>
          <w:tcPr>
            <w:tcW w:w="1418" w:type="dxa"/>
            <w:tcBorders>
              <w:top w:val="nil"/>
              <w:left w:val="nil"/>
              <w:bottom w:val="single" w:sz="8" w:space="0" w:color="auto"/>
              <w:right w:val="single" w:sz="8" w:space="0" w:color="auto"/>
            </w:tcBorders>
            <w:shd w:val="clear" w:color="000000" w:fill="BFBFBF"/>
            <w:noWrap/>
            <w:vAlign w:val="center"/>
            <w:hideMark/>
          </w:tcPr>
          <w:p w14:paraId="35289D8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-10 088 175</w:t>
            </w:r>
          </w:p>
        </w:tc>
        <w:tc>
          <w:tcPr>
            <w:tcW w:w="1417" w:type="dxa"/>
            <w:tcBorders>
              <w:top w:val="nil"/>
              <w:left w:val="nil"/>
              <w:bottom w:val="single" w:sz="8" w:space="0" w:color="auto"/>
              <w:right w:val="single" w:sz="8" w:space="0" w:color="auto"/>
            </w:tcBorders>
            <w:shd w:val="clear" w:color="000000" w:fill="BFBFBF"/>
            <w:noWrap/>
            <w:vAlign w:val="center"/>
            <w:hideMark/>
          </w:tcPr>
          <w:p w14:paraId="722F195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-6 024 414</w:t>
            </w:r>
          </w:p>
        </w:tc>
        <w:tc>
          <w:tcPr>
            <w:tcW w:w="1393" w:type="dxa"/>
            <w:tcBorders>
              <w:top w:val="nil"/>
              <w:left w:val="nil"/>
              <w:bottom w:val="single" w:sz="8" w:space="0" w:color="auto"/>
              <w:right w:val="single" w:sz="8" w:space="0" w:color="auto"/>
            </w:tcBorders>
            <w:shd w:val="clear" w:color="000000" w:fill="BFBFBF"/>
            <w:vAlign w:val="center"/>
            <w:hideMark/>
          </w:tcPr>
          <w:p w14:paraId="13EC9A71" w14:textId="77777777" w:rsidR="00AD62CD" w:rsidRPr="00AD62CD" w:rsidRDefault="00AD62CD" w:rsidP="00AD62CD">
            <w:pPr>
              <w:spacing w:after="0" w:line="240" w:lineRule="auto"/>
              <w:ind w:firstLineChars="400" w:firstLine="803"/>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bl>
    <w:p w14:paraId="1641EFDE"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7A9BE618"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49D72DBD"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5F0291C9" w14:textId="77777777" w:rsidR="00AD62CD" w:rsidRPr="00AD62CD" w:rsidRDefault="00AD62CD" w:rsidP="00AD62CD">
      <w:pPr>
        <w:spacing w:after="200" w:line="276" w:lineRule="auto"/>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br w:type="page"/>
      </w:r>
    </w:p>
    <w:p w14:paraId="009FBBF7" w14:textId="77777777" w:rsidR="00AD62CD" w:rsidRPr="00AD62CD" w:rsidRDefault="00AD62CD" w:rsidP="00AD62CD">
      <w:pPr>
        <w:tabs>
          <w:tab w:val="num" w:pos="1080"/>
        </w:tabs>
        <w:spacing w:after="0" w:line="240" w:lineRule="auto"/>
        <w:ind w:right="-578"/>
        <w:rPr>
          <w:rFonts w:ascii="Times New Roman" w:eastAsia="Calibri" w:hAnsi="Times New Roman" w:cs="Times New Roman"/>
          <w:bCs/>
          <w:kern w:val="0"/>
          <w:lang w:eastAsia="sk-SK"/>
          <w14:ligatures w14:val="none"/>
        </w:rPr>
      </w:pPr>
    </w:p>
    <w:p w14:paraId="0AFAB472"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3-3 </w:t>
      </w:r>
    </w:p>
    <w:p w14:paraId="4EE9385B"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4214" w:type="dxa"/>
        <w:tblCellMar>
          <w:left w:w="70" w:type="dxa"/>
          <w:right w:w="70" w:type="dxa"/>
        </w:tblCellMar>
        <w:tblLook w:val="04A0" w:firstRow="1" w:lastRow="0" w:firstColumn="1" w:lastColumn="0" w:noHBand="0" w:noVBand="1"/>
      </w:tblPr>
      <w:tblGrid>
        <w:gridCol w:w="7361"/>
        <w:gridCol w:w="1269"/>
        <w:gridCol w:w="1356"/>
        <w:gridCol w:w="1417"/>
        <w:gridCol w:w="1418"/>
        <w:gridCol w:w="1393"/>
      </w:tblGrid>
      <w:tr w:rsidR="00AD62CD" w:rsidRPr="00AD62CD" w14:paraId="33C7B45E"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423D03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obcí (v eurách)</w:t>
            </w:r>
          </w:p>
        </w:tc>
        <w:tc>
          <w:tcPr>
            <w:tcW w:w="5460" w:type="dxa"/>
            <w:gridSpan w:val="4"/>
            <w:tcBorders>
              <w:top w:val="single" w:sz="8" w:space="0" w:color="auto"/>
              <w:left w:val="nil"/>
              <w:bottom w:val="single" w:sz="8" w:space="0" w:color="auto"/>
              <w:right w:val="single" w:sz="8" w:space="0" w:color="000000"/>
            </w:tcBorders>
            <w:shd w:val="clear" w:color="000000" w:fill="BFBFBF"/>
            <w:vAlign w:val="center"/>
            <w:hideMark/>
          </w:tcPr>
          <w:p w14:paraId="4CF7A559"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obcí</w:t>
            </w:r>
          </w:p>
        </w:tc>
        <w:tc>
          <w:tcPr>
            <w:tcW w:w="1393" w:type="dxa"/>
            <w:tcBorders>
              <w:top w:val="single" w:sz="8" w:space="0" w:color="auto"/>
              <w:left w:val="nil"/>
              <w:bottom w:val="nil"/>
              <w:right w:val="single" w:sz="8" w:space="0" w:color="auto"/>
            </w:tcBorders>
            <w:shd w:val="clear" w:color="000000" w:fill="BFBFBF"/>
            <w:noWrap/>
            <w:vAlign w:val="center"/>
            <w:hideMark/>
          </w:tcPr>
          <w:p w14:paraId="538F193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04E09AAE"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0F5F3C04"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69" w:type="dxa"/>
            <w:tcBorders>
              <w:top w:val="nil"/>
              <w:left w:val="nil"/>
              <w:bottom w:val="single" w:sz="8" w:space="0" w:color="auto"/>
              <w:right w:val="single" w:sz="8" w:space="0" w:color="auto"/>
            </w:tcBorders>
            <w:shd w:val="clear" w:color="000000" w:fill="BFBFBF"/>
            <w:vAlign w:val="center"/>
            <w:hideMark/>
          </w:tcPr>
          <w:p w14:paraId="538E0BF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56" w:type="dxa"/>
            <w:tcBorders>
              <w:top w:val="nil"/>
              <w:left w:val="nil"/>
              <w:bottom w:val="single" w:sz="8" w:space="0" w:color="auto"/>
              <w:right w:val="single" w:sz="8" w:space="0" w:color="auto"/>
            </w:tcBorders>
            <w:shd w:val="clear" w:color="000000" w:fill="BFBFBF"/>
            <w:vAlign w:val="center"/>
            <w:hideMark/>
          </w:tcPr>
          <w:p w14:paraId="0B6DEA8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17" w:type="dxa"/>
            <w:tcBorders>
              <w:top w:val="nil"/>
              <w:left w:val="nil"/>
              <w:bottom w:val="single" w:sz="8" w:space="0" w:color="auto"/>
              <w:right w:val="single" w:sz="8" w:space="0" w:color="auto"/>
            </w:tcBorders>
            <w:shd w:val="clear" w:color="000000" w:fill="BFBFBF"/>
            <w:vAlign w:val="center"/>
            <w:hideMark/>
          </w:tcPr>
          <w:p w14:paraId="12CA46A9"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18" w:type="dxa"/>
            <w:tcBorders>
              <w:top w:val="nil"/>
              <w:left w:val="nil"/>
              <w:bottom w:val="single" w:sz="8" w:space="0" w:color="auto"/>
              <w:right w:val="single" w:sz="8" w:space="0" w:color="auto"/>
            </w:tcBorders>
            <w:shd w:val="clear" w:color="000000" w:fill="BFBFBF"/>
            <w:vAlign w:val="center"/>
            <w:hideMark/>
          </w:tcPr>
          <w:p w14:paraId="7505752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93" w:type="dxa"/>
            <w:tcBorders>
              <w:top w:val="nil"/>
              <w:left w:val="nil"/>
              <w:bottom w:val="single" w:sz="8" w:space="0" w:color="auto"/>
              <w:right w:val="single" w:sz="8" w:space="0" w:color="auto"/>
            </w:tcBorders>
            <w:shd w:val="clear" w:color="000000" w:fill="BFBFBF"/>
            <w:noWrap/>
            <w:vAlign w:val="center"/>
            <w:hideMark/>
          </w:tcPr>
          <w:p w14:paraId="6D6CE02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r w:rsidR="00AD62CD" w:rsidRPr="00AD62CD" w14:paraId="03A7F957"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79ABC9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9" w:type="dxa"/>
            <w:tcBorders>
              <w:top w:val="nil"/>
              <w:left w:val="nil"/>
              <w:bottom w:val="single" w:sz="8" w:space="0" w:color="auto"/>
              <w:right w:val="single" w:sz="8" w:space="0" w:color="auto"/>
            </w:tcBorders>
            <w:shd w:val="clear" w:color="auto" w:fill="auto"/>
            <w:vAlign w:val="center"/>
            <w:hideMark/>
          </w:tcPr>
          <w:p w14:paraId="464182E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auto" w:fill="auto"/>
            <w:vAlign w:val="center"/>
            <w:hideMark/>
          </w:tcPr>
          <w:p w14:paraId="5A47016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xml:space="preserve">-870 771 </w:t>
            </w:r>
          </w:p>
        </w:tc>
        <w:tc>
          <w:tcPr>
            <w:tcW w:w="1417" w:type="dxa"/>
            <w:tcBorders>
              <w:top w:val="nil"/>
              <w:left w:val="nil"/>
              <w:bottom w:val="single" w:sz="8" w:space="0" w:color="auto"/>
              <w:right w:val="single" w:sz="8" w:space="0" w:color="auto"/>
            </w:tcBorders>
            <w:shd w:val="clear" w:color="auto" w:fill="auto"/>
            <w:vAlign w:val="center"/>
            <w:hideMark/>
          </w:tcPr>
          <w:p w14:paraId="710CA19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xml:space="preserve">-6 990 066 </w:t>
            </w:r>
          </w:p>
        </w:tc>
        <w:tc>
          <w:tcPr>
            <w:tcW w:w="1418" w:type="dxa"/>
            <w:tcBorders>
              <w:top w:val="nil"/>
              <w:left w:val="nil"/>
              <w:bottom w:val="single" w:sz="8" w:space="0" w:color="auto"/>
              <w:right w:val="single" w:sz="8" w:space="0" w:color="auto"/>
            </w:tcBorders>
            <w:shd w:val="clear" w:color="auto" w:fill="auto"/>
            <w:vAlign w:val="center"/>
            <w:hideMark/>
          </w:tcPr>
          <w:p w14:paraId="0C9FA59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xml:space="preserve">-10 277 920 </w:t>
            </w:r>
          </w:p>
        </w:tc>
        <w:tc>
          <w:tcPr>
            <w:tcW w:w="1393" w:type="dxa"/>
            <w:tcBorders>
              <w:top w:val="nil"/>
              <w:left w:val="nil"/>
              <w:bottom w:val="single" w:sz="8" w:space="0" w:color="auto"/>
              <w:right w:val="single" w:sz="8" w:space="0" w:color="auto"/>
            </w:tcBorders>
            <w:shd w:val="clear" w:color="auto" w:fill="auto"/>
            <w:noWrap/>
            <w:vAlign w:val="center"/>
            <w:hideMark/>
          </w:tcPr>
          <w:p w14:paraId="639FC72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617C38A"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5E152DBC"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269" w:type="dxa"/>
            <w:tcBorders>
              <w:top w:val="nil"/>
              <w:left w:val="nil"/>
              <w:bottom w:val="single" w:sz="8" w:space="0" w:color="auto"/>
              <w:right w:val="single" w:sz="8" w:space="0" w:color="auto"/>
            </w:tcBorders>
            <w:shd w:val="clear" w:color="auto" w:fill="auto"/>
            <w:noWrap/>
            <w:vAlign w:val="center"/>
            <w:hideMark/>
          </w:tcPr>
          <w:p w14:paraId="6D8868C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auto" w:fill="auto"/>
            <w:noWrap/>
            <w:vAlign w:val="center"/>
            <w:hideMark/>
          </w:tcPr>
          <w:p w14:paraId="252962B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-870 771</w:t>
            </w:r>
          </w:p>
        </w:tc>
        <w:tc>
          <w:tcPr>
            <w:tcW w:w="1417" w:type="dxa"/>
            <w:tcBorders>
              <w:top w:val="nil"/>
              <w:left w:val="nil"/>
              <w:bottom w:val="single" w:sz="8" w:space="0" w:color="auto"/>
              <w:right w:val="single" w:sz="8" w:space="0" w:color="auto"/>
            </w:tcBorders>
            <w:shd w:val="clear" w:color="auto" w:fill="auto"/>
            <w:noWrap/>
            <w:vAlign w:val="center"/>
            <w:hideMark/>
          </w:tcPr>
          <w:p w14:paraId="3FBC725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-6 990 066</w:t>
            </w:r>
          </w:p>
        </w:tc>
        <w:tc>
          <w:tcPr>
            <w:tcW w:w="1418" w:type="dxa"/>
            <w:tcBorders>
              <w:top w:val="nil"/>
              <w:left w:val="nil"/>
              <w:bottom w:val="single" w:sz="8" w:space="0" w:color="auto"/>
              <w:right w:val="single" w:sz="8" w:space="0" w:color="auto"/>
            </w:tcBorders>
            <w:shd w:val="clear" w:color="auto" w:fill="auto"/>
            <w:noWrap/>
            <w:vAlign w:val="center"/>
            <w:hideMark/>
          </w:tcPr>
          <w:p w14:paraId="3B7AB95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-10 277 920</w:t>
            </w:r>
          </w:p>
        </w:tc>
        <w:tc>
          <w:tcPr>
            <w:tcW w:w="1393" w:type="dxa"/>
            <w:tcBorders>
              <w:top w:val="nil"/>
              <w:left w:val="nil"/>
              <w:bottom w:val="single" w:sz="8" w:space="0" w:color="auto"/>
              <w:right w:val="single" w:sz="8" w:space="0" w:color="auto"/>
            </w:tcBorders>
            <w:shd w:val="clear" w:color="auto" w:fill="auto"/>
            <w:noWrap/>
            <w:vAlign w:val="center"/>
            <w:hideMark/>
          </w:tcPr>
          <w:p w14:paraId="6E23FFC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4F36A41"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8B56DF6"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9" w:type="dxa"/>
            <w:tcBorders>
              <w:top w:val="nil"/>
              <w:left w:val="nil"/>
              <w:bottom w:val="single" w:sz="8" w:space="0" w:color="auto"/>
              <w:right w:val="single" w:sz="8" w:space="0" w:color="auto"/>
            </w:tcBorders>
            <w:shd w:val="clear" w:color="auto" w:fill="auto"/>
            <w:noWrap/>
            <w:vAlign w:val="center"/>
            <w:hideMark/>
          </w:tcPr>
          <w:p w14:paraId="33482E5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auto" w:fill="auto"/>
            <w:noWrap/>
            <w:vAlign w:val="center"/>
            <w:hideMark/>
          </w:tcPr>
          <w:p w14:paraId="73268D6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290AB0E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noWrap/>
            <w:vAlign w:val="center"/>
            <w:hideMark/>
          </w:tcPr>
          <w:p w14:paraId="1A31991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7BC9BA0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003CF94"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93FF7E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Granty a transfery (300)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9" w:type="dxa"/>
            <w:tcBorders>
              <w:top w:val="nil"/>
              <w:left w:val="nil"/>
              <w:bottom w:val="single" w:sz="8" w:space="0" w:color="auto"/>
              <w:right w:val="single" w:sz="8" w:space="0" w:color="auto"/>
            </w:tcBorders>
            <w:shd w:val="clear" w:color="auto" w:fill="auto"/>
            <w:noWrap/>
            <w:vAlign w:val="center"/>
            <w:hideMark/>
          </w:tcPr>
          <w:p w14:paraId="761582B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auto" w:fill="auto"/>
            <w:noWrap/>
            <w:vAlign w:val="center"/>
            <w:hideMark/>
          </w:tcPr>
          <w:p w14:paraId="3245DDF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3D60001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noWrap/>
            <w:vAlign w:val="center"/>
            <w:hideMark/>
          </w:tcPr>
          <w:p w14:paraId="26F0BCF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7C8E093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A1413CB"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5D3F49E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269" w:type="dxa"/>
            <w:tcBorders>
              <w:top w:val="nil"/>
              <w:left w:val="nil"/>
              <w:bottom w:val="single" w:sz="8" w:space="0" w:color="auto"/>
              <w:right w:val="single" w:sz="8" w:space="0" w:color="auto"/>
            </w:tcBorders>
            <w:shd w:val="clear" w:color="auto" w:fill="auto"/>
            <w:noWrap/>
            <w:vAlign w:val="center"/>
            <w:hideMark/>
          </w:tcPr>
          <w:p w14:paraId="600283A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auto" w:fill="auto"/>
            <w:noWrap/>
            <w:vAlign w:val="center"/>
            <w:hideMark/>
          </w:tcPr>
          <w:p w14:paraId="5B82412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2F09CBE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noWrap/>
            <w:vAlign w:val="center"/>
            <w:hideMark/>
          </w:tcPr>
          <w:p w14:paraId="25DF73B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086732C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E114230"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F485D96"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269" w:type="dxa"/>
            <w:tcBorders>
              <w:top w:val="nil"/>
              <w:left w:val="nil"/>
              <w:bottom w:val="single" w:sz="8" w:space="0" w:color="auto"/>
              <w:right w:val="single" w:sz="8" w:space="0" w:color="auto"/>
            </w:tcBorders>
            <w:shd w:val="clear" w:color="auto" w:fill="auto"/>
            <w:noWrap/>
            <w:vAlign w:val="center"/>
            <w:hideMark/>
          </w:tcPr>
          <w:p w14:paraId="463B33A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auto" w:fill="auto"/>
            <w:noWrap/>
            <w:vAlign w:val="center"/>
            <w:hideMark/>
          </w:tcPr>
          <w:p w14:paraId="6839B11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084B78E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8" w:type="dxa"/>
            <w:tcBorders>
              <w:top w:val="nil"/>
              <w:left w:val="nil"/>
              <w:bottom w:val="single" w:sz="8" w:space="0" w:color="auto"/>
              <w:right w:val="single" w:sz="8" w:space="0" w:color="auto"/>
            </w:tcBorders>
            <w:shd w:val="clear" w:color="auto" w:fill="auto"/>
            <w:noWrap/>
            <w:vAlign w:val="center"/>
            <w:hideMark/>
          </w:tcPr>
          <w:p w14:paraId="5269FC9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470B784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0E55D1A"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1724E67C"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príjmy obcí celkom</w:t>
            </w:r>
          </w:p>
        </w:tc>
        <w:tc>
          <w:tcPr>
            <w:tcW w:w="1269" w:type="dxa"/>
            <w:tcBorders>
              <w:top w:val="nil"/>
              <w:left w:val="nil"/>
              <w:bottom w:val="single" w:sz="8" w:space="0" w:color="auto"/>
              <w:right w:val="single" w:sz="8" w:space="0" w:color="auto"/>
            </w:tcBorders>
            <w:shd w:val="clear" w:color="000000" w:fill="BFBFBF"/>
            <w:vAlign w:val="center"/>
            <w:hideMark/>
          </w:tcPr>
          <w:p w14:paraId="7DAADB9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000000" w:fill="BFBFBF"/>
            <w:vAlign w:val="center"/>
            <w:hideMark/>
          </w:tcPr>
          <w:p w14:paraId="1EB81B8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-870 771</w:t>
            </w:r>
          </w:p>
        </w:tc>
        <w:tc>
          <w:tcPr>
            <w:tcW w:w="1417" w:type="dxa"/>
            <w:tcBorders>
              <w:top w:val="nil"/>
              <w:left w:val="nil"/>
              <w:bottom w:val="single" w:sz="8" w:space="0" w:color="auto"/>
              <w:right w:val="single" w:sz="8" w:space="0" w:color="auto"/>
            </w:tcBorders>
            <w:shd w:val="clear" w:color="000000" w:fill="BFBFBF"/>
            <w:vAlign w:val="center"/>
            <w:hideMark/>
          </w:tcPr>
          <w:p w14:paraId="18060AC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-6 990 066</w:t>
            </w:r>
          </w:p>
        </w:tc>
        <w:tc>
          <w:tcPr>
            <w:tcW w:w="1418" w:type="dxa"/>
            <w:tcBorders>
              <w:top w:val="nil"/>
              <w:left w:val="nil"/>
              <w:bottom w:val="single" w:sz="8" w:space="0" w:color="auto"/>
              <w:right w:val="single" w:sz="8" w:space="0" w:color="auto"/>
            </w:tcBorders>
            <w:shd w:val="clear" w:color="000000" w:fill="BFBFBF"/>
            <w:vAlign w:val="center"/>
            <w:hideMark/>
          </w:tcPr>
          <w:p w14:paraId="3AD929B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-10 277 920</w:t>
            </w:r>
          </w:p>
        </w:tc>
        <w:tc>
          <w:tcPr>
            <w:tcW w:w="1393" w:type="dxa"/>
            <w:tcBorders>
              <w:top w:val="nil"/>
              <w:left w:val="nil"/>
              <w:bottom w:val="single" w:sz="8" w:space="0" w:color="auto"/>
              <w:right w:val="single" w:sz="8" w:space="0" w:color="auto"/>
            </w:tcBorders>
            <w:shd w:val="clear" w:color="000000" w:fill="BFBFBF"/>
            <w:vAlign w:val="center"/>
            <w:hideMark/>
          </w:tcPr>
          <w:p w14:paraId="382364F8" w14:textId="77777777" w:rsidR="00AD62CD" w:rsidRPr="00AD62CD" w:rsidRDefault="00AD62CD" w:rsidP="00AD62CD">
            <w:pPr>
              <w:spacing w:after="0" w:line="240" w:lineRule="auto"/>
              <w:ind w:firstLineChars="400" w:firstLine="803"/>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bl>
    <w:p w14:paraId="3A319493"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1B1D94FC"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58E94942"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08AC4E49"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 </w:t>
      </w:r>
    </w:p>
    <w:p w14:paraId="5543E9CF" w14:textId="77777777" w:rsidR="00AD62CD" w:rsidRPr="00AD62CD" w:rsidRDefault="00AD62CD" w:rsidP="00AD62CD">
      <w:pPr>
        <w:spacing w:after="200" w:line="276" w:lineRule="auto"/>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br w:type="page"/>
      </w:r>
    </w:p>
    <w:p w14:paraId="296D993F"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3-4 </w:t>
      </w:r>
    </w:p>
    <w:p w14:paraId="6C9CC0B4"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4213" w:type="dxa"/>
        <w:tblCellMar>
          <w:left w:w="70" w:type="dxa"/>
          <w:right w:w="70" w:type="dxa"/>
        </w:tblCellMar>
        <w:tblLook w:val="04A0" w:firstRow="1" w:lastRow="0" w:firstColumn="1" w:lastColumn="0" w:noHBand="0" w:noVBand="1"/>
      </w:tblPr>
      <w:tblGrid>
        <w:gridCol w:w="7361"/>
        <w:gridCol w:w="1269"/>
        <w:gridCol w:w="1356"/>
        <w:gridCol w:w="1417"/>
        <w:gridCol w:w="1417"/>
        <w:gridCol w:w="1393"/>
      </w:tblGrid>
      <w:tr w:rsidR="00AD62CD" w:rsidRPr="00AD62CD" w14:paraId="768E80C8"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499A9C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vyšších územných celkov (v eurách)</w:t>
            </w:r>
          </w:p>
        </w:tc>
        <w:tc>
          <w:tcPr>
            <w:tcW w:w="5459" w:type="dxa"/>
            <w:gridSpan w:val="4"/>
            <w:tcBorders>
              <w:top w:val="single" w:sz="8" w:space="0" w:color="auto"/>
              <w:left w:val="nil"/>
              <w:bottom w:val="single" w:sz="8" w:space="0" w:color="auto"/>
              <w:right w:val="single" w:sz="8" w:space="0" w:color="000000"/>
            </w:tcBorders>
            <w:shd w:val="clear" w:color="000000" w:fill="BFBFBF"/>
            <w:vAlign w:val="center"/>
            <w:hideMark/>
          </w:tcPr>
          <w:p w14:paraId="2613492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vyšších územných celkov</w:t>
            </w:r>
          </w:p>
        </w:tc>
        <w:tc>
          <w:tcPr>
            <w:tcW w:w="1393" w:type="dxa"/>
            <w:tcBorders>
              <w:top w:val="single" w:sz="8" w:space="0" w:color="auto"/>
              <w:left w:val="nil"/>
              <w:bottom w:val="nil"/>
              <w:right w:val="single" w:sz="8" w:space="0" w:color="auto"/>
            </w:tcBorders>
            <w:shd w:val="clear" w:color="000000" w:fill="BFBFBF"/>
            <w:noWrap/>
            <w:vAlign w:val="center"/>
            <w:hideMark/>
          </w:tcPr>
          <w:p w14:paraId="4CEB364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740FCB46"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53EF78EF"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69" w:type="dxa"/>
            <w:tcBorders>
              <w:top w:val="nil"/>
              <w:left w:val="nil"/>
              <w:bottom w:val="single" w:sz="8" w:space="0" w:color="auto"/>
              <w:right w:val="single" w:sz="8" w:space="0" w:color="auto"/>
            </w:tcBorders>
            <w:shd w:val="clear" w:color="000000" w:fill="BFBFBF"/>
            <w:vAlign w:val="center"/>
            <w:hideMark/>
          </w:tcPr>
          <w:p w14:paraId="24FF417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56" w:type="dxa"/>
            <w:tcBorders>
              <w:top w:val="nil"/>
              <w:left w:val="nil"/>
              <w:bottom w:val="single" w:sz="8" w:space="0" w:color="auto"/>
              <w:right w:val="single" w:sz="8" w:space="0" w:color="auto"/>
            </w:tcBorders>
            <w:shd w:val="clear" w:color="000000" w:fill="BFBFBF"/>
            <w:vAlign w:val="center"/>
            <w:hideMark/>
          </w:tcPr>
          <w:p w14:paraId="6F7F477F"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17" w:type="dxa"/>
            <w:tcBorders>
              <w:top w:val="nil"/>
              <w:left w:val="nil"/>
              <w:bottom w:val="single" w:sz="8" w:space="0" w:color="auto"/>
              <w:right w:val="single" w:sz="8" w:space="0" w:color="auto"/>
            </w:tcBorders>
            <w:shd w:val="clear" w:color="000000" w:fill="BFBFBF"/>
            <w:vAlign w:val="center"/>
            <w:hideMark/>
          </w:tcPr>
          <w:p w14:paraId="00E6C81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17" w:type="dxa"/>
            <w:tcBorders>
              <w:top w:val="nil"/>
              <w:left w:val="nil"/>
              <w:bottom w:val="single" w:sz="8" w:space="0" w:color="auto"/>
              <w:right w:val="single" w:sz="8" w:space="0" w:color="auto"/>
            </w:tcBorders>
            <w:shd w:val="clear" w:color="000000" w:fill="BFBFBF"/>
            <w:vAlign w:val="center"/>
            <w:hideMark/>
          </w:tcPr>
          <w:p w14:paraId="309755C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93" w:type="dxa"/>
            <w:tcBorders>
              <w:top w:val="nil"/>
              <w:left w:val="nil"/>
              <w:bottom w:val="single" w:sz="8" w:space="0" w:color="auto"/>
              <w:right w:val="single" w:sz="8" w:space="0" w:color="auto"/>
            </w:tcBorders>
            <w:shd w:val="clear" w:color="000000" w:fill="BFBFBF"/>
            <w:noWrap/>
            <w:vAlign w:val="center"/>
            <w:hideMark/>
          </w:tcPr>
          <w:p w14:paraId="38C18B7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r w:rsidR="00AD62CD" w:rsidRPr="00AD62CD" w14:paraId="3E9649A9"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CF634C4"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9" w:type="dxa"/>
            <w:tcBorders>
              <w:top w:val="nil"/>
              <w:left w:val="nil"/>
              <w:bottom w:val="single" w:sz="8" w:space="0" w:color="auto"/>
              <w:right w:val="single" w:sz="8" w:space="0" w:color="auto"/>
            </w:tcBorders>
            <w:shd w:val="clear" w:color="auto" w:fill="auto"/>
            <w:vAlign w:val="center"/>
            <w:hideMark/>
          </w:tcPr>
          <w:p w14:paraId="2C53124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xml:space="preserve">0                      </w:t>
            </w:r>
          </w:p>
        </w:tc>
        <w:tc>
          <w:tcPr>
            <w:tcW w:w="1356" w:type="dxa"/>
            <w:tcBorders>
              <w:top w:val="nil"/>
              <w:left w:val="nil"/>
              <w:bottom w:val="single" w:sz="8" w:space="0" w:color="auto"/>
              <w:right w:val="single" w:sz="8" w:space="0" w:color="auto"/>
            </w:tcBorders>
            <w:shd w:val="clear" w:color="auto" w:fill="auto"/>
            <w:vAlign w:val="center"/>
            <w:hideMark/>
          </w:tcPr>
          <w:p w14:paraId="09F0134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xml:space="preserve">-466 202 </w:t>
            </w:r>
          </w:p>
        </w:tc>
        <w:tc>
          <w:tcPr>
            <w:tcW w:w="1417" w:type="dxa"/>
            <w:tcBorders>
              <w:top w:val="nil"/>
              <w:left w:val="nil"/>
              <w:bottom w:val="single" w:sz="8" w:space="0" w:color="auto"/>
              <w:right w:val="single" w:sz="8" w:space="0" w:color="auto"/>
            </w:tcBorders>
            <w:shd w:val="clear" w:color="auto" w:fill="auto"/>
            <w:vAlign w:val="center"/>
            <w:hideMark/>
          </w:tcPr>
          <w:p w14:paraId="5A20E941" w14:textId="77777777" w:rsidR="00AD62CD" w:rsidRPr="00AD62CD" w:rsidRDefault="00AD62CD" w:rsidP="00AD62CD">
            <w:pPr>
              <w:spacing w:after="0" w:line="240" w:lineRule="auto"/>
              <w:ind w:left="1"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xml:space="preserve">-3 742 413 </w:t>
            </w:r>
          </w:p>
        </w:tc>
        <w:tc>
          <w:tcPr>
            <w:tcW w:w="1417" w:type="dxa"/>
            <w:tcBorders>
              <w:top w:val="nil"/>
              <w:left w:val="nil"/>
              <w:bottom w:val="single" w:sz="8" w:space="0" w:color="auto"/>
              <w:right w:val="single" w:sz="8" w:space="0" w:color="auto"/>
            </w:tcBorders>
            <w:shd w:val="clear" w:color="auto" w:fill="auto"/>
            <w:vAlign w:val="center"/>
            <w:hideMark/>
          </w:tcPr>
          <w:p w14:paraId="3BA1479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xml:space="preserve">-5 502 698 </w:t>
            </w:r>
          </w:p>
        </w:tc>
        <w:tc>
          <w:tcPr>
            <w:tcW w:w="1393" w:type="dxa"/>
            <w:tcBorders>
              <w:top w:val="nil"/>
              <w:left w:val="nil"/>
              <w:bottom w:val="single" w:sz="8" w:space="0" w:color="auto"/>
              <w:right w:val="single" w:sz="8" w:space="0" w:color="auto"/>
            </w:tcBorders>
            <w:shd w:val="clear" w:color="auto" w:fill="auto"/>
            <w:noWrap/>
            <w:vAlign w:val="center"/>
            <w:hideMark/>
          </w:tcPr>
          <w:p w14:paraId="35454C8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AAA9C1A"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2694B814"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269" w:type="dxa"/>
            <w:tcBorders>
              <w:top w:val="nil"/>
              <w:left w:val="nil"/>
              <w:bottom w:val="single" w:sz="8" w:space="0" w:color="auto"/>
              <w:right w:val="single" w:sz="8" w:space="0" w:color="auto"/>
            </w:tcBorders>
            <w:shd w:val="clear" w:color="auto" w:fill="auto"/>
            <w:noWrap/>
            <w:vAlign w:val="center"/>
            <w:hideMark/>
          </w:tcPr>
          <w:p w14:paraId="3266AF6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auto" w:fill="auto"/>
            <w:noWrap/>
            <w:vAlign w:val="center"/>
            <w:hideMark/>
          </w:tcPr>
          <w:p w14:paraId="28630D7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-466 202</w:t>
            </w:r>
          </w:p>
        </w:tc>
        <w:tc>
          <w:tcPr>
            <w:tcW w:w="1417" w:type="dxa"/>
            <w:tcBorders>
              <w:top w:val="nil"/>
              <w:left w:val="nil"/>
              <w:bottom w:val="single" w:sz="8" w:space="0" w:color="auto"/>
              <w:right w:val="single" w:sz="8" w:space="0" w:color="auto"/>
            </w:tcBorders>
            <w:shd w:val="clear" w:color="auto" w:fill="auto"/>
            <w:noWrap/>
            <w:vAlign w:val="center"/>
            <w:hideMark/>
          </w:tcPr>
          <w:p w14:paraId="7B08069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-3 742 413</w:t>
            </w:r>
          </w:p>
        </w:tc>
        <w:tc>
          <w:tcPr>
            <w:tcW w:w="1417" w:type="dxa"/>
            <w:tcBorders>
              <w:top w:val="nil"/>
              <w:left w:val="nil"/>
              <w:bottom w:val="single" w:sz="8" w:space="0" w:color="auto"/>
              <w:right w:val="single" w:sz="8" w:space="0" w:color="auto"/>
            </w:tcBorders>
            <w:shd w:val="clear" w:color="auto" w:fill="auto"/>
            <w:noWrap/>
            <w:vAlign w:val="center"/>
            <w:hideMark/>
          </w:tcPr>
          <w:p w14:paraId="7DF1947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-5 502 698</w:t>
            </w:r>
          </w:p>
        </w:tc>
        <w:tc>
          <w:tcPr>
            <w:tcW w:w="1393" w:type="dxa"/>
            <w:tcBorders>
              <w:top w:val="nil"/>
              <w:left w:val="nil"/>
              <w:bottom w:val="single" w:sz="8" w:space="0" w:color="auto"/>
              <w:right w:val="single" w:sz="8" w:space="0" w:color="auto"/>
            </w:tcBorders>
            <w:shd w:val="clear" w:color="auto" w:fill="auto"/>
            <w:noWrap/>
            <w:vAlign w:val="center"/>
            <w:hideMark/>
          </w:tcPr>
          <w:p w14:paraId="37D9695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535F91B"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E334A17"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9" w:type="dxa"/>
            <w:tcBorders>
              <w:top w:val="nil"/>
              <w:left w:val="nil"/>
              <w:bottom w:val="single" w:sz="8" w:space="0" w:color="auto"/>
              <w:right w:val="single" w:sz="8" w:space="0" w:color="auto"/>
            </w:tcBorders>
            <w:shd w:val="clear" w:color="auto" w:fill="auto"/>
            <w:noWrap/>
            <w:vAlign w:val="center"/>
            <w:hideMark/>
          </w:tcPr>
          <w:p w14:paraId="40AE3A7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auto" w:fill="auto"/>
            <w:noWrap/>
            <w:vAlign w:val="center"/>
            <w:hideMark/>
          </w:tcPr>
          <w:p w14:paraId="770670B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4D1E721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240AFDD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54BA2BF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81027B3"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2A227C6"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Granty a transfery (300)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9" w:type="dxa"/>
            <w:tcBorders>
              <w:top w:val="nil"/>
              <w:left w:val="nil"/>
              <w:bottom w:val="single" w:sz="8" w:space="0" w:color="auto"/>
              <w:right w:val="single" w:sz="8" w:space="0" w:color="auto"/>
            </w:tcBorders>
            <w:shd w:val="clear" w:color="auto" w:fill="auto"/>
            <w:noWrap/>
            <w:vAlign w:val="center"/>
            <w:hideMark/>
          </w:tcPr>
          <w:p w14:paraId="21DC9BC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auto" w:fill="auto"/>
            <w:noWrap/>
            <w:vAlign w:val="center"/>
            <w:hideMark/>
          </w:tcPr>
          <w:p w14:paraId="27516B7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79940E2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3FF056F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02454FB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DB94ACF"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5ECFE069"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269" w:type="dxa"/>
            <w:tcBorders>
              <w:top w:val="nil"/>
              <w:left w:val="nil"/>
              <w:bottom w:val="single" w:sz="8" w:space="0" w:color="auto"/>
              <w:right w:val="single" w:sz="8" w:space="0" w:color="auto"/>
            </w:tcBorders>
            <w:shd w:val="clear" w:color="auto" w:fill="auto"/>
            <w:noWrap/>
            <w:vAlign w:val="center"/>
            <w:hideMark/>
          </w:tcPr>
          <w:p w14:paraId="67E0F99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auto" w:fill="auto"/>
            <w:noWrap/>
            <w:vAlign w:val="center"/>
            <w:hideMark/>
          </w:tcPr>
          <w:p w14:paraId="3CD3900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1B48967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4AC1F34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0D9DE72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6D7EED4"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4877D54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269" w:type="dxa"/>
            <w:tcBorders>
              <w:top w:val="nil"/>
              <w:left w:val="nil"/>
              <w:bottom w:val="single" w:sz="8" w:space="0" w:color="auto"/>
              <w:right w:val="single" w:sz="8" w:space="0" w:color="auto"/>
            </w:tcBorders>
            <w:shd w:val="clear" w:color="auto" w:fill="auto"/>
            <w:noWrap/>
            <w:vAlign w:val="center"/>
            <w:hideMark/>
          </w:tcPr>
          <w:p w14:paraId="383D8B7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auto" w:fill="auto"/>
            <w:noWrap/>
            <w:vAlign w:val="center"/>
            <w:hideMark/>
          </w:tcPr>
          <w:p w14:paraId="2C1C0E1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4B54D16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17" w:type="dxa"/>
            <w:tcBorders>
              <w:top w:val="nil"/>
              <w:left w:val="nil"/>
              <w:bottom w:val="single" w:sz="8" w:space="0" w:color="auto"/>
              <w:right w:val="single" w:sz="8" w:space="0" w:color="auto"/>
            </w:tcBorders>
            <w:shd w:val="clear" w:color="auto" w:fill="auto"/>
            <w:noWrap/>
            <w:vAlign w:val="center"/>
            <w:hideMark/>
          </w:tcPr>
          <w:p w14:paraId="0FF363B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93" w:type="dxa"/>
            <w:tcBorders>
              <w:top w:val="nil"/>
              <w:left w:val="nil"/>
              <w:bottom w:val="single" w:sz="8" w:space="0" w:color="auto"/>
              <w:right w:val="single" w:sz="8" w:space="0" w:color="auto"/>
            </w:tcBorders>
            <w:shd w:val="clear" w:color="auto" w:fill="auto"/>
            <w:noWrap/>
            <w:vAlign w:val="center"/>
            <w:hideMark/>
          </w:tcPr>
          <w:p w14:paraId="07446B6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30A667C"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04F23A9F"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príjmy vyšších územných celkov celkom</w:t>
            </w:r>
          </w:p>
        </w:tc>
        <w:tc>
          <w:tcPr>
            <w:tcW w:w="1269" w:type="dxa"/>
            <w:tcBorders>
              <w:top w:val="nil"/>
              <w:left w:val="nil"/>
              <w:bottom w:val="single" w:sz="8" w:space="0" w:color="auto"/>
              <w:right w:val="single" w:sz="8" w:space="0" w:color="auto"/>
            </w:tcBorders>
            <w:shd w:val="clear" w:color="000000" w:fill="BFBFBF"/>
            <w:vAlign w:val="center"/>
            <w:hideMark/>
          </w:tcPr>
          <w:p w14:paraId="5BBFA60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56" w:type="dxa"/>
            <w:tcBorders>
              <w:top w:val="nil"/>
              <w:left w:val="nil"/>
              <w:bottom w:val="single" w:sz="8" w:space="0" w:color="auto"/>
              <w:right w:val="single" w:sz="8" w:space="0" w:color="auto"/>
            </w:tcBorders>
            <w:shd w:val="clear" w:color="000000" w:fill="BFBFBF"/>
            <w:vAlign w:val="center"/>
            <w:hideMark/>
          </w:tcPr>
          <w:p w14:paraId="625214B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-466 202</w:t>
            </w:r>
          </w:p>
        </w:tc>
        <w:tc>
          <w:tcPr>
            <w:tcW w:w="1417" w:type="dxa"/>
            <w:tcBorders>
              <w:top w:val="nil"/>
              <w:left w:val="nil"/>
              <w:bottom w:val="single" w:sz="8" w:space="0" w:color="auto"/>
              <w:right w:val="single" w:sz="8" w:space="0" w:color="auto"/>
            </w:tcBorders>
            <w:shd w:val="clear" w:color="000000" w:fill="BFBFBF"/>
            <w:vAlign w:val="center"/>
            <w:hideMark/>
          </w:tcPr>
          <w:p w14:paraId="01F1A21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-3 742 413</w:t>
            </w:r>
          </w:p>
        </w:tc>
        <w:tc>
          <w:tcPr>
            <w:tcW w:w="1417" w:type="dxa"/>
            <w:tcBorders>
              <w:top w:val="nil"/>
              <w:left w:val="nil"/>
              <w:bottom w:val="single" w:sz="8" w:space="0" w:color="auto"/>
              <w:right w:val="single" w:sz="8" w:space="0" w:color="auto"/>
            </w:tcBorders>
            <w:shd w:val="clear" w:color="000000" w:fill="BFBFBF"/>
            <w:vAlign w:val="center"/>
            <w:hideMark/>
          </w:tcPr>
          <w:p w14:paraId="2DE3747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-5 502 698</w:t>
            </w:r>
          </w:p>
        </w:tc>
        <w:tc>
          <w:tcPr>
            <w:tcW w:w="1393" w:type="dxa"/>
            <w:tcBorders>
              <w:top w:val="nil"/>
              <w:left w:val="nil"/>
              <w:bottom w:val="single" w:sz="8" w:space="0" w:color="auto"/>
              <w:right w:val="single" w:sz="8" w:space="0" w:color="auto"/>
            </w:tcBorders>
            <w:shd w:val="clear" w:color="000000" w:fill="BFBFBF"/>
            <w:vAlign w:val="center"/>
            <w:hideMark/>
          </w:tcPr>
          <w:p w14:paraId="09F7D09A" w14:textId="77777777" w:rsidR="00AD62CD" w:rsidRPr="00AD62CD" w:rsidRDefault="00AD62CD" w:rsidP="00AD62CD">
            <w:pPr>
              <w:spacing w:after="0" w:line="240" w:lineRule="auto"/>
              <w:ind w:firstLineChars="400" w:firstLine="803"/>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r>
    </w:tbl>
    <w:p w14:paraId="410A61E9"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465B10B2"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2E9C6078"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402DB356"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p>
    <w:p w14:paraId="3445B89E" w14:textId="77777777" w:rsidR="00AD62CD" w:rsidRPr="00AD62CD" w:rsidRDefault="00AD62CD" w:rsidP="00AD62CD">
      <w:pPr>
        <w:spacing w:after="200" w:line="276" w:lineRule="auto"/>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br w:type="page"/>
      </w:r>
    </w:p>
    <w:p w14:paraId="71C85F16"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Tabuľka č. 3-5 </w:t>
      </w:r>
    </w:p>
    <w:p w14:paraId="2EF4B918"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017C267C"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D6D88F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Sociálnej poisťovne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6E2D1F6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Sociálnej poisťovne</w:t>
            </w:r>
          </w:p>
        </w:tc>
        <w:tc>
          <w:tcPr>
            <w:tcW w:w="1320" w:type="dxa"/>
            <w:vMerge w:val="restart"/>
            <w:tcBorders>
              <w:top w:val="single" w:sz="8" w:space="0" w:color="auto"/>
              <w:left w:val="nil"/>
              <w:bottom w:val="single" w:sz="8" w:space="0" w:color="000000"/>
              <w:right w:val="single" w:sz="8" w:space="0" w:color="auto"/>
            </w:tcBorders>
            <w:shd w:val="clear" w:color="000000" w:fill="BFBFBF"/>
            <w:noWrap/>
            <w:vAlign w:val="center"/>
            <w:hideMark/>
          </w:tcPr>
          <w:p w14:paraId="5419EBE9"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30DD2E79"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12DD188C"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470380D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6C7360A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214F0DC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70D1617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20" w:type="dxa"/>
            <w:vMerge/>
            <w:tcBorders>
              <w:top w:val="single" w:sz="8" w:space="0" w:color="auto"/>
              <w:left w:val="nil"/>
              <w:bottom w:val="single" w:sz="8" w:space="0" w:color="000000"/>
              <w:right w:val="single" w:sz="8" w:space="0" w:color="auto"/>
            </w:tcBorders>
            <w:vAlign w:val="center"/>
            <w:hideMark/>
          </w:tcPr>
          <w:p w14:paraId="2B95E77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r>
      <w:tr w:rsidR="00AD62CD" w:rsidRPr="00AD62CD" w14:paraId="1DC1210D"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04CAFED"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80" w:type="dxa"/>
            <w:tcBorders>
              <w:top w:val="nil"/>
              <w:left w:val="nil"/>
              <w:bottom w:val="single" w:sz="8" w:space="0" w:color="auto"/>
              <w:right w:val="single" w:sz="8" w:space="0" w:color="auto"/>
            </w:tcBorders>
            <w:shd w:val="clear" w:color="auto" w:fill="auto"/>
            <w:vAlign w:val="center"/>
            <w:hideMark/>
          </w:tcPr>
          <w:p w14:paraId="0905D40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3FA36AC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269 076 304</w:t>
            </w:r>
          </w:p>
        </w:tc>
        <w:tc>
          <w:tcPr>
            <w:tcW w:w="1420" w:type="dxa"/>
            <w:tcBorders>
              <w:top w:val="nil"/>
              <w:left w:val="nil"/>
              <w:bottom w:val="single" w:sz="8" w:space="0" w:color="auto"/>
              <w:right w:val="single" w:sz="8" w:space="0" w:color="auto"/>
            </w:tcBorders>
            <w:shd w:val="clear" w:color="auto" w:fill="auto"/>
            <w:vAlign w:val="center"/>
            <w:hideMark/>
          </w:tcPr>
          <w:p w14:paraId="7B443F8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409 270 507</w:t>
            </w:r>
          </w:p>
        </w:tc>
        <w:tc>
          <w:tcPr>
            <w:tcW w:w="1420" w:type="dxa"/>
            <w:tcBorders>
              <w:top w:val="nil"/>
              <w:left w:val="nil"/>
              <w:bottom w:val="single" w:sz="8" w:space="0" w:color="auto"/>
              <w:right w:val="single" w:sz="8" w:space="0" w:color="auto"/>
            </w:tcBorders>
            <w:shd w:val="clear" w:color="auto" w:fill="auto"/>
            <w:vAlign w:val="center"/>
            <w:hideMark/>
          </w:tcPr>
          <w:p w14:paraId="0445820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428 973 525</w:t>
            </w:r>
          </w:p>
        </w:tc>
        <w:tc>
          <w:tcPr>
            <w:tcW w:w="1320" w:type="dxa"/>
            <w:tcBorders>
              <w:top w:val="nil"/>
              <w:left w:val="nil"/>
              <w:bottom w:val="single" w:sz="8" w:space="0" w:color="auto"/>
              <w:right w:val="single" w:sz="8" w:space="0" w:color="auto"/>
            </w:tcBorders>
            <w:shd w:val="clear" w:color="auto" w:fill="auto"/>
            <w:noWrap/>
            <w:vAlign w:val="center"/>
            <w:hideMark/>
          </w:tcPr>
          <w:p w14:paraId="7999D65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300721E"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151DA7FF"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(151) poistné na nemocenské poistenie</w:t>
            </w:r>
          </w:p>
        </w:tc>
        <w:tc>
          <w:tcPr>
            <w:tcW w:w="1280" w:type="dxa"/>
            <w:tcBorders>
              <w:top w:val="nil"/>
              <w:left w:val="nil"/>
              <w:bottom w:val="single" w:sz="8" w:space="0" w:color="auto"/>
              <w:right w:val="single" w:sz="8" w:space="0" w:color="auto"/>
            </w:tcBorders>
            <w:shd w:val="clear" w:color="auto" w:fill="auto"/>
            <w:noWrap/>
            <w:vAlign w:val="center"/>
            <w:hideMark/>
          </w:tcPr>
          <w:p w14:paraId="2DC2A4E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1F3DCFE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34 153 199</w:t>
            </w:r>
          </w:p>
        </w:tc>
        <w:tc>
          <w:tcPr>
            <w:tcW w:w="1420" w:type="dxa"/>
            <w:tcBorders>
              <w:top w:val="nil"/>
              <w:left w:val="nil"/>
              <w:bottom w:val="single" w:sz="8" w:space="0" w:color="auto"/>
              <w:right w:val="single" w:sz="8" w:space="0" w:color="auto"/>
            </w:tcBorders>
            <w:shd w:val="clear" w:color="auto" w:fill="auto"/>
            <w:noWrap/>
            <w:vAlign w:val="center"/>
            <w:hideMark/>
          </w:tcPr>
          <w:p w14:paraId="215E509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52 685 609</w:t>
            </w:r>
          </w:p>
        </w:tc>
        <w:tc>
          <w:tcPr>
            <w:tcW w:w="1420" w:type="dxa"/>
            <w:tcBorders>
              <w:top w:val="nil"/>
              <w:left w:val="nil"/>
              <w:bottom w:val="single" w:sz="8" w:space="0" w:color="auto"/>
              <w:right w:val="single" w:sz="8" w:space="0" w:color="auto"/>
            </w:tcBorders>
            <w:shd w:val="clear" w:color="auto" w:fill="auto"/>
            <w:noWrap/>
            <w:vAlign w:val="center"/>
            <w:hideMark/>
          </w:tcPr>
          <w:p w14:paraId="3A45E7F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55 231 902</w:t>
            </w:r>
          </w:p>
        </w:tc>
        <w:tc>
          <w:tcPr>
            <w:tcW w:w="1320" w:type="dxa"/>
            <w:tcBorders>
              <w:top w:val="nil"/>
              <w:left w:val="nil"/>
              <w:bottom w:val="single" w:sz="8" w:space="0" w:color="auto"/>
              <w:right w:val="single" w:sz="8" w:space="0" w:color="auto"/>
            </w:tcBorders>
            <w:shd w:val="clear" w:color="auto" w:fill="auto"/>
            <w:noWrap/>
            <w:vAlign w:val="center"/>
            <w:hideMark/>
          </w:tcPr>
          <w:p w14:paraId="26E0393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8172B47"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432688AB"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(152) poistné na starobné poistenie</w:t>
            </w:r>
          </w:p>
        </w:tc>
        <w:tc>
          <w:tcPr>
            <w:tcW w:w="1280" w:type="dxa"/>
            <w:tcBorders>
              <w:top w:val="nil"/>
              <w:left w:val="nil"/>
              <w:bottom w:val="single" w:sz="8" w:space="0" w:color="auto"/>
              <w:right w:val="single" w:sz="8" w:space="0" w:color="auto"/>
            </w:tcBorders>
            <w:shd w:val="clear" w:color="auto" w:fill="auto"/>
            <w:noWrap/>
            <w:vAlign w:val="center"/>
            <w:hideMark/>
          </w:tcPr>
          <w:p w14:paraId="3855E29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51E1820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144 597 949</w:t>
            </w:r>
          </w:p>
        </w:tc>
        <w:tc>
          <w:tcPr>
            <w:tcW w:w="1420" w:type="dxa"/>
            <w:tcBorders>
              <w:top w:val="nil"/>
              <w:left w:val="nil"/>
              <w:bottom w:val="single" w:sz="8" w:space="0" w:color="auto"/>
              <w:right w:val="single" w:sz="8" w:space="0" w:color="auto"/>
            </w:tcBorders>
            <w:shd w:val="clear" w:color="auto" w:fill="auto"/>
            <w:noWrap/>
            <w:vAlign w:val="center"/>
            <w:hideMark/>
          </w:tcPr>
          <w:p w14:paraId="53455C7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220 648 692</w:t>
            </w:r>
          </w:p>
        </w:tc>
        <w:tc>
          <w:tcPr>
            <w:tcW w:w="1420" w:type="dxa"/>
            <w:tcBorders>
              <w:top w:val="nil"/>
              <w:left w:val="nil"/>
              <w:bottom w:val="single" w:sz="8" w:space="0" w:color="auto"/>
              <w:right w:val="single" w:sz="8" w:space="0" w:color="auto"/>
            </w:tcBorders>
            <w:shd w:val="clear" w:color="auto" w:fill="auto"/>
            <w:noWrap/>
            <w:vAlign w:val="center"/>
            <w:hideMark/>
          </w:tcPr>
          <w:p w14:paraId="26F8537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231 281 278</w:t>
            </w:r>
          </w:p>
        </w:tc>
        <w:tc>
          <w:tcPr>
            <w:tcW w:w="1320" w:type="dxa"/>
            <w:tcBorders>
              <w:top w:val="nil"/>
              <w:left w:val="nil"/>
              <w:bottom w:val="single" w:sz="8" w:space="0" w:color="auto"/>
              <w:right w:val="single" w:sz="8" w:space="0" w:color="auto"/>
            </w:tcBorders>
            <w:shd w:val="clear" w:color="auto" w:fill="auto"/>
            <w:noWrap/>
            <w:vAlign w:val="center"/>
            <w:hideMark/>
          </w:tcPr>
          <w:p w14:paraId="1FA6ABB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E1AB3BB"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0BE436C9"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(155) poistné na poistenie v nezamestnanosti</w:t>
            </w:r>
          </w:p>
        </w:tc>
        <w:tc>
          <w:tcPr>
            <w:tcW w:w="1280" w:type="dxa"/>
            <w:tcBorders>
              <w:top w:val="nil"/>
              <w:left w:val="nil"/>
              <w:bottom w:val="single" w:sz="8" w:space="0" w:color="auto"/>
              <w:right w:val="single" w:sz="8" w:space="0" w:color="auto"/>
            </w:tcBorders>
            <w:shd w:val="clear" w:color="auto" w:fill="auto"/>
            <w:noWrap/>
            <w:vAlign w:val="center"/>
            <w:hideMark/>
          </w:tcPr>
          <w:p w14:paraId="4D16776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71EEFDE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2 275 049</w:t>
            </w:r>
          </w:p>
        </w:tc>
        <w:tc>
          <w:tcPr>
            <w:tcW w:w="1420" w:type="dxa"/>
            <w:tcBorders>
              <w:top w:val="nil"/>
              <w:left w:val="nil"/>
              <w:bottom w:val="single" w:sz="8" w:space="0" w:color="auto"/>
              <w:right w:val="single" w:sz="8" w:space="0" w:color="auto"/>
            </w:tcBorders>
            <w:shd w:val="clear" w:color="auto" w:fill="auto"/>
            <w:noWrap/>
            <w:vAlign w:val="center"/>
            <w:hideMark/>
          </w:tcPr>
          <w:p w14:paraId="788FB18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2 385 181</w:t>
            </w:r>
          </w:p>
        </w:tc>
        <w:tc>
          <w:tcPr>
            <w:tcW w:w="1420" w:type="dxa"/>
            <w:tcBorders>
              <w:top w:val="nil"/>
              <w:left w:val="nil"/>
              <w:bottom w:val="single" w:sz="8" w:space="0" w:color="auto"/>
              <w:right w:val="single" w:sz="8" w:space="0" w:color="auto"/>
            </w:tcBorders>
            <w:shd w:val="clear" w:color="auto" w:fill="auto"/>
            <w:noWrap/>
            <w:vAlign w:val="center"/>
            <w:hideMark/>
          </w:tcPr>
          <w:p w14:paraId="3B9A78D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2 485 651</w:t>
            </w:r>
          </w:p>
        </w:tc>
        <w:tc>
          <w:tcPr>
            <w:tcW w:w="1320" w:type="dxa"/>
            <w:tcBorders>
              <w:top w:val="nil"/>
              <w:left w:val="nil"/>
              <w:bottom w:val="single" w:sz="8" w:space="0" w:color="auto"/>
              <w:right w:val="single" w:sz="8" w:space="0" w:color="auto"/>
            </w:tcBorders>
            <w:shd w:val="clear" w:color="auto" w:fill="auto"/>
            <w:noWrap/>
            <w:vAlign w:val="center"/>
            <w:hideMark/>
          </w:tcPr>
          <w:p w14:paraId="3019854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7EB9F4D"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416DFCF4"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(156) poistné na garančné poistenie</w:t>
            </w:r>
          </w:p>
        </w:tc>
        <w:tc>
          <w:tcPr>
            <w:tcW w:w="1280" w:type="dxa"/>
            <w:tcBorders>
              <w:top w:val="nil"/>
              <w:left w:val="nil"/>
              <w:bottom w:val="single" w:sz="8" w:space="0" w:color="auto"/>
              <w:right w:val="single" w:sz="8" w:space="0" w:color="auto"/>
            </w:tcBorders>
            <w:shd w:val="clear" w:color="auto" w:fill="auto"/>
            <w:noWrap/>
            <w:vAlign w:val="center"/>
            <w:hideMark/>
          </w:tcPr>
          <w:p w14:paraId="338DE55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5A35BF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260 032</w:t>
            </w:r>
          </w:p>
        </w:tc>
        <w:tc>
          <w:tcPr>
            <w:tcW w:w="1420" w:type="dxa"/>
            <w:tcBorders>
              <w:top w:val="nil"/>
              <w:left w:val="nil"/>
              <w:bottom w:val="single" w:sz="8" w:space="0" w:color="auto"/>
              <w:right w:val="single" w:sz="8" w:space="0" w:color="auto"/>
            </w:tcBorders>
            <w:shd w:val="clear" w:color="auto" w:fill="auto"/>
            <w:noWrap/>
            <w:vAlign w:val="center"/>
            <w:hideMark/>
          </w:tcPr>
          <w:p w14:paraId="470C297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272 584</w:t>
            </w:r>
          </w:p>
        </w:tc>
        <w:tc>
          <w:tcPr>
            <w:tcW w:w="1420" w:type="dxa"/>
            <w:tcBorders>
              <w:top w:val="nil"/>
              <w:left w:val="nil"/>
              <w:bottom w:val="single" w:sz="8" w:space="0" w:color="auto"/>
              <w:right w:val="single" w:sz="8" w:space="0" w:color="auto"/>
            </w:tcBorders>
            <w:shd w:val="clear" w:color="auto" w:fill="auto"/>
            <w:noWrap/>
            <w:vAlign w:val="center"/>
            <w:hideMark/>
          </w:tcPr>
          <w:p w14:paraId="38A0659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283 896</w:t>
            </w:r>
          </w:p>
        </w:tc>
        <w:tc>
          <w:tcPr>
            <w:tcW w:w="1320" w:type="dxa"/>
            <w:tcBorders>
              <w:top w:val="nil"/>
              <w:left w:val="nil"/>
              <w:bottom w:val="single" w:sz="8" w:space="0" w:color="auto"/>
              <w:right w:val="single" w:sz="8" w:space="0" w:color="auto"/>
            </w:tcBorders>
            <w:shd w:val="clear" w:color="auto" w:fill="auto"/>
            <w:noWrap/>
            <w:vAlign w:val="center"/>
            <w:hideMark/>
          </w:tcPr>
          <w:p w14:paraId="7C655E9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FEF32D1"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054B26F7"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(157) poistné do rezervného fondu solidarity</w:t>
            </w:r>
          </w:p>
        </w:tc>
        <w:tc>
          <w:tcPr>
            <w:tcW w:w="1280" w:type="dxa"/>
            <w:tcBorders>
              <w:top w:val="nil"/>
              <w:left w:val="nil"/>
              <w:bottom w:val="single" w:sz="8" w:space="0" w:color="auto"/>
              <w:right w:val="single" w:sz="8" w:space="0" w:color="auto"/>
            </w:tcBorders>
            <w:shd w:val="clear" w:color="auto" w:fill="auto"/>
            <w:noWrap/>
            <w:vAlign w:val="center"/>
            <w:hideMark/>
          </w:tcPr>
          <w:p w14:paraId="2F228AF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5B3A69F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38 790 963</w:t>
            </w:r>
          </w:p>
        </w:tc>
        <w:tc>
          <w:tcPr>
            <w:tcW w:w="1420" w:type="dxa"/>
            <w:tcBorders>
              <w:top w:val="nil"/>
              <w:left w:val="nil"/>
              <w:bottom w:val="single" w:sz="8" w:space="0" w:color="auto"/>
              <w:right w:val="single" w:sz="8" w:space="0" w:color="auto"/>
            </w:tcBorders>
            <w:shd w:val="clear" w:color="auto" w:fill="auto"/>
            <w:noWrap/>
            <w:vAlign w:val="center"/>
            <w:hideMark/>
          </w:tcPr>
          <w:p w14:paraId="6B001E1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58 890 474</w:t>
            </w:r>
          </w:p>
        </w:tc>
        <w:tc>
          <w:tcPr>
            <w:tcW w:w="1420" w:type="dxa"/>
            <w:tcBorders>
              <w:top w:val="nil"/>
              <w:left w:val="nil"/>
              <w:bottom w:val="single" w:sz="8" w:space="0" w:color="auto"/>
              <w:right w:val="single" w:sz="8" w:space="0" w:color="auto"/>
            </w:tcBorders>
            <w:shd w:val="clear" w:color="auto" w:fill="auto"/>
            <w:noWrap/>
            <w:vAlign w:val="center"/>
            <w:hideMark/>
          </w:tcPr>
          <w:p w14:paraId="7E8E5D3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61 723 840</w:t>
            </w:r>
          </w:p>
        </w:tc>
        <w:tc>
          <w:tcPr>
            <w:tcW w:w="1320" w:type="dxa"/>
            <w:tcBorders>
              <w:top w:val="nil"/>
              <w:left w:val="nil"/>
              <w:bottom w:val="single" w:sz="8" w:space="0" w:color="auto"/>
              <w:right w:val="single" w:sz="8" w:space="0" w:color="auto"/>
            </w:tcBorders>
            <w:shd w:val="clear" w:color="auto" w:fill="auto"/>
            <w:noWrap/>
            <w:vAlign w:val="center"/>
            <w:hideMark/>
          </w:tcPr>
          <w:p w14:paraId="369C297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366BB2D"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noWrap/>
            <w:vAlign w:val="center"/>
            <w:hideMark/>
          </w:tcPr>
          <w:p w14:paraId="367D3014" w14:textId="77777777" w:rsidR="00AD62CD" w:rsidRPr="00AD62CD" w:rsidRDefault="00AD62CD" w:rsidP="00AD62CD">
            <w:pPr>
              <w:spacing w:after="0" w:line="240" w:lineRule="auto"/>
              <w:ind w:firstLineChars="300" w:firstLine="6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v tom: (158) poistné na invalidné poistenie</w:t>
            </w:r>
          </w:p>
        </w:tc>
        <w:tc>
          <w:tcPr>
            <w:tcW w:w="1280" w:type="dxa"/>
            <w:tcBorders>
              <w:top w:val="nil"/>
              <w:left w:val="nil"/>
              <w:bottom w:val="single" w:sz="8" w:space="0" w:color="auto"/>
              <w:right w:val="single" w:sz="8" w:space="0" w:color="auto"/>
            </w:tcBorders>
            <w:shd w:val="clear" w:color="auto" w:fill="auto"/>
            <w:noWrap/>
            <w:vAlign w:val="center"/>
            <w:hideMark/>
          </w:tcPr>
          <w:p w14:paraId="7BAA32E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4B7088C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48 999 112</w:t>
            </w:r>
          </w:p>
        </w:tc>
        <w:tc>
          <w:tcPr>
            <w:tcW w:w="1420" w:type="dxa"/>
            <w:tcBorders>
              <w:top w:val="nil"/>
              <w:left w:val="nil"/>
              <w:bottom w:val="single" w:sz="8" w:space="0" w:color="auto"/>
              <w:right w:val="single" w:sz="8" w:space="0" w:color="auto"/>
            </w:tcBorders>
            <w:shd w:val="clear" w:color="auto" w:fill="auto"/>
            <w:noWrap/>
            <w:vAlign w:val="center"/>
            <w:hideMark/>
          </w:tcPr>
          <w:p w14:paraId="373B729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74 387 967</w:t>
            </w:r>
          </w:p>
        </w:tc>
        <w:tc>
          <w:tcPr>
            <w:tcW w:w="1420" w:type="dxa"/>
            <w:tcBorders>
              <w:top w:val="nil"/>
              <w:left w:val="nil"/>
              <w:bottom w:val="single" w:sz="8" w:space="0" w:color="auto"/>
              <w:right w:val="single" w:sz="8" w:space="0" w:color="auto"/>
            </w:tcBorders>
            <w:shd w:val="clear" w:color="auto" w:fill="auto"/>
            <w:noWrap/>
            <w:vAlign w:val="center"/>
            <w:hideMark/>
          </w:tcPr>
          <w:p w14:paraId="7EA7C4D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77 966 958</w:t>
            </w:r>
          </w:p>
        </w:tc>
        <w:tc>
          <w:tcPr>
            <w:tcW w:w="1320" w:type="dxa"/>
            <w:tcBorders>
              <w:top w:val="nil"/>
              <w:left w:val="nil"/>
              <w:bottom w:val="single" w:sz="8" w:space="0" w:color="auto"/>
              <w:right w:val="single" w:sz="8" w:space="0" w:color="auto"/>
            </w:tcBorders>
            <w:shd w:val="clear" w:color="auto" w:fill="auto"/>
            <w:noWrap/>
            <w:vAlign w:val="center"/>
            <w:hideMark/>
          </w:tcPr>
          <w:p w14:paraId="0537A94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431E676"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57277CC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80" w:type="dxa"/>
            <w:tcBorders>
              <w:top w:val="nil"/>
              <w:left w:val="nil"/>
              <w:bottom w:val="single" w:sz="8" w:space="0" w:color="auto"/>
              <w:right w:val="single" w:sz="8" w:space="0" w:color="auto"/>
            </w:tcBorders>
            <w:shd w:val="clear" w:color="auto" w:fill="auto"/>
            <w:noWrap/>
            <w:vAlign w:val="center"/>
            <w:hideMark/>
          </w:tcPr>
          <w:p w14:paraId="20EA801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5F40A2C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DB0D35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13A90C9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5755087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AC84709"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9633008"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Granty a transfery (300)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80" w:type="dxa"/>
            <w:tcBorders>
              <w:top w:val="nil"/>
              <w:left w:val="nil"/>
              <w:bottom w:val="single" w:sz="8" w:space="0" w:color="auto"/>
              <w:right w:val="single" w:sz="8" w:space="0" w:color="auto"/>
            </w:tcBorders>
            <w:shd w:val="clear" w:color="auto" w:fill="auto"/>
            <w:noWrap/>
            <w:vAlign w:val="center"/>
            <w:hideMark/>
          </w:tcPr>
          <w:p w14:paraId="2D3683CA"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1F6AB0E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5B11638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525566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4470145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238870F"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059F56C"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280" w:type="dxa"/>
            <w:tcBorders>
              <w:top w:val="nil"/>
              <w:left w:val="nil"/>
              <w:bottom w:val="single" w:sz="8" w:space="0" w:color="auto"/>
              <w:right w:val="single" w:sz="8" w:space="0" w:color="auto"/>
            </w:tcBorders>
            <w:shd w:val="clear" w:color="auto" w:fill="auto"/>
            <w:noWrap/>
            <w:vAlign w:val="center"/>
            <w:hideMark/>
          </w:tcPr>
          <w:p w14:paraId="6628D8D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4813C18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8F4BAA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1FA870C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1BFA73C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C03A21C"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DA24E9F"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280" w:type="dxa"/>
            <w:tcBorders>
              <w:top w:val="nil"/>
              <w:left w:val="nil"/>
              <w:bottom w:val="single" w:sz="8" w:space="0" w:color="auto"/>
              <w:right w:val="single" w:sz="8" w:space="0" w:color="auto"/>
            </w:tcBorders>
            <w:shd w:val="clear" w:color="auto" w:fill="auto"/>
            <w:noWrap/>
            <w:vAlign w:val="center"/>
            <w:hideMark/>
          </w:tcPr>
          <w:p w14:paraId="56AF137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158B614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1F1FA37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1BCF727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0067DFD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6FCC650"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226EE5F1"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Dopad na príjmy zdravotných poisťovní</w:t>
            </w:r>
          </w:p>
        </w:tc>
        <w:tc>
          <w:tcPr>
            <w:tcW w:w="1280" w:type="dxa"/>
            <w:tcBorders>
              <w:top w:val="nil"/>
              <w:left w:val="nil"/>
              <w:bottom w:val="single" w:sz="8" w:space="0" w:color="auto"/>
              <w:right w:val="single" w:sz="8" w:space="0" w:color="auto"/>
            </w:tcBorders>
            <w:shd w:val="clear" w:color="000000" w:fill="BFBFBF"/>
            <w:vAlign w:val="center"/>
            <w:hideMark/>
          </w:tcPr>
          <w:p w14:paraId="1378014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vAlign w:val="center"/>
            <w:hideMark/>
          </w:tcPr>
          <w:p w14:paraId="7DD5D98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269 076 304</w:t>
            </w:r>
          </w:p>
        </w:tc>
        <w:tc>
          <w:tcPr>
            <w:tcW w:w="1420" w:type="dxa"/>
            <w:tcBorders>
              <w:top w:val="nil"/>
              <w:left w:val="nil"/>
              <w:bottom w:val="single" w:sz="8" w:space="0" w:color="auto"/>
              <w:right w:val="single" w:sz="8" w:space="0" w:color="auto"/>
            </w:tcBorders>
            <w:shd w:val="clear" w:color="000000" w:fill="BFBFBF"/>
            <w:vAlign w:val="center"/>
            <w:hideMark/>
          </w:tcPr>
          <w:p w14:paraId="10062C7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409 270 507</w:t>
            </w:r>
          </w:p>
        </w:tc>
        <w:tc>
          <w:tcPr>
            <w:tcW w:w="1420" w:type="dxa"/>
            <w:tcBorders>
              <w:top w:val="nil"/>
              <w:left w:val="nil"/>
              <w:bottom w:val="single" w:sz="8" w:space="0" w:color="auto"/>
              <w:right w:val="single" w:sz="8" w:space="0" w:color="auto"/>
            </w:tcBorders>
            <w:shd w:val="clear" w:color="000000" w:fill="BFBFBF"/>
            <w:vAlign w:val="center"/>
            <w:hideMark/>
          </w:tcPr>
          <w:p w14:paraId="57E49BC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428 973 525</w:t>
            </w:r>
          </w:p>
        </w:tc>
        <w:tc>
          <w:tcPr>
            <w:tcW w:w="1320" w:type="dxa"/>
            <w:tcBorders>
              <w:top w:val="nil"/>
              <w:left w:val="nil"/>
              <w:bottom w:val="single" w:sz="8" w:space="0" w:color="auto"/>
              <w:right w:val="single" w:sz="8" w:space="0" w:color="auto"/>
            </w:tcBorders>
            <w:shd w:val="clear" w:color="000000" w:fill="BFBFBF"/>
            <w:noWrap/>
            <w:vAlign w:val="center"/>
            <w:hideMark/>
          </w:tcPr>
          <w:p w14:paraId="78393D9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6A50B9A9"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p>
    <w:p w14:paraId="35EF76FD" w14:textId="77777777" w:rsidR="00AD62CD" w:rsidRPr="00AD62CD" w:rsidRDefault="00AD62CD" w:rsidP="00AD62CD">
      <w:pPr>
        <w:tabs>
          <w:tab w:val="num" w:pos="1080"/>
        </w:tabs>
        <w:spacing w:after="0" w:line="240" w:lineRule="auto"/>
        <w:jc w:val="both"/>
        <w:rPr>
          <w:rFonts w:ascii="Times New Roman" w:eastAsia="Calibri" w:hAnsi="Times New Roman" w:cs="Times New Roman"/>
          <w:b/>
          <w:bCs/>
          <w:kern w:val="0"/>
          <w:szCs w:val="20"/>
          <w:lang w:eastAsia="sk-SK"/>
          <w14:ligatures w14:val="none"/>
        </w:rPr>
      </w:pPr>
      <w:r w:rsidRPr="00AD62CD">
        <w:rPr>
          <w:rFonts w:ascii="Times New Roman" w:eastAsia="Calibri" w:hAnsi="Times New Roman" w:cs="Times New Roman"/>
          <w:b/>
          <w:bCs/>
          <w:kern w:val="0"/>
          <w:szCs w:val="20"/>
          <w:lang w:eastAsia="sk-SK"/>
          <w14:ligatures w14:val="none"/>
        </w:rPr>
        <w:t>Poznámka:</w:t>
      </w:r>
    </w:p>
    <w:p w14:paraId="3EB4A5A5"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t>Ak sa vplyv týka viacerých subjektov verejnej správy, vypĺňa sa samostatná tabuľka za každý subjekt.</w:t>
      </w:r>
    </w:p>
    <w:p w14:paraId="33438DB3" w14:textId="77777777" w:rsidR="00AD62CD" w:rsidRPr="00AD62CD" w:rsidRDefault="00AD62CD" w:rsidP="00AD62CD">
      <w:pPr>
        <w:tabs>
          <w:tab w:val="num" w:pos="1080"/>
        </w:tabs>
        <w:spacing w:after="0" w:line="240" w:lineRule="auto"/>
        <w:ind w:right="-578"/>
        <w:jc w:val="right"/>
        <w:rPr>
          <w:rFonts w:ascii="Times New Roman" w:eastAsia="Calibri" w:hAnsi="Times New Roman" w:cs="Times New Roman"/>
          <w:bCs/>
          <w:kern w:val="0"/>
          <w:lang w:eastAsia="sk-SK"/>
          <w14:ligatures w14:val="none"/>
        </w:rPr>
      </w:pPr>
    </w:p>
    <w:p w14:paraId="419FCEF0" w14:textId="77777777" w:rsidR="00AD62CD" w:rsidRPr="00AD62CD" w:rsidRDefault="00AD62CD" w:rsidP="00AD62CD">
      <w:pPr>
        <w:spacing w:after="200" w:line="276" w:lineRule="auto"/>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br w:type="page"/>
      </w:r>
    </w:p>
    <w:p w14:paraId="2AD2AEE5"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Tabuľka č. 4/A-1</w:t>
      </w: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1BE091FA"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F8C5BA2"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Výdavky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76A44AE3"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rozpočet verejnej správy</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17D9DC2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poznámka</w:t>
            </w:r>
          </w:p>
        </w:tc>
      </w:tr>
      <w:tr w:rsidR="00AD62CD" w:rsidRPr="00AD62CD" w14:paraId="276A1F32"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114CDF51"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4D1FE271"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5B3EF5D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196A55C8"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1F69AC3B"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34010D5B"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r>
      <w:tr w:rsidR="00AD62CD" w:rsidRPr="00AD62CD" w14:paraId="4DBDC771"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D3B916A"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Bežné výdavky (600)</w:t>
            </w:r>
          </w:p>
        </w:tc>
        <w:tc>
          <w:tcPr>
            <w:tcW w:w="1280" w:type="dxa"/>
            <w:tcBorders>
              <w:top w:val="nil"/>
              <w:left w:val="nil"/>
              <w:bottom w:val="single" w:sz="8" w:space="0" w:color="auto"/>
              <w:right w:val="single" w:sz="8" w:space="0" w:color="auto"/>
            </w:tcBorders>
            <w:shd w:val="clear" w:color="auto" w:fill="auto"/>
            <w:vAlign w:val="center"/>
            <w:hideMark/>
          </w:tcPr>
          <w:p w14:paraId="61465796"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629B0BA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-70 971 796</w:t>
            </w:r>
          </w:p>
        </w:tc>
        <w:tc>
          <w:tcPr>
            <w:tcW w:w="1420" w:type="dxa"/>
            <w:tcBorders>
              <w:top w:val="nil"/>
              <w:left w:val="nil"/>
              <w:bottom w:val="single" w:sz="8" w:space="0" w:color="auto"/>
              <w:right w:val="single" w:sz="8" w:space="0" w:color="auto"/>
            </w:tcBorders>
            <w:shd w:val="clear" w:color="auto" w:fill="auto"/>
            <w:vAlign w:val="center"/>
            <w:hideMark/>
          </w:tcPr>
          <w:p w14:paraId="711AF0AA"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-104 831 756</w:t>
            </w:r>
          </w:p>
        </w:tc>
        <w:tc>
          <w:tcPr>
            <w:tcW w:w="1420" w:type="dxa"/>
            <w:tcBorders>
              <w:top w:val="nil"/>
              <w:left w:val="nil"/>
              <w:bottom w:val="single" w:sz="8" w:space="0" w:color="auto"/>
              <w:right w:val="single" w:sz="8" w:space="0" w:color="auto"/>
            </w:tcBorders>
            <w:shd w:val="clear" w:color="auto" w:fill="auto"/>
            <w:vAlign w:val="center"/>
            <w:hideMark/>
          </w:tcPr>
          <w:p w14:paraId="318F9249"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-151 524 981</w:t>
            </w:r>
          </w:p>
        </w:tc>
        <w:tc>
          <w:tcPr>
            <w:tcW w:w="1320" w:type="dxa"/>
            <w:tcBorders>
              <w:top w:val="nil"/>
              <w:left w:val="nil"/>
              <w:bottom w:val="single" w:sz="8" w:space="0" w:color="auto"/>
              <w:right w:val="single" w:sz="8" w:space="0" w:color="auto"/>
            </w:tcBorders>
            <w:shd w:val="clear" w:color="auto" w:fill="auto"/>
            <w:noWrap/>
            <w:vAlign w:val="center"/>
            <w:hideMark/>
          </w:tcPr>
          <w:p w14:paraId="6BEBBCFB"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43ED1DD9"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4992760"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Mzdy, platy, služobné príjmy a ostatné osobné vyrovnania (610)</w:t>
            </w:r>
          </w:p>
        </w:tc>
        <w:tc>
          <w:tcPr>
            <w:tcW w:w="1280" w:type="dxa"/>
            <w:tcBorders>
              <w:top w:val="nil"/>
              <w:left w:val="nil"/>
              <w:bottom w:val="single" w:sz="8" w:space="0" w:color="auto"/>
              <w:right w:val="single" w:sz="8" w:space="0" w:color="auto"/>
            </w:tcBorders>
            <w:shd w:val="clear" w:color="auto" w:fill="auto"/>
            <w:vAlign w:val="center"/>
            <w:hideMark/>
          </w:tcPr>
          <w:p w14:paraId="028841E1"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40540A7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732233C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02291AC9"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7DF53B33"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1034E0F1"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A9EE439"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Poistné a príspevok do poisťovní (620)</w:t>
            </w:r>
          </w:p>
        </w:tc>
        <w:tc>
          <w:tcPr>
            <w:tcW w:w="1280" w:type="dxa"/>
            <w:tcBorders>
              <w:top w:val="nil"/>
              <w:left w:val="nil"/>
              <w:bottom w:val="single" w:sz="8" w:space="0" w:color="auto"/>
              <w:right w:val="single" w:sz="8" w:space="0" w:color="auto"/>
            </w:tcBorders>
            <w:shd w:val="clear" w:color="auto" w:fill="auto"/>
            <w:vAlign w:val="center"/>
            <w:hideMark/>
          </w:tcPr>
          <w:p w14:paraId="3CA6491B"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524F67F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4 640 852</w:t>
            </w:r>
          </w:p>
        </w:tc>
        <w:tc>
          <w:tcPr>
            <w:tcW w:w="1420" w:type="dxa"/>
            <w:tcBorders>
              <w:top w:val="nil"/>
              <w:left w:val="nil"/>
              <w:bottom w:val="single" w:sz="8" w:space="0" w:color="auto"/>
              <w:right w:val="single" w:sz="8" w:space="0" w:color="auto"/>
            </w:tcBorders>
            <w:shd w:val="clear" w:color="auto" w:fill="auto"/>
            <w:noWrap/>
            <w:vAlign w:val="center"/>
            <w:hideMark/>
          </w:tcPr>
          <w:p w14:paraId="4B53B8A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5 307 134</w:t>
            </w:r>
          </w:p>
        </w:tc>
        <w:tc>
          <w:tcPr>
            <w:tcW w:w="1420" w:type="dxa"/>
            <w:tcBorders>
              <w:top w:val="nil"/>
              <w:left w:val="nil"/>
              <w:bottom w:val="single" w:sz="8" w:space="0" w:color="auto"/>
              <w:right w:val="single" w:sz="8" w:space="0" w:color="auto"/>
            </w:tcBorders>
            <w:shd w:val="clear" w:color="auto" w:fill="auto"/>
            <w:noWrap/>
            <w:vAlign w:val="center"/>
            <w:hideMark/>
          </w:tcPr>
          <w:p w14:paraId="65DEF325"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5 527 386</w:t>
            </w:r>
          </w:p>
        </w:tc>
        <w:tc>
          <w:tcPr>
            <w:tcW w:w="1320" w:type="dxa"/>
            <w:tcBorders>
              <w:top w:val="nil"/>
              <w:left w:val="nil"/>
              <w:bottom w:val="single" w:sz="8" w:space="0" w:color="auto"/>
              <w:right w:val="single" w:sz="8" w:space="0" w:color="auto"/>
            </w:tcBorders>
            <w:shd w:val="clear" w:color="auto" w:fill="auto"/>
            <w:noWrap/>
            <w:vAlign w:val="center"/>
            <w:hideMark/>
          </w:tcPr>
          <w:p w14:paraId="3522B98B"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7DC209AE"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57A6300D"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Tovary a služby (630)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1D8E4CE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7728D5CA"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3 650 000</w:t>
            </w:r>
          </w:p>
        </w:tc>
        <w:tc>
          <w:tcPr>
            <w:tcW w:w="1420" w:type="dxa"/>
            <w:tcBorders>
              <w:top w:val="nil"/>
              <w:left w:val="nil"/>
              <w:bottom w:val="single" w:sz="8" w:space="0" w:color="auto"/>
              <w:right w:val="single" w:sz="8" w:space="0" w:color="auto"/>
            </w:tcBorders>
            <w:shd w:val="clear" w:color="auto" w:fill="auto"/>
            <w:noWrap/>
            <w:vAlign w:val="center"/>
            <w:hideMark/>
          </w:tcPr>
          <w:p w14:paraId="749E9619"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02F136B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7ACBF6A5"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565BA7C3"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7FA6527"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Bežné transfery (640)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7C07564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40856B6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-79 262 648</w:t>
            </w:r>
          </w:p>
        </w:tc>
        <w:tc>
          <w:tcPr>
            <w:tcW w:w="1420" w:type="dxa"/>
            <w:tcBorders>
              <w:top w:val="nil"/>
              <w:left w:val="nil"/>
              <w:bottom w:val="single" w:sz="8" w:space="0" w:color="auto"/>
              <w:right w:val="single" w:sz="8" w:space="0" w:color="auto"/>
            </w:tcBorders>
            <w:shd w:val="clear" w:color="auto" w:fill="auto"/>
            <w:noWrap/>
            <w:vAlign w:val="center"/>
            <w:hideMark/>
          </w:tcPr>
          <w:p w14:paraId="59757208"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-110 138 890</w:t>
            </w:r>
          </w:p>
        </w:tc>
        <w:tc>
          <w:tcPr>
            <w:tcW w:w="1420" w:type="dxa"/>
            <w:tcBorders>
              <w:top w:val="nil"/>
              <w:left w:val="nil"/>
              <w:bottom w:val="single" w:sz="8" w:space="0" w:color="auto"/>
              <w:right w:val="single" w:sz="8" w:space="0" w:color="auto"/>
            </w:tcBorders>
            <w:shd w:val="clear" w:color="auto" w:fill="auto"/>
            <w:noWrap/>
            <w:vAlign w:val="center"/>
            <w:hideMark/>
          </w:tcPr>
          <w:p w14:paraId="09A4782C"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-157 052 367</w:t>
            </w:r>
          </w:p>
        </w:tc>
        <w:tc>
          <w:tcPr>
            <w:tcW w:w="1320" w:type="dxa"/>
            <w:tcBorders>
              <w:top w:val="nil"/>
              <w:left w:val="nil"/>
              <w:bottom w:val="single" w:sz="8" w:space="0" w:color="auto"/>
              <w:right w:val="single" w:sz="8" w:space="0" w:color="auto"/>
            </w:tcBorders>
            <w:shd w:val="clear" w:color="auto" w:fill="auto"/>
            <w:noWrap/>
            <w:vAlign w:val="center"/>
            <w:hideMark/>
          </w:tcPr>
          <w:p w14:paraId="05A2EC9B"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63B2E51E"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53FB930" w14:textId="77777777" w:rsidR="00AD62CD" w:rsidRPr="00AD62CD" w:rsidRDefault="00AD62CD" w:rsidP="00AD62CD">
            <w:pPr>
              <w:spacing w:after="0" w:line="240" w:lineRule="auto"/>
              <w:ind w:firstLineChars="200" w:firstLine="400"/>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Transfery jednotlivcom a neziskovým právnickým osobám (642)</w:t>
            </w:r>
          </w:p>
        </w:tc>
        <w:tc>
          <w:tcPr>
            <w:tcW w:w="1280" w:type="dxa"/>
            <w:tcBorders>
              <w:top w:val="nil"/>
              <w:left w:val="nil"/>
              <w:bottom w:val="single" w:sz="8" w:space="0" w:color="auto"/>
              <w:right w:val="single" w:sz="8" w:space="0" w:color="auto"/>
            </w:tcBorders>
            <w:shd w:val="clear" w:color="auto" w:fill="auto"/>
            <w:vAlign w:val="center"/>
            <w:hideMark/>
          </w:tcPr>
          <w:p w14:paraId="48B015A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263B1F0E"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-79 262 648</w:t>
            </w:r>
          </w:p>
        </w:tc>
        <w:tc>
          <w:tcPr>
            <w:tcW w:w="1420" w:type="dxa"/>
            <w:tcBorders>
              <w:top w:val="nil"/>
              <w:left w:val="nil"/>
              <w:bottom w:val="single" w:sz="8" w:space="0" w:color="auto"/>
              <w:right w:val="single" w:sz="8" w:space="0" w:color="auto"/>
            </w:tcBorders>
            <w:shd w:val="clear" w:color="auto" w:fill="auto"/>
            <w:vAlign w:val="center"/>
            <w:hideMark/>
          </w:tcPr>
          <w:p w14:paraId="452313D5"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-110 138 890</w:t>
            </w:r>
          </w:p>
        </w:tc>
        <w:tc>
          <w:tcPr>
            <w:tcW w:w="1420" w:type="dxa"/>
            <w:tcBorders>
              <w:top w:val="nil"/>
              <w:left w:val="nil"/>
              <w:bottom w:val="single" w:sz="8" w:space="0" w:color="auto"/>
              <w:right w:val="single" w:sz="8" w:space="0" w:color="auto"/>
            </w:tcBorders>
            <w:shd w:val="clear" w:color="auto" w:fill="auto"/>
            <w:vAlign w:val="center"/>
            <w:hideMark/>
          </w:tcPr>
          <w:p w14:paraId="6DBCB19C"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-157 052 367</w:t>
            </w:r>
          </w:p>
        </w:tc>
        <w:tc>
          <w:tcPr>
            <w:tcW w:w="1320" w:type="dxa"/>
            <w:tcBorders>
              <w:top w:val="nil"/>
              <w:left w:val="nil"/>
              <w:bottom w:val="single" w:sz="8" w:space="0" w:color="auto"/>
              <w:right w:val="single" w:sz="8" w:space="0" w:color="auto"/>
            </w:tcBorders>
            <w:shd w:val="clear" w:color="auto" w:fill="auto"/>
            <w:noWrap/>
            <w:vAlign w:val="center"/>
            <w:hideMark/>
          </w:tcPr>
          <w:p w14:paraId="7AF6A8B3"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78F0281E" w14:textId="77777777" w:rsidTr="003627DF">
        <w:trPr>
          <w:trHeight w:val="58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10CA71C"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Splácanie úrokov a ostatné platby súvisiace s  úverom, pôžičkou, návratnou finančnou výpomocou a finančným prenájmom (650)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3D73B6A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1B326069"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6A963C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5B6595A5"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632AB860"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3FC88F7C"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04000A8"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Kapitálové výdavky (700)</w:t>
            </w:r>
          </w:p>
        </w:tc>
        <w:tc>
          <w:tcPr>
            <w:tcW w:w="1280" w:type="dxa"/>
            <w:tcBorders>
              <w:top w:val="nil"/>
              <w:left w:val="nil"/>
              <w:bottom w:val="single" w:sz="8" w:space="0" w:color="auto"/>
              <w:right w:val="single" w:sz="8" w:space="0" w:color="auto"/>
            </w:tcBorders>
            <w:shd w:val="clear" w:color="auto" w:fill="auto"/>
            <w:vAlign w:val="center"/>
            <w:hideMark/>
          </w:tcPr>
          <w:p w14:paraId="22660D51"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40199F9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320B279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70F98764"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2FCBFD7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4B064560"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C35512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Obstarávanie kapitálových aktív (710)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vAlign w:val="center"/>
            <w:hideMark/>
          </w:tcPr>
          <w:p w14:paraId="74780FF9"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3D09C17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3A509FF8"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4215B27A"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556CD3CD"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586F4E05"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4AA04EEA"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Kapitálové transfery (720)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vAlign w:val="center"/>
            <w:hideMark/>
          </w:tcPr>
          <w:p w14:paraId="0300351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3A014ACF"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5E9FBB6B"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30E5EF0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000EF23A"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1194A967"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41110370"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Výdavky z transakcií s finančnými aktívami a finančnými pasívami (800)</w:t>
            </w:r>
          </w:p>
        </w:tc>
        <w:tc>
          <w:tcPr>
            <w:tcW w:w="1280" w:type="dxa"/>
            <w:tcBorders>
              <w:top w:val="nil"/>
              <w:left w:val="nil"/>
              <w:bottom w:val="single" w:sz="8" w:space="0" w:color="auto"/>
              <w:right w:val="single" w:sz="8" w:space="0" w:color="auto"/>
            </w:tcBorders>
            <w:shd w:val="clear" w:color="auto" w:fill="auto"/>
            <w:vAlign w:val="center"/>
            <w:hideMark/>
          </w:tcPr>
          <w:p w14:paraId="44BDBD3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3E101B61"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0AF72784"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46B3AD2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76074FF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6C3F6B32"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0F339E13"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Dopad na výdavky verejnej správy celkom</w:t>
            </w:r>
          </w:p>
        </w:tc>
        <w:tc>
          <w:tcPr>
            <w:tcW w:w="1280" w:type="dxa"/>
            <w:tcBorders>
              <w:top w:val="nil"/>
              <w:left w:val="nil"/>
              <w:bottom w:val="single" w:sz="8" w:space="0" w:color="auto"/>
              <w:right w:val="single" w:sz="8" w:space="0" w:color="auto"/>
            </w:tcBorders>
            <w:shd w:val="clear" w:color="000000" w:fill="BFBFBF"/>
            <w:vAlign w:val="center"/>
            <w:hideMark/>
          </w:tcPr>
          <w:p w14:paraId="4A440795"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vAlign w:val="center"/>
            <w:hideMark/>
          </w:tcPr>
          <w:p w14:paraId="2EE3C05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-70 971 796</w:t>
            </w:r>
          </w:p>
        </w:tc>
        <w:tc>
          <w:tcPr>
            <w:tcW w:w="1420" w:type="dxa"/>
            <w:tcBorders>
              <w:top w:val="nil"/>
              <w:left w:val="nil"/>
              <w:bottom w:val="single" w:sz="8" w:space="0" w:color="auto"/>
              <w:right w:val="single" w:sz="8" w:space="0" w:color="auto"/>
            </w:tcBorders>
            <w:shd w:val="clear" w:color="000000" w:fill="BFBFBF"/>
            <w:vAlign w:val="center"/>
            <w:hideMark/>
          </w:tcPr>
          <w:p w14:paraId="7255871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-104 831 756</w:t>
            </w:r>
          </w:p>
        </w:tc>
        <w:tc>
          <w:tcPr>
            <w:tcW w:w="1420" w:type="dxa"/>
            <w:tcBorders>
              <w:top w:val="nil"/>
              <w:left w:val="nil"/>
              <w:bottom w:val="single" w:sz="8" w:space="0" w:color="auto"/>
              <w:right w:val="single" w:sz="8" w:space="0" w:color="auto"/>
            </w:tcBorders>
            <w:shd w:val="clear" w:color="000000" w:fill="BFBFBF"/>
            <w:vAlign w:val="center"/>
            <w:hideMark/>
          </w:tcPr>
          <w:p w14:paraId="562C68E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-151 524 981</w:t>
            </w:r>
          </w:p>
        </w:tc>
        <w:tc>
          <w:tcPr>
            <w:tcW w:w="1320" w:type="dxa"/>
            <w:tcBorders>
              <w:top w:val="nil"/>
              <w:left w:val="nil"/>
              <w:bottom w:val="single" w:sz="8" w:space="0" w:color="auto"/>
              <w:right w:val="single" w:sz="8" w:space="0" w:color="auto"/>
            </w:tcBorders>
            <w:shd w:val="clear" w:color="000000" w:fill="BFBFBF"/>
            <w:noWrap/>
            <w:vAlign w:val="center"/>
            <w:hideMark/>
          </w:tcPr>
          <w:p w14:paraId="00C04C65"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bl>
    <w:p w14:paraId="58005952"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206F836C"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71117789" w14:textId="77777777" w:rsidR="00AD62CD" w:rsidRPr="00AD62CD" w:rsidRDefault="00AD62CD" w:rsidP="00AD62CD">
      <w:pPr>
        <w:spacing w:after="20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br w:type="page"/>
      </w:r>
    </w:p>
    <w:p w14:paraId="4623B08A"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Tabuľka č. 4/A-2</w:t>
      </w: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1F56066A"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2387C04"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Výdavky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2BFA962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štátny rozpočet</w:t>
            </w:r>
          </w:p>
        </w:tc>
        <w:tc>
          <w:tcPr>
            <w:tcW w:w="1320" w:type="dxa"/>
            <w:tcBorders>
              <w:top w:val="single" w:sz="8" w:space="0" w:color="auto"/>
              <w:left w:val="nil"/>
              <w:bottom w:val="single" w:sz="8" w:space="0" w:color="000000"/>
              <w:right w:val="single" w:sz="8" w:space="0" w:color="auto"/>
            </w:tcBorders>
            <w:shd w:val="clear" w:color="000000" w:fill="BFBFBF"/>
            <w:noWrap/>
            <w:vAlign w:val="center"/>
            <w:hideMark/>
          </w:tcPr>
          <w:p w14:paraId="475EEA7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poznámka</w:t>
            </w:r>
          </w:p>
        </w:tc>
      </w:tr>
      <w:tr w:rsidR="00AD62CD" w:rsidRPr="00AD62CD" w14:paraId="3F5AA14C"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4240DDE9"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4D8DFF79"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5B8E97E7"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086655A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58F1C91A"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c>
          <w:tcPr>
            <w:tcW w:w="1320" w:type="dxa"/>
            <w:tcBorders>
              <w:top w:val="nil"/>
              <w:left w:val="nil"/>
              <w:bottom w:val="single" w:sz="8" w:space="0" w:color="000000"/>
              <w:right w:val="single" w:sz="8" w:space="0" w:color="auto"/>
            </w:tcBorders>
            <w:shd w:val="clear" w:color="auto" w:fill="auto"/>
            <w:vAlign w:val="center"/>
            <w:hideMark/>
          </w:tcPr>
          <w:p w14:paraId="4EBCE2E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277269E9"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2EABC79"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Bežné výdavky (600)</w:t>
            </w:r>
          </w:p>
        </w:tc>
        <w:tc>
          <w:tcPr>
            <w:tcW w:w="1280" w:type="dxa"/>
            <w:tcBorders>
              <w:top w:val="nil"/>
              <w:left w:val="nil"/>
              <w:bottom w:val="single" w:sz="8" w:space="0" w:color="auto"/>
              <w:right w:val="single" w:sz="8" w:space="0" w:color="auto"/>
            </w:tcBorders>
            <w:shd w:val="clear" w:color="auto" w:fill="auto"/>
            <w:vAlign w:val="center"/>
            <w:hideMark/>
          </w:tcPr>
          <w:p w14:paraId="524D3BF5"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78020336"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4 386 932</w:t>
            </w:r>
          </w:p>
        </w:tc>
        <w:tc>
          <w:tcPr>
            <w:tcW w:w="1420" w:type="dxa"/>
            <w:tcBorders>
              <w:top w:val="nil"/>
              <w:left w:val="nil"/>
              <w:bottom w:val="single" w:sz="8" w:space="0" w:color="auto"/>
              <w:right w:val="single" w:sz="8" w:space="0" w:color="auto"/>
            </w:tcBorders>
            <w:shd w:val="clear" w:color="auto" w:fill="auto"/>
            <w:vAlign w:val="center"/>
            <w:hideMark/>
          </w:tcPr>
          <w:p w14:paraId="00422D5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4 628 905</w:t>
            </w:r>
          </w:p>
        </w:tc>
        <w:tc>
          <w:tcPr>
            <w:tcW w:w="1420" w:type="dxa"/>
            <w:tcBorders>
              <w:top w:val="nil"/>
              <w:left w:val="nil"/>
              <w:bottom w:val="single" w:sz="8" w:space="0" w:color="auto"/>
              <w:right w:val="single" w:sz="8" w:space="0" w:color="auto"/>
            </w:tcBorders>
            <w:shd w:val="clear" w:color="auto" w:fill="auto"/>
            <w:vAlign w:val="center"/>
            <w:hideMark/>
          </w:tcPr>
          <w:p w14:paraId="05D182A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4 384 937</w:t>
            </w:r>
          </w:p>
        </w:tc>
        <w:tc>
          <w:tcPr>
            <w:tcW w:w="1320" w:type="dxa"/>
            <w:tcBorders>
              <w:top w:val="nil"/>
              <w:left w:val="nil"/>
              <w:bottom w:val="single" w:sz="8" w:space="0" w:color="auto"/>
              <w:right w:val="single" w:sz="8" w:space="0" w:color="auto"/>
            </w:tcBorders>
            <w:shd w:val="clear" w:color="auto" w:fill="auto"/>
            <w:noWrap/>
            <w:vAlign w:val="center"/>
            <w:hideMark/>
          </w:tcPr>
          <w:p w14:paraId="518CF3D1"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018C30F2"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B55E031"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Mzdy, platy, služobné príjmy a ostatné osobné vyrovnania (610)</w:t>
            </w:r>
          </w:p>
        </w:tc>
        <w:tc>
          <w:tcPr>
            <w:tcW w:w="1280" w:type="dxa"/>
            <w:tcBorders>
              <w:top w:val="nil"/>
              <w:left w:val="nil"/>
              <w:bottom w:val="single" w:sz="8" w:space="0" w:color="auto"/>
              <w:right w:val="single" w:sz="8" w:space="0" w:color="auto"/>
            </w:tcBorders>
            <w:shd w:val="clear" w:color="auto" w:fill="auto"/>
            <w:noWrap/>
            <w:vAlign w:val="center"/>
            <w:hideMark/>
          </w:tcPr>
          <w:p w14:paraId="58869BC1"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3F1220F1"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586919F"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068D52F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76B464C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210D6464"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A3E5BFF"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Poistné a príspevok do poisťovní (620)</w:t>
            </w:r>
          </w:p>
        </w:tc>
        <w:tc>
          <w:tcPr>
            <w:tcW w:w="1280" w:type="dxa"/>
            <w:tcBorders>
              <w:top w:val="nil"/>
              <w:left w:val="nil"/>
              <w:bottom w:val="single" w:sz="8" w:space="0" w:color="auto"/>
              <w:right w:val="single" w:sz="8" w:space="0" w:color="auto"/>
            </w:tcBorders>
            <w:shd w:val="clear" w:color="auto" w:fill="auto"/>
            <w:noWrap/>
            <w:vAlign w:val="center"/>
            <w:hideMark/>
          </w:tcPr>
          <w:p w14:paraId="455C4CA9"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00F5BA8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1 624 298</w:t>
            </w:r>
          </w:p>
        </w:tc>
        <w:tc>
          <w:tcPr>
            <w:tcW w:w="1420" w:type="dxa"/>
            <w:tcBorders>
              <w:top w:val="nil"/>
              <w:left w:val="nil"/>
              <w:bottom w:val="single" w:sz="8" w:space="0" w:color="auto"/>
              <w:right w:val="single" w:sz="8" w:space="0" w:color="auto"/>
            </w:tcBorders>
            <w:shd w:val="clear" w:color="auto" w:fill="auto"/>
            <w:noWrap/>
            <w:vAlign w:val="center"/>
            <w:hideMark/>
          </w:tcPr>
          <w:p w14:paraId="6E026DD0"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1 857 497</w:t>
            </w:r>
          </w:p>
        </w:tc>
        <w:tc>
          <w:tcPr>
            <w:tcW w:w="1420" w:type="dxa"/>
            <w:tcBorders>
              <w:top w:val="nil"/>
              <w:left w:val="nil"/>
              <w:bottom w:val="single" w:sz="8" w:space="0" w:color="auto"/>
              <w:right w:val="single" w:sz="8" w:space="0" w:color="auto"/>
            </w:tcBorders>
            <w:shd w:val="clear" w:color="auto" w:fill="auto"/>
            <w:noWrap/>
            <w:vAlign w:val="center"/>
            <w:hideMark/>
          </w:tcPr>
          <w:p w14:paraId="6E3BC669"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1 934 585</w:t>
            </w:r>
          </w:p>
        </w:tc>
        <w:tc>
          <w:tcPr>
            <w:tcW w:w="1320" w:type="dxa"/>
            <w:tcBorders>
              <w:top w:val="nil"/>
              <w:left w:val="nil"/>
              <w:bottom w:val="single" w:sz="8" w:space="0" w:color="auto"/>
              <w:right w:val="single" w:sz="8" w:space="0" w:color="auto"/>
            </w:tcBorders>
            <w:shd w:val="clear" w:color="auto" w:fill="auto"/>
            <w:noWrap/>
            <w:vAlign w:val="center"/>
            <w:hideMark/>
          </w:tcPr>
          <w:p w14:paraId="0637ADA6"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49C02A6D"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9D114D1"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Tovary a služby (630)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05184A28"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0FE184C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59B05CA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5DDF44A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5959167A"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0EC4B0FA"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C2864D9"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Bežné transfery (640)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vAlign w:val="center"/>
            <w:hideMark/>
          </w:tcPr>
          <w:p w14:paraId="64B1BD1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11AFD055"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2 762 634</w:t>
            </w:r>
          </w:p>
        </w:tc>
        <w:tc>
          <w:tcPr>
            <w:tcW w:w="1420" w:type="dxa"/>
            <w:tcBorders>
              <w:top w:val="nil"/>
              <w:left w:val="nil"/>
              <w:bottom w:val="single" w:sz="8" w:space="0" w:color="auto"/>
              <w:right w:val="single" w:sz="8" w:space="0" w:color="auto"/>
            </w:tcBorders>
            <w:shd w:val="clear" w:color="auto" w:fill="auto"/>
            <w:vAlign w:val="center"/>
            <w:hideMark/>
          </w:tcPr>
          <w:p w14:paraId="20D8107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2 771 408</w:t>
            </w:r>
          </w:p>
        </w:tc>
        <w:tc>
          <w:tcPr>
            <w:tcW w:w="1420" w:type="dxa"/>
            <w:tcBorders>
              <w:top w:val="nil"/>
              <w:left w:val="nil"/>
              <w:bottom w:val="single" w:sz="8" w:space="0" w:color="auto"/>
              <w:right w:val="single" w:sz="8" w:space="0" w:color="auto"/>
            </w:tcBorders>
            <w:shd w:val="clear" w:color="auto" w:fill="auto"/>
            <w:vAlign w:val="center"/>
            <w:hideMark/>
          </w:tcPr>
          <w:p w14:paraId="1BFC78EE"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2 450 352</w:t>
            </w:r>
          </w:p>
        </w:tc>
        <w:tc>
          <w:tcPr>
            <w:tcW w:w="1320" w:type="dxa"/>
            <w:tcBorders>
              <w:top w:val="nil"/>
              <w:left w:val="nil"/>
              <w:bottom w:val="single" w:sz="8" w:space="0" w:color="auto"/>
              <w:right w:val="single" w:sz="8" w:space="0" w:color="auto"/>
            </w:tcBorders>
            <w:shd w:val="clear" w:color="auto" w:fill="auto"/>
            <w:noWrap/>
            <w:vAlign w:val="center"/>
            <w:hideMark/>
          </w:tcPr>
          <w:p w14:paraId="3FB7F1D1"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7B02DB50"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AC61654" w14:textId="77777777" w:rsidR="00AD62CD" w:rsidRPr="00AD62CD" w:rsidRDefault="00AD62CD" w:rsidP="00AD62CD">
            <w:pPr>
              <w:spacing w:after="0" w:line="240" w:lineRule="auto"/>
              <w:ind w:firstLineChars="200" w:firstLine="400"/>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Transfery jednotlivcom a neziskovým právnickým osobám (642)</w:t>
            </w:r>
          </w:p>
        </w:tc>
        <w:tc>
          <w:tcPr>
            <w:tcW w:w="1280" w:type="dxa"/>
            <w:tcBorders>
              <w:top w:val="nil"/>
              <w:left w:val="nil"/>
              <w:bottom w:val="single" w:sz="8" w:space="0" w:color="auto"/>
              <w:right w:val="single" w:sz="8" w:space="0" w:color="auto"/>
            </w:tcBorders>
            <w:shd w:val="clear" w:color="auto" w:fill="auto"/>
            <w:noWrap/>
            <w:vAlign w:val="center"/>
            <w:hideMark/>
          </w:tcPr>
          <w:p w14:paraId="0C534E2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72E9625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2 762 634</w:t>
            </w:r>
          </w:p>
        </w:tc>
        <w:tc>
          <w:tcPr>
            <w:tcW w:w="1420" w:type="dxa"/>
            <w:tcBorders>
              <w:top w:val="nil"/>
              <w:left w:val="nil"/>
              <w:bottom w:val="single" w:sz="8" w:space="0" w:color="auto"/>
              <w:right w:val="single" w:sz="8" w:space="0" w:color="auto"/>
            </w:tcBorders>
            <w:shd w:val="clear" w:color="auto" w:fill="auto"/>
            <w:noWrap/>
            <w:vAlign w:val="center"/>
            <w:hideMark/>
          </w:tcPr>
          <w:p w14:paraId="7E6E845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2 771 408</w:t>
            </w:r>
          </w:p>
        </w:tc>
        <w:tc>
          <w:tcPr>
            <w:tcW w:w="1420" w:type="dxa"/>
            <w:tcBorders>
              <w:top w:val="nil"/>
              <w:left w:val="nil"/>
              <w:bottom w:val="single" w:sz="8" w:space="0" w:color="auto"/>
              <w:right w:val="single" w:sz="8" w:space="0" w:color="auto"/>
            </w:tcBorders>
            <w:shd w:val="clear" w:color="auto" w:fill="auto"/>
            <w:noWrap/>
            <w:vAlign w:val="center"/>
            <w:hideMark/>
          </w:tcPr>
          <w:p w14:paraId="70D7C44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2 450 352</w:t>
            </w:r>
          </w:p>
        </w:tc>
        <w:tc>
          <w:tcPr>
            <w:tcW w:w="1320" w:type="dxa"/>
            <w:tcBorders>
              <w:top w:val="nil"/>
              <w:left w:val="nil"/>
              <w:bottom w:val="single" w:sz="8" w:space="0" w:color="auto"/>
              <w:right w:val="single" w:sz="8" w:space="0" w:color="auto"/>
            </w:tcBorders>
            <w:shd w:val="clear" w:color="auto" w:fill="auto"/>
            <w:noWrap/>
            <w:vAlign w:val="center"/>
            <w:hideMark/>
          </w:tcPr>
          <w:p w14:paraId="20912345"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4140D63E" w14:textId="77777777" w:rsidTr="003627DF">
        <w:trPr>
          <w:trHeight w:val="58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7A496A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Splácanie úrokov a ostatné platby súvisiace s  úverom, pôžičkou, návratnou finančnou výpomocou a finančným prenájmom (650)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40356C8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5C9220CE"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6D0178E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6C87BEE8"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2EB3C2B1"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743ED3E0"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F67EF79"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Kapitálové výdavky (700)</w:t>
            </w:r>
          </w:p>
        </w:tc>
        <w:tc>
          <w:tcPr>
            <w:tcW w:w="1280" w:type="dxa"/>
            <w:tcBorders>
              <w:top w:val="nil"/>
              <w:left w:val="nil"/>
              <w:bottom w:val="single" w:sz="8" w:space="0" w:color="auto"/>
              <w:right w:val="single" w:sz="8" w:space="0" w:color="auto"/>
            </w:tcBorders>
            <w:shd w:val="clear" w:color="auto" w:fill="auto"/>
            <w:vAlign w:val="center"/>
            <w:hideMark/>
          </w:tcPr>
          <w:p w14:paraId="015AE4D4"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170953D6"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5BE202C5"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0891369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45E81A1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33382AEF"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953368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Obstarávanie kapitálových aktív (710)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7860BAE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31F01208"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61F0812A"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6298144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7F4FCB53"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580C4A68"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CD3EF5D"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Kapitálové transfery (720)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399282C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44AFC46A"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60EF239"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66F34C6"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13484F06"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4EC40B7E"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A8F5E95"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Výdavky z transakcií s finančnými aktívami a finančnými pasívami (800)</w:t>
            </w:r>
          </w:p>
        </w:tc>
        <w:tc>
          <w:tcPr>
            <w:tcW w:w="1280" w:type="dxa"/>
            <w:tcBorders>
              <w:top w:val="nil"/>
              <w:left w:val="nil"/>
              <w:bottom w:val="single" w:sz="8" w:space="0" w:color="auto"/>
              <w:right w:val="single" w:sz="8" w:space="0" w:color="auto"/>
            </w:tcBorders>
            <w:shd w:val="clear" w:color="auto" w:fill="auto"/>
            <w:vAlign w:val="center"/>
            <w:hideMark/>
          </w:tcPr>
          <w:p w14:paraId="192C5C10"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55D494C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575D3EC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2F3E7558"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0A288006"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28AAC600"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51F9CC25"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výdavky štátneho rozpočtu celkom</w:t>
            </w:r>
          </w:p>
        </w:tc>
        <w:tc>
          <w:tcPr>
            <w:tcW w:w="1280" w:type="dxa"/>
            <w:tcBorders>
              <w:top w:val="nil"/>
              <w:left w:val="nil"/>
              <w:bottom w:val="single" w:sz="8" w:space="0" w:color="auto"/>
              <w:right w:val="single" w:sz="8" w:space="0" w:color="auto"/>
            </w:tcBorders>
            <w:shd w:val="clear" w:color="000000" w:fill="BFBFBF"/>
            <w:vAlign w:val="center"/>
            <w:hideMark/>
          </w:tcPr>
          <w:p w14:paraId="77198C71"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vAlign w:val="center"/>
            <w:hideMark/>
          </w:tcPr>
          <w:p w14:paraId="2A2DC58F"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4 386 932</w:t>
            </w:r>
          </w:p>
        </w:tc>
        <w:tc>
          <w:tcPr>
            <w:tcW w:w="1420" w:type="dxa"/>
            <w:tcBorders>
              <w:top w:val="nil"/>
              <w:left w:val="nil"/>
              <w:bottom w:val="single" w:sz="8" w:space="0" w:color="auto"/>
              <w:right w:val="single" w:sz="8" w:space="0" w:color="auto"/>
            </w:tcBorders>
            <w:shd w:val="clear" w:color="000000" w:fill="BFBFBF"/>
            <w:vAlign w:val="center"/>
            <w:hideMark/>
          </w:tcPr>
          <w:p w14:paraId="3900D831"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4 628 905</w:t>
            </w:r>
          </w:p>
        </w:tc>
        <w:tc>
          <w:tcPr>
            <w:tcW w:w="1420" w:type="dxa"/>
            <w:tcBorders>
              <w:top w:val="nil"/>
              <w:left w:val="nil"/>
              <w:bottom w:val="single" w:sz="8" w:space="0" w:color="auto"/>
              <w:right w:val="single" w:sz="8" w:space="0" w:color="auto"/>
            </w:tcBorders>
            <w:shd w:val="clear" w:color="000000" w:fill="BFBFBF"/>
            <w:vAlign w:val="center"/>
            <w:hideMark/>
          </w:tcPr>
          <w:p w14:paraId="70729016"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4 384 937</w:t>
            </w:r>
          </w:p>
        </w:tc>
        <w:tc>
          <w:tcPr>
            <w:tcW w:w="1320" w:type="dxa"/>
            <w:tcBorders>
              <w:top w:val="nil"/>
              <w:left w:val="nil"/>
              <w:bottom w:val="single" w:sz="8" w:space="0" w:color="auto"/>
              <w:right w:val="single" w:sz="8" w:space="0" w:color="auto"/>
            </w:tcBorders>
            <w:shd w:val="clear" w:color="000000" w:fill="BFBFBF"/>
            <w:noWrap/>
            <w:vAlign w:val="center"/>
            <w:hideMark/>
          </w:tcPr>
          <w:p w14:paraId="760E9659"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bl>
    <w:p w14:paraId="3A7AB69B"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10BC3287"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1EEB0CD5" w14:textId="77777777" w:rsidR="00AD62CD" w:rsidRPr="00AD62CD" w:rsidRDefault="00AD62CD" w:rsidP="00AD62CD">
      <w:pPr>
        <w:spacing w:after="20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br w:type="page"/>
      </w:r>
    </w:p>
    <w:p w14:paraId="3A580C2A"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Tabuľka č. 4/A-3</w:t>
      </w: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74188EBA"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ED7775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0B0ABE9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obce</w:t>
            </w:r>
          </w:p>
        </w:tc>
        <w:tc>
          <w:tcPr>
            <w:tcW w:w="1320" w:type="dxa"/>
            <w:tcBorders>
              <w:top w:val="single" w:sz="8" w:space="0" w:color="auto"/>
              <w:left w:val="nil"/>
              <w:bottom w:val="single" w:sz="8" w:space="0" w:color="000000"/>
              <w:right w:val="single" w:sz="8" w:space="0" w:color="auto"/>
            </w:tcBorders>
            <w:shd w:val="clear" w:color="000000" w:fill="BFBFBF"/>
            <w:noWrap/>
            <w:vAlign w:val="center"/>
            <w:hideMark/>
          </w:tcPr>
          <w:p w14:paraId="363D98B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3F5DEEF4"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6D286523"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41BCDB6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05393F8F"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0047F53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6397158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20" w:type="dxa"/>
            <w:tcBorders>
              <w:top w:val="nil"/>
              <w:left w:val="nil"/>
              <w:bottom w:val="single" w:sz="8" w:space="0" w:color="000000"/>
              <w:right w:val="single" w:sz="8" w:space="0" w:color="auto"/>
            </w:tcBorders>
            <w:shd w:val="clear" w:color="auto" w:fill="auto"/>
            <w:vAlign w:val="center"/>
            <w:hideMark/>
          </w:tcPr>
          <w:p w14:paraId="362187A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EBB4FF1"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1A4E5F4"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Bežné výdavky (600)</w:t>
            </w:r>
          </w:p>
        </w:tc>
        <w:tc>
          <w:tcPr>
            <w:tcW w:w="1280" w:type="dxa"/>
            <w:tcBorders>
              <w:top w:val="nil"/>
              <w:left w:val="nil"/>
              <w:bottom w:val="single" w:sz="8" w:space="0" w:color="auto"/>
              <w:right w:val="single" w:sz="8" w:space="0" w:color="auto"/>
            </w:tcBorders>
            <w:shd w:val="clear" w:color="auto" w:fill="auto"/>
            <w:vAlign w:val="center"/>
            <w:hideMark/>
          </w:tcPr>
          <w:p w14:paraId="7E1676E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3EDCCE7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4 080 253</w:t>
            </w:r>
          </w:p>
        </w:tc>
        <w:tc>
          <w:tcPr>
            <w:tcW w:w="1420" w:type="dxa"/>
            <w:tcBorders>
              <w:top w:val="nil"/>
              <w:left w:val="nil"/>
              <w:bottom w:val="single" w:sz="8" w:space="0" w:color="auto"/>
              <w:right w:val="single" w:sz="8" w:space="0" w:color="auto"/>
            </w:tcBorders>
            <w:shd w:val="clear" w:color="auto" w:fill="auto"/>
            <w:vAlign w:val="center"/>
            <w:hideMark/>
          </w:tcPr>
          <w:p w14:paraId="37E994F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4 667 429</w:t>
            </w:r>
          </w:p>
        </w:tc>
        <w:tc>
          <w:tcPr>
            <w:tcW w:w="1420" w:type="dxa"/>
            <w:tcBorders>
              <w:top w:val="nil"/>
              <w:left w:val="nil"/>
              <w:bottom w:val="single" w:sz="8" w:space="0" w:color="auto"/>
              <w:right w:val="single" w:sz="8" w:space="0" w:color="auto"/>
            </w:tcBorders>
            <w:shd w:val="clear" w:color="auto" w:fill="auto"/>
            <w:vAlign w:val="center"/>
            <w:hideMark/>
          </w:tcPr>
          <w:p w14:paraId="170439C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4 881 594</w:t>
            </w:r>
          </w:p>
        </w:tc>
        <w:tc>
          <w:tcPr>
            <w:tcW w:w="1320" w:type="dxa"/>
            <w:tcBorders>
              <w:top w:val="nil"/>
              <w:left w:val="nil"/>
              <w:bottom w:val="single" w:sz="8" w:space="0" w:color="auto"/>
              <w:right w:val="single" w:sz="8" w:space="0" w:color="auto"/>
            </w:tcBorders>
            <w:shd w:val="clear" w:color="auto" w:fill="auto"/>
            <w:noWrap/>
            <w:vAlign w:val="center"/>
            <w:hideMark/>
          </w:tcPr>
          <w:p w14:paraId="182A02D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BF0AA85"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2F68AA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Mzdy, platy, služobné príjmy a ostatné osobné vyrovnania (610)</w:t>
            </w:r>
          </w:p>
        </w:tc>
        <w:tc>
          <w:tcPr>
            <w:tcW w:w="1280" w:type="dxa"/>
            <w:tcBorders>
              <w:top w:val="nil"/>
              <w:left w:val="nil"/>
              <w:bottom w:val="single" w:sz="8" w:space="0" w:color="auto"/>
              <w:right w:val="single" w:sz="8" w:space="0" w:color="auto"/>
            </w:tcBorders>
            <w:shd w:val="clear" w:color="auto" w:fill="auto"/>
            <w:noWrap/>
            <w:vAlign w:val="center"/>
            <w:hideMark/>
          </w:tcPr>
          <w:p w14:paraId="1730C6D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4548C7C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1423D99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E5EF1E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5B72534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91929F4"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ACA9C3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Poistné a príspevok do poisťovní (620)</w:t>
            </w:r>
          </w:p>
        </w:tc>
        <w:tc>
          <w:tcPr>
            <w:tcW w:w="1280" w:type="dxa"/>
            <w:tcBorders>
              <w:top w:val="nil"/>
              <w:left w:val="nil"/>
              <w:bottom w:val="single" w:sz="8" w:space="0" w:color="auto"/>
              <w:right w:val="single" w:sz="8" w:space="0" w:color="auto"/>
            </w:tcBorders>
            <w:shd w:val="clear" w:color="auto" w:fill="auto"/>
            <w:noWrap/>
            <w:vAlign w:val="center"/>
            <w:hideMark/>
          </w:tcPr>
          <w:p w14:paraId="79D7B30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2FC3E0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1 438 664</w:t>
            </w:r>
          </w:p>
        </w:tc>
        <w:tc>
          <w:tcPr>
            <w:tcW w:w="1420" w:type="dxa"/>
            <w:tcBorders>
              <w:top w:val="nil"/>
              <w:left w:val="nil"/>
              <w:bottom w:val="single" w:sz="8" w:space="0" w:color="auto"/>
              <w:right w:val="single" w:sz="8" w:space="0" w:color="auto"/>
            </w:tcBorders>
            <w:shd w:val="clear" w:color="auto" w:fill="auto"/>
            <w:noWrap/>
            <w:vAlign w:val="center"/>
            <w:hideMark/>
          </w:tcPr>
          <w:p w14:paraId="01E38F3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1 645 212</w:t>
            </w:r>
          </w:p>
        </w:tc>
        <w:tc>
          <w:tcPr>
            <w:tcW w:w="1420" w:type="dxa"/>
            <w:tcBorders>
              <w:top w:val="nil"/>
              <w:left w:val="nil"/>
              <w:bottom w:val="single" w:sz="8" w:space="0" w:color="auto"/>
              <w:right w:val="single" w:sz="8" w:space="0" w:color="auto"/>
            </w:tcBorders>
            <w:shd w:val="clear" w:color="auto" w:fill="auto"/>
            <w:noWrap/>
            <w:vAlign w:val="center"/>
            <w:hideMark/>
          </w:tcPr>
          <w:p w14:paraId="11F93B0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1 713 490</w:t>
            </w:r>
          </w:p>
        </w:tc>
        <w:tc>
          <w:tcPr>
            <w:tcW w:w="1320" w:type="dxa"/>
            <w:tcBorders>
              <w:top w:val="nil"/>
              <w:left w:val="nil"/>
              <w:bottom w:val="single" w:sz="8" w:space="0" w:color="auto"/>
              <w:right w:val="single" w:sz="8" w:space="0" w:color="auto"/>
            </w:tcBorders>
            <w:shd w:val="clear" w:color="auto" w:fill="auto"/>
            <w:noWrap/>
            <w:vAlign w:val="center"/>
            <w:hideMark/>
          </w:tcPr>
          <w:p w14:paraId="215AF29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A16CA4B"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56B37B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Tovary a služby (630)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4D45BC5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0757A41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83F90B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99FFF2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1A0C048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D7BD7D0"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75B86D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Bežné transfery (640)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vAlign w:val="center"/>
            <w:hideMark/>
          </w:tcPr>
          <w:p w14:paraId="4D51FAD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5D11F90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2 641 588</w:t>
            </w:r>
          </w:p>
        </w:tc>
        <w:tc>
          <w:tcPr>
            <w:tcW w:w="1420" w:type="dxa"/>
            <w:tcBorders>
              <w:top w:val="nil"/>
              <w:left w:val="nil"/>
              <w:bottom w:val="single" w:sz="8" w:space="0" w:color="auto"/>
              <w:right w:val="single" w:sz="8" w:space="0" w:color="auto"/>
            </w:tcBorders>
            <w:shd w:val="clear" w:color="auto" w:fill="auto"/>
            <w:vAlign w:val="center"/>
            <w:hideMark/>
          </w:tcPr>
          <w:p w14:paraId="158B6E5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3 022 217</w:t>
            </w:r>
          </w:p>
        </w:tc>
        <w:tc>
          <w:tcPr>
            <w:tcW w:w="1420" w:type="dxa"/>
            <w:tcBorders>
              <w:top w:val="nil"/>
              <w:left w:val="nil"/>
              <w:bottom w:val="single" w:sz="8" w:space="0" w:color="auto"/>
              <w:right w:val="single" w:sz="8" w:space="0" w:color="auto"/>
            </w:tcBorders>
            <w:shd w:val="clear" w:color="auto" w:fill="auto"/>
            <w:vAlign w:val="center"/>
            <w:hideMark/>
          </w:tcPr>
          <w:p w14:paraId="2114CF8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3 168 105</w:t>
            </w:r>
          </w:p>
        </w:tc>
        <w:tc>
          <w:tcPr>
            <w:tcW w:w="1320" w:type="dxa"/>
            <w:tcBorders>
              <w:top w:val="nil"/>
              <w:left w:val="nil"/>
              <w:bottom w:val="single" w:sz="8" w:space="0" w:color="auto"/>
              <w:right w:val="single" w:sz="8" w:space="0" w:color="auto"/>
            </w:tcBorders>
            <w:shd w:val="clear" w:color="auto" w:fill="auto"/>
            <w:noWrap/>
            <w:vAlign w:val="center"/>
            <w:hideMark/>
          </w:tcPr>
          <w:p w14:paraId="366B4D2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878C297"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3133010" w14:textId="77777777" w:rsidR="00AD62CD" w:rsidRPr="00AD62CD" w:rsidRDefault="00AD62CD" w:rsidP="00AD62CD">
            <w:pPr>
              <w:spacing w:after="0" w:line="240" w:lineRule="auto"/>
              <w:ind w:firstLineChars="200" w:firstLine="400"/>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Transfery jednotlivcom a neziskovým právnickým osobám (642)</w:t>
            </w:r>
          </w:p>
        </w:tc>
        <w:tc>
          <w:tcPr>
            <w:tcW w:w="1280" w:type="dxa"/>
            <w:tcBorders>
              <w:top w:val="nil"/>
              <w:left w:val="nil"/>
              <w:bottom w:val="single" w:sz="8" w:space="0" w:color="auto"/>
              <w:right w:val="single" w:sz="8" w:space="0" w:color="auto"/>
            </w:tcBorders>
            <w:shd w:val="clear" w:color="auto" w:fill="auto"/>
            <w:noWrap/>
            <w:vAlign w:val="center"/>
            <w:hideMark/>
          </w:tcPr>
          <w:p w14:paraId="3227A61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361A7BE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2 641 588</w:t>
            </w:r>
          </w:p>
        </w:tc>
        <w:tc>
          <w:tcPr>
            <w:tcW w:w="1420" w:type="dxa"/>
            <w:tcBorders>
              <w:top w:val="nil"/>
              <w:left w:val="nil"/>
              <w:bottom w:val="single" w:sz="8" w:space="0" w:color="auto"/>
              <w:right w:val="single" w:sz="8" w:space="0" w:color="auto"/>
            </w:tcBorders>
            <w:shd w:val="clear" w:color="auto" w:fill="auto"/>
            <w:noWrap/>
            <w:vAlign w:val="center"/>
            <w:hideMark/>
          </w:tcPr>
          <w:p w14:paraId="310FCFF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3 022 217</w:t>
            </w:r>
          </w:p>
        </w:tc>
        <w:tc>
          <w:tcPr>
            <w:tcW w:w="1420" w:type="dxa"/>
            <w:tcBorders>
              <w:top w:val="nil"/>
              <w:left w:val="nil"/>
              <w:bottom w:val="single" w:sz="8" w:space="0" w:color="auto"/>
              <w:right w:val="single" w:sz="8" w:space="0" w:color="auto"/>
            </w:tcBorders>
            <w:shd w:val="clear" w:color="auto" w:fill="auto"/>
            <w:noWrap/>
            <w:vAlign w:val="center"/>
            <w:hideMark/>
          </w:tcPr>
          <w:p w14:paraId="46AB07E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3 168 105</w:t>
            </w:r>
          </w:p>
        </w:tc>
        <w:tc>
          <w:tcPr>
            <w:tcW w:w="1320" w:type="dxa"/>
            <w:tcBorders>
              <w:top w:val="nil"/>
              <w:left w:val="nil"/>
              <w:bottom w:val="single" w:sz="8" w:space="0" w:color="auto"/>
              <w:right w:val="single" w:sz="8" w:space="0" w:color="auto"/>
            </w:tcBorders>
            <w:shd w:val="clear" w:color="auto" w:fill="auto"/>
            <w:noWrap/>
            <w:vAlign w:val="center"/>
            <w:hideMark/>
          </w:tcPr>
          <w:p w14:paraId="2A5B37C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FF8B94C" w14:textId="77777777" w:rsidTr="003627DF">
        <w:trPr>
          <w:trHeight w:val="58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BCDCBC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Splácanie úrokov a ostatné platby súvisiace s  úverom, pôžičkou, návratnou finančnou výpomocou a finančným prenájmom (650)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410FA8F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10D13E5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651045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D215A8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739B82E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B912A35"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3E95E11"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výdavky (700)</w:t>
            </w:r>
          </w:p>
        </w:tc>
        <w:tc>
          <w:tcPr>
            <w:tcW w:w="1280" w:type="dxa"/>
            <w:tcBorders>
              <w:top w:val="nil"/>
              <w:left w:val="nil"/>
              <w:bottom w:val="single" w:sz="8" w:space="0" w:color="auto"/>
              <w:right w:val="single" w:sz="8" w:space="0" w:color="auto"/>
            </w:tcBorders>
            <w:shd w:val="clear" w:color="auto" w:fill="auto"/>
            <w:vAlign w:val="center"/>
            <w:hideMark/>
          </w:tcPr>
          <w:p w14:paraId="5ACA9AA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299ACE0F"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32DFD87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507F030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33A2E75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062A365"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5B0CD89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Obstarávanie kapitálových aktív (710)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16DD1E0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3BD6975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2799EE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ED2E99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7C597EC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9B1B112"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323053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Kapitálové transfery (720)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618C4A0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5DFFCA3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8FDDFF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E852EB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565D05B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0553B16"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40E2ED16"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z transakcií s finančnými aktívami a finančnými pasívami (800)</w:t>
            </w:r>
          </w:p>
        </w:tc>
        <w:tc>
          <w:tcPr>
            <w:tcW w:w="1280" w:type="dxa"/>
            <w:tcBorders>
              <w:top w:val="nil"/>
              <w:left w:val="nil"/>
              <w:bottom w:val="single" w:sz="8" w:space="0" w:color="auto"/>
              <w:right w:val="single" w:sz="8" w:space="0" w:color="auto"/>
            </w:tcBorders>
            <w:shd w:val="clear" w:color="auto" w:fill="auto"/>
            <w:noWrap/>
            <w:vAlign w:val="center"/>
            <w:hideMark/>
          </w:tcPr>
          <w:p w14:paraId="5CAE2DE5"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2123A04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6EC8A7D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2DB0FF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48FF2C5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9EC2757"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60C86BEB"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výdavky obcí celkom</w:t>
            </w:r>
          </w:p>
        </w:tc>
        <w:tc>
          <w:tcPr>
            <w:tcW w:w="1280" w:type="dxa"/>
            <w:tcBorders>
              <w:top w:val="nil"/>
              <w:left w:val="nil"/>
              <w:bottom w:val="single" w:sz="8" w:space="0" w:color="auto"/>
              <w:right w:val="single" w:sz="8" w:space="0" w:color="auto"/>
            </w:tcBorders>
            <w:shd w:val="clear" w:color="000000" w:fill="BFBFBF"/>
            <w:vAlign w:val="center"/>
            <w:hideMark/>
          </w:tcPr>
          <w:p w14:paraId="03E107A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vAlign w:val="center"/>
            <w:hideMark/>
          </w:tcPr>
          <w:p w14:paraId="6AEFDF3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4 080 253</w:t>
            </w:r>
          </w:p>
        </w:tc>
        <w:tc>
          <w:tcPr>
            <w:tcW w:w="1420" w:type="dxa"/>
            <w:tcBorders>
              <w:top w:val="nil"/>
              <w:left w:val="nil"/>
              <w:bottom w:val="single" w:sz="8" w:space="0" w:color="auto"/>
              <w:right w:val="single" w:sz="8" w:space="0" w:color="auto"/>
            </w:tcBorders>
            <w:shd w:val="clear" w:color="000000" w:fill="BFBFBF"/>
            <w:vAlign w:val="center"/>
            <w:hideMark/>
          </w:tcPr>
          <w:p w14:paraId="0F526439"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4 667 429</w:t>
            </w:r>
          </w:p>
        </w:tc>
        <w:tc>
          <w:tcPr>
            <w:tcW w:w="1420" w:type="dxa"/>
            <w:tcBorders>
              <w:top w:val="nil"/>
              <w:left w:val="nil"/>
              <w:bottom w:val="single" w:sz="8" w:space="0" w:color="auto"/>
              <w:right w:val="single" w:sz="8" w:space="0" w:color="auto"/>
            </w:tcBorders>
            <w:shd w:val="clear" w:color="000000" w:fill="BFBFBF"/>
            <w:vAlign w:val="center"/>
            <w:hideMark/>
          </w:tcPr>
          <w:p w14:paraId="66DB974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4 881 594</w:t>
            </w:r>
          </w:p>
        </w:tc>
        <w:tc>
          <w:tcPr>
            <w:tcW w:w="1320" w:type="dxa"/>
            <w:tcBorders>
              <w:top w:val="nil"/>
              <w:left w:val="nil"/>
              <w:bottom w:val="single" w:sz="8" w:space="0" w:color="auto"/>
              <w:right w:val="single" w:sz="8" w:space="0" w:color="auto"/>
            </w:tcBorders>
            <w:shd w:val="clear" w:color="000000" w:fill="BFBFBF"/>
            <w:noWrap/>
            <w:vAlign w:val="center"/>
            <w:hideMark/>
          </w:tcPr>
          <w:p w14:paraId="11475DF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73AE1C4E"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7980C528"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5C18943A" w14:textId="77777777" w:rsidR="00AD62CD" w:rsidRPr="00AD62CD" w:rsidRDefault="00AD62CD" w:rsidP="00AD62CD">
      <w:pPr>
        <w:spacing w:after="20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br w:type="page"/>
      </w:r>
    </w:p>
    <w:p w14:paraId="35FB6949"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Tabuľka č. 4/A-4</w:t>
      </w: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16079BCF"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902E4C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4F10205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vyššie územné celky</w:t>
            </w:r>
          </w:p>
        </w:tc>
        <w:tc>
          <w:tcPr>
            <w:tcW w:w="1320" w:type="dxa"/>
            <w:tcBorders>
              <w:top w:val="single" w:sz="8" w:space="0" w:color="auto"/>
              <w:left w:val="nil"/>
              <w:bottom w:val="single" w:sz="8" w:space="0" w:color="000000"/>
              <w:right w:val="single" w:sz="8" w:space="0" w:color="auto"/>
            </w:tcBorders>
            <w:shd w:val="clear" w:color="000000" w:fill="BFBFBF"/>
            <w:noWrap/>
            <w:vAlign w:val="center"/>
            <w:hideMark/>
          </w:tcPr>
          <w:p w14:paraId="38B5158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2363C5B6"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3CF11DC8"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0910435F"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4FF5527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1168F5C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02AA5BC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320" w:type="dxa"/>
            <w:tcBorders>
              <w:top w:val="nil"/>
              <w:left w:val="nil"/>
              <w:bottom w:val="single" w:sz="8" w:space="0" w:color="000000"/>
              <w:right w:val="single" w:sz="8" w:space="0" w:color="auto"/>
            </w:tcBorders>
            <w:shd w:val="clear" w:color="auto" w:fill="auto"/>
            <w:vAlign w:val="center"/>
            <w:hideMark/>
          </w:tcPr>
          <w:p w14:paraId="5C90359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1FB6444"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45A48CE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Bežné výdavky (600)</w:t>
            </w:r>
          </w:p>
        </w:tc>
        <w:tc>
          <w:tcPr>
            <w:tcW w:w="1280" w:type="dxa"/>
            <w:tcBorders>
              <w:top w:val="nil"/>
              <w:left w:val="nil"/>
              <w:bottom w:val="single" w:sz="8" w:space="0" w:color="auto"/>
              <w:right w:val="single" w:sz="8" w:space="0" w:color="auto"/>
            </w:tcBorders>
            <w:shd w:val="clear" w:color="auto" w:fill="auto"/>
            <w:vAlign w:val="center"/>
            <w:hideMark/>
          </w:tcPr>
          <w:p w14:paraId="54BED6E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384668D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1 052 968</w:t>
            </w:r>
          </w:p>
        </w:tc>
        <w:tc>
          <w:tcPr>
            <w:tcW w:w="1420" w:type="dxa"/>
            <w:tcBorders>
              <w:top w:val="nil"/>
              <w:left w:val="nil"/>
              <w:bottom w:val="single" w:sz="8" w:space="0" w:color="auto"/>
              <w:right w:val="single" w:sz="8" w:space="0" w:color="auto"/>
            </w:tcBorders>
            <w:shd w:val="clear" w:color="auto" w:fill="auto"/>
            <w:vAlign w:val="center"/>
            <w:hideMark/>
          </w:tcPr>
          <w:p w14:paraId="003066D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1 204 498</w:t>
            </w:r>
          </w:p>
        </w:tc>
        <w:tc>
          <w:tcPr>
            <w:tcW w:w="1420" w:type="dxa"/>
            <w:tcBorders>
              <w:top w:val="nil"/>
              <w:left w:val="nil"/>
              <w:bottom w:val="single" w:sz="8" w:space="0" w:color="auto"/>
              <w:right w:val="single" w:sz="8" w:space="0" w:color="auto"/>
            </w:tcBorders>
            <w:shd w:val="clear" w:color="auto" w:fill="auto"/>
            <w:vAlign w:val="center"/>
            <w:hideMark/>
          </w:tcPr>
          <w:p w14:paraId="5BE6B13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1 259 766</w:t>
            </w:r>
          </w:p>
        </w:tc>
        <w:tc>
          <w:tcPr>
            <w:tcW w:w="1320" w:type="dxa"/>
            <w:tcBorders>
              <w:top w:val="nil"/>
              <w:left w:val="nil"/>
              <w:bottom w:val="single" w:sz="8" w:space="0" w:color="auto"/>
              <w:right w:val="single" w:sz="8" w:space="0" w:color="auto"/>
            </w:tcBorders>
            <w:shd w:val="clear" w:color="auto" w:fill="auto"/>
            <w:noWrap/>
            <w:vAlign w:val="center"/>
            <w:hideMark/>
          </w:tcPr>
          <w:p w14:paraId="3C29FDD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CE90D0C"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4424BA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Mzdy, platy, služobné príjmy a ostatné osobné vyrovnania (610)</w:t>
            </w:r>
          </w:p>
        </w:tc>
        <w:tc>
          <w:tcPr>
            <w:tcW w:w="1280" w:type="dxa"/>
            <w:tcBorders>
              <w:top w:val="nil"/>
              <w:left w:val="nil"/>
              <w:bottom w:val="single" w:sz="8" w:space="0" w:color="auto"/>
              <w:right w:val="single" w:sz="8" w:space="0" w:color="auto"/>
            </w:tcBorders>
            <w:shd w:val="clear" w:color="auto" w:fill="auto"/>
            <w:noWrap/>
            <w:vAlign w:val="center"/>
            <w:hideMark/>
          </w:tcPr>
          <w:p w14:paraId="4E5D6CC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71222A9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6C7B93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7196A30"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250BB34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64BFB80"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3A65AE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Poistné a príspevok do poisťovní (620)</w:t>
            </w:r>
          </w:p>
        </w:tc>
        <w:tc>
          <w:tcPr>
            <w:tcW w:w="1280" w:type="dxa"/>
            <w:tcBorders>
              <w:top w:val="nil"/>
              <w:left w:val="nil"/>
              <w:bottom w:val="single" w:sz="8" w:space="0" w:color="auto"/>
              <w:right w:val="single" w:sz="8" w:space="0" w:color="auto"/>
            </w:tcBorders>
            <w:shd w:val="clear" w:color="auto" w:fill="auto"/>
            <w:noWrap/>
            <w:vAlign w:val="center"/>
            <w:hideMark/>
          </w:tcPr>
          <w:p w14:paraId="3FFB209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201D5F2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371 268</w:t>
            </w:r>
          </w:p>
        </w:tc>
        <w:tc>
          <w:tcPr>
            <w:tcW w:w="1420" w:type="dxa"/>
            <w:tcBorders>
              <w:top w:val="nil"/>
              <w:left w:val="nil"/>
              <w:bottom w:val="single" w:sz="8" w:space="0" w:color="auto"/>
              <w:right w:val="single" w:sz="8" w:space="0" w:color="auto"/>
            </w:tcBorders>
            <w:shd w:val="clear" w:color="auto" w:fill="auto"/>
            <w:noWrap/>
            <w:vAlign w:val="center"/>
            <w:hideMark/>
          </w:tcPr>
          <w:p w14:paraId="21D8140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424 571</w:t>
            </w:r>
          </w:p>
        </w:tc>
        <w:tc>
          <w:tcPr>
            <w:tcW w:w="1420" w:type="dxa"/>
            <w:tcBorders>
              <w:top w:val="nil"/>
              <w:left w:val="nil"/>
              <w:bottom w:val="single" w:sz="8" w:space="0" w:color="auto"/>
              <w:right w:val="single" w:sz="8" w:space="0" w:color="auto"/>
            </w:tcBorders>
            <w:shd w:val="clear" w:color="auto" w:fill="auto"/>
            <w:noWrap/>
            <w:vAlign w:val="center"/>
            <w:hideMark/>
          </w:tcPr>
          <w:p w14:paraId="7985984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442 191</w:t>
            </w:r>
          </w:p>
        </w:tc>
        <w:tc>
          <w:tcPr>
            <w:tcW w:w="1320" w:type="dxa"/>
            <w:tcBorders>
              <w:top w:val="nil"/>
              <w:left w:val="nil"/>
              <w:bottom w:val="single" w:sz="8" w:space="0" w:color="auto"/>
              <w:right w:val="single" w:sz="8" w:space="0" w:color="auto"/>
            </w:tcBorders>
            <w:shd w:val="clear" w:color="auto" w:fill="auto"/>
            <w:noWrap/>
            <w:vAlign w:val="center"/>
            <w:hideMark/>
          </w:tcPr>
          <w:p w14:paraId="1530A58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2B5EA26"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BFC18D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Tovary a služby (630)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0151EAEB"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3EADE1A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FB7C5C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82B220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69C481D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CF4A413"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7E493D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Bežné transfery (640)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vAlign w:val="center"/>
            <w:hideMark/>
          </w:tcPr>
          <w:p w14:paraId="670959E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6CC9E95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681 700</w:t>
            </w:r>
          </w:p>
        </w:tc>
        <w:tc>
          <w:tcPr>
            <w:tcW w:w="1420" w:type="dxa"/>
            <w:tcBorders>
              <w:top w:val="nil"/>
              <w:left w:val="nil"/>
              <w:bottom w:val="single" w:sz="8" w:space="0" w:color="auto"/>
              <w:right w:val="single" w:sz="8" w:space="0" w:color="auto"/>
            </w:tcBorders>
            <w:shd w:val="clear" w:color="auto" w:fill="auto"/>
            <w:vAlign w:val="center"/>
            <w:hideMark/>
          </w:tcPr>
          <w:p w14:paraId="1909E8A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779 927</w:t>
            </w:r>
          </w:p>
        </w:tc>
        <w:tc>
          <w:tcPr>
            <w:tcW w:w="1420" w:type="dxa"/>
            <w:tcBorders>
              <w:top w:val="nil"/>
              <w:left w:val="nil"/>
              <w:bottom w:val="single" w:sz="8" w:space="0" w:color="auto"/>
              <w:right w:val="single" w:sz="8" w:space="0" w:color="auto"/>
            </w:tcBorders>
            <w:shd w:val="clear" w:color="auto" w:fill="auto"/>
            <w:vAlign w:val="center"/>
            <w:hideMark/>
          </w:tcPr>
          <w:p w14:paraId="2C2F291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817 575</w:t>
            </w:r>
          </w:p>
        </w:tc>
        <w:tc>
          <w:tcPr>
            <w:tcW w:w="1320" w:type="dxa"/>
            <w:tcBorders>
              <w:top w:val="nil"/>
              <w:left w:val="nil"/>
              <w:bottom w:val="single" w:sz="8" w:space="0" w:color="auto"/>
              <w:right w:val="single" w:sz="8" w:space="0" w:color="auto"/>
            </w:tcBorders>
            <w:shd w:val="clear" w:color="auto" w:fill="auto"/>
            <w:noWrap/>
            <w:vAlign w:val="center"/>
            <w:hideMark/>
          </w:tcPr>
          <w:p w14:paraId="2848D3D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126B007"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04717C3" w14:textId="77777777" w:rsidR="00AD62CD" w:rsidRPr="00AD62CD" w:rsidRDefault="00AD62CD" w:rsidP="00AD62CD">
            <w:pPr>
              <w:spacing w:after="0" w:line="240" w:lineRule="auto"/>
              <w:ind w:firstLineChars="200" w:firstLine="400"/>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Transfery jednotlivcom a neziskovým právnickým osobám (642)</w:t>
            </w:r>
          </w:p>
        </w:tc>
        <w:tc>
          <w:tcPr>
            <w:tcW w:w="1280" w:type="dxa"/>
            <w:tcBorders>
              <w:top w:val="nil"/>
              <w:left w:val="nil"/>
              <w:bottom w:val="single" w:sz="8" w:space="0" w:color="auto"/>
              <w:right w:val="single" w:sz="8" w:space="0" w:color="auto"/>
            </w:tcBorders>
            <w:shd w:val="clear" w:color="auto" w:fill="auto"/>
            <w:noWrap/>
            <w:vAlign w:val="center"/>
            <w:hideMark/>
          </w:tcPr>
          <w:p w14:paraId="626769C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3452049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681 700</w:t>
            </w:r>
          </w:p>
        </w:tc>
        <w:tc>
          <w:tcPr>
            <w:tcW w:w="1420" w:type="dxa"/>
            <w:tcBorders>
              <w:top w:val="nil"/>
              <w:left w:val="nil"/>
              <w:bottom w:val="single" w:sz="8" w:space="0" w:color="auto"/>
              <w:right w:val="single" w:sz="8" w:space="0" w:color="auto"/>
            </w:tcBorders>
            <w:shd w:val="clear" w:color="auto" w:fill="auto"/>
            <w:noWrap/>
            <w:vAlign w:val="center"/>
            <w:hideMark/>
          </w:tcPr>
          <w:p w14:paraId="49879E2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779 927</w:t>
            </w:r>
          </w:p>
        </w:tc>
        <w:tc>
          <w:tcPr>
            <w:tcW w:w="1420" w:type="dxa"/>
            <w:tcBorders>
              <w:top w:val="nil"/>
              <w:left w:val="nil"/>
              <w:bottom w:val="single" w:sz="8" w:space="0" w:color="auto"/>
              <w:right w:val="single" w:sz="8" w:space="0" w:color="auto"/>
            </w:tcBorders>
            <w:shd w:val="clear" w:color="auto" w:fill="auto"/>
            <w:noWrap/>
            <w:vAlign w:val="center"/>
            <w:hideMark/>
          </w:tcPr>
          <w:p w14:paraId="72CC057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817 575</w:t>
            </w:r>
          </w:p>
        </w:tc>
        <w:tc>
          <w:tcPr>
            <w:tcW w:w="1320" w:type="dxa"/>
            <w:tcBorders>
              <w:top w:val="nil"/>
              <w:left w:val="nil"/>
              <w:bottom w:val="single" w:sz="8" w:space="0" w:color="auto"/>
              <w:right w:val="single" w:sz="8" w:space="0" w:color="auto"/>
            </w:tcBorders>
            <w:shd w:val="clear" w:color="auto" w:fill="auto"/>
            <w:noWrap/>
            <w:vAlign w:val="center"/>
            <w:hideMark/>
          </w:tcPr>
          <w:p w14:paraId="17FA1C9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37E5635" w14:textId="77777777" w:rsidTr="003627DF">
        <w:trPr>
          <w:trHeight w:val="58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43BF61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Splácanie úrokov a ostatné platby súvisiace s  úverom, pôžičkou, návratnou finančnou výpomocou a finančným prenájmom (650)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3B5C28B8"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5992F16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54334E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E52AA1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3453F22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5CDD838"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0BDE90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výdavky (700)</w:t>
            </w:r>
          </w:p>
        </w:tc>
        <w:tc>
          <w:tcPr>
            <w:tcW w:w="1280" w:type="dxa"/>
            <w:tcBorders>
              <w:top w:val="nil"/>
              <w:left w:val="nil"/>
              <w:bottom w:val="single" w:sz="8" w:space="0" w:color="auto"/>
              <w:right w:val="single" w:sz="8" w:space="0" w:color="auto"/>
            </w:tcBorders>
            <w:shd w:val="clear" w:color="auto" w:fill="auto"/>
            <w:vAlign w:val="center"/>
            <w:hideMark/>
          </w:tcPr>
          <w:p w14:paraId="40A166B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0AEF5FA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1C35D20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57C72524"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0DE8C4A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C07554A"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4ECBF1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Obstarávanie kapitálových aktív (710)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796C0B5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40FC83C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257CAA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6D0610F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1CC63C6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548B4D5"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405FE1FB"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Kapitálové transfery (720)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396D3BD1"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2E9C8E6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70FD83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5E684C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3781AFF9"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B66D454"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514E0CE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z transakcií s finančnými aktívami a finančnými pasívami (800)</w:t>
            </w:r>
          </w:p>
        </w:tc>
        <w:tc>
          <w:tcPr>
            <w:tcW w:w="1280" w:type="dxa"/>
            <w:tcBorders>
              <w:top w:val="nil"/>
              <w:left w:val="nil"/>
              <w:bottom w:val="single" w:sz="8" w:space="0" w:color="auto"/>
              <w:right w:val="single" w:sz="8" w:space="0" w:color="auto"/>
            </w:tcBorders>
            <w:shd w:val="clear" w:color="auto" w:fill="auto"/>
            <w:noWrap/>
            <w:vAlign w:val="center"/>
            <w:hideMark/>
          </w:tcPr>
          <w:p w14:paraId="3A518BE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570E72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7615D0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D3B7BF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5E0E733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5A3A119"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62EC8211"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výdavky vyšších územných celkov celkom</w:t>
            </w:r>
          </w:p>
        </w:tc>
        <w:tc>
          <w:tcPr>
            <w:tcW w:w="1280" w:type="dxa"/>
            <w:tcBorders>
              <w:top w:val="nil"/>
              <w:left w:val="nil"/>
              <w:bottom w:val="single" w:sz="8" w:space="0" w:color="auto"/>
              <w:right w:val="single" w:sz="8" w:space="0" w:color="auto"/>
            </w:tcBorders>
            <w:shd w:val="clear" w:color="000000" w:fill="BFBFBF"/>
            <w:vAlign w:val="center"/>
            <w:hideMark/>
          </w:tcPr>
          <w:p w14:paraId="2646A13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vAlign w:val="center"/>
            <w:hideMark/>
          </w:tcPr>
          <w:p w14:paraId="7EA3890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1 052 968</w:t>
            </w:r>
          </w:p>
        </w:tc>
        <w:tc>
          <w:tcPr>
            <w:tcW w:w="1420" w:type="dxa"/>
            <w:tcBorders>
              <w:top w:val="nil"/>
              <w:left w:val="nil"/>
              <w:bottom w:val="single" w:sz="8" w:space="0" w:color="auto"/>
              <w:right w:val="single" w:sz="8" w:space="0" w:color="auto"/>
            </w:tcBorders>
            <w:shd w:val="clear" w:color="000000" w:fill="BFBFBF"/>
            <w:vAlign w:val="center"/>
            <w:hideMark/>
          </w:tcPr>
          <w:p w14:paraId="62CDC243"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1 204 498</w:t>
            </w:r>
          </w:p>
        </w:tc>
        <w:tc>
          <w:tcPr>
            <w:tcW w:w="1420" w:type="dxa"/>
            <w:tcBorders>
              <w:top w:val="nil"/>
              <w:left w:val="nil"/>
              <w:bottom w:val="single" w:sz="8" w:space="0" w:color="auto"/>
              <w:right w:val="single" w:sz="8" w:space="0" w:color="auto"/>
            </w:tcBorders>
            <w:shd w:val="clear" w:color="000000" w:fill="BFBFBF"/>
            <w:vAlign w:val="center"/>
            <w:hideMark/>
          </w:tcPr>
          <w:p w14:paraId="0AA27F0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1 259 766</w:t>
            </w:r>
          </w:p>
        </w:tc>
        <w:tc>
          <w:tcPr>
            <w:tcW w:w="1320" w:type="dxa"/>
            <w:tcBorders>
              <w:top w:val="nil"/>
              <w:left w:val="nil"/>
              <w:bottom w:val="single" w:sz="8" w:space="0" w:color="auto"/>
              <w:right w:val="single" w:sz="8" w:space="0" w:color="auto"/>
            </w:tcBorders>
            <w:shd w:val="clear" w:color="000000" w:fill="BFBFBF"/>
            <w:noWrap/>
            <w:vAlign w:val="center"/>
            <w:hideMark/>
          </w:tcPr>
          <w:p w14:paraId="16EEE3B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51683B4F"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26B82FE0"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0311669E" w14:textId="77777777" w:rsidR="00AD62CD" w:rsidRPr="00AD62CD" w:rsidRDefault="00AD62CD" w:rsidP="00AD62CD">
      <w:pPr>
        <w:spacing w:after="200" w:line="276" w:lineRule="auto"/>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br w:type="page"/>
      </w:r>
    </w:p>
    <w:p w14:paraId="4D9A5E64"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Tabuľka č. 4/A-5</w:t>
      </w: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763CDAD3"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623F580"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Výdavky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1C8E11CF"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Sociálnu poisťovňu</w:t>
            </w:r>
          </w:p>
        </w:tc>
        <w:tc>
          <w:tcPr>
            <w:tcW w:w="1320" w:type="dxa"/>
            <w:tcBorders>
              <w:top w:val="single" w:sz="8" w:space="0" w:color="auto"/>
              <w:left w:val="nil"/>
              <w:bottom w:val="single" w:sz="8" w:space="0" w:color="000000"/>
              <w:right w:val="single" w:sz="8" w:space="0" w:color="auto"/>
            </w:tcBorders>
            <w:shd w:val="clear" w:color="000000" w:fill="BFBFBF"/>
            <w:noWrap/>
            <w:vAlign w:val="center"/>
            <w:hideMark/>
          </w:tcPr>
          <w:p w14:paraId="114DF1AB"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poznámka</w:t>
            </w:r>
          </w:p>
        </w:tc>
      </w:tr>
      <w:tr w:rsidR="00AD62CD" w:rsidRPr="00AD62CD" w14:paraId="743486A3"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17A3C937"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016B0080"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2025</w:t>
            </w:r>
          </w:p>
        </w:tc>
        <w:tc>
          <w:tcPr>
            <w:tcW w:w="1360" w:type="dxa"/>
            <w:tcBorders>
              <w:top w:val="nil"/>
              <w:left w:val="nil"/>
              <w:bottom w:val="single" w:sz="8" w:space="0" w:color="auto"/>
              <w:right w:val="single" w:sz="8" w:space="0" w:color="auto"/>
            </w:tcBorders>
            <w:shd w:val="clear" w:color="000000" w:fill="BFBFBF"/>
            <w:vAlign w:val="center"/>
            <w:hideMark/>
          </w:tcPr>
          <w:p w14:paraId="00FEE6DA"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2026</w:t>
            </w:r>
          </w:p>
        </w:tc>
        <w:tc>
          <w:tcPr>
            <w:tcW w:w="1420" w:type="dxa"/>
            <w:tcBorders>
              <w:top w:val="nil"/>
              <w:left w:val="nil"/>
              <w:bottom w:val="single" w:sz="8" w:space="0" w:color="auto"/>
              <w:right w:val="single" w:sz="8" w:space="0" w:color="auto"/>
            </w:tcBorders>
            <w:shd w:val="clear" w:color="000000" w:fill="BFBFBF"/>
            <w:vAlign w:val="center"/>
            <w:hideMark/>
          </w:tcPr>
          <w:p w14:paraId="4DEADD16"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2027</w:t>
            </w:r>
          </w:p>
        </w:tc>
        <w:tc>
          <w:tcPr>
            <w:tcW w:w="1420" w:type="dxa"/>
            <w:tcBorders>
              <w:top w:val="nil"/>
              <w:left w:val="nil"/>
              <w:bottom w:val="single" w:sz="8" w:space="0" w:color="auto"/>
              <w:right w:val="single" w:sz="8" w:space="0" w:color="auto"/>
            </w:tcBorders>
            <w:shd w:val="clear" w:color="000000" w:fill="BFBFBF"/>
            <w:vAlign w:val="center"/>
            <w:hideMark/>
          </w:tcPr>
          <w:p w14:paraId="46307A8E" w14:textId="77777777" w:rsidR="00AD62CD" w:rsidRPr="00AD62CD" w:rsidRDefault="00AD62CD" w:rsidP="00AD62CD">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2028</w:t>
            </w:r>
          </w:p>
        </w:tc>
        <w:tc>
          <w:tcPr>
            <w:tcW w:w="1320" w:type="dxa"/>
            <w:tcBorders>
              <w:top w:val="nil"/>
              <w:left w:val="nil"/>
              <w:bottom w:val="single" w:sz="8" w:space="0" w:color="000000"/>
              <w:right w:val="single" w:sz="8" w:space="0" w:color="auto"/>
            </w:tcBorders>
            <w:shd w:val="clear" w:color="auto" w:fill="auto"/>
            <w:vAlign w:val="center"/>
            <w:hideMark/>
          </w:tcPr>
          <w:p w14:paraId="4CDA77D8"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4490467B"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E1E0E02"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Bežné výdavky (600)</w:t>
            </w:r>
          </w:p>
        </w:tc>
        <w:tc>
          <w:tcPr>
            <w:tcW w:w="1280" w:type="dxa"/>
            <w:tcBorders>
              <w:top w:val="nil"/>
              <w:left w:val="nil"/>
              <w:bottom w:val="single" w:sz="8" w:space="0" w:color="auto"/>
              <w:right w:val="single" w:sz="8" w:space="0" w:color="auto"/>
            </w:tcBorders>
            <w:shd w:val="clear" w:color="auto" w:fill="auto"/>
            <w:vAlign w:val="center"/>
            <w:hideMark/>
          </w:tcPr>
          <w:p w14:paraId="020C20B2"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264F0875"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-83 914 096</w:t>
            </w:r>
          </w:p>
        </w:tc>
        <w:tc>
          <w:tcPr>
            <w:tcW w:w="1420" w:type="dxa"/>
            <w:tcBorders>
              <w:top w:val="nil"/>
              <w:left w:val="nil"/>
              <w:bottom w:val="single" w:sz="8" w:space="0" w:color="auto"/>
              <w:right w:val="single" w:sz="8" w:space="0" w:color="auto"/>
            </w:tcBorders>
            <w:shd w:val="clear" w:color="auto" w:fill="auto"/>
            <w:vAlign w:val="center"/>
            <w:hideMark/>
          </w:tcPr>
          <w:p w14:paraId="41044866"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-119 247 205</w:t>
            </w:r>
          </w:p>
        </w:tc>
        <w:tc>
          <w:tcPr>
            <w:tcW w:w="1420" w:type="dxa"/>
            <w:tcBorders>
              <w:top w:val="nil"/>
              <w:left w:val="nil"/>
              <w:bottom w:val="single" w:sz="8" w:space="0" w:color="auto"/>
              <w:right w:val="single" w:sz="8" w:space="0" w:color="auto"/>
            </w:tcBorders>
            <w:shd w:val="clear" w:color="auto" w:fill="auto"/>
            <w:vAlign w:val="center"/>
            <w:hideMark/>
          </w:tcPr>
          <w:p w14:paraId="5C5A3E01"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-166 145 520</w:t>
            </w:r>
          </w:p>
        </w:tc>
        <w:tc>
          <w:tcPr>
            <w:tcW w:w="1320" w:type="dxa"/>
            <w:tcBorders>
              <w:top w:val="nil"/>
              <w:left w:val="nil"/>
              <w:bottom w:val="single" w:sz="8" w:space="0" w:color="auto"/>
              <w:right w:val="single" w:sz="8" w:space="0" w:color="auto"/>
            </w:tcBorders>
            <w:shd w:val="clear" w:color="auto" w:fill="auto"/>
            <w:noWrap/>
            <w:vAlign w:val="center"/>
            <w:hideMark/>
          </w:tcPr>
          <w:p w14:paraId="0D099B1C"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32375417"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DECB732"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Mzdy, platy, služobné príjmy a ostatné osobné vyrovnania (610)</w:t>
            </w:r>
          </w:p>
        </w:tc>
        <w:tc>
          <w:tcPr>
            <w:tcW w:w="1280" w:type="dxa"/>
            <w:tcBorders>
              <w:top w:val="nil"/>
              <w:left w:val="nil"/>
              <w:bottom w:val="single" w:sz="8" w:space="0" w:color="auto"/>
              <w:right w:val="single" w:sz="8" w:space="0" w:color="auto"/>
            </w:tcBorders>
            <w:shd w:val="clear" w:color="auto" w:fill="auto"/>
            <w:noWrap/>
            <w:vAlign w:val="center"/>
            <w:hideMark/>
          </w:tcPr>
          <w:p w14:paraId="2D3CE330"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13E4832E"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0892DEA"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69B3384E"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1B84016C"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46C94C6B"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FA1D79E"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Poistné a príspevok do poisťovní (620)</w:t>
            </w:r>
          </w:p>
        </w:tc>
        <w:tc>
          <w:tcPr>
            <w:tcW w:w="1280" w:type="dxa"/>
            <w:tcBorders>
              <w:top w:val="nil"/>
              <w:left w:val="nil"/>
              <w:bottom w:val="single" w:sz="8" w:space="0" w:color="auto"/>
              <w:right w:val="single" w:sz="8" w:space="0" w:color="auto"/>
            </w:tcBorders>
            <w:shd w:val="clear" w:color="auto" w:fill="auto"/>
            <w:noWrap/>
            <w:vAlign w:val="center"/>
            <w:hideMark/>
          </w:tcPr>
          <w:p w14:paraId="4ED97308"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071EE150"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6B660A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5DA6AF0C"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5E964B08"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60E06961"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3858EE5"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Tovary a služby (630)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25C7C1DB"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7B64C02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3 650 000</w:t>
            </w:r>
          </w:p>
        </w:tc>
        <w:tc>
          <w:tcPr>
            <w:tcW w:w="1420" w:type="dxa"/>
            <w:tcBorders>
              <w:top w:val="nil"/>
              <w:left w:val="nil"/>
              <w:bottom w:val="single" w:sz="8" w:space="0" w:color="auto"/>
              <w:right w:val="single" w:sz="8" w:space="0" w:color="auto"/>
            </w:tcBorders>
            <w:shd w:val="clear" w:color="auto" w:fill="auto"/>
            <w:noWrap/>
            <w:vAlign w:val="center"/>
            <w:hideMark/>
          </w:tcPr>
          <w:p w14:paraId="632C90F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FC1B2F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04FC5F4B"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171C8B45"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C37A3BA"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Bežné transfery (640)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vAlign w:val="center"/>
            <w:hideMark/>
          </w:tcPr>
          <w:p w14:paraId="1D90E938"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5B4FCA3B"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-87 564 096</w:t>
            </w:r>
          </w:p>
        </w:tc>
        <w:tc>
          <w:tcPr>
            <w:tcW w:w="1420" w:type="dxa"/>
            <w:tcBorders>
              <w:top w:val="nil"/>
              <w:left w:val="nil"/>
              <w:bottom w:val="single" w:sz="8" w:space="0" w:color="auto"/>
              <w:right w:val="single" w:sz="8" w:space="0" w:color="auto"/>
            </w:tcBorders>
            <w:shd w:val="clear" w:color="auto" w:fill="auto"/>
            <w:vAlign w:val="center"/>
            <w:hideMark/>
          </w:tcPr>
          <w:p w14:paraId="1F0E1ED0"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-119 247 205</w:t>
            </w:r>
          </w:p>
        </w:tc>
        <w:tc>
          <w:tcPr>
            <w:tcW w:w="1420" w:type="dxa"/>
            <w:tcBorders>
              <w:top w:val="nil"/>
              <w:left w:val="nil"/>
              <w:bottom w:val="single" w:sz="8" w:space="0" w:color="auto"/>
              <w:right w:val="single" w:sz="8" w:space="0" w:color="auto"/>
            </w:tcBorders>
            <w:shd w:val="clear" w:color="auto" w:fill="auto"/>
            <w:vAlign w:val="center"/>
            <w:hideMark/>
          </w:tcPr>
          <w:p w14:paraId="7BC0E22F"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-166 145 520</w:t>
            </w:r>
          </w:p>
        </w:tc>
        <w:tc>
          <w:tcPr>
            <w:tcW w:w="1320" w:type="dxa"/>
            <w:tcBorders>
              <w:top w:val="nil"/>
              <w:left w:val="nil"/>
              <w:bottom w:val="single" w:sz="8" w:space="0" w:color="auto"/>
              <w:right w:val="single" w:sz="8" w:space="0" w:color="auto"/>
            </w:tcBorders>
            <w:shd w:val="clear" w:color="auto" w:fill="auto"/>
            <w:noWrap/>
            <w:vAlign w:val="center"/>
            <w:hideMark/>
          </w:tcPr>
          <w:p w14:paraId="31B21000"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3F7E4675"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D17A38B" w14:textId="77777777" w:rsidR="00AD62CD" w:rsidRPr="00AD62CD" w:rsidRDefault="00AD62CD" w:rsidP="00AD62CD">
            <w:pPr>
              <w:spacing w:after="0" w:line="240" w:lineRule="auto"/>
              <w:ind w:firstLineChars="200" w:firstLine="400"/>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Transfery jednotlivcom a neziskovým právnickým osobám (642)</w:t>
            </w:r>
          </w:p>
        </w:tc>
        <w:tc>
          <w:tcPr>
            <w:tcW w:w="1280" w:type="dxa"/>
            <w:tcBorders>
              <w:top w:val="nil"/>
              <w:left w:val="nil"/>
              <w:bottom w:val="single" w:sz="8" w:space="0" w:color="auto"/>
              <w:right w:val="single" w:sz="8" w:space="0" w:color="auto"/>
            </w:tcBorders>
            <w:shd w:val="clear" w:color="auto" w:fill="auto"/>
            <w:noWrap/>
            <w:vAlign w:val="center"/>
            <w:hideMark/>
          </w:tcPr>
          <w:p w14:paraId="4EE9DE4B"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7D01B211"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-87 564 096</w:t>
            </w:r>
          </w:p>
        </w:tc>
        <w:tc>
          <w:tcPr>
            <w:tcW w:w="1420" w:type="dxa"/>
            <w:tcBorders>
              <w:top w:val="nil"/>
              <w:left w:val="nil"/>
              <w:bottom w:val="single" w:sz="8" w:space="0" w:color="auto"/>
              <w:right w:val="single" w:sz="8" w:space="0" w:color="auto"/>
            </w:tcBorders>
            <w:shd w:val="clear" w:color="auto" w:fill="auto"/>
            <w:noWrap/>
            <w:vAlign w:val="center"/>
            <w:hideMark/>
          </w:tcPr>
          <w:p w14:paraId="451939AD"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-119 247 205</w:t>
            </w:r>
          </w:p>
        </w:tc>
        <w:tc>
          <w:tcPr>
            <w:tcW w:w="1420" w:type="dxa"/>
            <w:tcBorders>
              <w:top w:val="nil"/>
              <w:left w:val="nil"/>
              <w:bottom w:val="single" w:sz="8" w:space="0" w:color="auto"/>
              <w:right w:val="single" w:sz="8" w:space="0" w:color="auto"/>
            </w:tcBorders>
            <w:shd w:val="clear" w:color="auto" w:fill="auto"/>
            <w:noWrap/>
            <w:vAlign w:val="center"/>
            <w:hideMark/>
          </w:tcPr>
          <w:p w14:paraId="73C6734B"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-166 145 520</w:t>
            </w:r>
          </w:p>
        </w:tc>
        <w:tc>
          <w:tcPr>
            <w:tcW w:w="1320" w:type="dxa"/>
            <w:tcBorders>
              <w:top w:val="nil"/>
              <w:left w:val="nil"/>
              <w:bottom w:val="single" w:sz="8" w:space="0" w:color="auto"/>
              <w:right w:val="single" w:sz="8" w:space="0" w:color="auto"/>
            </w:tcBorders>
            <w:shd w:val="clear" w:color="auto" w:fill="auto"/>
            <w:noWrap/>
            <w:vAlign w:val="center"/>
            <w:hideMark/>
          </w:tcPr>
          <w:p w14:paraId="1F41EF19"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3A04DDF5" w14:textId="77777777" w:rsidTr="003627DF">
        <w:trPr>
          <w:trHeight w:val="58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A61CF11"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Splácanie úrokov a ostatné platby súvisiace s  úverom, pôžičkou, návratnou finančnou výpomocou a finančným prenájmom (650)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4551B3D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A6D11D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551B9DE"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5B54814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53F00536"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274F22C9"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7C3C4B6"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Kapitálové výdavky (700)</w:t>
            </w:r>
          </w:p>
        </w:tc>
        <w:tc>
          <w:tcPr>
            <w:tcW w:w="1280" w:type="dxa"/>
            <w:tcBorders>
              <w:top w:val="nil"/>
              <w:left w:val="nil"/>
              <w:bottom w:val="single" w:sz="8" w:space="0" w:color="auto"/>
              <w:right w:val="single" w:sz="8" w:space="0" w:color="auto"/>
            </w:tcBorders>
            <w:shd w:val="clear" w:color="auto" w:fill="auto"/>
            <w:vAlign w:val="center"/>
            <w:hideMark/>
          </w:tcPr>
          <w:p w14:paraId="5C5E699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2D066A4D"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6A28E3A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3DB1D1F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69D18E5B"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5A8351DC"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1F637D0"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Obstarávanie kapitálových aktív (710)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7DC7E247"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7840B51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656FA0B2"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0674C42E"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4896C152"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34693114"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AE85469"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xml:space="preserve">  Kapitálové transfery (720)</w:t>
            </w:r>
            <w:r w:rsidRPr="00AD62CD">
              <w:rPr>
                <w:rFonts w:ascii="Times New Roman" w:eastAsia="Times New Roman"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3DFB4B23"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C7E557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45A137E1"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54E98C94" w14:textId="77777777" w:rsidR="00AD62CD" w:rsidRPr="00AD62CD" w:rsidRDefault="00AD62CD" w:rsidP="00AD62CD">
            <w:pPr>
              <w:spacing w:after="0" w:line="240" w:lineRule="auto"/>
              <w:ind w:firstLineChars="100" w:firstLine="200"/>
              <w:jc w:val="right"/>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1EC2DB71"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3CFBD8F1"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428C9A7E"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Výdavky z transakcií s finančnými aktívami a finančnými pasívami (800)</w:t>
            </w:r>
          </w:p>
        </w:tc>
        <w:tc>
          <w:tcPr>
            <w:tcW w:w="1280" w:type="dxa"/>
            <w:tcBorders>
              <w:top w:val="nil"/>
              <w:left w:val="nil"/>
              <w:bottom w:val="single" w:sz="8" w:space="0" w:color="auto"/>
              <w:right w:val="single" w:sz="8" w:space="0" w:color="auto"/>
            </w:tcBorders>
            <w:shd w:val="clear" w:color="auto" w:fill="auto"/>
            <w:noWrap/>
            <w:vAlign w:val="center"/>
            <w:hideMark/>
          </w:tcPr>
          <w:p w14:paraId="270F9F87"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1D67CA06"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1BE02B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617A618B"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2EFD0D81"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r w:rsidR="00AD62CD" w:rsidRPr="00AD62CD" w14:paraId="020AA953"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24BE6F8B" w14:textId="77777777" w:rsidR="00AD62CD" w:rsidRPr="00AD62CD" w:rsidRDefault="00AD62CD" w:rsidP="00AD62CD">
            <w:pPr>
              <w:spacing w:after="0" w:line="240" w:lineRule="auto"/>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Vplyv na výdavky Sociálnej poisťovne celkom</w:t>
            </w:r>
          </w:p>
        </w:tc>
        <w:tc>
          <w:tcPr>
            <w:tcW w:w="1280" w:type="dxa"/>
            <w:tcBorders>
              <w:top w:val="nil"/>
              <w:left w:val="nil"/>
              <w:bottom w:val="single" w:sz="8" w:space="0" w:color="auto"/>
              <w:right w:val="single" w:sz="8" w:space="0" w:color="auto"/>
            </w:tcBorders>
            <w:shd w:val="clear" w:color="000000" w:fill="BFBFBF"/>
            <w:vAlign w:val="center"/>
            <w:hideMark/>
          </w:tcPr>
          <w:p w14:paraId="38C9E0BE"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000000" w:fill="BFBFBF"/>
            <w:vAlign w:val="center"/>
            <w:hideMark/>
          </w:tcPr>
          <w:p w14:paraId="33BFAA2C"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-83 914 096</w:t>
            </w:r>
          </w:p>
        </w:tc>
        <w:tc>
          <w:tcPr>
            <w:tcW w:w="1420" w:type="dxa"/>
            <w:tcBorders>
              <w:top w:val="nil"/>
              <w:left w:val="nil"/>
              <w:bottom w:val="single" w:sz="8" w:space="0" w:color="auto"/>
              <w:right w:val="single" w:sz="8" w:space="0" w:color="auto"/>
            </w:tcBorders>
            <w:shd w:val="clear" w:color="000000" w:fill="BFBFBF"/>
            <w:vAlign w:val="center"/>
            <w:hideMark/>
          </w:tcPr>
          <w:p w14:paraId="5AF028F5"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-119 247 205</w:t>
            </w:r>
          </w:p>
        </w:tc>
        <w:tc>
          <w:tcPr>
            <w:tcW w:w="1420" w:type="dxa"/>
            <w:tcBorders>
              <w:top w:val="nil"/>
              <w:left w:val="nil"/>
              <w:bottom w:val="single" w:sz="8" w:space="0" w:color="auto"/>
              <w:right w:val="single" w:sz="8" w:space="0" w:color="auto"/>
            </w:tcBorders>
            <w:shd w:val="clear" w:color="000000" w:fill="BFBFBF"/>
            <w:vAlign w:val="center"/>
            <w:hideMark/>
          </w:tcPr>
          <w:p w14:paraId="4A602A13" w14:textId="77777777" w:rsidR="00AD62CD" w:rsidRPr="00AD62CD" w:rsidRDefault="00AD62CD" w:rsidP="00AD62CD">
            <w:pPr>
              <w:spacing w:after="0" w:line="240" w:lineRule="auto"/>
              <w:ind w:firstLineChars="100" w:firstLine="201"/>
              <w:jc w:val="right"/>
              <w:rPr>
                <w:rFonts w:ascii="Times New Roman" w:eastAsia="Times New Roman" w:hAnsi="Times New Roman" w:cs="Times New Roman"/>
                <w:b/>
                <w:bCs/>
                <w:color w:val="000000"/>
                <w:kern w:val="0"/>
                <w:sz w:val="20"/>
                <w:szCs w:val="20"/>
                <w:lang w:eastAsia="sk-SK"/>
                <w14:ligatures w14:val="none"/>
              </w:rPr>
            </w:pPr>
            <w:r w:rsidRPr="00AD62CD">
              <w:rPr>
                <w:rFonts w:ascii="Times New Roman" w:eastAsia="Times New Roman" w:hAnsi="Times New Roman" w:cs="Times New Roman"/>
                <w:b/>
                <w:bCs/>
                <w:color w:val="000000"/>
                <w:kern w:val="0"/>
                <w:sz w:val="20"/>
                <w:szCs w:val="20"/>
                <w:lang w:eastAsia="sk-SK"/>
                <w14:ligatures w14:val="none"/>
              </w:rPr>
              <w:t>-166 145 520</w:t>
            </w:r>
          </w:p>
        </w:tc>
        <w:tc>
          <w:tcPr>
            <w:tcW w:w="1320" w:type="dxa"/>
            <w:tcBorders>
              <w:top w:val="nil"/>
              <w:left w:val="nil"/>
              <w:bottom w:val="single" w:sz="8" w:space="0" w:color="auto"/>
              <w:right w:val="single" w:sz="8" w:space="0" w:color="auto"/>
            </w:tcBorders>
            <w:shd w:val="clear" w:color="000000" w:fill="BFBFBF"/>
            <w:noWrap/>
            <w:vAlign w:val="center"/>
            <w:hideMark/>
          </w:tcPr>
          <w:p w14:paraId="663B0A65" w14:textId="77777777" w:rsidR="00AD62CD" w:rsidRPr="00AD62CD" w:rsidRDefault="00AD62CD" w:rsidP="00AD62CD">
            <w:pPr>
              <w:spacing w:after="0" w:line="240" w:lineRule="auto"/>
              <w:rPr>
                <w:rFonts w:ascii="Times New Roman" w:eastAsia="Times New Roman" w:hAnsi="Times New Roman" w:cs="Times New Roman"/>
                <w:color w:val="000000"/>
                <w:kern w:val="0"/>
                <w:sz w:val="20"/>
                <w:szCs w:val="20"/>
                <w:lang w:eastAsia="sk-SK"/>
                <w14:ligatures w14:val="none"/>
              </w:rPr>
            </w:pPr>
            <w:r w:rsidRPr="00AD62CD">
              <w:rPr>
                <w:rFonts w:ascii="Times New Roman" w:eastAsia="Times New Roman" w:hAnsi="Times New Roman" w:cs="Times New Roman"/>
                <w:color w:val="000000"/>
                <w:kern w:val="0"/>
                <w:sz w:val="20"/>
                <w:szCs w:val="20"/>
                <w:lang w:eastAsia="sk-SK"/>
                <w14:ligatures w14:val="none"/>
              </w:rPr>
              <w:t> </w:t>
            </w:r>
          </w:p>
        </w:tc>
      </w:tr>
    </w:tbl>
    <w:p w14:paraId="6E0E8674"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3E48FDEA" w14:textId="77777777" w:rsidR="00AD62CD" w:rsidRPr="00AD62CD" w:rsidRDefault="00AD62CD" w:rsidP="00AD62CD">
      <w:pPr>
        <w:spacing w:after="200" w:line="276" w:lineRule="auto"/>
        <w:rPr>
          <w:rFonts w:ascii="Times New Roman" w:eastAsia="Calibri" w:hAnsi="Times New Roman" w:cs="Times New Roman"/>
          <w:bCs/>
          <w:kern w:val="0"/>
          <w:szCs w:val="20"/>
          <w:lang w:eastAsia="sk-SK"/>
          <w14:ligatures w14:val="none"/>
        </w:rPr>
      </w:pPr>
      <w:r w:rsidRPr="00AD62CD">
        <w:rPr>
          <w:rFonts w:ascii="Times New Roman" w:eastAsia="Calibri" w:hAnsi="Times New Roman" w:cs="Times New Roman"/>
          <w:bCs/>
          <w:kern w:val="0"/>
          <w:szCs w:val="20"/>
          <w:lang w:eastAsia="sk-SK"/>
          <w14:ligatures w14:val="none"/>
        </w:rPr>
        <w:br w:type="page"/>
      </w:r>
    </w:p>
    <w:p w14:paraId="1141C876" w14:textId="77777777" w:rsidR="00AD62CD" w:rsidRPr="00AD62CD" w:rsidRDefault="00AD62CD" w:rsidP="00AD62CD">
      <w:pPr>
        <w:tabs>
          <w:tab w:val="num" w:pos="1080"/>
        </w:tabs>
        <w:spacing w:after="0" w:line="240" w:lineRule="auto"/>
        <w:ind w:right="-32"/>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Tabuľka č. 4/A-6</w:t>
      </w:r>
    </w:p>
    <w:tbl>
      <w:tblPr>
        <w:tblW w:w="14161" w:type="dxa"/>
        <w:tblCellMar>
          <w:left w:w="70" w:type="dxa"/>
          <w:right w:w="70" w:type="dxa"/>
        </w:tblCellMar>
        <w:tblLook w:val="04A0" w:firstRow="1" w:lastRow="0" w:firstColumn="1" w:lastColumn="0" w:noHBand="0" w:noVBand="1"/>
      </w:tblPr>
      <w:tblGrid>
        <w:gridCol w:w="7361"/>
        <w:gridCol w:w="1280"/>
        <w:gridCol w:w="1360"/>
        <w:gridCol w:w="1420"/>
        <w:gridCol w:w="1420"/>
        <w:gridCol w:w="1320"/>
      </w:tblGrid>
      <w:tr w:rsidR="00AD62CD" w:rsidRPr="00AD62CD" w14:paraId="036EB1C6" w14:textId="77777777" w:rsidTr="003627DF">
        <w:trPr>
          <w:trHeight w:val="270"/>
        </w:trPr>
        <w:tc>
          <w:tcPr>
            <w:tcW w:w="73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3B4112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(v eurách)</w:t>
            </w:r>
          </w:p>
        </w:tc>
        <w:tc>
          <w:tcPr>
            <w:tcW w:w="5480" w:type="dxa"/>
            <w:gridSpan w:val="4"/>
            <w:tcBorders>
              <w:top w:val="single" w:sz="8" w:space="0" w:color="auto"/>
              <w:left w:val="nil"/>
              <w:bottom w:val="single" w:sz="8" w:space="0" w:color="auto"/>
              <w:right w:val="single" w:sz="8" w:space="0" w:color="000000"/>
            </w:tcBorders>
            <w:shd w:val="clear" w:color="000000" w:fill="BFBFBF"/>
            <w:vAlign w:val="center"/>
            <w:hideMark/>
          </w:tcPr>
          <w:p w14:paraId="4E0337DF"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ostatné subjekty verejnej správy</w:t>
            </w:r>
          </w:p>
        </w:tc>
        <w:tc>
          <w:tcPr>
            <w:tcW w:w="1320" w:type="dxa"/>
            <w:tcBorders>
              <w:top w:val="single" w:sz="8" w:space="0" w:color="auto"/>
              <w:left w:val="nil"/>
              <w:bottom w:val="single" w:sz="8" w:space="0" w:color="000000"/>
              <w:right w:val="single" w:sz="8" w:space="0" w:color="auto"/>
            </w:tcBorders>
            <w:shd w:val="clear" w:color="000000" w:fill="BFBFBF"/>
            <w:noWrap/>
            <w:vAlign w:val="center"/>
            <w:hideMark/>
          </w:tcPr>
          <w:p w14:paraId="6C83480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5DE274A4" w14:textId="77777777" w:rsidTr="003627DF">
        <w:trPr>
          <w:trHeight w:val="270"/>
        </w:trPr>
        <w:tc>
          <w:tcPr>
            <w:tcW w:w="7361" w:type="dxa"/>
            <w:vMerge/>
            <w:tcBorders>
              <w:top w:val="single" w:sz="8" w:space="0" w:color="auto"/>
              <w:left w:val="single" w:sz="8" w:space="0" w:color="auto"/>
              <w:bottom w:val="single" w:sz="8" w:space="0" w:color="000000"/>
              <w:right w:val="single" w:sz="8" w:space="0" w:color="auto"/>
            </w:tcBorders>
            <w:vAlign w:val="center"/>
            <w:hideMark/>
          </w:tcPr>
          <w:p w14:paraId="48A6B732"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80" w:type="dxa"/>
            <w:tcBorders>
              <w:top w:val="nil"/>
              <w:left w:val="nil"/>
              <w:bottom w:val="single" w:sz="8" w:space="0" w:color="auto"/>
              <w:right w:val="single" w:sz="8" w:space="0" w:color="auto"/>
            </w:tcBorders>
            <w:shd w:val="clear" w:color="000000" w:fill="BFBFBF"/>
            <w:vAlign w:val="center"/>
            <w:hideMark/>
          </w:tcPr>
          <w:p w14:paraId="3ECED0D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2023</w:t>
            </w:r>
          </w:p>
        </w:tc>
        <w:tc>
          <w:tcPr>
            <w:tcW w:w="1360" w:type="dxa"/>
            <w:tcBorders>
              <w:top w:val="nil"/>
              <w:left w:val="nil"/>
              <w:bottom w:val="single" w:sz="8" w:space="0" w:color="auto"/>
              <w:right w:val="single" w:sz="8" w:space="0" w:color="auto"/>
            </w:tcBorders>
            <w:shd w:val="clear" w:color="000000" w:fill="BFBFBF"/>
            <w:vAlign w:val="center"/>
            <w:hideMark/>
          </w:tcPr>
          <w:p w14:paraId="1F2E42C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2024</w:t>
            </w:r>
          </w:p>
        </w:tc>
        <w:tc>
          <w:tcPr>
            <w:tcW w:w="1420" w:type="dxa"/>
            <w:tcBorders>
              <w:top w:val="nil"/>
              <w:left w:val="nil"/>
              <w:bottom w:val="single" w:sz="8" w:space="0" w:color="auto"/>
              <w:right w:val="single" w:sz="8" w:space="0" w:color="auto"/>
            </w:tcBorders>
            <w:shd w:val="clear" w:color="000000" w:fill="BFBFBF"/>
            <w:vAlign w:val="center"/>
            <w:hideMark/>
          </w:tcPr>
          <w:p w14:paraId="4CC4F6D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420" w:type="dxa"/>
            <w:tcBorders>
              <w:top w:val="nil"/>
              <w:left w:val="nil"/>
              <w:bottom w:val="single" w:sz="8" w:space="0" w:color="auto"/>
              <w:right w:val="single" w:sz="8" w:space="0" w:color="auto"/>
            </w:tcBorders>
            <w:shd w:val="clear" w:color="000000" w:fill="BFBFBF"/>
            <w:vAlign w:val="center"/>
            <w:hideMark/>
          </w:tcPr>
          <w:p w14:paraId="3B3E0CB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320" w:type="dxa"/>
            <w:tcBorders>
              <w:top w:val="nil"/>
              <w:left w:val="nil"/>
              <w:bottom w:val="single" w:sz="8" w:space="0" w:color="000000"/>
              <w:right w:val="single" w:sz="8" w:space="0" w:color="auto"/>
            </w:tcBorders>
            <w:shd w:val="clear" w:color="auto" w:fill="auto"/>
            <w:vAlign w:val="center"/>
            <w:hideMark/>
          </w:tcPr>
          <w:p w14:paraId="567B93D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6CBC8CD"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53A1AEDD"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Bežné výdavky (600)</w:t>
            </w:r>
          </w:p>
        </w:tc>
        <w:tc>
          <w:tcPr>
            <w:tcW w:w="1280" w:type="dxa"/>
            <w:tcBorders>
              <w:top w:val="nil"/>
              <w:left w:val="nil"/>
              <w:bottom w:val="single" w:sz="8" w:space="0" w:color="auto"/>
              <w:right w:val="single" w:sz="8" w:space="0" w:color="auto"/>
            </w:tcBorders>
            <w:shd w:val="clear" w:color="auto" w:fill="auto"/>
            <w:vAlign w:val="center"/>
            <w:hideMark/>
          </w:tcPr>
          <w:p w14:paraId="7CBE34B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27F947E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3 422 147</w:t>
            </w:r>
          </w:p>
        </w:tc>
        <w:tc>
          <w:tcPr>
            <w:tcW w:w="1420" w:type="dxa"/>
            <w:tcBorders>
              <w:top w:val="nil"/>
              <w:left w:val="nil"/>
              <w:bottom w:val="single" w:sz="8" w:space="0" w:color="auto"/>
              <w:right w:val="single" w:sz="8" w:space="0" w:color="auto"/>
            </w:tcBorders>
            <w:shd w:val="clear" w:color="auto" w:fill="auto"/>
            <w:vAlign w:val="center"/>
            <w:hideMark/>
          </w:tcPr>
          <w:p w14:paraId="2148CA87"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3 914 618</w:t>
            </w:r>
          </w:p>
        </w:tc>
        <w:tc>
          <w:tcPr>
            <w:tcW w:w="1420" w:type="dxa"/>
            <w:tcBorders>
              <w:top w:val="nil"/>
              <w:left w:val="nil"/>
              <w:bottom w:val="single" w:sz="8" w:space="0" w:color="auto"/>
              <w:right w:val="single" w:sz="8" w:space="0" w:color="auto"/>
            </w:tcBorders>
            <w:shd w:val="clear" w:color="auto" w:fill="auto"/>
            <w:vAlign w:val="center"/>
            <w:hideMark/>
          </w:tcPr>
          <w:p w14:paraId="008E73D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4 094 241</w:t>
            </w:r>
          </w:p>
        </w:tc>
        <w:tc>
          <w:tcPr>
            <w:tcW w:w="1320" w:type="dxa"/>
            <w:tcBorders>
              <w:top w:val="nil"/>
              <w:left w:val="nil"/>
              <w:bottom w:val="single" w:sz="8" w:space="0" w:color="auto"/>
              <w:right w:val="single" w:sz="8" w:space="0" w:color="auto"/>
            </w:tcBorders>
            <w:shd w:val="clear" w:color="auto" w:fill="auto"/>
            <w:noWrap/>
            <w:vAlign w:val="center"/>
            <w:hideMark/>
          </w:tcPr>
          <w:p w14:paraId="73FDB31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A4F3D41"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2E3513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Mzdy, platy, služobné príjmy a ostatné osobné vyrovnania (610)</w:t>
            </w:r>
          </w:p>
        </w:tc>
        <w:tc>
          <w:tcPr>
            <w:tcW w:w="1280" w:type="dxa"/>
            <w:tcBorders>
              <w:top w:val="nil"/>
              <w:left w:val="nil"/>
              <w:bottom w:val="single" w:sz="8" w:space="0" w:color="auto"/>
              <w:right w:val="single" w:sz="8" w:space="0" w:color="auto"/>
            </w:tcBorders>
            <w:shd w:val="clear" w:color="auto" w:fill="auto"/>
            <w:noWrap/>
            <w:vAlign w:val="center"/>
            <w:hideMark/>
          </w:tcPr>
          <w:p w14:paraId="55B0792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E24F83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1B53BD3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68E8912"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552D6A2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A70AD3F"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5CEDB89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Poistné a príspevok do poisťovní (620)</w:t>
            </w:r>
          </w:p>
        </w:tc>
        <w:tc>
          <w:tcPr>
            <w:tcW w:w="1280" w:type="dxa"/>
            <w:tcBorders>
              <w:top w:val="nil"/>
              <w:left w:val="nil"/>
              <w:bottom w:val="single" w:sz="8" w:space="0" w:color="auto"/>
              <w:right w:val="single" w:sz="8" w:space="0" w:color="auto"/>
            </w:tcBorders>
            <w:shd w:val="clear" w:color="auto" w:fill="auto"/>
            <w:noWrap/>
            <w:vAlign w:val="center"/>
            <w:hideMark/>
          </w:tcPr>
          <w:p w14:paraId="26CF216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7340DD6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1 206 622</w:t>
            </w:r>
          </w:p>
        </w:tc>
        <w:tc>
          <w:tcPr>
            <w:tcW w:w="1420" w:type="dxa"/>
            <w:tcBorders>
              <w:top w:val="nil"/>
              <w:left w:val="nil"/>
              <w:bottom w:val="single" w:sz="8" w:space="0" w:color="auto"/>
              <w:right w:val="single" w:sz="8" w:space="0" w:color="auto"/>
            </w:tcBorders>
            <w:shd w:val="clear" w:color="auto" w:fill="auto"/>
            <w:noWrap/>
            <w:vAlign w:val="center"/>
            <w:hideMark/>
          </w:tcPr>
          <w:p w14:paraId="1A7BB89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1 379 855</w:t>
            </w:r>
          </w:p>
        </w:tc>
        <w:tc>
          <w:tcPr>
            <w:tcW w:w="1420" w:type="dxa"/>
            <w:tcBorders>
              <w:top w:val="nil"/>
              <w:left w:val="nil"/>
              <w:bottom w:val="single" w:sz="8" w:space="0" w:color="auto"/>
              <w:right w:val="single" w:sz="8" w:space="0" w:color="auto"/>
            </w:tcBorders>
            <w:shd w:val="clear" w:color="auto" w:fill="auto"/>
            <w:noWrap/>
            <w:vAlign w:val="center"/>
            <w:hideMark/>
          </w:tcPr>
          <w:p w14:paraId="1764C3B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1 437 120</w:t>
            </w:r>
          </w:p>
        </w:tc>
        <w:tc>
          <w:tcPr>
            <w:tcW w:w="1320" w:type="dxa"/>
            <w:tcBorders>
              <w:top w:val="nil"/>
              <w:left w:val="nil"/>
              <w:bottom w:val="single" w:sz="8" w:space="0" w:color="auto"/>
              <w:right w:val="single" w:sz="8" w:space="0" w:color="auto"/>
            </w:tcBorders>
            <w:shd w:val="clear" w:color="auto" w:fill="auto"/>
            <w:noWrap/>
            <w:vAlign w:val="center"/>
            <w:hideMark/>
          </w:tcPr>
          <w:p w14:paraId="0FB5BF18"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D400AFD"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5FB3263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Tovary a služby (630)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76CD43F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3BB5924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FBA951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73F5D27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389813E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200A14A"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5CF25AB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Bežné transfery (640)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vAlign w:val="center"/>
            <w:hideMark/>
          </w:tcPr>
          <w:p w14:paraId="588FBB6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1D1662B3"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2 215 526</w:t>
            </w:r>
          </w:p>
        </w:tc>
        <w:tc>
          <w:tcPr>
            <w:tcW w:w="1420" w:type="dxa"/>
            <w:tcBorders>
              <w:top w:val="nil"/>
              <w:left w:val="nil"/>
              <w:bottom w:val="single" w:sz="8" w:space="0" w:color="auto"/>
              <w:right w:val="single" w:sz="8" w:space="0" w:color="auto"/>
            </w:tcBorders>
            <w:shd w:val="clear" w:color="auto" w:fill="auto"/>
            <w:vAlign w:val="center"/>
            <w:hideMark/>
          </w:tcPr>
          <w:p w14:paraId="7ED52A8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2 534 763</w:t>
            </w:r>
          </w:p>
        </w:tc>
        <w:tc>
          <w:tcPr>
            <w:tcW w:w="1420" w:type="dxa"/>
            <w:tcBorders>
              <w:top w:val="nil"/>
              <w:left w:val="nil"/>
              <w:bottom w:val="single" w:sz="8" w:space="0" w:color="auto"/>
              <w:right w:val="single" w:sz="8" w:space="0" w:color="auto"/>
            </w:tcBorders>
            <w:shd w:val="clear" w:color="auto" w:fill="auto"/>
            <w:vAlign w:val="center"/>
            <w:hideMark/>
          </w:tcPr>
          <w:p w14:paraId="52CDF53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2 657 120</w:t>
            </w:r>
          </w:p>
        </w:tc>
        <w:tc>
          <w:tcPr>
            <w:tcW w:w="1320" w:type="dxa"/>
            <w:tcBorders>
              <w:top w:val="nil"/>
              <w:left w:val="nil"/>
              <w:bottom w:val="single" w:sz="8" w:space="0" w:color="auto"/>
              <w:right w:val="single" w:sz="8" w:space="0" w:color="auto"/>
            </w:tcBorders>
            <w:shd w:val="clear" w:color="auto" w:fill="auto"/>
            <w:noWrap/>
            <w:vAlign w:val="center"/>
            <w:hideMark/>
          </w:tcPr>
          <w:p w14:paraId="4244BC8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3860A992"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4D387A76" w14:textId="77777777" w:rsidR="00AD62CD" w:rsidRPr="00AD62CD" w:rsidRDefault="00AD62CD" w:rsidP="00AD62CD">
            <w:pPr>
              <w:spacing w:after="0" w:line="240" w:lineRule="auto"/>
              <w:ind w:firstLineChars="200" w:firstLine="400"/>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Transfery jednotlivcom a neziskovým právnickým osobám (642)</w:t>
            </w:r>
          </w:p>
        </w:tc>
        <w:tc>
          <w:tcPr>
            <w:tcW w:w="1280" w:type="dxa"/>
            <w:tcBorders>
              <w:top w:val="nil"/>
              <w:left w:val="nil"/>
              <w:bottom w:val="single" w:sz="8" w:space="0" w:color="auto"/>
              <w:right w:val="single" w:sz="8" w:space="0" w:color="auto"/>
            </w:tcBorders>
            <w:shd w:val="clear" w:color="auto" w:fill="auto"/>
            <w:noWrap/>
            <w:vAlign w:val="center"/>
            <w:hideMark/>
          </w:tcPr>
          <w:p w14:paraId="0ABECDE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54ED998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2 215 526</w:t>
            </w:r>
          </w:p>
        </w:tc>
        <w:tc>
          <w:tcPr>
            <w:tcW w:w="1420" w:type="dxa"/>
            <w:tcBorders>
              <w:top w:val="nil"/>
              <w:left w:val="nil"/>
              <w:bottom w:val="single" w:sz="8" w:space="0" w:color="auto"/>
              <w:right w:val="single" w:sz="8" w:space="0" w:color="auto"/>
            </w:tcBorders>
            <w:shd w:val="clear" w:color="auto" w:fill="auto"/>
            <w:noWrap/>
            <w:vAlign w:val="center"/>
            <w:hideMark/>
          </w:tcPr>
          <w:p w14:paraId="3A282AA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2 534 763</w:t>
            </w:r>
          </w:p>
        </w:tc>
        <w:tc>
          <w:tcPr>
            <w:tcW w:w="1420" w:type="dxa"/>
            <w:tcBorders>
              <w:top w:val="nil"/>
              <w:left w:val="nil"/>
              <w:bottom w:val="single" w:sz="8" w:space="0" w:color="auto"/>
              <w:right w:val="single" w:sz="8" w:space="0" w:color="auto"/>
            </w:tcBorders>
            <w:shd w:val="clear" w:color="auto" w:fill="auto"/>
            <w:noWrap/>
            <w:vAlign w:val="center"/>
            <w:hideMark/>
          </w:tcPr>
          <w:p w14:paraId="31FA567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2 657 120</w:t>
            </w:r>
          </w:p>
        </w:tc>
        <w:tc>
          <w:tcPr>
            <w:tcW w:w="1320" w:type="dxa"/>
            <w:tcBorders>
              <w:top w:val="nil"/>
              <w:left w:val="nil"/>
              <w:bottom w:val="single" w:sz="8" w:space="0" w:color="auto"/>
              <w:right w:val="single" w:sz="8" w:space="0" w:color="auto"/>
            </w:tcBorders>
            <w:shd w:val="clear" w:color="auto" w:fill="auto"/>
            <w:noWrap/>
            <w:vAlign w:val="center"/>
            <w:hideMark/>
          </w:tcPr>
          <w:p w14:paraId="6BD3D35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B7A96FC" w14:textId="77777777" w:rsidTr="003627DF">
        <w:trPr>
          <w:trHeight w:val="58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F56199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Splácanie úrokov a ostatné platby súvisiace s  úverom, pôžičkou, návratnou finančnou výpomocou a finančným prenájmom (650)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55205746"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54C0F2DE"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093211B5"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60DE052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4079609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61BC083B"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8FF0222"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výdavky (700)</w:t>
            </w:r>
          </w:p>
        </w:tc>
        <w:tc>
          <w:tcPr>
            <w:tcW w:w="1280" w:type="dxa"/>
            <w:tcBorders>
              <w:top w:val="nil"/>
              <w:left w:val="nil"/>
              <w:bottom w:val="single" w:sz="8" w:space="0" w:color="auto"/>
              <w:right w:val="single" w:sz="8" w:space="0" w:color="auto"/>
            </w:tcBorders>
            <w:shd w:val="clear" w:color="auto" w:fill="auto"/>
            <w:vAlign w:val="center"/>
            <w:hideMark/>
          </w:tcPr>
          <w:p w14:paraId="6A01C238"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vAlign w:val="center"/>
            <w:hideMark/>
          </w:tcPr>
          <w:p w14:paraId="6084BF8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5FB46812"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vAlign w:val="center"/>
            <w:hideMark/>
          </w:tcPr>
          <w:p w14:paraId="27096610"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2E9D4064"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851A03C"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594995A"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Obstarávanie kapitálových aktív (710)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30CBC3F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1429FCBA"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9D13A2C"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5AB17237"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647785B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759D46FB" w14:textId="77777777" w:rsidTr="003627DF">
        <w:trPr>
          <w:trHeight w:val="33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4E7D071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Kapitálové transfery (720)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280" w:type="dxa"/>
            <w:tcBorders>
              <w:top w:val="nil"/>
              <w:left w:val="nil"/>
              <w:bottom w:val="single" w:sz="8" w:space="0" w:color="auto"/>
              <w:right w:val="single" w:sz="8" w:space="0" w:color="auto"/>
            </w:tcBorders>
            <w:shd w:val="clear" w:color="auto" w:fill="auto"/>
            <w:noWrap/>
            <w:vAlign w:val="center"/>
            <w:hideMark/>
          </w:tcPr>
          <w:p w14:paraId="2D851F3F"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70C8854"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66D6F38D"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5F4A5DC9" w14:textId="77777777" w:rsidR="00AD62CD" w:rsidRPr="00AD62CD" w:rsidRDefault="00AD62CD" w:rsidP="00AD62CD">
            <w:pPr>
              <w:spacing w:after="0" w:line="240" w:lineRule="auto"/>
              <w:ind w:firstLineChars="100" w:firstLine="200"/>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42FCC1A2"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23C42435" w14:textId="77777777" w:rsidTr="003627DF">
        <w:trPr>
          <w:trHeight w:val="27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DB8F0F0"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Výdavky z transakcií s finančnými aktívami a finančnými pasívami (800)</w:t>
            </w:r>
          </w:p>
        </w:tc>
        <w:tc>
          <w:tcPr>
            <w:tcW w:w="1280" w:type="dxa"/>
            <w:tcBorders>
              <w:top w:val="nil"/>
              <w:left w:val="nil"/>
              <w:bottom w:val="single" w:sz="8" w:space="0" w:color="auto"/>
              <w:right w:val="single" w:sz="8" w:space="0" w:color="auto"/>
            </w:tcBorders>
            <w:shd w:val="clear" w:color="auto" w:fill="auto"/>
            <w:noWrap/>
            <w:vAlign w:val="center"/>
            <w:hideMark/>
          </w:tcPr>
          <w:p w14:paraId="2AFFF47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385150F1"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229B08BE"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420" w:type="dxa"/>
            <w:tcBorders>
              <w:top w:val="nil"/>
              <w:left w:val="nil"/>
              <w:bottom w:val="single" w:sz="8" w:space="0" w:color="auto"/>
              <w:right w:val="single" w:sz="8" w:space="0" w:color="auto"/>
            </w:tcBorders>
            <w:shd w:val="clear" w:color="auto" w:fill="auto"/>
            <w:noWrap/>
            <w:vAlign w:val="center"/>
            <w:hideMark/>
          </w:tcPr>
          <w:p w14:paraId="30AB16AC"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320" w:type="dxa"/>
            <w:tcBorders>
              <w:top w:val="nil"/>
              <w:left w:val="nil"/>
              <w:bottom w:val="single" w:sz="8" w:space="0" w:color="auto"/>
              <w:right w:val="single" w:sz="8" w:space="0" w:color="auto"/>
            </w:tcBorders>
            <w:shd w:val="clear" w:color="auto" w:fill="auto"/>
            <w:noWrap/>
            <w:vAlign w:val="center"/>
            <w:hideMark/>
          </w:tcPr>
          <w:p w14:paraId="2E91A06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73980F6" w14:textId="77777777" w:rsidTr="003627DF">
        <w:trPr>
          <w:trHeight w:val="270"/>
        </w:trPr>
        <w:tc>
          <w:tcPr>
            <w:tcW w:w="7361" w:type="dxa"/>
            <w:tcBorders>
              <w:top w:val="nil"/>
              <w:left w:val="single" w:sz="8" w:space="0" w:color="auto"/>
              <w:bottom w:val="single" w:sz="8" w:space="0" w:color="auto"/>
              <w:right w:val="single" w:sz="8" w:space="0" w:color="auto"/>
            </w:tcBorders>
            <w:shd w:val="clear" w:color="000000" w:fill="BFBFBF"/>
            <w:vAlign w:val="center"/>
            <w:hideMark/>
          </w:tcPr>
          <w:p w14:paraId="36ADB7FB"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výdavky ostatných subjektov verejnej správy celkom</w:t>
            </w:r>
          </w:p>
        </w:tc>
        <w:tc>
          <w:tcPr>
            <w:tcW w:w="1280" w:type="dxa"/>
            <w:tcBorders>
              <w:top w:val="nil"/>
              <w:left w:val="nil"/>
              <w:bottom w:val="single" w:sz="8" w:space="0" w:color="auto"/>
              <w:right w:val="single" w:sz="8" w:space="0" w:color="auto"/>
            </w:tcBorders>
            <w:shd w:val="clear" w:color="000000" w:fill="BFBFBF"/>
            <w:vAlign w:val="center"/>
            <w:hideMark/>
          </w:tcPr>
          <w:p w14:paraId="4177F0E6"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 </w:t>
            </w:r>
          </w:p>
        </w:tc>
        <w:tc>
          <w:tcPr>
            <w:tcW w:w="1360" w:type="dxa"/>
            <w:tcBorders>
              <w:top w:val="nil"/>
              <w:left w:val="nil"/>
              <w:bottom w:val="single" w:sz="8" w:space="0" w:color="auto"/>
              <w:right w:val="single" w:sz="8" w:space="0" w:color="auto"/>
            </w:tcBorders>
            <w:shd w:val="clear" w:color="000000" w:fill="BFBFBF"/>
            <w:vAlign w:val="center"/>
            <w:hideMark/>
          </w:tcPr>
          <w:p w14:paraId="316183C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3 422 147</w:t>
            </w:r>
          </w:p>
        </w:tc>
        <w:tc>
          <w:tcPr>
            <w:tcW w:w="1420" w:type="dxa"/>
            <w:tcBorders>
              <w:top w:val="nil"/>
              <w:left w:val="nil"/>
              <w:bottom w:val="single" w:sz="8" w:space="0" w:color="auto"/>
              <w:right w:val="single" w:sz="8" w:space="0" w:color="auto"/>
            </w:tcBorders>
            <w:shd w:val="clear" w:color="000000" w:fill="BFBFBF"/>
            <w:vAlign w:val="center"/>
            <w:hideMark/>
          </w:tcPr>
          <w:p w14:paraId="0509CD3B"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3 914 618</w:t>
            </w:r>
          </w:p>
        </w:tc>
        <w:tc>
          <w:tcPr>
            <w:tcW w:w="1420" w:type="dxa"/>
            <w:tcBorders>
              <w:top w:val="nil"/>
              <w:left w:val="nil"/>
              <w:bottom w:val="single" w:sz="8" w:space="0" w:color="auto"/>
              <w:right w:val="single" w:sz="8" w:space="0" w:color="auto"/>
            </w:tcBorders>
            <w:shd w:val="clear" w:color="000000" w:fill="BFBFBF"/>
            <w:vAlign w:val="center"/>
            <w:hideMark/>
          </w:tcPr>
          <w:p w14:paraId="6412F2AD" w14:textId="77777777" w:rsidR="00AD62CD" w:rsidRPr="00AD62CD" w:rsidRDefault="00AD62CD" w:rsidP="00AD62CD">
            <w:pPr>
              <w:spacing w:after="0" w:line="240" w:lineRule="auto"/>
              <w:ind w:firstLineChars="100" w:firstLine="201"/>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4 094 241</w:t>
            </w:r>
          </w:p>
        </w:tc>
        <w:tc>
          <w:tcPr>
            <w:tcW w:w="1320" w:type="dxa"/>
            <w:tcBorders>
              <w:top w:val="nil"/>
              <w:left w:val="nil"/>
              <w:bottom w:val="single" w:sz="8" w:space="0" w:color="auto"/>
              <w:right w:val="single" w:sz="8" w:space="0" w:color="auto"/>
            </w:tcBorders>
            <w:shd w:val="clear" w:color="000000" w:fill="BFBFBF"/>
            <w:noWrap/>
            <w:vAlign w:val="center"/>
            <w:hideMark/>
          </w:tcPr>
          <w:p w14:paraId="45F4B11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54154884"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 w:val="20"/>
          <w:szCs w:val="20"/>
          <w:lang w:eastAsia="sk-SK"/>
          <w14:ligatures w14:val="none"/>
        </w:rPr>
        <w:t>2 –  výdavky rozpísať až do položiek platnej ekonomickej klasifikácie</w:t>
      </w:r>
    </w:p>
    <w:p w14:paraId="4F8BC00D"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3F53933B" w14:textId="77777777" w:rsidR="00AD62CD" w:rsidRPr="00AD62CD" w:rsidRDefault="00AD62CD" w:rsidP="00AD62CD">
      <w:pPr>
        <w:spacing w:after="200" w:line="276" w:lineRule="auto"/>
        <w:rPr>
          <w:rFonts w:ascii="Times New Roman" w:eastAsia="Calibri" w:hAnsi="Times New Roman" w:cs="Times New Roman"/>
          <w:bCs/>
          <w:kern w:val="0"/>
          <w:sz w:val="20"/>
          <w:szCs w:val="20"/>
          <w:highlight w:val="yellow"/>
          <w:lang w:eastAsia="sk-SK"/>
          <w14:ligatures w14:val="none"/>
        </w:rPr>
      </w:pPr>
      <w:r w:rsidRPr="00AD62CD">
        <w:rPr>
          <w:rFonts w:ascii="Times New Roman" w:eastAsia="Calibri" w:hAnsi="Times New Roman" w:cs="Times New Roman"/>
          <w:bCs/>
          <w:kern w:val="0"/>
          <w:sz w:val="20"/>
          <w:szCs w:val="20"/>
          <w:highlight w:val="yellow"/>
          <w:lang w:eastAsia="sk-SK"/>
          <w14:ligatures w14:val="none"/>
        </w:rPr>
        <w:br w:type="page"/>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D62CD" w:rsidRPr="00AD62CD" w14:paraId="1902E01B" w14:textId="77777777" w:rsidTr="00AD62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0444167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cPr>
          <w:p w14:paraId="431F0A3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18D75C7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lang w:eastAsia="sk-SK"/>
                <w14:ligatures w14:val="none"/>
              </w:rPr>
              <w:t>poznámka</w:t>
            </w:r>
          </w:p>
        </w:tc>
      </w:tr>
      <w:tr w:rsidR="00AD62CD" w:rsidRPr="00AD62CD" w14:paraId="065B5967" w14:textId="77777777" w:rsidTr="00AD62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E5C18FE"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430" w:type="dxa"/>
            <w:tcBorders>
              <w:top w:val="nil"/>
              <w:left w:val="nil"/>
              <w:bottom w:val="single" w:sz="4" w:space="0" w:color="auto"/>
              <w:right w:val="single" w:sz="4" w:space="0" w:color="auto"/>
            </w:tcBorders>
            <w:shd w:val="clear" w:color="auto" w:fill="BFBFBF"/>
          </w:tcPr>
          <w:p w14:paraId="4E37900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650" w:type="dxa"/>
            <w:tcBorders>
              <w:top w:val="nil"/>
              <w:left w:val="nil"/>
              <w:bottom w:val="single" w:sz="4" w:space="0" w:color="auto"/>
              <w:right w:val="single" w:sz="4" w:space="0" w:color="auto"/>
            </w:tcBorders>
            <w:shd w:val="clear" w:color="auto" w:fill="BFBFBF"/>
          </w:tcPr>
          <w:p w14:paraId="449E436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540" w:type="dxa"/>
            <w:tcBorders>
              <w:top w:val="nil"/>
              <w:left w:val="nil"/>
              <w:bottom w:val="single" w:sz="4" w:space="0" w:color="auto"/>
              <w:right w:val="single" w:sz="4" w:space="0" w:color="auto"/>
            </w:tcBorders>
            <w:shd w:val="clear" w:color="auto" w:fill="BFBFBF"/>
          </w:tcPr>
          <w:p w14:paraId="068B8EFF"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540" w:type="dxa"/>
            <w:tcBorders>
              <w:top w:val="nil"/>
              <w:left w:val="nil"/>
              <w:bottom w:val="single" w:sz="4" w:space="0" w:color="auto"/>
              <w:right w:val="single" w:sz="4" w:space="0" w:color="auto"/>
            </w:tcBorders>
            <w:shd w:val="clear" w:color="auto" w:fill="BFBFBF"/>
          </w:tcPr>
          <w:p w14:paraId="32F98D4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2AAE9373" w14:textId="77777777" w:rsidR="00AD62CD" w:rsidRPr="00AD62CD" w:rsidRDefault="00AD62CD" w:rsidP="00AD62CD">
            <w:pPr>
              <w:spacing w:after="0" w:line="240" w:lineRule="auto"/>
              <w:rPr>
                <w:rFonts w:ascii="Times New Roman" w:eastAsia="Calibri" w:hAnsi="Times New Roman" w:cs="Times New Roman"/>
                <w:b/>
                <w:bCs/>
                <w:color w:val="000000"/>
                <w:kern w:val="0"/>
                <w:lang w:eastAsia="sk-SK"/>
                <w14:ligatures w14:val="none"/>
              </w:rPr>
            </w:pPr>
          </w:p>
        </w:tc>
      </w:tr>
      <w:tr w:rsidR="00AD62CD" w:rsidRPr="00AD62CD" w14:paraId="61523FF8" w14:textId="77777777" w:rsidTr="003627DF">
        <w:trPr>
          <w:trHeight w:val="255"/>
        </w:trPr>
        <w:tc>
          <w:tcPr>
            <w:tcW w:w="7070" w:type="dxa"/>
            <w:tcBorders>
              <w:top w:val="nil"/>
              <w:left w:val="single" w:sz="4" w:space="0" w:color="auto"/>
              <w:bottom w:val="single" w:sz="4" w:space="0" w:color="auto"/>
              <w:right w:val="single" w:sz="4" w:space="0" w:color="auto"/>
            </w:tcBorders>
          </w:tcPr>
          <w:p w14:paraId="798187D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príjmy (230)</w:t>
            </w:r>
          </w:p>
        </w:tc>
        <w:tc>
          <w:tcPr>
            <w:tcW w:w="1430" w:type="dxa"/>
            <w:tcBorders>
              <w:top w:val="nil"/>
              <w:left w:val="nil"/>
              <w:bottom w:val="single" w:sz="4" w:space="0" w:color="auto"/>
              <w:right w:val="single" w:sz="4" w:space="0" w:color="auto"/>
            </w:tcBorders>
          </w:tcPr>
          <w:p w14:paraId="7945A25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7F70DB7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7A0163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380CF1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3F95650B"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p>
        </w:tc>
      </w:tr>
      <w:tr w:rsidR="00AD62CD" w:rsidRPr="00AD62CD" w14:paraId="1E1EAB81" w14:textId="77777777" w:rsidTr="003627DF">
        <w:trPr>
          <w:trHeight w:val="255"/>
        </w:trPr>
        <w:tc>
          <w:tcPr>
            <w:tcW w:w="7070" w:type="dxa"/>
            <w:tcBorders>
              <w:top w:val="nil"/>
              <w:left w:val="single" w:sz="4" w:space="0" w:color="auto"/>
              <w:bottom w:val="single" w:sz="4" w:space="0" w:color="auto"/>
              <w:right w:val="single" w:sz="4" w:space="0" w:color="auto"/>
            </w:tcBorders>
          </w:tcPr>
          <w:p w14:paraId="2B6CF94B"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Bežné výdavky (600)</w:t>
            </w:r>
          </w:p>
        </w:tc>
        <w:tc>
          <w:tcPr>
            <w:tcW w:w="1430" w:type="dxa"/>
            <w:tcBorders>
              <w:top w:val="nil"/>
              <w:left w:val="nil"/>
              <w:bottom w:val="single" w:sz="4" w:space="0" w:color="auto"/>
              <w:right w:val="single" w:sz="4" w:space="0" w:color="auto"/>
            </w:tcBorders>
          </w:tcPr>
          <w:p w14:paraId="0EA470D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5588A8BD"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76BE37F1"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7A751E3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7A154C57"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19DABEB3" w14:textId="77777777" w:rsidTr="003627DF">
        <w:trPr>
          <w:trHeight w:val="255"/>
        </w:trPr>
        <w:tc>
          <w:tcPr>
            <w:tcW w:w="7070" w:type="dxa"/>
            <w:tcBorders>
              <w:top w:val="nil"/>
              <w:left w:val="single" w:sz="4" w:space="0" w:color="auto"/>
              <w:bottom w:val="single" w:sz="4" w:space="0" w:color="auto"/>
              <w:right w:val="single" w:sz="4" w:space="0" w:color="auto"/>
            </w:tcBorders>
          </w:tcPr>
          <w:p w14:paraId="19A63E1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9A9DEF7"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24DB69F2"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07C35F2"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82E2DE7"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6EA3B81A"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54E4FF08" w14:textId="77777777" w:rsidTr="003627DF">
        <w:trPr>
          <w:trHeight w:val="255"/>
        </w:trPr>
        <w:tc>
          <w:tcPr>
            <w:tcW w:w="7070" w:type="dxa"/>
            <w:tcBorders>
              <w:top w:val="nil"/>
              <w:left w:val="single" w:sz="4" w:space="0" w:color="auto"/>
              <w:bottom w:val="single" w:sz="4" w:space="0" w:color="auto"/>
              <w:right w:val="single" w:sz="4" w:space="0" w:color="auto"/>
            </w:tcBorders>
          </w:tcPr>
          <w:p w14:paraId="77D2993D"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vertAlign w:val="superscript"/>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Poistné a príspevok do poisťovní (620)</w:t>
            </w:r>
          </w:p>
        </w:tc>
        <w:tc>
          <w:tcPr>
            <w:tcW w:w="1430" w:type="dxa"/>
            <w:tcBorders>
              <w:top w:val="nil"/>
              <w:left w:val="nil"/>
              <w:bottom w:val="single" w:sz="4" w:space="0" w:color="auto"/>
              <w:right w:val="single" w:sz="4" w:space="0" w:color="auto"/>
            </w:tcBorders>
          </w:tcPr>
          <w:p w14:paraId="654DAC8C"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6FE16C92"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60F0497"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792FEFE4"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3F12F244"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172EDA9E" w14:textId="77777777" w:rsidTr="003627DF">
        <w:trPr>
          <w:trHeight w:val="255"/>
        </w:trPr>
        <w:tc>
          <w:tcPr>
            <w:tcW w:w="7070" w:type="dxa"/>
            <w:tcBorders>
              <w:top w:val="nil"/>
              <w:left w:val="single" w:sz="4" w:space="0" w:color="auto"/>
              <w:bottom w:val="single" w:sz="4" w:space="0" w:color="auto"/>
              <w:right w:val="single" w:sz="4" w:space="0" w:color="auto"/>
            </w:tcBorders>
          </w:tcPr>
          <w:p w14:paraId="7018B80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vertAlign w:val="superscript"/>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Tovary a služby (630)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7F5A15B3"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3DFF76C7"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C7C88C9"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20984E5A"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0E02A98A"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4369F6AC" w14:textId="77777777" w:rsidTr="003627DF">
        <w:trPr>
          <w:trHeight w:val="255"/>
        </w:trPr>
        <w:tc>
          <w:tcPr>
            <w:tcW w:w="7070" w:type="dxa"/>
            <w:tcBorders>
              <w:top w:val="nil"/>
              <w:left w:val="single" w:sz="4" w:space="0" w:color="auto"/>
              <w:bottom w:val="single" w:sz="4" w:space="0" w:color="auto"/>
              <w:right w:val="single" w:sz="4" w:space="0" w:color="auto"/>
            </w:tcBorders>
          </w:tcPr>
          <w:p w14:paraId="7B859DCF"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Bežné transfery (640)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50041A2A"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486CA2C9"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AADD795"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A342B72"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4E7396B8"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59588DEC" w14:textId="77777777" w:rsidTr="003627DF">
        <w:trPr>
          <w:trHeight w:val="255"/>
        </w:trPr>
        <w:tc>
          <w:tcPr>
            <w:tcW w:w="7070" w:type="dxa"/>
            <w:tcBorders>
              <w:top w:val="nil"/>
              <w:left w:val="single" w:sz="4" w:space="0" w:color="auto"/>
              <w:bottom w:val="single" w:sz="4" w:space="0" w:color="auto"/>
              <w:right w:val="single" w:sz="4" w:space="0" w:color="auto"/>
            </w:tcBorders>
            <w:vAlign w:val="center"/>
          </w:tcPr>
          <w:p w14:paraId="5328F88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Splácanie úrokov a ostatné platby súvisiace s </w:t>
            </w:r>
            <w:r w:rsidRPr="00AD62CD">
              <w:rPr>
                <w:rFonts w:ascii="Calibri" w:eastAsia="Calibri" w:hAnsi="Calibri" w:cs="Times New Roman"/>
                <w:color w:val="000000"/>
                <w:kern w:val="0"/>
                <w:sz w:val="22"/>
                <w:szCs w:val="22"/>
                <w14:ligatures w14:val="none"/>
              </w:rPr>
              <w:t xml:space="preserve"> </w:t>
            </w:r>
            <w:r w:rsidRPr="00AD62CD">
              <w:rPr>
                <w:rFonts w:ascii="Times New Roman" w:eastAsia="Calibri" w:hAnsi="Times New Roman" w:cs="Times New Roman"/>
                <w:color w:val="000000"/>
                <w:kern w:val="0"/>
                <w:sz w:val="20"/>
                <w:szCs w:val="20"/>
                <w:lang w:eastAsia="sk-SK"/>
                <w14:ligatures w14:val="none"/>
              </w:rPr>
              <w:t>úverom, pôžičkou, návratnou finančnou výpomocou a finančným prenájmom (650)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65D431C8"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1886A977"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011FEB9D"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409E8E0C"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1DBC3C0D"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p>
        </w:tc>
      </w:tr>
      <w:tr w:rsidR="00AD62CD" w:rsidRPr="00AD62CD" w14:paraId="28DDA008" w14:textId="77777777" w:rsidTr="003627DF">
        <w:trPr>
          <w:trHeight w:val="255"/>
        </w:trPr>
        <w:tc>
          <w:tcPr>
            <w:tcW w:w="7070" w:type="dxa"/>
            <w:tcBorders>
              <w:top w:val="nil"/>
              <w:left w:val="single" w:sz="4" w:space="0" w:color="auto"/>
              <w:bottom w:val="single" w:sz="4" w:space="0" w:color="auto"/>
              <w:right w:val="single" w:sz="4" w:space="0" w:color="auto"/>
            </w:tcBorders>
          </w:tcPr>
          <w:p w14:paraId="35497059"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Kapitálové výdavky (700)</w:t>
            </w:r>
          </w:p>
        </w:tc>
        <w:tc>
          <w:tcPr>
            <w:tcW w:w="1430" w:type="dxa"/>
            <w:tcBorders>
              <w:top w:val="nil"/>
              <w:left w:val="nil"/>
              <w:bottom w:val="single" w:sz="4" w:space="0" w:color="auto"/>
              <w:right w:val="single" w:sz="4" w:space="0" w:color="auto"/>
            </w:tcBorders>
          </w:tcPr>
          <w:p w14:paraId="5D67E97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7674399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3D355D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D91D5AE"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1EBF3840"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32219B6F" w14:textId="77777777" w:rsidTr="003627DF">
        <w:trPr>
          <w:trHeight w:val="255"/>
        </w:trPr>
        <w:tc>
          <w:tcPr>
            <w:tcW w:w="7070" w:type="dxa"/>
            <w:tcBorders>
              <w:top w:val="nil"/>
              <w:left w:val="single" w:sz="4" w:space="0" w:color="auto"/>
              <w:bottom w:val="single" w:sz="4" w:space="0" w:color="auto"/>
              <w:right w:val="single" w:sz="4" w:space="0" w:color="auto"/>
            </w:tcBorders>
          </w:tcPr>
          <w:p w14:paraId="59510FE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Obstarávanie kapitálových aktív (710)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15DBBEDA"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2A3571EF"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5F60B544"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1C16CA92"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316606DA"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7629DD5D" w14:textId="77777777" w:rsidTr="003627DF">
        <w:trPr>
          <w:trHeight w:val="255"/>
        </w:trPr>
        <w:tc>
          <w:tcPr>
            <w:tcW w:w="7070" w:type="dxa"/>
            <w:tcBorders>
              <w:top w:val="nil"/>
              <w:left w:val="single" w:sz="4" w:space="0" w:color="auto"/>
              <w:bottom w:val="single" w:sz="4" w:space="0" w:color="auto"/>
              <w:right w:val="single" w:sz="4" w:space="0" w:color="auto"/>
            </w:tcBorders>
          </w:tcPr>
          <w:p w14:paraId="4E54BAA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xml:space="preserve">  Kapitálové transfery (720)</w:t>
            </w:r>
            <w:r w:rsidRPr="00AD62CD">
              <w:rPr>
                <w:rFonts w:ascii="Times New Roman" w:eastAsia="Calibri" w:hAnsi="Times New Roman" w:cs="Times New Roman"/>
                <w:color w:val="000000"/>
                <w:kern w:val="0"/>
                <w:sz w:val="20"/>
                <w:szCs w:val="20"/>
                <w:vertAlign w:val="superscript"/>
                <w:lang w:eastAsia="sk-SK"/>
                <w14:ligatures w14:val="none"/>
              </w:rPr>
              <w:t>2</w:t>
            </w:r>
          </w:p>
        </w:tc>
        <w:tc>
          <w:tcPr>
            <w:tcW w:w="1430" w:type="dxa"/>
            <w:tcBorders>
              <w:top w:val="nil"/>
              <w:left w:val="nil"/>
              <w:bottom w:val="single" w:sz="4" w:space="0" w:color="auto"/>
              <w:right w:val="single" w:sz="4" w:space="0" w:color="auto"/>
            </w:tcBorders>
          </w:tcPr>
          <w:p w14:paraId="238A7862"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650" w:type="dxa"/>
            <w:tcBorders>
              <w:top w:val="nil"/>
              <w:left w:val="nil"/>
              <w:bottom w:val="single" w:sz="4" w:space="0" w:color="auto"/>
              <w:right w:val="single" w:sz="4" w:space="0" w:color="auto"/>
            </w:tcBorders>
          </w:tcPr>
          <w:p w14:paraId="123912E8"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329716D0" w14:textId="77777777" w:rsidR="00AD62CD" w:rsidRPr="00AD62CD" w:rsidRDefault="00AD62CD" w:rsidP="00AD62CD">
            <w:pPr>
              <w:spacing w:after="0" w:line="240" w:lineRule="auto"/>
              <w:jc w:val="center"/>
              <w:rPr>
                <w:rFonts w:ascii="Times New Roman" w:eastAsia="Calibri" w:hAnsi="Times New Roman" w:cs="Times New Roman"/>
                <w:color w:val="000000"/>
                <w:kern w:val="0"/>
                <w:sz w:val="20"/>
                <w:szCs w:val="20"/>
                <w:lang w:eastAsia="sk-SK"/>
                <w14:ligatures w14:val="none"/>
              </w:rPr>
            </w:pPr>
          </w:p>
        </w:tc>
        <w:tc>
          <w:tcPr>
            <w:tcW w:w="1540" w:type="dxa"/>
            <w:tcBorders>
              <w:top w:val="nil"/>
              <w:left w:val="nil"/>
              <w:bottom w:val="single" w:sz="4" w:space="0" w:color="auto"/>
              <w:right w:val="single" w:sz="4" w:space="0" w:color="auto"/>
            </w:tcBorders>
          </w:tcPr>
          <w:p w14:paraId="6952FCCE" w14:textId="77777777" w:rsidR="00AD62CD" w:rsidRPr="00AD62CD" w:rsidRDefault="00AD62CD" w:rsidP="00AD62CD">
            <w:pPr>
              <w:spacing w:after="0" w:line="240" w:lineRule="auto"/>
              <w:jc w:val="center"/>
              <w:rPr>
                <w:rFonts w:ascii="Times New Roman" w:eastAsia="Calibri" w:hAnsi="Times New Roman" w:cs="Times New Roman"/>
                <w:color w:val="000000"/>
                <w:kern w:val="0"/>
                <w:lang w:eastAsia="sk-SK"/>
                <w14:ligatures w14:val="none"/>
              </w:rPr>
            </w:pPr>
          </w:p>
        </w:tc>
        <w:tc>
          <w:tcPr>
            <w:tcW w:w="1649" w:type="dxa"/>
            <w:tcBorders>
              <w:top w:val="nil"/>
              <w:left w:val="nil"/>
              <w:bottom w:val="single" w:sz="4" w:space="0" w:color="auto"/>
              <w:right w:val="single" w:sz="4" w:space="0" w:color="auto"/>
            </w:tcBorders>
            <w:noWrap/>
            <w:vAlign w:val="bottom"/>
          </w:tcPr>
          <w:p w14:paraId="2FB96379"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r w:rsidR="00AD62CD" w:rsidRPr="00AD62CD" w14:paraId="33CADC23" w14:textId="77777777" w:rsidTr="00AD62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3F1E32C5"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048E7E5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650" w:type="dxa"/>
            <w:tcBorders>
              <w:top w:val="single" w:sz="4" w:space="0" w:color="auto"/>
              <w:left w:val="nil"/>
              <w:bottom w:val="single" w:sz="4" w:space="0" w:color="auto"/>
              <w:right w:val="single" w:sz="4" w:space="0" w:color="auto"/>
            </w:tcBorders>
            <w:shd w:val="clear" w:color="auto" w:fill="BFBFBF"/>
          </w:tcPr>
          <w:p w14:paraId="6990BF9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540" w:type="dxa"/>
            <w:tcBorders>
              <w:top w:val="single" w:sz="4" w:space="0" w:color="auto"/>
              <w:left w:val="nil"/>
              <w:bottom w:val="single" w:sz="4" w:space="0" w:color="auto"/>
              <w:right w:val="single" w:sz="4" w:space="0" w:color="auto"/>
            </w:tcBorders>
            <w:shd w:val="clear" w:color="auto" w:fill="BFBFBF"/>
          </w:tcPr>
          <w:p w14:paraId="7112FFB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0</w:t>
            </w:r>
          </w:p>
        </w:tc>
        <w:tc>
          <w:tcPr>
            <w:tcW w:w="1540" w:type="dxa"/>
            <w:tcBorders>
              <w:top w:val="single" w:sz="4" w:space="0" w:color="auto"/>
              <w:left w:val="nil"/>
              <w:bottom w:val="single" w:sz="4" w:space="0" w:color="auto"/>
              <w:right w:val="single" w:sz="4" w:space="0" w:color="auto"/>
            </w:tcBorders>
            <w:shd w:val="clear" w:color="auto" w:fill="BFBFBF"/>
          </w:tcPr>
          <w:p w14:paraId="00E8CCA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lang w:eastAsia="sk-SK"/>
                <w14:ligatures w14:val="none"/>
              </w:rPr>
            </w:pPr>
            <w:r w:rsidRPr="00AD62CD">
              <w:rPr>
                <w:rFonts w:ascii="Times New Roman" w:eastAsia="Calibri" w:hAnsi="Times New Roman" w:cs="Times New Roman"/>
                <w:b/>
                <w:bCs/>
                <w:color w:val="000000"/>
                <w:kern w:val="0"/>
                <w:sz w:val="20"/>
                <w:lang w:eastAsia="sk-SK"/>
                <w14:ligatures w14:val="none"/>
              </w:rPr>
              <w:t>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7DFED1FD" w14:textId="77777777" w:rsidR="00AD62CD" w:rsidRPr="00AD62CD" w:rsidRDefault="00AD62CD" w:rsidP="00AD62CD">
            <w:pPr>
              <w:spacing w:after="0" w:line="240" w:lineRule="auto"/>
              <w:rPr>
                <w:rFonts w:ascii="Times New Roman" w:eastAsia="Calibri" w:hAnsi="Times New Roman" w:cs="Times New Roman"/>
                <w:color w:val="000000"/>
                <w:kern w:val="0"/>
                <w:lang w:eastAsia="sk-SK"/>
                <w14:ligatures w14:val="none"/>
              </w:rPr>
            </w:pPr>
            <w:r w:rsidRPr="00AD62CD">
              <w:rPr>
                <w:rFonts w:ascii="Times New Roman" w:eastAsia="Calibri" w:hAnsi="Times New Roman" w:cs="Times New Roman"/>
                <w:color w:val="000000"/>
                <w:kern w:val="0"/>
                <w:lang w:eastAsia="sk-SK"/>
                <w14:ligatures w14:val="none"/>
              </w:rPr>
              <w:t> </w:t>
            </w:r>
          </w:p>
        </w:tc>
      </w:tr>
    </w:tbl>
    <w:p w14:paraId="086BE816"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color w:val="000000"/>
          <w:kern w:val="0"/>
          <w:sz w:val="20"/>
          <w:szCs w:val="20"/>
          <w:lang w:eastAsia="sk-SK"/>
          <w14:ligatures w14:val="none"/>
        </w:rPr>
        <w:t xml:space="preserve">  2 –  výdavky rozpísať až do podpo</w:t>
      </w:r>
      <w:r w:rsidRPr="00AD62CD">
        <w:rPr>
          <w:rFonts w:ascii="Times New Roman" w:eastAsia="Calibri" w:hAnsi="Times New Roman" w:cs="Times New Roman"/>
          <w:bCs/>
          <w:kern w:val="0"/>
          <w:sz w:val="20"/>
          <w:szCs w:val="20"/>
          <w:lang w:eastAsia="sk-SK"/>
          <w14:ligatures w14:val="none"/>
        </w:rPr>
        <w:t>ložiek platnej ekonomickej klasifikácie</w:t>
      </w:r>
    </w:p>
    <w:p w14:paraId="2EB33E67"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Cs w:val="20"/>
          <w:lang w:eastAsia="sk-SK"/>
          <w14:ligatures w14:val="none"/>
        </w:rPr>
      </w:pPr>
    </w:p>
    <w:p w14:paraId="2D6DC7EA"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Cs w:val="20"/>
          <w:lang w:eastAsia="sk-SK"/>
          <w14:ligatures w14:val="none"/>
        </w:rPr>
        <w:t xml:space="preserve">  Poznámka:</w:t>
      </w:r>
    </w:p>
    <w:p w14:paraId="679B3552" w14:textId="77777777" w:rsidR="00AD62CD" w:rsidRPr="00AD62CD" w:rsidRDefault="00AD62CD" w:rsidP="00AD62CD">
      <w:pPr>
        <w:tabs>
          <w:tab w:val="num" w:pos="1080"/>
        </w:tabs>
        <w:spacing w:after="0" w:line="240" w:lineRule="auto"/>
        <w:ind w:left="-900"/>
        <w:jc w:val="both"/>
        <w:rPr>
          <w:rFonts w:ascii="Times New Roman" w:eastAsia="Calibri" w:hAnsi="Times New Roman" w:cs="Times New Roman"/>
          <w:bCs/>
          <w:kern w:val="0"/>
          <w:sz w:val="20"/>
          <w:szCs w:val="20"/>
          <w:lang w:eastAsia="sk-SK"/>
          <w14:ligatures w14:val="none"/>
        </w:rPr>
      </w:pPr>
      <w:r w:rsidRPr="00AD62CD">
        <w:rPr>
          <w:rFonts w:ascii="Times New Roman" w:eastAsia="Calibri" w:hAnsi="Times New Roman" w:cs="Times New Roman"/>
          <w:bCs/>
          <w:kern w:val="0"/>
          <w:szCs w:val="20"/>
          <w:lang w:eastAsia="sk-SK"/>
          <w14:ligatures w14:val="none"/>
        </w:rPr>
        <w:t xml:space="preserve">  Ak sa vplyv týka viacerých subjektov verejnej správy, vypĺňa sa samostatná tabuľka za každý subjekt.</w:t>
      </w:r>
    </w:p>
    <w:p w14:paraId="48597869" w14:textId="77777777" w:rsidR="00AD62CD" w:rsidRPr="00AD62CD" w:rsidRDefault="00AD62CD" w:rsidP="00AD62CD">
      <w:pPr>
        <w:spacing w:after="200" w:line="276" w:lineRule="auto"/>
        <w:rPr>
          <w:rFonts w:ascii="Times New Roman" w:eastAsia="Calibri" w:hAnsi="Times New Roman" w:cs="Times New Roman"/>
          <w:bCs/>
          <w:kern w:val="0"/>
          <w:sz w:val="20"/>
          <w:szCs w:val="20"/>
          <w:highlight w:val="yellow"/>
          <w:lang w:eastAsia="sk-SK"/>
          <w14:ligatures w14:val="none"/>
        </w:rPr>
      </w:pPr>
      <w:r w:rsidRPr="00AD62CD">
        <w:rPr>
          <w:rFonts w:ascii="Times New Roman" w:eastAsia="Calibri" w:hAnsi="Times New Roman" w:cs="Times New Roman"/>
          <w:bCs/>
          <w:kern w:val="0"/>
          <w:sz w:val="20"/>
          <w:szCs w:val="20"/>
          <w:highlight w:val="yellow"/>
          <w:lang w:eastAsia="sk-SK"/>
          <w14:ligatures w14:val="none"/>
        </w:rPr>
        <w:br w:type="page"/>
      </w:r>
    </w:p>
    <w:p w14:paraId="2B6D2405" w14:textId="77777777" w:rsidR="00AD62CD" w:rsidRPr="00AD62CD" w:rsidRDefault="00AD62CD" w:rsidP="00AD62CD">
      <w:pPr>
        <w:spacing w:after="200" w:line="276" w:lineRule="auto"/>
        <w:rPr>
          <w:rFonts w:ascii="Times New Roman" w:eastAsia="Calibri" w:hAnsi="Times New Roman" w:cs="Times New Roman"/>
          <w:bCs/>
          <w:kern w:val="0"/>
          <w:sz w:val="20"/>
          <w:szCs w:val="20"/>
          <w:highlight w:val="yellow"/>
          <w:lang w:eastAsia="sk-SK"/>
          <w14:ligatures w14:val="none"/>
        </w:rPr>
      </w:pPr>
    </w:p>
    <w:p w14:paraId="150B9F6C" w14:textId="77777777" w:rsidR="00AD62CD" w:rsidRPr="00AD62CD" w:rsidRDefault="00AD62CD" w:rsidP="00AD62CD">
      <w:pPr>
        <w:tabs>
          <w:tab w:val="num" w:pos="1080"/>
        </w:tabs>
        <w:spacing w:after="0" w:line="240" w:lineRule="auto"/>
        <w:jc w:val="right"/>
        <w:rPr>
          <w:rFonts w:ascii="Times New Roman" w:eastAsia="Calibri" w:hAnsi="Times New Roman" w:cs="Times New Roman"/>
          <w:bCs/>
          <w:kern w:val="0"/>
          <w:lang w:eastAsia="sk-SK"/>
          <w14:ligatures w14:val="none"/>
        </w:rPr>
      </w:pPr>
      <w:r w:rsidRPr="00AD62CD">
        <w:rPr>
          <w:rFonts w:ascii="Times New Roman" w:eastAsia="Calibri" w:hAnsi="Times New Roman" w:cs="Times New Roman"/>
          <w:bCs/>
          <w:kern w:val="0"/>
          <w:lang w:eastAsia="sk-SK"/>
          <w14:ligatures w14:val="none"/>
        </w:rPr>
        <w:t xml:space="preserve">                Tabuľka č. 5 </w:t>
      </w:r>
    </w:p>
    <w:p w14:paraId="79EFB046"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Cs w:val="20"/>
          <w:highlight w:val="yellow"/>
          <w:lang w:eastAsia="sk-SK"/>
          <w14:ligatures w14:val="none"/>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965"/>
        <w:gridCol w:w="543"/>
        <w:gridCol w:w="1442"/>
        <w:gridCol w:w="1978"/>
        <w:gridCol w:w="630"/>
        <w:gridCol w:w="990"/>
      </w:tblGrid>
      <w:tr w:rsidR="00AD62CD" w:rsidRPr="00AD62CD" w14:paraId="4F46BB26" w14:textId="77777777" w:rsidTr="00AD62CD">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7B4A568D"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14:paraId="6DE7596E"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F5EB4B0" w14:textId="77777777" w:rsidR="00AD62CD" w:rsidRPr="00AD62CD" w:rsidRDefault="00AD62CD" w:rsidP="00AD62CD">
            <w:pPr>
              <w:spacing w:after="0" w:line="240" w:lineRule="auto"/>
              <w:jc w:val="center"/>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poznámka</w:t>
            </w:r>
          </w:p>
        </w:tc>
      </w:tr>
      <w:tr w:rsidR="00AD62CD" w:rsidRPr="00AD62CD" w14:paraId="4632BB7A" w14:textId="77777777" w:rsidTr="00AD62CD">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67867A44"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p>
        </w:tc>
        <w:tc>
          <w:tcPr>
            <w:tcW w:w="1698" w:type="dxa"/>
            <w:tcBorders>
              <w:top w:val="nil"/>
              <w:left w:val="nil"/>
              <w:bottom w:val="single" w:sz="4" w:space="0" w:color="auto"/>
              <w:right w:val="single" w:sz="4" w:space="0" w:color="auto"/>
            </w:tcBorders>
            <w:shd w:val="clear" w:color="auto" w:fill="BFBFBF"/>
            <w:vAlign w:val="center"/>
          </w:tcPr>
          <w:p w14:paraId="2D0D7E43"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2025</w:t>
            </w:r>
          </w:p>
        </w:tc>
        <w:tc>
          <w:tcPr>
            <w:tcW w:w="1965" w:type="dxa"/>
            <w:tcBorders>
              <w:top w:val="nil"/>
              <w:left w:val="nil"/>
              <w:bottom w:val="single" w:sz="4" w:space="0" w:color="auto"/>
              <w:right w:val="single" w:sz="4" w:space="0" w:color="auto"/>
            </w:tcBorders>
            <w:shd w:val="clear" w:color="auto" w:fill="BFBFBF"/>
            <w:vAlign w:val="center"/>
          </w:tcPr>
          <w:p w14:paraId="79B197F8"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2026</w:t>
            </w:r>
          </w:p>
        </w:tc>
        <w:tc>
          <w:tcPr>
            <w:tcW w:w="1985" w:type="dxa"/>
            <w:gridSpan w:val="2"/>
            <w:tcBorders>
              <w:top w:val="nil"/>
              <w:left w:val="nil"/>
              <w:bottom w:val="single" w:sz="4" w:space="0" w:color="auto"/>
              <w:right w:val="single" w:sz="4" w:space="0" w:color="auto"/>
            </w:tcBorders>
            <w:shd w:val="clear" w:color="auto" w:fill="BFBFBF"/>
            <w:vAlign w:val="center"/>
          </w:tcPr>
          <w:p w14:paraId="2D1FF7CF"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2027</w:t>
            </w:r>
          </w:p>
        </w:tc>
        <w:tc>
          <w:tcPr>
            <w:tcW w:w="1978" w:type="dxa"/>
            <w:tcBorders>
              <w:top w:val="nil"/>
              <w:left w:val="nil"/>
              <w:bottom w:val="single" w:sz="4" w:space="0" w:color="auto"/>
              <w:right w:val="single" w:sz="4" w:space="0" w:color="auto"/>
            </w:tcBorders>
            <w:shd w:val="clear" w:color="auto" w:fill="BFBFBF"/>
            <w:vAlign w:val="center"/>
          </w:tcPr>
          <w:p w14:paraId="3E729DA3"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2028</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4E163D19" w14:textId="77777777" w:rsidR="00AD62CD" w:rsidRPr="00AD62CD" w:rsidRDefault="00AD62CD" w:rsidP="00AD62CD">
            <w:pPr>
              <w:spacing w:after="0" w:line="240" w:lineRule="auto"/>
              <w:rPr>
                <w:rFonts w:ascii="Times New Roman" w:eastAsia="Calibri" w:hAnsi="Times New Roman" w:cs="Times New Roman"/>
                <w:b/>
                <w:bCs/>
                <w:color w:val="FFFFFF"/>
                <w:kern w:val="0"/>
                <w:sz w:val="22"/>
                <w:szCs w:val="22"/>
                <w:lang w:eastAsia="sk-SK"/>
                <w14:ligatures w14:val="none"/>
              </w:rPr>
            </w:pPr>
          </w:p>
        </w:tc>
      </w:tr>
      <w:tr w:rsidR="00AD62CD" w:rsidRPr="00AD62CD" w14:paraId="50ADD261"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234F1788"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Počet zamestnancov celkom</w:t>
            </w:r>
          </w:p>
        </w:tc>
        <w:tc>
          <w:tcPr>
            <w:tcW w:w="1698" w:type="dxa"/>
            <w:tcBorders>
              <w:top w:val="nil"/>
              <w:left w:val="nil"/>
              <w:bottom w:val="single" w:sz="8" w:space="0" w:color="auto"/>
              <w:right w:val="single" w:sz="8" w:space="0" w:color="auto"/>
            </w:tcBorders>
            <w:shd w:val="clear" w:color="auto" w:fill="auto"/>
            <w:vAlign w:val="center"/>
          </w:tcPr>
          <w:p w14:paraId="2C46789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268C73C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single" w:sz="8" w:space="0" w:color="auto"/>
              <w:left w:val="nil"/>
              <w:bottom w:val="single" w:sz="8" w:space="0" w:color="auto"/>
              <w:right w:val="nil"/>
            </w:tcBorders>
            <w:shd w:val="clear" w:color="auto" w:fill="auto"/>
            <w:vAlign w:val="center"/>
          </w:tcPr>
          <w:p w14:paraId="75423AA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single" w:sz="8" w:space="0" w:color="auto"/>
              <w:left w:val="single" w:sz="8" w:space="0" w:color="auto"/>
              <w:bottom w:val="single" w:sz="8" w:space="0" w:color="auto"/>
              <w:right w:val="single" w:sz="8" w:space="0" w:color="auto"/>
            </w:tcBorders>
            <w:shd w:val="clear" w:color="auto" w:fill="auto"/>
            <w:vAlign w:val="center"/>
          </w:tcPr>
          <w:p w14:paraId="08D0528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3AFB2B02"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40941B73"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376CA73C"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5E58740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0267F21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nil"/>
              <w:left w:val="nil"/>
              <w:bottom w:val="single" w:sz="8" w:space="0" w:color="auto"/>
              <w:right w:val="nil"/>
            </w:tcBorders>
            <w:shd w:val="clear" w:color="auto" w:fill="auto"/>
            <w:vAlign w:val="center"/>
          </w:tcPr>
          <w:p w14:paraId="68BFCD2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212F094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248294D3"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604FF66F"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0CEDD87B"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Priemerný mzdový výdavok (v eurách)</w:t>
            </w:r>
          </w:p>
        </w:tc>
        <w:tc>
          <w:tcPr>
            <w:tcW w:w="1698" w:type="dxa"/>
            <w:tcBorders>
              <w:top w:val="nil"/>
              <w:left w:val="nil"/>
              <w:bottom w:val="single" w:sz="8" w:space="0" w:color="auto"/>
              <w:right w:val="single" w:sz="8" w:space="0" w:color="auto"/>
            </w:tcBorders>
            <w:shd w:val="clear" w:color="auto" w:fill="auto"/>
            <w:vAlign w:val="center"/>
          </w:tcPr>
          <w:p w14:paraId="1B96A80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7DB8B0A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nil"/>
              <w:left w:val="nil"/>
              <w:bottom w:val="single" w:sz="8" w:space="0" w:color="auto"/>
              <w:right w:val="nil"/>
            </w:tcBorders>
            <w:shd w:val="clear" w:color="auto" w:fill="auto"/>
            <w:vAlign w:val="center"/>
          </w:tcPr>
          <w:p w14:paraId="315D61D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667F3C0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620" w:type="dxa"/>
            <w:gridSpan w:val="2"/>
            <w:tcBorders>
              <w:top w:val="nil"/>
              <w:left w:val="nil"/>
              <w:bottom w:val="single" w:sz="4" w:space="0" w:color="auto"/>
              <w:right w:val="single" w:sz="4" w:space="0" w:color="auto"/>
            </w:tcBorders>
            <w:noWrap/>
            <w:vAlign w:val="bottom"/>
          </w:tcPr>
          <w:p w14:paraId="3A300C2D"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07512069"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76ADE33A"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07F31F49"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1503E6B3"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85" w:type="dxa"/>
            <w:gridSpan w:val="2"/>
            <w:tcBorders>
              <w:top w:val="nil"/>
              <w:left w:val="nil"/>
              <w:bottom w:val="single" w:sz="8" w:space="0" w:color="auto"/>
              <w:right w:val="nil"/>
            </w:tcBorders>
            <w:shd w:val="clear" w:color="auto" w:fill="auto"/>
            <w:vAlign w:val="center"/>
          </w:tcPr>
          <w:p w14:paraId="51B616D3"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51968686"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16B3B5C6"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46DE57D4" w14:textId="77777777" w:rsidTr="00AD62CD">
        <w:trPr>
          <w:trHeight w:val="255"/>
        </w:trPr>
        <w:tc>
          <w:tcPr>
            <w:tcW w:w="6188" w:type="dxa"/>
            <w:tcBorders>
              <w:top w:val="nil"/>
              <w:left w:val="single" w:sz="8" w:space="0" w:color="auto"/>
              <w:bottom w:val="single" w:sz="8" w:space="0" w:color="auto"/>
              <w:right w:val="single" w:sz="8" w:space="0" w:color="auto"/>
            </w:tcBorders>
            <w:shd w:val="clear" w:color="000000" w:fill="BFBFBF"/>
            <w:vAlign w:val="center"/>
          </w:tcPr>
          <w:p w14:paraId="4E550774"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Osobné výdavky celkom (v eurách)</w:t>
            </w:r>
          </w:p>
        </w:tc>
        <w:tc>
          <w:tcPr>
            <w:tcW w:w="1698" w:type="dxa"/>
            <w:tcBorders>
              <w:top w:val="nil"/>
              <w:left w:val="nil"/>
              <w:bottom w:val="single" w:sz="8" w:space="0" w:color="auto"/>
              <w:right w:val="single" w:sz="8" w:space="0" w:color="auto"/>
            </w:tcBorders>
            <w:shd w:val="clear" w:color="000000" w:fill="BFBFBF"/>
            <w:vAlign w:val="center"/>
          </w:tcPr>
          <w:p w14:paraId="2F0BC68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000000" w:fill="BFBFBF"/>
            <w:vAlign w:val="center"/>
          </w:tcPr>
          <w:p w14:paraId="71CC1DA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85" w:type="dxa"/>
            <w:gridSpan w:val="2"/>
            <w:tcBorders>
              <w:top w:val="nil"/>
              <w:left w:val="nil"/>
              <w:bottom w:val="single" w:sz="8" w:space="0" w:color="auto"/>
              <w:right w:val="single" w:sz="8" w:space="0" w:color="auto"/>
            </w:tcBorders>
            <w:shd w:val="clear" w:color="000000" w:fill="BFBFBF"/>
            <w:vAlign w:val="center"/>
          </w:tcPr>
          <w:p w14:paraId="3E999B9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78" w:type="dxa"/>
            <w:tcBorders>
              <w:top w:val="nil"/>
              <w:left w:val="nil"/>
              <w:bottom w:val="single" w:sz="8" w:space="0" w:color="auto"/>
              <w:right w:val="single" w:sz="8" w:space="0" w:color="auto"/>
            </w:tcBorders>
            <w:shd w:val="clear" w:color="000000" w:fill="BFBFBF"/>
            <w:vAlign w:val="center"/>
          </w:tcPr>
          <w:p w14:paraId="25F3555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620" w:type="dxa"/>
            <w:gridSpan w:val="2"/>
            <w:tcBorders>
              <w:top w:val="nil"/>
              <w:left w:val="nil"/>
              <w:bottom w:val="single" w:sz="4" w:space="0" w:color="auto"/>
              <w:right w:val="single" w:sz="4" w:space="0" w:color="auto"/>
            </w:tcBorders>
            <w:shd w:val="clear" w:color="auto" w:fill="BFBFBF"/>
            <w:noWrap/>
            <w:vAlign w:val="bottom"/>
          </w:tcPr>
          <w:p w14:paraId="031E9247"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w:t>
            </w:r>
          </w:p>
        </w:tc>
      </w:tr>
      <w:tr w:rsidR="00AD62CD" w:rsidRPr="00AD62CD" w14:paraId="5A9D9308"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5ADC3609"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Mzdy, platy, služobné príjmy a ostatné osobné vyrovnania (610)</w:t>
            </w:r>
          </w:p>
        </w:tc>
        <w:tc>
          <w:tcPr>
            <w:tcW w:w="1698" w:type="dxa"/>
            <w:tcBorders>
              <w:top w:val="nil"/>
              <w:left w:val="nil"/>
              <w:bottom w:val="single" w:sz="8" w:space="0" w:color="auto"/>
              <w:right w:val="single" w:sz="8" w:space="0" w:color="auto"/>
            </w:tcBorders>
            <w:shd w:val="clear" w:color="auto" w:fill="auto"/>
            <w:vAlign w:val="center"/>
          </w:tcPr>
          <w:p w14:paraId="4D11D5D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404508B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85" w:type="dxa"/>
            <w:gridSpan w:val="2"/>
            <w:tcBorders>
              <w:top w:val="nil"/>
              <w:left w:val="nil"/>
              <w:bottom w:val="single" w:sz="8" w:space="0" w:color="auto"/>
              <w:right w:val="single" w:sz="8" w:space="0" w:color="auto"/>
            </w:tcBorders>
            <w:shd w:val="clear" w:color="auto" w:fill="auto"/>
            <w:vAlign w:val="center"/>
          </w:tcPr>
          <w:p w14:paraId="336B76F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0   </w:t>
            </w:r>
          </w:p>
        </w:tc>
        <w:tc>
          <w:tcPr>
            <w:tcW w:w="1978" w:type="dxa"/>
            <w:tcBorders>
              <w:top w:val="nil"/>
              <w:left w:val="nil"/>
              <w:bottom w:val="single" w:sz="8" w:space="0" w:color="auto"/>
              <w:right w:val="single" w:sz="8" w:space="0" w:color="auto"/>
            </w:tcBorders>
            <w:shd w:val="clear" w:color="auto" w:fill="auto"/>
            <w:vAlign w:val="center"/>
          </w:tcPr>
          <w:p w14:paraId="3CBFEDE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2A174ACE"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w:t>
            </w:r>
          </w:p>
        </w:tc>
      </w:tr>
      <w:tr w:rsidR="00AD62CD" w:rsidRPr="00AD62CD" w14:paraId="0EDA5A72"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6A1E7DB5"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2EC986DC"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0447744D"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0   </w:t>
            </w:r>
          </w:p>
        </w:tc>
        <w:tc>
          <w:tcPr>
            <w:tcW w:w="1985" w:type="dxa"/>
            <w:gridSpan w:val="2"/>
            <w:tcBorders>
              <w:top w:val="nil"/>
              <w:left w:val="nil"/>
              <w:bottom w:val="single" w:sz="8" w:space="0" w:color="auto"/>
              <w:right w:val="nil"/>
            </w:tcBorders>
            <w:shd w:val="clear" w:color="auto" w:fill="auto"/>
            <w:vAlign w:val="center"/>
          </w:tcPr>
          <w:p w14:paraId="4445614C"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     0   </w:t>
            </w:r>
          </w:p>
        </w:tc>
        <w:tc>
          <w:tcPr>
            <w:tcW w:w="1978" w:type="dxa"/>
            <w:tcBorders>
              <w:top w:val="nil"/>
              <w:left w:val="single" w:sz="8" w:space="0" w:color="auto"/>
              <w:bottom w:val="single" w:sz="8" w:space="0" w:color="auto"/>
              <w:right w:val="single" w:sz="8" w:space="0" w:color="auto"/>
            </w:tcBorders>
            <w:shd w:val="clear" w:color="auto" w:fill="auto"/>
            <w:vAlign w:val="center"/>
          </w:tcPr>
          <w:p w14:paraId="34B28AB5"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 xml:space="preserve">0   </w:t>
            </w:r>
          </w:p>
        </w:tc>
        <w:tc>
          <w:tcPr>
            <w:tcW w:w="1620" w:type="dxa"/>
            <w:gridSpan w:val="2"/>
            <w:tcBorders>
              <w:top w:val="nil"/>
              <w:left w:val="nil"/>
              <w:bottom w:val="single" w:sz="4" w:space="0" w:color="auto"/>
              <w:right w:val="single" w:sz="4" w:space="0" w:color="auto"/>
            </w:tcBorders>
            <w:noWrap/>
            <w:vAlign w:val="bottom"/>
          </w:tcPr>
          <w:p w14:paraId="40802363"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7B7C99DC"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69CC73D8"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Poistné a príspevok do poisťovní (620)</w:t>
            </w:r>
          </w:p>
        </w:tc>
        <w:tc>
          <w:tcPr>
            <w:tcW w:w="1698" w:type="dxa"/>
            <w:tcBorders>
              <w:top w:val="nil"/>
              <w:left w:val="nil"/>
              <w:bottom w:val="single" w:sz="8" w:space="0" w:color="auto"/>
              <w:right w:val="single" w:sz="8" w:space="0" w:color="auto"/>
            </w:tcBorders>
            <w:shd w:val="clear" w:color="auto" w:fill="auto"/>
            <w:vAlign w:val="center"/>
          </w:tcPr>
          <w:p w14:paraId="63851AA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045C7C2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85" w:type="dxa"/>
            <w:gridSpan w:val="2"/>
            <w:tcBorders>
              <w:top w:val="nil"/>
              <w:left w:val="nil"/>
              <w:bottom w:val="single" w:sz="8" w:space="0" w:color="auto"/>
              <w:right w:val="single" w:sz="8" w:space="0" w:color="auto"/>
            </w:tcBorders>
            <w:shd w:val="clear" w:color="auto" w:fill="auto"/>
            <w:vAlign w:val="center"/>
          </w:tcPr>
          <w:p w14:paraId="6B144EF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978" w:type="dxa"/>
            <w:tcBorders>
              <w:top w:val="nil"/>
              <w:left w:val="nil"/>
              <w:bottom w:val="single" w:sz="8" w:space="0" w:color="auto"/>
              <w:right w:val="single" w:sz="8" w:space="0" w:color="auto"/>
            </w:tcBorders>
            <w:shd w:val="clear" w:color="auto" w:fill="auto"/>
            <w:vAlign w:val="center"/>
          </w:tcPr>
          <w:p w14:paraId="05274A2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4F5498F4"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 </w:t>
            </w:r>
          </w:p>
        </w:tc>
      </w:tr>
      <w:tr w:rsidR="00AD62CD" w:rsidRPr="00AD62CD" w14:paraId="78C9E29C" w14:textId="77777777" w:rsidTr="003627DF">
        <w:trPr>
          <w:trHeight w:val="255"/>
        </w:trPr>
        <w:tc>
          <w:tcPr>
            <w:tcW w:w="6188" w:type="dxa"/>
            <w:tcBorders>
              <w:top w:val="nil"/>
              <w:left w:val="single" w:sz="8" w:space="0" w:color="auto"/>
              <w:bottom w:val="single" w:sz="8" w:space="0" w:color="auto"/>
              <w:right w:val="single" w:sz="8" w:space="0" w:color="auto"/>
            </w:tcBorders>
            <w:shd w:val="clear" w:color="auto" w:fill="auto"/>
            <w:vAlign w:val="center"/>
          </w:tcPr>
          <w:p w14:paraId="7627893A"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   z toho vplyv na ŠR</w:t>
            </w:r>
          </w:p>
        </w:tc>
        <w:tc>
          <w:tcPr>
            <w:tcW w:w="1698" w:type="dxa"/>
            <w:tcBorders>
              <w:top w:val="nil"/>
              <w:left w:val="nil"/>
              <w:bottom w:val="single" w:sz="8" w:space="0" w:color="auto"/>
              <w:right w:val="single" w:sz="8" w:space="0" w:color="auto"/>
            </w:tcBorders>
            <w:shd w:val="clear" w:color="auto" w:fill="auto"/>
            <w:vAlign w:val="center"/>
          </w:tcPr>
          <w:p w14:paraId="65C85D18"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65" w:type="dxa"/>
            <w:tcBorders>
              <w:top w:val="nil"/>
              <w:left w:val="nil"/>
              <w:bottom w:val="single" w:sz="8" w:space="0" w:color="auto"/>
              <w:right w:val="single" w:sz="8" w:space="0" w:color="auto"/>
            </w:tcBorders>
            <w:shd w:val="clear" w:color="auto" w:fill="auto"/>
            <w:vAlign w:val="center"/>
          </w:tcPr>
          <w:p w14:paraId="52A858A1"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85" w:type="dxa"/>
            <w:gridSpan w:val="2"/>
            <w:tcBorders>
              <w:top w:val="nil"/>
              <w:left w:val="nil"/>
              <w:bottom w:val="single" w:sz="8" w:space="0" w:color="auto"/>
              <w:right w:val="nil"/>
            </w:tcBorders>
            <w:shd w:val="clear" w:color="auto" w:fill="auto"/>
            <w:vAlign w:val="center"/>
          </w:tcPr>
          <w:p w14:paraId="1F5CFC72"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978" w:type="dxa"/>
            <w:tcBorders>
              <w:top w:val="nil"/>
              <w:left w:val="single" w:sz="8" w:space="0" w:color="auto"/>
              <w:bottom w:val="single" w:sz="8" w:space="0" w:color="auto"/>
              <w:right w:val="single" w:sz="8" w:space="0" w:color="auto"/>
            </w:tcBorders>
            <w:shd w:val="clear" w:color="auto" w:fill="auto"/>
            <w:vAlign w:val="center"/>
          </w:tcPr>
          <w:p w14:paraId="4D4D60BA"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620" w:type="dxa"/>
            <w:gridSpan w:val="2"/>
            <w:tcBorders>
              <w:top w:val="nil"/>
              <w:left w:val="nil"/>
              <w:bottom w:val="single" w:sz="4" w:space="0" w:color="auto"/>
              <w:right w:val="single" w:sz="4" w:space="0" w:color="auto"/>
            </w:tcBorders>
            <w:noWrap/>
            <w:vAlign w:val="bottom"/>
          </w:tcPr>
          <w:p w14:paraId="2C84AC11"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 </w:t>
            </w:r>
          </w:p>
        </w:tc>
      </w:tr>
      <w:tr w:rsidR="00AD62CD" w:rsidRPr="00AD62CD" w14:paraId="01B68C16" w14:textId="77777777" w:rsidTr="003627DF">
        <w:trPr>
          <w:trHeight w:val="255"/>
        </w:trPr>
        <w:tc>
          <w:tcPr>
            <w:tcW w:w="6188" w:type="dxa"/>
            <w:tcBorders>
              <w:top w:val="nil"/>
              <w:left w:val="nil"/>
              <w:bottom w:val="nil"/>
              <w:right w:val="nil"/>
            </w:tcBorders>
            <w:noWrap/>
            <w:vAlign w:val="bottom"/>
          </w:tcPr>
          <w:p w14:paraId="74078416"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698" w:type="dxa"/>
            <w:tcBorders>
              <w:top w:val="nil"/>
              <w:left w:val="nil"/>
              <w:bottom w:val="nil"/>
              <w:right w:val="nil"/>
            </w:tcBorders>
            <w:noWrap/>
            <w:vAlign w:val="bottom"/>
          </w:tcPr>
          <w:p w14:paraId="5F63454A"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65" w:type="dxa"/>
            <w:tcBorders>
              <w:top w:val="nil"/>
              <w:left w:val="nil"/>
              <w:bottom w:val="nil"/>
              <w:right w:val="nil"/>
            </w:tcBorders>
            <w:noWrap/>
            <w:vAlign w:val="bottom"/>
          </w:tcPr>
          <w:p w14:paraId="7E66071D"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85" w:type="dxa"/>
            <w:gridSpan w:val="2"/>
            <w:tcBorders>
              <w:top w:val="nil"/>
              <w:left w:val="nil"/>
              <w:bottom w:val="nil"/>
              <w:right w:val="nil"/>
            </w:tcBorders>
            <w:noWrap/>
            <w:vAlign w:val="bottom"/>
          </w:tcPr>
          <w:p w14:paraId="2B2BDE92"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78" w:type="dxa"/>
            <w:tcBorders>
              <w:top w:val="nil"/>
              <w:left w:val="nil"/>
              <w:bottom w:val="nil"/>
              <w:right w:val="nil"/>
            </w:tcBorders>
            <w:noWrap/>
            <w:vAlign w:val="bottom"/>
          </w:tcPr>
          <w:p w14:paraId="4D064468"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620" w:type="dxa"/>
            <w:gridSpan w:val="2"/>
            <w:tcBorders>
              <w:top w:val="nil"/>
              <w:left w:val="nil"/>
              <w:bottom w:val="nil"/>
              <w:right w:val="nil"/>
            </w:tcBorders>
            <w:noWrap/>
            <w:vAlign w:val="bottom"/>
          </w:tcPr>
          <w:p w14:paraId="047B1A8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37CAFC51" w14:textId="77777777" w:rsidTr="003627DF">
        <w:trPr>
          <w:trHeight w:val="255"/>
        </w:trPr>
        <w:tc>
          <w:tcPr>
            <w:tcW w:w="6188" w:type="dxa"/>
            <w:tcBorders>
              <w:top w:val="nil"/>
              <w:left w:val="nil"/>
              <w:bottom w:val="nil"/>
              <w:right w:val="nil"/>
            </w:tcBorders>
          </w:tcPr>
          <w:p w14:paraId="5328DAF1" w14:textId="77777777" w:rsidR="00AD62CD" w:rsidRPr="00AD62CD" w:rsidRDefault="00AD62CD" w:rsidP="00AD62CD">
            <w:pPr>
              <w:spacing w:after="0" w:line="240" w:lineRule="auto"/>
              <w:rPr>
                <w:rFonts w:ascii="Times New Roman" w:eastAsia="Calibri" w:hAnsi="Times New Roman" w:cs="Times New Roman"/>
                <w:b/>
                <w:bCs/>
                <w:kern w:val="0"/>
                <w:sz w:val="22"/>
                <w:szCs w:val="22"/>
                <w:lang w:eastAsia="sk-SK"/>
                <w14:ligatures w14:val="none"/>
              </w:rPr>
            </w:pPr>
            <w:r w:rsidRPr="00AD62CD">
              <w:rPr>
                <w:rFonts w:ascii="Times New Roman" w:eastAsia="Calibri" w:hAnsi="Times New Roman" w:cs="Times New Roman"/>
                <w:b/>
                <w:bCs/>
                <w:kern w:val="0"/>
                <w:sz w:val="22"/>
                <w:szCs w:val="22"/>
                <w:lang w:eastAsia="sk-SK"/>
                <w14:ligatures w14:val="none"/>
              </w:rPr>
              <w:t>Poznámky:</w:t>
            </w:r>
          </w:p>
        </w:tc>
        <w:tc>
          <w:tcPr>
            <w:tcW w:w="1698" w:type="dxa"/>
            <w:tcBorders>
              <w:top w:val="nil"/>
              <w:left w:val="nil"/>
              <w:bottom w:val="nil"/>
              <w:right w:val="nil"/>
            </w:tcBorders>
            <w:noWrap/>
            <w:vAlign w:val="bottom"/>
          </w:tcPr>
          <w:p w14:paraId="61643D2C"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65" w:type="dxa"/>
            <w:tcBorders>
              <w:top w:val="nil"/>
              <w:left w:val="nil"/>
              <w:bottom w:val="nil"/>
              <w:right w:val="nil"/>
            </w:tcBorders>
            <w:noWrap/>
            <w:vAlign w:val="bottom"/>
          </w:tcPr>
          <w:p w14:paraId="5D8BA7DC"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85" w:type="dxa"/>
            <w:gridSpan w:val="2"/>
            <w:tcBorders>
              <w:top w:val="nil"/>
              <w:left w:val="nil"/>
              <w:bottom w:val="nil"/>
              <w:right w:val="nil"/>
            </w:tcBorders>
            <w:noWrap/>
            <w:vAlign w:val="bottom"/>
          </w:tcPr>
          <w:p w14:paraId="51B38BD2"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978" w:type="dxa"/>
            <w:tcBorders>
              <w:top w:val="nil"/>
              <w:left w:val="nil"/>
              <w:bottom w:val="nil"/>
              <w:right w:val="nil"/>
            </w:tcBorders>
            <w:noWrap/>
            <w:vAlign w:val="bottom"/>
          </w:tcPr>
          <w:p w14:paraId="7007DC84"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1620" w:type="dxa"/>
            <w:gridSpan w:val="2"/>
            <w:tcBorders>
              <w:top w:val="nil"/>
              <w:left w:val="nil"/>
              <w:bottom w:val="nil"/>
              <w:right w:val="nil"/>
            </w:tcBorders>
            <w:noWrap/>
            <w:vAlign w:val="bottom"/>
          </w:tcPr>
          <w:p w14:paraId="78A39D00"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0D86665B" w14:textId="77777777" w:rsidTr="003627DF">
        <w:trPr>
          <w:trHeight w:val="255"/>
        </w:trPr>
        <w:tc>
          <w:tcPr>
            <w:tcW w:w="13814" w:type="dxa"/>
            <w:gridSpan w:val="6"/>
            <w:tcBorders>
              <w:top w:val="nil"/>
              <w:left w:val="nil"/>
              <w:bottom w:val="nil"/>
              <w:right w:val="nil"/>
            </w:tcBorders>
            <w:noWrap/>
          </w:tcPr>
          <w:p w14:paraId="013E77E3" w14:textId="77777777" w:rsidR="00AD62CD" w:rsidRPr="00AD62CD" w:rsidRDefault="00AD62CD" w:rsidP="00AD62CD">
            <w:pPr>
              <w:tabs>
                <w:tab w:val="num" w:pos="1080"/>
              </w:tabs>
              <w:spacing w:after="0" w:line="240" w:lineRule="auto"/>
              <w:jc w:val="both"/>
              <w:rPr>
                <w:rFonts w:ascii="Times New Roman" w:eastAsia="Calibri" w:hAnsi="Times New Roman" w:cs="Times New Roman"/>
                <w:bCs/>
                <w:kern w:val="0"/>
                <w:sz w:val="22"/>
                <w:szCs w:val="22"/>
                <w:lang w:eastAsia="sk-SK"/>
                <w14:ligatures w14:val="none"/>
              </w:rPr>
            </w:pPr>
            <w:r w:rsidRPr="00AD62CD">
              <w:rPr>
                <w:rFonts w:ascii="Times New Roman" w:eastAsia="Calibri" w:hAnsi="Times New Roman" w:cs="Times New Roman"/>
                <w:bCs/>
                <w:kern w:val="0"/>
                <w:sz w:val="22"/>
                <w:szCs w:val="22"/>
                <w:lang w:eastAsia="sk-SK"/>
                <w14:ligatures w14:val="none"/>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5489E561"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493190A2"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r w:rsidR="00AD62CD" w:rsidRPr="00AD62CD" w14:paraId="0E089DAC" w14:textId="77777777" w:rsidTr="003627DF">
        <w:trPr>
          <w:trHeight w:val="255"/>
        </w:trPr>
        <w:tc>
          <w:tcPr>
            <w:tcW w:w="10394" w:type="dxa"/>
            <w:gridSpan w:val="4"/>
            <w:tcBorders>
              <w:top w:val="nil"/>
              <w:left w:val="nil"/>
              <w:bottom w:val="nil"/>
              <w:right w:val="nil"/>
            </w:tcBorders>
            <w:noWrap/>
            <w:vAlign w:val="bottom"/>
          </w:tcPr>
          <w:p w14:paraId="781159D1"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r w:rsidRPr="00AD62CD">
              <w:rPr>
                <w:rFonts w:ascii="Times New Roman" w:eastAsia="Calibri" w:hAnsi="Times New Roman" w:cs="Times New Roman"/>
                <w:kern w:val="0"/>
                <w:sz w:val="22"/>
                <w:szCs w:val="22"/>
                <w:lang w:eastAsia="sk-SK"/>
                <w14:ligatures w14:val="none"/>
              </w:rPr>
              <w:t>Kategórie 610 a 620 sú z tejto prílohy prenášané do príslušných kategórií prílohy „výdavky“.</w:t>
            </w:r>
          </w:p>
        </w:tc>
        <w:tc>
          <w:tcPr>
            <w:tcW w:w="1442" w:type="dxa"/>
            <w:tcBorders>
              <w:top w:val="nil"/>
              <w:left w:val="nil"/>
              <w:bottom w:val="nil"/>
              <w:right w:val="nil"/>
            </w:tcBorders>
            <w:noWrap/>
            <w:vAlign w:val="bottom"/>
          </w:tcPr>
          <w:p w14:paraId="4CAF9FEF"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2608" w:type="dxa"/>
            <w:gridSpan w:val="2"/>
            <w:tcBorders>
              <w:top w:val="nil"/>
              <w:left w:val="nil"/>
              <w:bottom w:val="nil"/>
              <w:right w:val="nil"/>
            </w:tcBorders>
            <w:noWrap/>
            <w:vAlign w:val="bottom"/>
          </w:tcPr>
          <w:p w14:paraId="08977B27"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c>
          <w:tcPr>
            <w:tcW w:w="990" w:type="dxa"/>
            <w:tcBorders>
              <w:top w:val="nil"/>
              <w:left w:val="nil"/>
              <w:bottom w:val="nil"/>
              <w:right w:val="nil"/>
            </w:tcBorders>
            <w:noWrap/>
            <w:vAlign w:val="bottom"/>
          </w:tcPr>
          <w:p w14:paraId="365C4D27" w14:textId="77777777" w:rsidR="00AD62CD" w:rsidRPr="00AD62CD" w:rsidRDefault="00AD62CD" w:rsidP="00AD62CD">
            <w:pPr>
              <w:spacing w:after="0" w:line="240" w:lineRule="auto"/>
              <w:rPr>
                <w:rFonts w:ascii="Times New Roman" w:eastAsia="Calibri" w:hAnsi="Times New Roman" w:cs="Times New Roman"/>
                <w:kern w:val="0"/>
                <w:sz w:val="22"/>
                <w:szCs w:val="22"/>
                <w:lang w:eastAsia="sk-SK"/>
                <w14:ligatures w14:val="none"/>
              </w:rPr>
            </w:pPr>
          </w:p>
        </w:tc>
      </w:tr>
    </w:tbl>
    <w:p w14:paraId="7B95946A" w14:textId="77777777" w:rsidR="00AD62CD" w:rsidRPr="00AD62CD" w:rsidRDefault="00AD62CD" w:rsidP="00AD62CD">
      <w:pPr>
        <w:spacing w:after="0" w:line="276" w:lineRule="auto"/>
        <w:rPr>
          <w:rFonts w:ascii="Times New Roman" w:eastAsia="Calibri" w:hAnsi="Times New Roman" w:cs="Times New Roman"/>
          <w:bCs/>
          <w:kern w:val="0"/>
          <w:sz w:val="18"/>
          <w:szCs w:val="20"/>
          <w:lang w:eastAsia="sk-SK"/>
          <w14:ligatures w14:val="none"/>
        </w:rPr>
        <w:sectPr w:rsidR="00AD62CD" w:rsidRPr="00AD62CD" w:rsidSect="00AD62CD">
          <w:headerReference w:type="even" r:id="rId34"/>
          <w:headerReference w:type="default" r:id="rId35"/>
          <w:footerReference w:type="even" r:id="rId36"/>
          <w:headerReference w:type="first" r:id="rId37"/>
          <w:footerReference w:type="first" r:id="rId38"/>
          <w:pgSz w:w="16838" w:h="11906" w:orient="landscape"/>
          <w:pgMar w:top="1418" w:right="1418" w:bottom="1418" w:left="1276" w:header="709" w:footer="709" w:gutter="0"/>
          <w:cols w:space="708"/>
          <w:docGrid w:linePitch="360"/>
        </w:sectPr>
      </w:pPr>
    </w:p>
    <w:p w14:paraId="346BAAE8" w14:textId="77777777" w:rsidR="00AD62CD" w:rsidRPr="00AD62CD" w:rsidRDefault="00AD62CD" w:rsidP="00AD62CD">
      <w:pPr>
        <w:spacing w:after="0" w:line="240" w:lineRule="auto"/>
        <w:jc w:val="both"/>
        <w:rPr>
          <w:rFonts w:ascii="Times New Roman" w:eastAsia="Calibri" w:hAnsi="Times New Roman" w:cs="Times New Roman"/>
          <w:b/>
          <w:kern w:val="0"/>
          <w:lang w:eastAsia="sk-SK"/>
          <w14:ligatures w14:val="none"/>
        </w:rPr>
      </w:pPr>
      <w:r w:rsidRPr="00AD62CD">
        <w:rPr>
          <w:rFonts w:ascii="Times New Roman" w:eastAsia="Calibri" w:hAnsi="Times New Roman" w:cs="Times New Roman"/>
          <w:b/>
          <w:kern w:val="0"/>
          <w:lang w:eastAsia="sk-SK"/>
          <w14:ligatures w14:val="none"/>
        </w:rPr>
        <w:t xml:space="preserve">2.2.5. Výpočet vplyvov na dlhodobú udržateľnosť verejných financií </w:t>
      </w:r>
    </w:p>
    <w:p w14:paraId="21885EA0"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07A2D986"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0D7FA267"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r w:rsidRPr="00AD62CD">
        <w:rPr>
          <w:rFonts w:ascii="Times New Roman" w:eastAsia="Calibri" w:hAnsi="Times New Roman" w:cs="Times New Roman"/>
          <w:kern w:val="0"/>
          <w:lang w:eastAsia="sk-SK"/>
          <w14:ligatures w14:val="none"/>
        </w:rPr>
        <w:tab/>
      </w:r>
    </w:p>
    <w:p w14:paraId="74861026" w14:textId="77777777" w:rsidR="00AD62CD" w:rsidRPr="00AD62CD" w:rsidRDefault="00AD62CD" w:rsidP="00AD62CD">
      <w:pPr>
        <w:spacing w:after="0" w:line="240" w:lineRule="auto"/>
        <w:jc w:val="both"/>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AD62CD" w:rsidRPr="00AD62CD" w14:paraId="47568861" w14:textId="77777777" w:rsidTr="00AD62CD">
        <w:trPr>
          <w:trHeight w:val="284"/>
        </w:trPr>
        <w:tc>
          <w:tcPr>
            <w:tcW w:w="2943" w:type="dxa"/>
            <w:vMerge w:val="restart"/>
            <w:shd w:val="clear" w:color="auto" w:fill="BFBFBF"/>
            <w:vAlign w:val="center"/>
          </w:tcPr>
          <w:p w14:paraId="56266DA0"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kern w:val="0"/>
                <w:lang w:eastAsia="sk-SK"/>
                <w14:ligatures w14:val="none"/>
              </w:rPr>
            </w:pPr>
            <w:r w:rsidRPr="00AD62CD">
              <w:rPr>
                <w:rFonts w:ascii="Times New Roman" w:eastAsia="Calibri" w:hAnsi="Times New Roman" w:cs="Times New Roman"/>
                <w:b/>
                <w:kern w:val="0"/>
                <w:lang w:eastAsia="sk-SK"/>
                <w14:ligatures w14:val="none"/>
              </w:rPr>
              <w:t>Dlhodobá udržateľnosť</w:t>
            </w:r>
          </w:p>
        </w:tc>
        <w:tc>
          <w:tcPr>
            <w:tcW w:w="7967" w:type="dxa"/>
            <w:gridSpan w:val="5"/>
            <w:shd w:val="clear" w:color="auto" w:fill="BFBFBF"/>
          </w:tcPr>
          <w:p w14:paraId="1B487BA7"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kern w:val="0"/>
                <w:lang w:eastAsia="sk-SK"/>
                <w14:ligatures w14:val="none"/>
              </w:rPr>
            </w:pPr>
            <w:r w:rsidRPr="00AD62CD">
              <w:rPr>
                <w:rFonts w:ascii="Times New Roman" w:eastAsia="Calibri" w:hAnsi="Times New Roman" w:cs="Times New Roman"/>
                <w:b/>
                <w:kern w:val="0"/>
                <w:lang w:eastAsia="sk-SK"/>
                <w14:ligatures w14:val="none"/>
              </w:rPr>
              <w:t>Vplyv na verejné financie</w:t>
            </w:r>
          </w:p>
        </w:tc>
        <w:tc>
          <w:tcPr>
            <w:tcW w:w="3119" w:type="dxa"/>
            <w:vMerge w:val="restart"/>
            <w:shd w:val="clear" w:color="auto" w:fill="BFBFBF"/>
            <w:vAlign w:val="center"/>
          </w:tcPr>
          <w:p w14:paraId="46BC780E"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kern w:val="0"/>
                <w:lang w:eastAsia="sk-SK"/>
                <w14:ligatures w14:val="none"/>
              </w:rPr>
            </w:pPr>
            <w:r w:rsidRPr="00AD62CD">
              <w:rPr>
                <w:rFonts w:ascii="Times New Roman" w:eastAsia="Calibri" w:hAnsi="Times New Roman" w:cs="Times New Roman"/>
                <w:b/>
                <w:kern w:val="0"/>
                <w:lang w:eastAsia="sk-SK"/>
                <w14:ligatures w14:val="none"/>
              </w:rPr>
              <w:t>Poznámka</w:t>
            </w:r>
          </w:p>
        </w:tc>
      </w:tr>
      <w:tr w:rsidR="00AD62CD" w:rsidRPr="00AD62CD" w14:paraId="13C17639" w14:textId="77777777" w:rsidTr="00AD62CD">
        <w:trPr>
          <w:trHeight w:val="284"/>
        </w:trPr>
        <w:tc>
          <w:tcPr>
            <w:tcW w:w="2943" w:type="dxa"/>
            <w:vMerge/>
            <w:shd w:val="clear" w:color="auto" w:fill="BFBFBF"/>
          </w:tcPr>
          <w:p w14:paraId="5DBABC2A" w14:textId="77777777" w:rsidR="00AD62CD" w:rsidRPr="00AD62CD" w:rsidRDefault="00AD62CD" w:rsidP="00AD62CD">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kern w:val="0"/>
                <w:lang w:eastAsia="sk-SK"/>
                <w14:ligatures w14:val="none"/>
              </w:rPr>
            </w:pPr>
          </w:p>
        </w:tc>
        <w:tc>
          <w:tcPr>
            <w:tcW w:w="1447" w:type="dxa"/>
            <w:shd w:val="clear" w:color="auto" w:fill="BFBFBF"/>
          </w:tcPr>
          <w:p w14:paraId="5FD189AC"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2030</w:t>
            </w:r>
          </w:p>
        </w:tc>
        <w:tc>
          <w:tcPr>
            <w:tcW w:w="1559" w:type="dxa"/>
            <w:shd w:val="clear" w:color="auto" w:fill="BFBFBF"/>
          </w:tcPr>
          <w:p w14:paraId="049B7357"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2040</w:t>
            </w:r>
          </w:p>
        </w:tc>
        <w:tc>
          <w:tcPr>
            <w:tcW w:w="1559" w:type="dxa"/>
            <w:shd w:val="clear" w:color="auto" w:fill="BFBFBF"/>
          </w:tcPr>
          <w:p w14:paraId="5AA47AA4"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2050</w:t>
            </w:r>
          </w:p>
        </w:tc>
        <w:tc>
          <w:tcPr>
            <w:tcW w:w="1418" w:type="dxa"/>
            <w:shd w:val="clear" w:color="auto" w:fill="BFBFBF"/>
          </w:tcPr>
          <w:p w14:paraId="7301BB98"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2060</w:t>
            </w:r>
          </w:p>
        </w:tc>
        <w:tc>
          <w:tcPr>
            <w:tcW w:w="1984" w:type="dxa"/>
            <w:shd w:val="clear" w:color="auto" w:fill="BFBFBF"/>
          </w:tcPr>
          <w:p w14:paraId="2486A424"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2070</w:t>
            </w:r>
          </w:p>
        </w:tc>
        <w:tc>
          <w:tcPr>
            <w:tcW w:w="3119" w:type="dxa"/>
            <w:vMerge/>
            <w:shd w:val="clear" w:color="auto" w:fill="BFBFBF"/>
          </w:tcPr>
          <w:p w14:paraId="5C53BE89" w14:textId="77777777" w:rsidR="00AD62CD" w:rsidRPr="00AD62CD" w:rsidRDefault="00AD62CD" w:rsidP="00AD62CD">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kern w:val="0"/>
                <w:lang w:eastAsia="sk-SK"/>
                <w14:ligatures w14:val="none"/>
              </w:rPr>
            </w:pPr>
          </w:p>
        </w:tc>
      </w:tr>
      <w:tr w:rsidR="00AD62CD" w:rsidRPr="00AD62CD" w14:paraId="65454342" w14:textId="77777777" w:rsidTr="003627DF">
        <w:trPr>
          <w:trHeight w:val="284"/>
        </w:trPr>
        <w:tc>
          <w:tcPr>
            <w:tcW w:w="2943" w:type="dxa"/>
            <w:shd w:val="clear" w:color="auto" w:fill="auto"/>
            <w:vAlign w:val="bottom"/>
          </w:tcPr>
          <w:p w14:paraId="7FE1241F" w14:textId="77777777" w:rsidR="00AD62CD" w:rsidRPr="00AD62CD" w:rsidRDefault="00AD62CD" w:rsidP="00AD62CD">
            <w:pPr>
              <w:widowControl w:val="0"/>
              <w:overflowPunct w:val="0"/>
              <w:autoSpaceDE w:val="0"/>
              <w:autoSpaceDN w:val="0"/>
              <w:adjustRightInd w:val="0"/>
              <w:spacing w:after="0" w:line="240" w:lineRule="auto"/>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Vplyv na výdavky v p. b. HDP</w:t>
            </w:r>
          </w:p>
        </w:tc>
        <w:tc>
          <w:tcPr>
            <w:tcW w:w="1447" w:type="dxa"/>
            <w:shd w:val="clear" w:color="auto" w:fill="auto"/>
            <w:vAlign w:val="center"/>
          </w:tcPr>
          <w:p w14:paraId="7B33BB09"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559" w:type="dxa"/>
            <w:shd w:val="clear" w:color="auto" w:fill="auto"/>
            <w:vAlign w:val="center"/>
          </w:tcPr>
          <w:p w14:paraId="0A9B3931"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559" w:type="dxa"/>
            <w:shd w:val="clear" w:color="auto" w:fill="auto"/>
            <w:vAlign w:val="center"/>
          </w:tcPr>
          <w:p w14:paraId="7FEDB615"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418" w:type="dxa"/>
            <w:shd w:val="clear" w:color="auto" w:fill="auto"/>
            <w:vAlign w:val="center"/>
          </w:tcPr>
          <w:p w14:paraId="5D6F470D"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984" w:type="dxa"/>
            <w:shd w:val="clear" w:color="auto" w:fill="auto"/>
            <w:vAlign w:val="center"/>
          </w:tcPr>
          <w:p w14:paraId="1105AEA5"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val="en-GB" w:eastAsia="sk-SK"/>
                <w14:ligatures w14:val="none"/>
              </w:rPr>
            </w:pPr>
          </w:p>
        </w:tc>
        <w:tc>
          <w:tcPr>
            <w:tcW w:w="3119" w:type="dxa"/>
            <w:shd w:val="clear" w:color="auto" w:fill="auto"/>
            <w:vAlign w:val="center"/>
          </w:tcPr>
          <w:p w14:paraId="22099927"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r>
      <w:tr w:rsidR="00AD62CD" w:rsidRPr="00AD62CD" w14:paraId="27E1BD50" w14:textId="77777777" w:rsidTr="003627DF">
        <w:trPr>
          <w:trHeight w:val="284"/>
        </w:trPr>
        <w:tc>
          <w:tcPr>
            <w:tcW w:w="2943" w:type="dxa"/>
            <w:shd w:val="clear" w:color="auto" w:fill="auto"/>
          </w:tcPr>
          <w:p w14:paraId="2D322FDE" w14:textId="77777777" w:rsidR="00AD62CD" w:rsidRPr="00AD62CD" w:rsidRDefault="00AD62CD" w:rsidP="00AD62CD">
            <w:pPr>
              <w:widowControl w:val="0"/>
              <w:overflowPunct w:val="0"/>
              <w:autoSpaceDE w:val="0"/>
              <w:autoSpaceDN w:val="0"/>
              <w:adjustRightInd w:val="0"/>
              <w:spacing w:after="0" w:line="240" w:lineRule="auto"/>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Vplyv na príjmy v p. b. HDP</w:t>
            </w:r>
          </w:p>
        </w:tc>
        <w:tc>
          <w:tcPr>
            <w:tcW w:w="1447" w:type="dxa"/>
            <w:shd w:val="clear" w:color="auto" w:fill="auto"/>
            <w:vAlign w:val="center"/>
          </w:tcPr>
          <w:p w14:paraId="796318E8"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559" w:type="dxa"/>
            <w:shd w:val="clear" w:color="auto" w:fill="auto"/>
            <w:vAlign w:val="center"/>
          </w:tcPr>
          <w:p w14:paraId="69BF8480"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559" w:type="dxa"/>
            <w:shd w:val="clear" w:color="auto" w:fill="auto"/>
            <w:vAlign w:val="center"/>
          </w:tcPr>
          <w:p w14:paraId="734B0507"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418" w:type="dxa"/>
            <w:shd w:val="clear" w:color="auto" w:fill="auto"/>
            <w:vAlign w:val="center"/>
          </w:tcPr>
          <w:p w14:paraId="200CD847"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984" w:type="dxa"/>
            <w:shd w:val="clear" w:color="auto" w:fill="auto"/>
            <w:vAlign w:val="center"/>
          </w:tcPr>
          <w:p w14:paraId="27D1E3A7"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3119" w:type="dxa"/>
            <w:shd w:val="clear" w:color="auto" w:fill="auto"/>
            <w:vAlign w:val="center"/>
          </w:tcPr>
          <w:p w14:paraId="3A173890"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r>
      <w:tr w:rsidR="00AD62CD" w:rsidRPr="00AD62CD" w14:paraId="63F65ECE" w14:textId="77777777" w:rsidTr="003627DF">
        <w:trPr>
          <w:trHeight w:val="284"/>
        </w:trPr>
        <w:tc>
          <w:tcPr>
            <w:tcW w:w="2943" w:type="dxa"/>
            <w:shd w:val="clear" w:color="auto" w:fill="auto"/>
          </w:tcPr>
          <w:p w14:paraId="1A28671A" w14:textId="77777777" w:rsidR="00AD62CD" w:rsidRPr="00AD62CD" w:rsidRDefault="00AD62CD" w:rsidP="00AD62CD">
            <w:pPr>
              <w:widowControl w:val="0"/>
              <w:overflowPunct w:val="0"/>
              <w:autoSpaceDE w:val="0"/>
              <w:autoSpaceDN w:val="0"/>
              <w:adjustRightInd w:val="0"/>
              <w:spacing w:after="0" w:line="240" w:lineRule="auto"/>
              <w:textAlignment w:val="baseline"/>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Vplyv na bilanciu  v p. b. HDP</w:t>
            </w:r>
          </w:p>
        </w:tc>
        <w:tc>
          <w:tcPr>
            <w:tcW w:w="1447" w:type="dxa"/>
            <w:shd w:val="clear" w:color="auto" w:fill="auto"/>
            <w:vAlign w:val="center"/>
          </w:tcPr>
          <w:p w14:paraId="1B081D66"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559" w:type="dxa"/>
            <w:shd w:val="clear" w:color="auto" w:fill="auto"/>
            <w:vAlign w:val="center"/>
          </w:tcPr>
          <w:p w14:paraId="215C9A70"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559" w:type="dxa"/>
            <w:shd w:val="clear" w:color="auto" w:fill="auto"/>
            <w:vAlign w:val="center"/>
          </w:tcPr>
          <w:p w14:paraId="789D7FFE"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418" w:type="dxa"/>
            <w:shd w:val="clear" w:color="auto" w:fill="auto"/>
            <w:vAlign w:val="center"/>
          </w:tcPr>
          <w:p w14:paraId="4D443426"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1984" w:type="dxa"/>
            <w:shd w:val="clear" w:color="auto" w:fill="auto"/>
            <w:vAlign w:val="center"/>
          </w:tcPr>
          <w:p w14:paraId="4C917FD4"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c>
          <w:tcPr>
            <w:tcW w:w="3119" w:type="dxa"/>
            <w:shd w:val="clear" w:color="auto" w:fill="auto"/>
            <w:vAlign w:val="center"/>
          </w:tcPr>
          <w:p w14:paraId="04E1C2AF" w14:textId="77777777" w:rsidR="00AD62CD" w:rsidRPr="00AD62CD" w:rsidRDefault="00AD62CD" w:rsidP="00AD62C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kern w:val="0"/>
                <w:lang w:eastAsia="sk-SK"/>
                <w14:ligatures w14:val="none"/>
              </w:rPr>
            </w:pPr>
          </w:p>
        </w:tc>
      </w:tr>
    </w:tbl>
    <w:p w14:paraId="7D9FFD9E"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7DD18F1B"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6B6BF09F"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26FB00AB"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0655722C"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1709B17E"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69EAE864"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73E23850"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48975C28"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71B7578D" w14:textId="77777777" w:rsidR="00AD62CD" w:rsidRPr="00AD62CD" w:rsidRDefault="00AD62CD" w:rsidP="00AD62CD">
      <w:pPr>
        <w:spacing w:after="0" w:line="240" w:lineRule="auto"/>
        <w:rPr>
          <w:rFonts w:ascii="Calibri" w:eastAsia="Calibri" w:hAnsi="Calibri" w:cs="Times New Roman"/>
          <w:kern w:val="0"/>
          <w:sz w:val="22"/>
          <w:szCs w:val="22"/>
          <w14:ligatures w14:val="none"/>
        </w:rPr>
      </w:pPr>
    </w:p>
    <w:p w14:paraId="21A6A114" w14:textId="77777777" w:rsidR="00AD62CD" w:rsidRPr="00AD62CD" w:rsidRDefault="00AD62CD" w:rsidP="00AD62CD">
      <w:pPr>
        <w:spacing w:after="0" w:line="240" w:lineRule="auto"/>
        <w:rPr>
          <w:rFonts w:ascii="Calibri" w:eastAsia="Calibri" w:hAnsi="Calibri" w:cs="Times New Roman"/>
          <w:kern w:val="0"/>
          <w:sz w:val="22"/>
          <w:szCs w:val="22"/>
          <w14:ligatures w14:val="none"/>
        </w:rPr>
        <w:sectPr w:rsidR="00AD62CD" w:rsidRPr="00AD62CD" w:rsidSect="00AD62CD">
          <w:footerReference w:type="default" r:id="rId39"/>
          <w:pgSz w:w="16838" w:h="11906" w:orient="landscape"/>
          <w:pgMar w:top="1417" w:right="1417" w:bottom="1417" w:left="1276" w:header="708" w:footer="708" w:gutter="0"/>
          <w:cols w:space="708"/>
          <w:docGrid w:linePitch="360"/>
        </w:sectPr>
      </w:pPr>
    </w:p>
    <w:p w14:paraId="107E42A0"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Analýza vplyvov na rozpočet verejnej správy,</w:t>
      </w:r>
    </w:p>
    <w:p w14:paraId="56CEBD1B"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r w:rsidRPr="00AD62CD">
        <w:rPr>
          <w:rFonts w:ascii="Times New Roman" w:eastAsia="Times New Roman" w:hAnsi="Times New Roman" w:cs="Times New Roman"/>
          <w:b/>
          <w:bCs/>
          <w:kern w:val="0"/>
          <w:sz w:val="28"/>
          <w:szCs w:val="28"/>
          <w:lang w:eastAsia="sk-SK"/>
          <w14:ligatures w14:val="none"/>
        </w:rPr>
        <w:t xml:space="preserve">na zamestnanosť vo verejnej správe a financovanie návrhu </w:t>
      </w:r>
      <w:r w:rsidRPr="00AD62CD">
        <w:rPr>
          <w:rFonts w:ascii="Times New Roman" w:eastAsia="Times New Roman" w:hAnsi="Times New Roman" w:cs="Times New Roman"/>
          <w:b/>
          <w:bCs/>
          <w:kern w:val="0"/>
          <w:sz w:val="28"/>
          <w:szCs w:val="28"/>
          <w:lang w:eastAsia="sk-SK"/>
          <w14:ligatures w14:val="none"/>
        </w:rPr>
        <w:br/>
        <w:t>(Zákon o rozpočtovom určení výnosu dane z príjmov územnej samospráve)</w:t>
      </w:r>
    </w:p>
    <w:p w14:paraId="54398B80" w14:textId="77777777" w:rsidR="00AD62CD" w:rsidRPr="00AD62CD" w:rsidRDefault="00AD62CD" w:rsidP="00AD62CD">
      <w:pPr>
        <w:spacing w:after="0" w:line="240" w:lineRule="auto"/>
        <w:jc w:val="center"/>
        <w:rPr>
          <w:rFonts w:ascii="Times New Roman" w:eastAsia="Times New Roman" w:hAnsi="Times New Roman" w:cs="Times New Roman"/>
          <w:b/>
          <w:bCs/>
          <w:kern w:val="0"/>
          <w:sz w:val="28"/>
          <w:szCs w:val="28"/>
          <w:lang w:eastAsia="sk-SK"/>
          <w14:ligatures w14:val="none"/>
        </w:rPr>
      </w:pPr>
    </w:p>
    <w:p w14:paraId="3EA98D69" w14:textId="77777777" w:rsidR="00AD62CD" w:rsidRPr="00AD62CD" w:rsidRDefault="00AD62CD" w:rsidP="00AD62CD">
      <w:pPr>
        <w:spacing w:after="0" w:line="240"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 Zhrnutie vplyvov na rozpočet verejnej správy v návrhu</w:t>
      </w:r>
    </w:p>
    <w:p w14:paraId="09A2BBCE" w14:textId="77777777" w:rsidR="00AD62CD" w:rsidRPr="00AD62CD" w:rsidRDefault="00AD62CD" w:rsidP="00AD62CD">
      <w:pPr>
        <w:spacing w:after="0" w:line="240" w:lineRule="auto"/>
        <w:jc w:val="right"/>
        <w:rPr>
          <w:rFonts w:ascii="Times New Roman" w:eastAsia="Times New Roman" w:hAnsi="Times New Roman" w:cs="Times New Roman"/>
          <w:kern w:val="0"/>
          <w:sz w:val="20"/>
          <w:szCs w:val="20"/>
          <w:lang w:eastAsia="sk-SK"/>
          <w14:ligatures w14:val="none"/>
        </w:rPr>
      </w:pPr>
      <w:r w:rsidRPr="00AD62CD">
        <w:rPr>
          <w:rFonts w:ascii="Times New Roman" w:eastAsia="Times New Roman" w:hAnsi="Times New Roman" w:cs="Times New Roman"/>
          <w:kern w:val="0"/>
          <w:sz w:val="20"/>
          <w:szCs w:val="20"/>
          <w:lang w:eastAsia="sk-SK"/>
          <w14:ligatures w14:val="none"/>
        </w:rPr>
        <w:t xml:space="preserve">Tabuľka č. 1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gridCol w:w="1026"/>
        <w:gridCol w:w="1559"/>
        <w:gridCol w:w="1417"/>
        <w:gridCol w:w="1521"/>
      </w:tblGrid>
      <w:tr w:rsidR="00AD62CD" w:rsidRPr="00AD62CD" w14:paraId="5573F29D" w14:textId="77777777" w:rsidTr="00AD62CD">
        <w:trPr>
          <w:cantSplit/>
          <w:trHeight w:val="194"/>
          <w:jc w:val="center"/>
        </w:trPr>
        <w:tc>
          <w:tcPr>
            <w:tcW w:w="4498" w:type="dxa"/>
            <w:vMerge w:val="restart"/>
            <w:shd w:val="clear" w:color="auto" w:fill="BFBFBF"/>
            <w:vAlign w:val="center"/>
          </w:tcPr>
          <w:p w14:paraId="430B8C54"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Vplyvy na rozpočet verejnej správy</w:t>
            </w:r>
          </w:p>
        </w:tc>
        <w:tc>
          <w:tcPr>
            <w:tcW w:w="5523" w:type="dxa"/>
            <w:gridSpan w:val="4"/>
            <w:shd w:val="clear" w:color="auto" w:fill="BFBFBF"/>
            <w:vAlign w:val="center"/>
          </w:tcPr>
          <w:p w14:paraId="2D1338BA"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r w:rsidRPr="00AD62CD">
              <w:rPr>
                <w:rFonts w:ascii="Times New Roman" w:eastAsia="Times New Roman" w:hAnsi="Times New Roman" w:cs="Times New Roman"/>
                <w:b/>
                <w:bCs/>
                <w:kern w:val="0"/>
                <w:sz w:val="22"/>
                <w:szCs w:val="22"/>
                <w:lang w:eastAsia="sk-SK"/>
                <w14:ligatures w14:val="none"/>
              </w:rPr>
              <w:t>Vplyv na rozpočet verejnej správy (v eurách)</w:t>
            </w:r>
          </w:p>
        </w:tc>
      </w:tr>
      <w:tr w:rsidR="00AD62CD" w:rsidRPr="00AD62CD" w14:paraId="6F8A8C04" w14:textId="77777777" w:rsidTr="00AD62CD">
        <w:trPr>
          <w:cantSplit/>
          <w:trHeight w:val="70"/>
          <w:jc w:val="center"/>
        </w:trPr>
        <w:tc>
          <w:tcPr>
            <w:tcW w:w="4498" w:type="dxa"/>
            <w:vMerge/>
            <w:vAlign w:val="center"/>
          </w:tcPr>
          <w:p w14:paraId="5C2F4FF8" w14:textId="77777777" w:rsidR="00AD62CD" w:rsidRPr="00AD62CD" w:rsidRDefault="00AD62CD" w:rsidP="00AD62CD">
            <w:pPr>
              <w:spacing w:after="0" w:line="240" w:lineRule="auto"/>
              <w:jc w:val="center"/>
              <w:rPr>
                <w:rFonts w:ascii="Times New Roman" w:eastAsia="Times New Roman" w:hAnsi="Times New Roman" w:cs="Times New Roman"/>
                <w:b/>
                <w:bCs/>
                <w:kern w:val="0"/>
                <w:sz w:val="22"/>
                <w:szCs w:val="22"/>
                <w:lang w:eastAsia="sk-SK"/>
                <w14:ligatures w14:val="none"/>
              </w:rPr>
            </w:pPr>
          </w:p>
        </w:tc>
        <w:tc>
          <w:tcPr>
            <w:tcW w:w="1026" w:type="dxa"/>
            <w:tcBorders>
              <w:top w:val="nil"/>
              <w:left w:val="nil"/>
              <w:bottom w:val="single" w:sz="8" w:space="0" w:color="auto"/>
              <w:right w:val="single" w:sz="8" w:space="0" w:color="auto"/>
            </w:tcBorders>
            <w:shd w:val="clear" w:color="auto" w:fill="BFBFBF"/>
          </w:tcPr>
          <w:p w14:paraId="1E1BBC41"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kern w:val="0"/>
                <w:sz w:val="22"/>
                <w:szCs w:val="22"/>
                <w14:ligatures w14:val="none"/>
              </w:rPr>
              <w:t>2025</w:t>
            </w:r>
          </w:p>
        </w:tc>
        <w:tc>
          <w:tcPr>
            <w:tcW w:w="1559" w:type="dxa"/>
            <w:tcBorders>
              <w:top w:val="nil"/>
              <w:left w:val="nil"/>
              <w:bottom w:val="single" w:sz="8" w:space="0" w:color="auto"/>
              <w:right w:val="single" w:sz="8" w:space="0" w:color="auto"/>
            </w:tcBorders>
            <w:shd w:val="clear" w:color="auto" w:fill="BFBFBF"/>
          </w:tcPr>
          <w:p w14:paraId="2911D751"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kern w:val="0"/>
                <w:sz w:val="22"/>
                <w:szCs w:val="22"/>
                <w14:ligatures w14:val="none"/>
              </w:rPr>
              <w:t>2026</w:t>
            </w:r>
          </w:p>
        </w:tc>
        <w:tc>
          <w:tcPr>
            <w:tcW w:w="1417" w:type="dxa"/>
            <w:tcBorders>
              <w:top w:val="nil"/>
              <w:left w:val="nil"/>
              <w:bottom w:val="single" w:sz="8" w:space="0" w:color="auto"/>
              <w:right w:val="single" w:sz="8" w:space="0" w:color="auto"/>
            </w:tcBorders>
            <w:shd w:val="clear" w:color="auto" w:fill="BFBFBF"/>
          </w:tcPr>
          <w:p w14:paraId="2C7DFFC4"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kern w:val="0"/>
                <w:sz w:val="22"/>
                <w:szCs w:val="22"/>
                <w14:ligatures w14:val="none"/>
              </w:rPr>
              <w:t>2027</w:t>
            </w:r>
          </w:p>
        </w:tc>
        <w:tc>
          <w:tcPr>
            <w:tcW w:w="1521" w:type="dxa"/>
            <w:tcBorders>
              <w:top w:val="nil"/>
              <w:left w:val="nil"/>
              <w:bottom w:val="single" w:sz="8" w:space="0" w:color="auto"/>
              <w:right w:val="single" w:sz="8" w:space="0" w:color="auto"/>
            </w:tcBorders>
            <w:shd w:val="clear" w:color="auto" w:fill="BFBFBF"/>
          </w:tcPr>
          <w:p w14:paraId="78C9C4A9" w14:textId="77777777" w:rsidR="00AD62CD" w:rsidRPr="00AD62CD" w:rsidRDefault="00AD62CD" w:rsidP="00AD62CD">
            <w:pPr>
              <w:spacing w:after="0" w:line="276" w:lineRule="auto"/>
              <w:jc w:val="center"/>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kern w:val="0"/>
                <w:sz w:val="22"/>
                <w:szCs w:val="22"/>
                <w14:ligatures w14:val="none"/>
              </w:rPr>
              <w:t>2028</w:t>
            </w:r>
          </w:p>
        </w:tc>
      </w:tr>
      <w:tr w:rsidR="00AD62CD" w:rsidRPr="00AD62CD" w14:paraId="72393C7B"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312A62C6"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Príjmy verejnej správy celkom</w:t>
            </w:r>
          </w:p>
        </w:tc>
        <w:tc>
          <w:tcPr>
            <w:tcW w:w="1026" w:type="dxa"/>
            <w:tcBorders>
              <w:top w:val="single" w:sz="8" w:space="0" w:color="auto"/>
              <w:left w:val="single" w:sz="8" w:space="0" w:color="auto"/>
              <w:bottom w:val="single" w:sz="8" w:space="0" w:color="auto"/>
              <w:right w:val="single" w:sz="8" w:space="0" w:color="auto"/>
            </w:tcBorders>
            <w:shd w:val="clear" w:color="auto" w:fill="C0C0C0"/>
          </w:tcPr>
          <w:p w14:paraId="421C205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single" w:sz="8" w:space="0" w:color="auto"/>
              <w:left w:val="nil"/>
              <w:bottom w:val="single" w:sz="8" w:space="0" w:color="auto"/>
              <w:right w:val="single" w:sz="8" w:space="0" w:color="auto"/>
            </w:tcBorders>
            <w:shd w:val="clear" w:color="auto" w:fill="C0C0C0"/>
          </w:tcPr>
          <w:p w14:paraId="4C129934"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single" w:sz="8" w:space="0" w:color="auto"/>
              <w:left w:val="nil"/>
              <w:bottom w:val="single" w:sz="8" w:space="0" w:color="auto"/>
              <w:right w:val="single" w:sz="8" w:space="0" w:color="auto"/>
            </w:tcBorders>
            <w:shd w:val="clear" w:color="auto" w:fill="C0C0C0"/>
          </w:tcPr>
          <w:p w14:paraId="008C3EAE"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single" w:sz="8" w:space="0" w:color="auto"/>
              <w:left w:val="nil"/>
              <w:bottom w:val="single" w:sz="8" w:space="0" w:color="auto"/>
              <w:right w:val="single" w:sz="8" w:space="0" w:color="auto"/>
            </w:tcBorders>
            <w:shd w:val="clear" w:color="auto" w:fill="C0C0C0"/>
          </w:tcPr>
          <w:p w14:paraId="1F4D4412"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0288A384"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8D22D24"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tcPr>
          <w:p w14:paraId="521A6FE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559" w:type="dxa"/>
            <w:tcBorders>
              <w:top w:val="nil"/>
              <w:left w:val="nil"/>
              <w:bottom w:val="single" w:sz="8" w:space="0" w:color="auto"/>
              <w:right w:val="single" w:sz="8" w:space="0" w:color="auto"/>
            </w:tcBorders>
            <w:shd w:val="clear" w:color="auto" w:fill="auto"/>
            <w:noWrap/>
          </w:tcPr>
          <w:p w14:paraId="5B43E91A"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417" w:type="dxa"/>
            <w:tcBorders>
              <w:top w:val="nil"/>
              <w:left w:val="nil"/>
              <w:bottom w:val="single" w:sz="8" w:space="0" w:color="auto"/>
              <w:right w:val="single" w:sz="8" w:space="0" w:color="auto"/>
            </w:tcBorders>
            <w:shd w:val="clear" w:color="auto" w:fill="auto"/>
            <w:noWrap/>
          </w:tcPr>
          <w:p w14:paraId="575271C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c>
          <w:tcPr>
            <w:tcW w:w="1521" w:type="dxa"/>
            <w:tcBorders>
              <w:top w:val="nil"/>
              <w:left w:val="nil"/>
              <w:bottom w:val="single" w:sz="8" w:space="0" w:color="auto"/>
              <w:right w:val="single" w:sz="8" w:space="0" w:color="auto"/>
            </w:tcBorders>
            <w:shd w:val="clear" w:color="auto" w:fill="auto"/>
            <w:noWrap/>
          </w:tcPr>
          <w:p w14:paraId="10E37EEA"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p>
        </w:tc>
      </w:tr>
      <w:tr w:rsidR="00AD62CD" w:rsidRPr="00AD62CD" w14:paraId="27B03045"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EF59D86"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single" w:sz="8" w:space="0" w:color="auto"/>
              <w:bottom w:val="single" w:sz="8" w:space="0" w:color="auto"/>
              <w:right w:val="single" w:sz="8" w:space="0" w:color="auto"/>
            </w:tcBorders>
            <w:shd w:val="clear" w:color="auto" w:fill="auto"/>
            <w:noWrap/>
          </w:tcPr>
          <w:p w14:paraId="3FA8FBB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50CD8AC0"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136 982 000</w:t>
            </w:r>
          </w:p>
        </w:tc>
        <w:tc>
          <w:tcPr>
            <w:tcW w:w="1417" w:type="dxa"/>
            <w:tcBorders>
              <w:top w:val="nil"/>
              <w:left w:val="nil"/>
              <w:bottom w:val="single" w:sz="8" w:space="0" w:color="auto"/>
              <w:right w:val="single" w:sz="8" w:space="0" w:color="auto"/>
            </w:tcBorders>
            <w:shd w:val="clear" w:color="auto" w:fill="auto"/>
            <w:noWrap/>
          </w:tcPr>
          <w:p w14:paraId="7850B77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143 530 000</w:t>
            </w:r>
          </w:p>
        </w:tc>
        <w:tc>
          <w:tcPr>
            <w:tcW w:w="1521" w:type="dxa"/>
            <w:tcBorders>
              <w:top w:val="nil"/>
              <w:left w:val="nil"/>
              <w:bottom w:val="single" w:sz="8" w:space="0" w:color="auto"/>
              <w:right w:val="single" w:sz="8" w:space="0" w:color="auto"/>
            </w:tcBorders>
            <w:shd w:val="clear" w:color="auto" w:fill="auto"/>
            <w:noWrap/>
          </w:tcPr>
          <w:p w14:paraId="4B9B80FC"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151 168 000</w:t>
            </w:r>
          </w:p>
        </w:tc>
      </w:tr>
      <w:tr w:rsidR="00AD62CD" w:rsidRPr="00AD62CD" w14:paraId="74C27DD5" w14:textId="77777777" w:rsidTr="003627DF">
        <w:trPr>
          <w:trHeight w:val="43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D38900C"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Rozpočtové prostriedky</w:t>
            </w:r>
          </w:p>
        </w:tc>
        <w:tc>
          <w:tcPr>
            <w:tcW w:w="1026" w:type="dxa"/>
            <w:tcBorders>
              <w:top w:val="nil"/>
              <w:left w:val="single" w:sz="8" w:space="0" w:color="auto"/>
              <w:bottom w:val="single" w:sz="8" w:space="0" w:color="auto"/>
              <w:right w:val="single" w:sz="8" w:space="0" w:color="auto"/>
            </w:tcBorders>
            <w:shd w:val="clear" w:color="auto" w:fill="auto"/>
            <w:noWrap/>
          </w:tcPr>
          <w:p w14:paraId="6DFAF30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F4B19A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136 982 000</w:t>
            </w:r>
          </w:p>
        </w:tc>
        <w:tc>
          <w:tcPr>
            <w:tcW w:w="1417" w:type="dxa"/>
            <w:tcBorders>
              <w:top w:val="nil"/>
              <w:left w:val="nil"/>
              <w:bottom w:val="single" w:sz="8" w:space="0" w:color="auto"/>
              <w:right w:val="single" w:sz="8" w:space="0" w:color="auto"/>
            </w:tcBorders>
            <w:shd w:val="clear" w:color="auto" w:fill="auto"/>
            <w:noWrap/>
          </w:tcPr>
          <w:p w14:paraId="0F232283"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143 530 000</w:t>
            </w:r>
          </w:p>
        </w:tc>
        <w:tc>
          <w:tcPr>
            <w:tcW w:w="1521" w:type="dxa"/>
            <w:tcBorders>
              <w:top w:val="nil"/>
              <w:left w:val="nil"/>
              <w:bottom w:val="single" w:sz="8" w:space="0" w:color="auto"/>
              <w:right w:val="single" w:sz="8" w:space="0" w:color="auto"/>
            </w:tcBorders>
            <w:shd w:val="clear" w:color="auto" w:fill="auto"/>
            <w:noWrap/>
          </w:tcPr>
          <w:p w14:paraId="51EFBA14"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kern w:val="0"/>
                <w:sz w:val="22"/>
                <w:szCs w:val="22"/>
                <w14:ligatures w14:val="none"/>
              </w:rPr>
              <w:t>151 168 000</w:t>
            </w:r>
          </w:p>
        </w:tc>
      </w:tr>
      <w:tr w:rsidR="00AD62CD" w:rsidRPr="00AD62CD" w14:paraId="6520147F"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4625C26"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lang w:eastAsia="sk-SK"/>
                <w14:ligatures w14:val="none"/>
              </w:rPr>
              <w:t xml:space="preserve">v tom: (111) daň z príjmov fyzických osôb </w:t>
            </w:r>
          </w:p>
        </w:tc>
        <w:tc>
          <w:tcPr>
            <w:tcW w:w="1026" w:type="dxa"/>
            <w:tcBorders>
              <w:top w:val="nil"/>
              <w:left w:val="nil"/>
              <w:bottom w:val="single" w:sz="8" w:space="0" w:color="auto"/>
              <w:right w:val="single" w:sz="8" w:space="0" w:color="auto"/>
            </w:tcBorders>
            <w:shd w:val="clear" w:color="auto" w:fill="auto"/>
            <w:noWrap/>
          </w:tcPr>
          <w:p w14:paraId="2C75FCBE" w14:textId="77777777" w:rsidR="00AD62CD" w:rsidRPr="00AD62CD" w:rsidRDefault="00AD62CD" w:rsidP="00AD62CD">
            <w:pPr>
              <w:spacing w:after="0" w:line="276" w:lineRule="auto"/>
              <w:jc w:val="right"/>
              <w:rPr>
                <w:rFonts w:ascii="Times New Roman" w:eastAsia="Calibri" w:hAnsi="Times New Roman" w:cs="Times New Roman"/>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56DBDD2"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136 982 000</w:t>
            </w:r>
          </w:p>
        </w:tc>
        <w:tc>
          <w:tcPr>
            <w:tcW w:w="1417" w:type="dxa"/>
            <w:tcBorders>
              <w:top w:val="nil"/>
              <w:left w:val="nil"/>
              <w:bottom w:val="single" w:sz="8" w:space="0" w:color="auto"/>
              <w:right w:val="single" w:sz="8" w:space="0" w:color="auto"/>
            </w:tcBorders>
            <w:shd w:val="clear" w:color="auto" w:fill="auto"/>
            <w:noWrap/>
          </w:tcPr>
          <w:p w14:paraId="1E17EEFE"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143 530 000</w:t>
            </w:r>
          </w:p>
        </w:tc>
        <w:tc>
          <w:tcPr>
            <w:tcW w:w="1521" w:type="dxa"/>
            <w:tcBorders>
              <w:top w:val="nil"/>
              <w:left w:val="nil"/>
              <w:bottom w:val="single" w:sz="8" w:space="0" w:color="auto"/>
              <w:right w:val="single" w:sz="8" w:space="0" w:color="auto"/>
            </w:tcBorders>
            <w:shd w:val="clear" w:color="auto" w:fill="auto"/>
            <w:noWrap/>
          </w:tcPr>
          <w:p w14:paraId="1738479D"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151 168 000</w:t>
            </w:r>
          </w:p>
        </w:tc>
      </w:tr>
      <w:tr w:rsidR="00AD62CD" w:rsidRPr="00AD62CD" w14:paraId="79B32114"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ABF2A66"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lang w:eastAsia="sk-SK"/>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32CA51DD"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6B357B7"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-95 887 000</w:t>
            </w:r>
          </w:p>
        </w:tc>
        <w:tc>
          <w:tcPr>
            <w:tcW w:w="1417" w:type="dxa"/>
            <w:tcBorders>
              <w:top w:val="nil"/>
              <w:left w:val="nil"/>
              <w:bottom w:val="single" w:sz="8" w:space="0" w:color="auto"/>
              <w:right w:val="single" w:sz="8" w:space="0" w:color="auto"/>
            </w:tcBorders>
            <w:shd w:val="clear" w:color="auto" w:fill="auto"/>
            <w:noWrap/>
          </w:tcPr>
          <w:p w14:paraId="7938C57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-100 471 000</w:t>
            </w:r>
          </w:p>
        </w:tc>
        <w:tc>
          <w:tcPr>
            <w:tcW w:w="1521" w:type="dxa"/>
            <w:tcBorders>
              <w:top w:val="nil"/>
              <w:left w:val="nil"/>
              <w:bottom w:val="single" w:sz="8" w:space="0" w:color="auto"/>
              <w:right w:val="single" w:sz="8" w:space="0" w:color="auto"/>
            </w:tcBorders>
            <w:shd w:val="clear" w:color="auto" w:fill="auto"/>
            <w:noWrap/>
          </w:tcPr>
          <w:p w14:paraId="11FB8893"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-105 818 000</w:t>
            </w:r>
          </w:p>
        </w:tc>
      </w:tr>
      <w:tr w:rsidR="00AD62CD" w:rsidRPr="00AD62CD" w14:paraId="08DCEB41"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808E683" w14:textId="77777777" w:rsidR="00AD62CD" w:rsidRPr="00AD62CD" w:rsidRDefault="00AD62CD" w:rsidP="00AD62CD">
            <w:pPr>
              <w:spacing w:after="0" w:line="276" w:lineRule="auto"/>
              <w:ind w:firstLine="209"/>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i/>
                <w:iCs/>
                <w:color w:val="000000"/>
                <w:kern w:val="0"/>
                <w:sz w:val="22"/>
                <w:szCs w:val="22"/>
                <w:lang w:eastAsia="sk-SK"/>
                <w14:ligatures w14:val="none"/>
              </w:rPr>
              <w:t>v tom: (111) daň z príjmov fyzických osôb</w:t>
            </w:r>
          </w:p>
        </w:tc>
        <w:tc>
          <w:tcPr>
            <w:tcW w:w="1026" w:type="dxa"/>
            <w:tcBorders>
              <w:top w:val="nil"/>
              <w:left w:val="nil"/>
              <w:bottom w:val="single" w:sz="8" w:space="0" w:color="auto"/>
              <w:right w:val="single" w:sz="8" w:space="0" w:color="auto"/>
            </w:tcBorders>
            <w:shd w:val="clear" w:color="auto" w:fill="auto"/>
            <w:noWrap/>
          </w:tcPr>
          <w:p w14:paraId="38801F4F"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263DECDF"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-95 887 000</w:t>
            </w:r>
          </w:p>
        </w:tc>
        <w:tc>
          <w:tcPr>
            <w:tcW w:w="1417" w:type="dxa"/>
            <w:tcBorders>
              <w:top w:val="nil"/>
              <w:left w:val="nil"/>
              <w:bottom w:val="single" w:sz="8" w:space="0" w:color="auto"/>
              <w:right w:val="single" w:sz="8" w:space="0" w:color="auto"/>
            </w:tcBorders>
            <w:shd w:val="clear" w:color="auto" w:fill="auto"/>
            <w:noWrap/>
          </w:tcPr>
          <w:p w14:paraId="30B4F251"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-100 471 000</w:t>
            </w:r>
          </w:p>
        </w:tc>
        <w:tc>
          <w:tcPr>
            <w:tcW w:w="1521" w:type="dxa"/>
            <w:tcBorders>
              <w:top w:val="nil"/>
              <w:left w:val="nil"/>
              <w:bottom w:val="single" w:sz="8" w:space="0" w:color="auto"/>
              <w:right w:val="single" w:sz="8" w:space="0" w:color="auto"/>
            </w:tcBorders>
            <w:shd w:val="clear" w:color="auto" w:fill="auto"/>
            <w:noWrap/>
          </w:tcPr>
          <w:p w14:paraId="28C0D5F5"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highlight w:val="yellow"/>
                <w14:ligatures w14:val="none"/>
              </w:rPr>
            </w:pPr>
            <w:r w:rsidRPr="00AD62CD">
              <w:rPr>
                <w:rFonts w:ascii="Times New Roman" w:eastAsia="Calibri" w:hAnsi="Times New Roman" w:cs="Times New Roman"/>
                <w:kern w:val="0"/>
                <w:sz w:val="22"/>
                <w:szCs w:val="22"/>
                <w14:ligatures w14:val="none"/>
              </w:rPr>
              <w:t>-105 818 000</w:t>
            </w:r>
          </w:p>
        </w:tc>
      </w:tr>
      <w:tr w:rsidR="00AD62CD" w:rsidRPr="00AD62CD" w14:paraId="03FEF89F"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1E39C886"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lang w:eastAsia="sk-SK"/>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29CE8117"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23B22F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-41 095 000</w:t>
            </w:r>
          </w:p>
        </w:tc>
        <w:tc>
          <w:tcPr>
            <w:tcW w:w="1417" w:type="dxa"/>
            <w:tcBorders>
              <w:top w:val="nil"/>
              <w:left w:val="nil"/>
              <w:bottom w:val="single" w:sz="8" w:space="0" w:color="auto"/>
              <w:right w:val="single" w:sz="8" w:space="0" w:color="auto"/>
            </w:tcBorders>
            <w:shd w:val="clear" w:color="auto" w:fill="auto"/>
            <w:noWrap/>
          </w:tcPr>
          <w:p w14:paraId="61B99F91"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-43 059 000</w:t>
            </w:r>
          </w:p>
        </w:tc>
        <w:tc>
          <w:tcPr>
            <w:tcW w:w="1521" w:type="dxa"/>
            <w:tcBorders>
              <w:top w:val="nil"/>
              <w:left w:val="nil"/>
              <w:bottom w:val="single" w:sz="8" w:space="0" w:color="auto"/>
              <w:right w:val="single" w:sz="8" w:space="0" w:color="auto"/>
            </w:tcBorders>
            <w:shd w:val="clear" w:color="auto" w:fill="auto"/>
            <w:noWrap/>
          </w:tcPr>
          <w:p w14:paraId="292B7A4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b/>
                <w:bCs/>
                <w:kern w:val="0"/>
                <w:sz w:val="22"/>
                <w:szCs w:val="22"/>
                <w14:ligatures w14:val="none"/>
              </w:rPr>
              <w:t>-45 350 000</w:t>
            </w:r>
          </w:p>
        </w:tc>
      </w:tr>
      <w:tr w:rsidR="00AD62CD" w:rsidRPr="00AD62CD" w14:paraId="0CE9838F"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794A4C8" w14:textId="77777777" w:rsidR="00AD62CD" w:rsidRPr="00AD62CD" w:rsidRDefault="00AD62CD" w:rsidP="00AD62CD">
            <w:pPr>
              <w:spacing w:after="0" w:line="276" w:lineRule="auto"/>
              <w:ind w:firstLine="209"/>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i/>
                <w:iCs/>
                <w:color w:val="000000"/>
                <w:kern w:val="0"/>
                <w:sz w:val="22"/>
                <w:szCs w:val="22"/>
                <w:lang w:eastAsia="sk-SK"/>
                <w14:ligatures w14:val="none"/>
              </w:rPr>
              <w:t>v tom: (111) daň z príjmov fyzických osôb</w:t>
            </w:r>
          </w:p>
        </w:tc>
        <w:tc>
          <w:tcPr>
            <w:tcW w:w="1026" w:type="dxa"/>
            <w:tcBorders>
              <w:top w:val="nil"/>
              <w:left w:val="nil"/>
              <w:bottom w:val="single" w:sz="8" w:space="0" w:color="auto"/>
              <w:right w:val="single" w:sz="8" w:space="0" w:color="auto"/>
            </w:tcBorders>
            <w:shd w:val="clear" w:color="auto" w:fill="auto"/>
            <w:noWrap/>
          </w:tcPr>
          <w:p w14:paraId="4C826F43"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2F338AD"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kern w:val="0"/>
                <w:sz w:val="22"/>
                <w:szCs w:val="22"/>
                <w14:ligatures w14:val="none"/>
              </w:rPr>
              <w:t>-41 095 000</w:t>
            </w:r>
          </w:p>
        </w:tc>
        <w:tc>
          <w:tcPr>
            <w:tcW w:w="1417" w:type="dxa"/>
            <w:tcBorders>
              <w:top w:val="nil"/>
              <w:left w:val="nil"/>
              <w:bottom w:val="single" w:sz="8" w:space="0" w:color="auto"/>
              <w:right w:val="single" w:sz="8" w:space="0" w:color="auto"/>
            </w:tcBorders>
            <w:shd w:val="clear" w:color="auto" w:fill="auto"/>
            <w:noWrap/>
          </w:tcPr>
          <w:p w14:paraId="07D22ECD"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kern w:val="0"/>
                <w:sz w:val="22"/>
                <w:szCs w:val="22"/>
                <w14:ligatures w14:val="none"/>
              </w:rPr>
              <w:t>-43 059 000</w:t>
            </w:r>
          </w:p>
        </w:tc>
        <w:tc>
          <w:tcPr>
            <w:tcW w:w="1521" w:type="dxa"/>
            <w:tcBorders>
              <w:top w:val="nil"/>
              <w:left w:val="nil"/>
              <w:bottom w:val="single" w:sz="8" w:space="0" w:color="auto"/>
              <w:right w:val="single" w:sz="8" w:space="0" w:color="auto"/>
            </w:tcBorders>
            <w:shd w:val="clear" w:color="auto" w:fill="auto"/>
            <w:noWrap/>
          </w:tcPr>
          <w:p w14:paraId="255A1BCE" w14:textId="77777777" w:rsidR="00AD62CD" w:rsidRPr="00AD62CD" w:rsidRDefault="00AD62CD" w:rsidP="00AD62CD">
            <w:pPr>
              <w:spacing w:after="0" w:line="276" w:lineRule="auto"/>
              <w:jc w:val="right"/>
              <w:rPr>
                <w:rFonts w:ascii="Times New Roman" w:eastAsia="Calibri" w:hAnsi="Times New Roman" w:cs="Times New Roman"/>
                <w:b/>
                <w:kern w:val="0"/>
                <w:sz w:val="22"/>
                <w:szCs w:val="22"/>
                <w14:ligatures w14:val="none"/>
              </w:rPr>
            </w:pPr>
            <w:r w:rsidRPr="00AD62CD">
              <w:rPr>
                <w:rFonts w:ascii="Times New Roman" w:eastAsia="Calibri" w:hAnsi="Times New Roman" w:cs="Times New Roman"/>
                <w:kern w:val="0"/>
                <w:sz w:val="22"/>
                <w:szCs w:val="22"/>
                <w14:ligatures w14:val="none"/>
              </w:rPr>
              <w:t>-45 350 000</w:t>
            </w:r>
          </w:p>
        </w:tc>
      </w:tr>
      <w:tr w:rsidR="00AD62CD" w:rsidRPr="00AD62CD" w14:paraId="1AE2300E"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568B0A1"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4C4D0CB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2EDCEFA"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382A2862"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445C1018"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kern w:val="0"/>
                <w:sz w:val="22"/>
                <w:szCs w:val="22"/>
                <w14:ligatures w14:val="none"/>
              </w:rPr>
              <w:t>0</w:t>
            </w:r>
          </w:p>
        </w:tc>
      </w:tr>
      <w:tr w:rsidR="00AD62CD" w:rsidRPr="00AD62CD" w14:paraId="6FDE0977"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725A3990"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Výdavky verejnej správy celkom</w:t>
            </w:r>
          </w:p>
        </w:tc>
        <w:tc>
          <w:tcPr>
            <w:tcW w:w="1026" w:type="dxa"/>
            <w:tcBorders>
              <w:top w:val="nil"/>
              <w:left w:val="nil"/>
              <w:bottom w:val="single" w:sz="8" w:space="0" w:color="auto"/>
              <w:right w:val="single" w:sz="8" w:space="0" w:color="auto"/>
            </w:tcBorders>
            <w:shd w:val="clear" w:color="auto" w:fill="C0C0C0"/>
            <w:noWrap/>
          </w:tcPr>
          <w:p w14:paraId="0A5F372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C0C0C0"/>
            <w:noWrap/>
          </w:tcPr>
          <w:p w14:paraId="01D3DE7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C0C0C0"/>
            <w:noWrap/>
          </w:tcPr>
          <w:p w14:paraId="380A220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c>
          <w:tcPr>
            <w:tcW w:w="1521" w:type="dxa"/>
            <w:tcBorders>
              <w:top w:val="nil"/>
              <w:left w:val="nil"/>
              <w:bottom w:val="single" w:sz="8" w:space="0" w:color="auto"/>
              <w:right w:val="single" w:sz="8" w:space="0" w:color="auto"/>
            </w:tcBorders>
            <w:shd w:val="clear" w:color="auto" w:fill="C0C0C0"/>
            <w:noWrap/>
          </w:tcPr>
          <w:p w14:paraId="77C8DD4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0</w:t>
            </w:r>
          </w:p>
        </w:tc>
      </w:tr>
      <w:tr w:rsidR="00AD62CD" w:rsidRPr="00AD62CD" w14:paraId="4116C047"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41E133E" w14:textId="77777777" w:rsidR="00AD62CD" w:rsidRPr="00AD62CD" w:rsidRDefault="00AD62CD" w:rsidP="00AD62CD">
            <w:pPr>
              <w:spacing w:after="0" w:line="276" w:lineRule="auto"/>
              <w:rPr>
                <w:rFonts w:ascii="Times New Roman" w:eastAsia="Calibri" w:hAnsi="Times New Roman" w:cs="Times New Roman"/>
                <w:b/>
                <w:bCs/>
                <w:i/>
                <w:iCs/>
                <w:kern w:val="0"/>
                <w:sz w:val="22"/>
                <w:szCs w:val="22"/>
                <w14:ligatures w14:val="none"/>
              </w:rPr>
            </w:pPr>
            <w:r w:rsidRPr="00AD62CD">
              <w:rPr>
                <w:rFonts w:ascii="Times New Roman" w:eastAsia="Times New Roman" w:hAnsi="Times New Roman" w:cs="Times New Roman"/>
                <w:kern w:val="0"/>
                <w:sz w:val="22"/>
                <w:szCs w:val="22"/>
                <w:lang w:eastAsia="sk-SK"/>
                <w14:ligatures w14:val="none"/>
              </w:rPr>
              <w:t>v tom: za každý subjekt verejnej správy / program zvlášť</w:t>
            </w:r>
          </w:p>
        </w:tc>
        <w:tc>
          <w:tcPr>
            <w:tcW w:w="1026" w:type="dxa"/>
            <w:tcBorders>
              <w:top w:val="nil"/>
              <w:left w:val="nil"/>
              <w:bottom w:val="single" w:sz="8" w:space="0" w:color="auto"/>
              <w:right w:val="single" w:sz="8" w:space="0" w:color="auto"/>
            </w:tcBorders>
            <w:shd w:val="clear" w:color="auto" w:fill="auto"/>
            <w:noWrap/>
          </w:tcPr>
          <w:p w14:paraId="00D4F27E"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559" w:type="dxa"/>
            <w:tcBorders>
              <w:top w:val="nil"/>
              <w:left w:val="nil"/>
              <w:bottom w:val="single" w:sz="8" w:space="0" w:color="auto"/>
              <w:right w:val="single" w:sz="8" w:space="0" w:color="auto"/>
            </w:tcBorders>
            <w:shd w:val="clear" w:color="auto" w:fill="auto"/>
            <w:noWrap/>
          </w:tcPr>
          <w:p w14:paraId="04676B66"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417" w:type="dxa"/>
            <w:tcBorders>
              <w:top w:val="nil"/>
              <w:left w:val="nil"/>
              <w:bottom w:val="single" w:sz="8" w:space="0" w:color="auto"/>
              <w:right w:val="single" w:sz="8" w:space="0" w:color="auto"/>
            </w:tcBorders>
            <w:shd w:val="clear" w:color="auto" w:fill="auto"/>
            <w:noWrap/>
          </w:tcPr>
          <w:p w14:paraId="0E8FCE33"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c>
          <w:tcPr>
            <w:tcW w:w="1521" w:type="dxa"/>
            <w:tcBorders>
              <w:top w:val="nil"/>
              <w:left w:val="nil"/>
              <w:bottom w:val="single" w:sz="8" w:space="0" w:color="auto"/>
              <w:right w:val="single" w:sz="8" w:space="0" w:color="auto"/>
            </w:tcBorders>
            <w:shd w:val="clear" w:color="auto" w:fill="auto"/>
            <w:noWrap/>
          </w:tcPr>
          <w:p w14:paraId="3DE62498" w14:textId="77777777" w:rsidR="00AD62CD" w:rsidRPr="00AD62CD" w:rsidRDefault="00AD62CD" w:rsidP="00AD62CD">
            <w:pPr>
              <w:spacing w:after="0" w:line="276" w:lineRule="auto"/>
              <w:jc w:val="right"/>
              <w:rPr>
                <w:rFonts w:ascii="Times New Roman" w:eastAsia="Calibri" w:hAnsi="Times New Roman" w:cs="Times New Roman"/>
                <w:bCs/>
                <w:color w:val="000000"/>
                <w:kern w:val="0"/>
                <w:sz w:val="22"/>
                <w:szCs w:val="22"/>
                <w14:ligatures w14:val="none"/>
              </w:rPr>
            </w:pPr>
          </w:p>
        </w:tc>
      </w:tr>
      <w:tr w:rsidR="00AD62CD" w:rsidRPr="00AD62CD" w14:paraId="506EDE91"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0DB46C7"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xml:space="preserve">z toho: </w:t>
            </w:r>
          </w:p>
        </w:tc>
        <w:tc>
          <w:tcPr>
            <w:tcW w:w="1026" w:type="dxa"/>
            <w:tcBorders>
              <w:top w:val="nil"/>
              <w:left w:val="nil"/>
              <w:bottom w:val="single" w:sz="8" w:space="0" w:color="auto"/>
              <w:right w:val="single" w:sz="8" w:space="0" w:color="auto"/>
            </w:tcBorders>
            <w:shd w:val="clear" w:color="auto" w:fill="auto"/>
            <w:noWrap/>
          </w:tcPr>
          <w:p w14:paraId="1736F1C0"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31E501BB"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color w:val="000000"/>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3980388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70470F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kern w:val="0"/>
                <w:sz w:val="22"/>
                <w:szCs w:val="22"/>
                <w14:ligatures w14:val="none"/>
              </w:rPr>
              <w:t>0</w:t>
            </w:r>
          </w:p>
        </w:tc>
      </w:tr>
      <w:tr w:rsidR="00AD62CD" w:rsidRPr="00AD62CD" w14:paraId="791EE28B"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85D3FE9"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3C69A25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3B84BAA5"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DF90EC6"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6B8C309" w14:textId="77777777" w:rsidR="00AD62CD" w:rsidRPr="00AD62CD" w:rsidRDefault="00AD62CD" w:rsidP="00AD62CD">
            <w:pPr>
              <w:spacing w:after="0" w:line="276" w:lineRule="auto"/>
              <w:jc w:val="right"/>
              <w:rPr>
                <w:rFonts w:ascii="Times New Roman" w:eastAsia="Calibri" w:hAnsi="Times New Roman" w:cs="Times New Roman"/>
                <w:b/>
                <w:bCs/>
                <w:kern w:val="0"/>
                <w:sz w:val="22"/>
                <w:szCs w:val="22"/>
                <w14:ligatures w14:val="none"/>
              </w:rPr>
            </w:pPr>
            <w:r w:rsidRPr="00AD62CD">
              <w:rPr>
                <w:rFonts w:ascii="Times New Roman" w:eastAsia="Calibri" w:hAnsi="Times New Roman" w:cs="Times New Roman"/>
                <w:kern w:val="0"/>
                <w:sz w:val="22"/>
                <w:szCs w:val="22"/>
                <w14:ligatures w14:val="none"/>
              </w:rPr>
              <w:t>0</w:t>
            </w:r>
          </w:p>
        </w:tc>
      </w:tr>
      <w:tr w:rsidR="00AD62CD" w:rsidRPr="00AD62CD" w14:paraId="579FF5F2"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0E5EA21"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Rozpočtové prostriedky</w:t>
            </w:r>
          </w:p>
        </w:tc>
        <w:tc>
          <w:tcPr>
            <w:tcW w:w="1026" w:type="dxa"/>
            <w:tcBorders>
              <w:top w:val="nil"/>
              <w:left w:val="nil"/>
              <w:bottom w:val="single" w:sz="8" w:space="0" w:color="auto"/>
              <w:right w:val="single" w:sz="8" w:space="0" w:color="auto"/>
            </w:tcBorders>
            <w:shd w:val="clear" w:color="auto" w:fill="auto"/>
            <w:noWrap/>
          </w:tcPr>
          <w:p w14:paraId="7F53C2BC"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B62A2D4"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20D74A9"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9414278"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r>
      <w:tr w:rsidR="00AD62CD" w:rsidRPr="00AD62CD" w14:paraId="21F9F647"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EAB2499" w14:textId="77777777" w:rsidR="00AD62CD" w:rsidRPr="00AD62CD" w:rsidRDefault="00AD62CD" w:rsidP="00AD62CD">
            <w:pPr>
              <w:spacing w:after="0" w:line="276" w:lineRule="auto"/>
              <w:ind w:firstLineChars="100" w:firstLine="220"/>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v tom: daňový bonus na hypotéky</w:t>
            </w:r>
          </w:p>
        </w:tc>
        <w:tc>
          <w:tcPr>
            <w:tcW w:w="1026" w:type="dxa"/>
            <w:tcBorders>
              <w:top w:val="nil"/>
              <w:left w:val="nil"/>
              <w:bottom w:val="single" w:sz="8" w:space="0" w:color="auto"/>
              <w:right w:val="single" w:sz="8" w:space="0" w:color="auto"/>
            </w:tcBorders>
            <w:shd w:val="clear" w:color="auto" w:fill="auto"/>
            <w:noWrap/>
          </w:tcPr>
          <w:p w14:paraId="76A7D9B2"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205772E2"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5DF0D42"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90C8FEA" w14:textId="77777777" w:rsidR="00AD62CD" w:rsidRPr="00AD62CD" w:rsidRDefault="00AD62CD" w:rsidP="00AD62CD">
            <w:pPr>
              <w:spacing w:after="0" w:line="276" w:lineRule="auto"/>
              <w:jc w:val="right"/>
              <w:rPr>
                <w:rFonts w:ascii="Times New Roman" w:eastAsia="Calibri" w:hAnsi="Times New Roman" w:cs="Times New Roman"/>
                <w:kern w:val="0"/>
                <w:sz w:val="22"/>
                <w:szCs w:val="22"/>
                <w14:ligatures w14:val="none"/>
              </w:rPr>
            </w:pPr>
            <w:r w:rsidRPr="00AD62CD">
              <w:rPr>
                <w:rFonts w:ascii="Times New Roman" w:eastAsia="Calibri" w:hAnsi="Times New Roman" w:cs="Times New Roman"/>
                <w:kern w:val="0"/>
                <w:sz w:val="22"/>
                <w:szCs w:val="22"/>
                <w14:ligatures w14:val="none"/>
              </w:rPr>
              <w:t>0</w:t>
            </w:r>
          </w:p>
        </w:tc>
      </w:tr>
      <w:tr w:rsidR="00AD62CD" w:rsidRPr="00AD62CD" w14:paraId="6BA694A9"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D69B559"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 xml:space="preserve">    EÚ zdroje</w:t>
            </w:r>
          </w:p>
        </w:tc>
        <w:tc>
          <w:tcPr>
            <w:tcW w:w="1026" w:type="dxa"/>
            <w:tcBorders>
              <w:top w:val="nil"/>
              <w:left w:val="nil"/>
              <w:bottom w:val="single" w:sz="8" w:space="0" w:color="auto"/>
              <w:right w:val="single" w:sz="8" w:space="0" w:color="auto"/>
            </w:tcBorders>
            <w:shd w:val="clear" w:color="auto" w:fill="auto"/>
            <w:noWrap/>
          </w:tcPr>
          <w:p w14:paraId="2B5EC99C"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6E693AF0"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606FE26"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6550E679"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66B63B35"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0A1F607" w14:textId="77777777" w:rsidR="00AD62CD" w:rsidRPr="00AD62CD" w:rsidRDefault="00AD62CD" w:rsidP="00AD62CD">
            <w:pPr>
              <w:spacing w:after="0" w:line="276" w:lineRule="auto"/>
              <w:rPr>
                <w:rFonts w:ascii="Times New Roman" w:eastAsia="Calibri" w:hAnsi="Times New Roman" w:cs="Times New Roman"/>
                <w:i/>
                <w:iCs/>
                <w:color w:val="000000"/>
                <w:kern w:val="0"/>
                <w:sz w:val="22"/>
                <w:szCs w:val="22"/>
                <w14:ligatures w14:val="none"/>
              </w:rPr>
            </w:pPr>
            <w:r w:rsidRPr="00AD62CD">
              <w:rPr>
                <w:rFonts w:ascii="Times New Roman" w:eastAsia="Calibri" w:hAnsi="Times New Roman" w:cs="Times New Roman"/>
                <w:i/>
                <w:iCs/>
                <w:color w:val="000000"/>
                <w:kern w:val="0"/>
                <w:sz w:val="22"/>
                <w:szCs w:val="22"/>
                <w14:ligatures w14:val="none"/>
              </w:rPr>
              <w:t xml:space="preserve">    spolufinancovanie</w:t>
            </w:r>
          </w:p>
        </w:tc>
        <w:tc>
          <w:tcPr>
            <w:tcW w:w="1026" w:type="dxa"/>
            <w:tcBorders>
              <w:top w:val="nil"/>
              <w:left w:val="nil"/>
              <w:bottom w:val="single" w:sz="8" w:space="0" w:color="auto"/>
              <w:right w:val="single" w:sz="8" w:space="0" w:color="auto"/>
            </w:tcBorders>
            <w:shd w:val="clear" w:color="auto" w:fill="auto"/>
            <w:noWrap/>
          </w:tcPr>
          <w:p w14:paraId="10685445"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0D7599EF"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739F2882"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BE1F664" w14:textId="77777777" w:rsidR="00AD62CD" w:rsidRPr="00AD62CD" w:rsidRDefault="00AD62CD" w:rsidP="00AD62CD">
            <w:pPr>
              <w:spacing w:after="0" w:line="276" w:lineRule="auto"/>
              <w:jc w:val="right"/>
              <w:rPr>
                <w:rFonts w:ascii="Times New Roman" w:eastAsia="Calibri" w:hAnsi="Times New Roman" w:cs="Times New Roman"/>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5142EF2A"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780A5B22"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4057235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69F44B9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C04275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2666CFE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09DEA237" w14:textId="77777777" w:rsidTr="003627DF">
        <w:trPr>
          <w:trHeight w:val="125"/>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FDE1014"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551B7F5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AF22A8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755DCF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140B203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70D55F3B"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D01C41D"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07CD65D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6DC9237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861E90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F350A3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7B6B0A40"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44B33B51"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 xml:space="preserve">Vplyv na počet zamestnancov </w:t>
            </w:r>
          </w:p>
        </w:tc>
        <w:tc>
          <w:tcPr>
            <w:tcW w:w="1026" w:type="dxa"/>
            <w:tcBorders>
              <w:top w:val="nil"/>
              <w:left w:val="nil"/>
              <w:bottom w:val="single" w:sz="8" w:space="0" w:color="auto"/>
              <w:right w:val="single" w:sz="8" w:space="0" w:color="auto"/>
            </w:tcBorders>
            <w:shd w:val="clear" w:color="auto" w:fill="BFBFBF"/>
            <w:noWrap/>
          </w:tcPr>
          <w:p w14:paraId="2AF7670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7038076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3081CDE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7EC58AC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66B5F266"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4753E8C"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30ED601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1D8C4D6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2A81B28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4CAB67B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41ABFE7"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D2131FB"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2D875ED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3D4E7DA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0736585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4AE6D23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1EA280D"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6140BE6F"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0BD6870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0072E8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E90A4B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3E0CF39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33AE59F"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5F0F2AAD"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63E5124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65FB090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6A97411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47A800F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4EFF6BCF"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5587B3F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Vplyv na mzdové výdavky</w:t>
            </w:r>
          </w:p>
        </w:tc>
        <w:tc>
          <w:tcPr>
            <w:tcW w:w="1026" w:type="dxa"/>
            <w:tcBorders>
              <w:top w:val="nil"/>
              <w:left w:val="nil"/>
              <w:bottom w:val="single" w:sz="8" w:space="0" w:color="auto"/>
              <w:right w:val="single" w:sz="8" w:space="0" w:color="auto"/>
            </w:tcBorders>
            <w:shd w:val="clear" w:color="auto" w:fill="BFBFBF"/>
            <w:noWrap/>
          </w:tcPr>
          <w:p w14:paraId="520FF53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493EAA0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040CA13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73924F7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65027CE1"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37D7CD79"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ŠR</w:t>
            </w:r>
          </w:p>
        </w:tc>
        <w:tc>
          <w:tcPr>
            <w:tcW w:w="1026" w:type="dxa"/>
            <w:tcBorders>
              <w:top w:val="nil"/>
              <w:left w:val="nil"/>
              <w:bottom w:val="single" w:sz="8" w:space="0" w:color="auto"/>
              <w:right w:val="single" w:sz="8" w:space="0" w:color="auto"/>
            </w:tcBorders>
            <w:shd w:val="clear" w:color="auto" w:fill="auto"/>
            <w:noWrap/>
          </w:tcPr>
          <w:p w14:paraId="6CF27CA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2DA55A3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3B824BA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109CA8C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0A7F3DF4"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2B7DA73F"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obce</w:t>
            </w:r>
          </w:p>
        </w:tc>
        <w:tc>
          <w:tcPr>
            <w:tcW w:w="1026" w:type="dxa"/>
            <w:tcBorders>
              <w:top w:val="nil"/>
              <w:left w:val="nil"/>
              <w:bottom w:val="single" w:sz="8" w:space="0" w:color="auto"/>
              <w:right w:val="single" w:sz="8" w:space="0" w:color="auto"/>
            </w:tcBorders>
            <w:shd w:val="clear" w:color="auto" w:fill="auto"/>
            <w:noWrap/>
          </w:tcPr>
          <w:p w14:paraId="0E85D7C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3FB2E5F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4D2D59A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5FD5072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16098FD2"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4E787FA0"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vyššie územné celky</w:t>
            </w:r>
          </w:p>
        </w:tc>
        <w:tc>
          <w:tcPr>
            <w:tcW w:w="1026" w:type="dxa"/>
            <w:tcBorders>
              <w:top w:val="nil"/>
              <w:left w:val="nil"/>
              <w:bottom w:val="single" w:sz="8" w:space="0" w:color="auto"/>
              <w:right w:val="single" w:sz="8" w:space="0" w:color="auto"/>
            </w:tcBorders>
            <w:shd w:val="clear" w:color="auto" w:fill="auto"/>
            <w:noWrap/>
          </w:tcPr>
          <w:p w14:paraId="7FC4E9A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40438A6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7A222F4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0C7C425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22F9883C"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auto"/>
            <w:noWrap/>
            <w:vAlign w:val="center"/>
          </w:tcPr>
          <w:p w14:paraId="07DF3612" w14:textId="77777777" w:rsidR="00AD62CD" w:rsidRPr="00AD62CD" w:rsidRDefault="00AD62CD" w:rsidP="00AD62CD">
            <w:pPr>
              <w:spacing w:after="0" w:line="276" w:lineRule="auto"/>
              <w:rPr>
                <w:rFonts w:ascii="Times New Roman" w:eastAsia="Calibri" w:hAnsi="Times New Roman" w:cs="Times New Roman"/>
                <w:b/>
                <w:bCs/>
                <w:i/>
                <w:iCs/>
                <w:color w:val="000000"/>
                <w:kern w:val="0"/>
                <w:sz w:val="22"/>
                <w:szCs w:val="22"/>
                <w14:ligatures w14:val="none"/>
              </w:rPr>
            </w:pPr>
            <w:r w:rsidRPr="00AD62CD">
              <w:rPr>
                <w:rFonts w:ascii="Times New Roman" w:eastAsia="Calibri" w:hAnsi="Times New Roman" w:cs="Times New Roman"/>
                <w:b/>
                <w:bCs/>
                <w:i/>
                <w:iCs/>
                <w:color w:val="000000"/>
                <w:kern w:val="0"/>
                <w:sz w:val="22"/>
                <w:szCs w:val="22"/>
                <w14:ligatures w14:val="none"/>
              </w:rPr>
              <w:t>- vplyv na ostatné subjekty verejnej správy</w:t>
            </w:r>
          </w:p>
        </w:tc>
        <w:tc>
          <w:tcPr>
            <w:tcW w:w="1026" w:type="dxa"/>
            <w:tcBorders>
              <w:top w:val="nil"/>
              <w:left w:val="nil"/>
              <w:bottom w:val="single" w:sz="8" w:space="0" w:color="auto"/>
              <w:right w:val="single" w:sz="8" w:space="0" w:color="auto"/>
            </w:tcBorders>
            <w:shd w:val="clear" w:color="auto" w:fill="auto"/>
            <w:noWrap/>
          </w:tcPr>
          <w:p w14:paraId="192A0EA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59" w:type="dxa"/>
            <w:tcBorders>
              <w:top w:val="nil"/>
              <w:left w:val="nil"/>
              <w:bottom w:val="single" w:sz="8" w:space="0" w:color="auto"/>
              <w:right w:val="single" w:sz="8" w:space="0" w:color="auto"/>
            </w:tcBorders>
            <w:shd w:val="clear" w:color="auto" w:fill="auto"/>
            <w:noWrap/>
          </w:tcPr>
          <w:p w14:paraId="7D810CC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417" w:type="dxa"/>
            <w:tcBorders>
              <w:top w:val="nil"/>
              <w:left w:val="nil"/>
              <w:bottom w:val="single" w:sz="8" w:space="0" w:color="auto"/>
              <w:right w:val="single" w:sz="8" w:space="0" w:color="auto"/>
            </w:tcBorders>
            <w:shd w:val="clear" w:color="auto" w:fill="auto"/>
            <w:noWrap/>
          </w:tcPr>
          <w:p w14:paraId="5AD3647D"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c>
          <w:tcPr>
            <w:tcW w:w="1521" w:type="dxa"/>
            <w:tcBorders>
              <w:top w:val="nil"/>
              <w:left w:val="nil"/>
              <w:bottom w:val="single" w:sz="8" w:space="0" w:color="auto"/>
              <w:right w:val="single" w:sz="8" w:space="0" w:color="auto"/>
            </w:tcBorders>
            <w:shd w:val="clear" w:color="auto" w:fill="auto"/>
            <w:noWrap/>
          </w:tcPr>
          <w:p w14:paraId="7AC2EC8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kern w:val="0"/>
                <w:sz w:val="22"/>
                <w:szCs w:val="22"/>
                <w14:ligatures w14:val="none"/>
              </w:rPr>
              <w:t>0</w:t>
            </w:r>
          </w:p>
        </w:tc>
      </w:tr>
      <w:tr w:rsidR="00AD62CD" w:rsidRPr="00AD62CD" w14:paraId="69664E15" w14:textId="77777777" w:rsidTr="003627DF">
        <w:trPr>
          <w:trHeight w:val="70"/>
          <w:jc w:val="center"/>
        </w:trPr>
        <w:tc>
          <w:tcPr>
            <w:tcW w:w="4498" w:type="dxa"/>
            <w:tcBorders>
              <w:top w:val="nil"/>
              <w:left w:val="single" w:sz="8" w:space="0" w:color="auto"/>
              <w:bottom w:val="single" w:sz="8" w:space="0" w:color="auto"/>
              <w:right w:val="single" w:sz="8" w:space="0" w:color="auto"/>
            </w:tcBorders>
            <w:shd w:val="clear" w:color="auto" w:fill="C0C0C0"/>
            <w:noWrap/>
            <w:vAlign w:val="center"/>
          </w:tcPr>
          <w:p w14:paraId="59EC2376"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Financovanie zabezpečené v rozpočte</w:t>
            </w:r>
          </w:p>
        </w:tc>
        <w:tc>
          <w:tcPr>
            <w:tcW w:w="1026" w:type="dxa"/>
            <w:tcBorders>
              <w:top w:val="nil"/>
              <w:left w:val="nil"/>
              <w:bottom w:val="single" w:sz="8" w:space="0" w:color="auto"/>
              <w:right w:val="single" w:sz="8" w:space="0" w:color="auto"/>
            </w:tcBorders>
            <w:shd w:val="clear" w:color="auto" w:fill="C0C0C0"/>
            <w:noWrap/>
          </w:tcPr>
          <w:p w14:paraId="5319528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color w:val="000000"/>
                <w:kern w:val="0"/>
                <w:sz w:val="22"/>
                <w:szCs w:val="22"/>
                <w14:ligatures w14:val="none"/>
              </w:rPr>
              <w:t>0</w:t>
            </w:r>
          </w:p>
        </w:tc>
        <w:tc>
          <w:tcPr>
            <w:tcW w:w="1559" w:type="dxa"/>
            <w:tcBorders>
              <w:top w:val="nil"/>
              <w:left w:val="nil"/>
              <w:bottom w:val="single" w:sz="8" w:space="0" w:color="auto"/>
              <w:right w:val="single" w:sz="8" w:space="0" w:color="auto"/>
            </w:tcBorders>
            <w:shd w:val="clear" w:color="auto" w:fill="C0C0C0"/>
            <w:noWrap/>
          </w:tcPr>
          <w:p w14:paraId="0D7F53F8"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C0C0C0"/>
            <w:noWrap/>
          </w:tcPr>
          <w:p w14:paraId="68C5058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C0C0C0"/>
            <w:noWrap/>
          </w:tcPr>
          <w:p w14:paraId="6972850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0F477FB2"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BFBFBF"/>
            <w:noWrap/>
            <w:vAlign w:val="center"/>
          </w:tcPr>
          <w:p w14:paraId="14CE7517"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Iné ako rozpočtové zdroje</w:t>
            </w:r>
          </w:p>
        </w:tc>
        <w:tc>
          <w:tcPr>
            <w:tcW w:w="1026" w:type="dxa"/>
            <w:tcBorders>
              <w:top w:val="nil"/>
              <w:left w:val="nil"/>
              <w:bottom w:val="single" w:sz="8" w:space="0" w:color="auto"/>
              <w:right w:val="single" w:sz="8" w:space="0" w:color="auto"/>
            </w:tcBorders>
            <w:shd w:val="clear" w:color="auto" w:fill="BFBFBF"/>
            <w:noWrap/>
          </w:tcPr>
          <w:p w14:paraId="4F6EB7B1"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BFBFBF"/>
            <w:noWrap/>
          </w:tcPr>
          <w:p w14:paraId="6589CDF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BFBFBF"/>
            <w:noWrap/>
          </w:tcPr>
          <w:p w14:paraId="72AEDC8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BFBFBF"/>
            <w:noWrap/>
          </w:tcPr>
          <w:p w14:paraId="394E636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r>
      <w:tr w:rsidR="00AD62CD" w:rsidRPr="00AD62CD" w14:paraId="3A0FE1BD" w14:textId="77777777" w:rsidTr="00AD62CD">
        <w:trPr>
          <w:trHeight w:val="70"/>
          <w:jc w:val="center"/>
        </w:trPr>
        <w:tc>
          <w:tcPr>
            <w:tcW w:w="4498" w:type="dxa"/>
            <w:tcBorders>
              <w:top w:val="nil"/>
              <w:left w:val="single" w:sz="8" w:space="0" w:color="auto"/>
              <w:bottom w:val="single" w:sz="8" w:space="0" w:color="auto"/>
              <w:right w:val="single" w:sz="8" w:space="0" w:color="auto"/>
            </w:tcBorders>
            <w:shd w:val="clear" w:color="auto" w:fill="A6A6A6"/>
            <w:noWrap/>
            <w:vAlign w:val="center"/>
          </w:tcPr>
          <w:p w14:paraId="44FA8204" w14:textId="77777777" w:rsidR="00AD62CD" w:rsidRPr="00AD62CD" w:rsidRDefault="00AD62CD" w:rsidP="00AD62CD">
            <w:pPr>
              <w:spacing w:after="0" w:line="276" w:lineRule="auto"/>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color w:val="000000"/>
                <w:kern w:val="0"/>
                <w:sz w:val="22"/>
                <w:szCs w:val="22"/>
                <w14:ligatures w14:val="none"/>
              </w:rPr>
              <w:t>Rozpočtovo nekrytý vplyv / úspora</w:t>
            </w:r>
          </w:p>
        </w:tc>
        <w:tc>
          <w:tcPr>
            <w:tcW w:w="1026" w:type="dxa"/>
            <w:tcBorders>
              <w:top w:val="nil"/>
              <w:left w:val="nil"/>
              <w:bottom w:val="single" w:sz="8" w:space="0" w:color="auto"/>
              <w:right w:val="single" w:sz="8" w:space="0" w:color="auto"/>
            </w:tcBorders>
            <w:shd w:val="clear" w:color="auto" w:fill="A6A6A6"/>
            <w:noWrap/>
          </w:tcPr>
          <w:p w14:paraId="595AAFB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59" w:type="dxa"/>
            <w:tcBorders>
              <w:top w:val="nil"/>
              <w:left w:val="nil"/>
              <w:bottom w:val="single" w:sz="8" w:space="0" w:color="auto"/>
              <w:right w:val="single" w:sz="8" w:space="0" w:color="auto"/>
            </w:tcBorders>
            <w:shd w:val="clear" w:color="auto" w:fill="A6A6A6"/>
            <w:noWrap/>
          </w:tcPr>
          <w:p w14:paraId="0712E3C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417" w:type="dxa"/>
            <w:tcBorders>
              <w:top w:val="nil"/>
              <w:left w:val="nil"/>
              <w:bottom w:val="single" w:sz="8" w:space="0" w:color="auto"/>
              <w:right w:val="single" w:sz="8" w:space="0" w:color="auto"/>
            </w:tcBorders>
            <w:shd w:val="clear" w:color="auto" w:fill="A6A6A6"/>
            <w:noWrap/>
          </w:tcPr>
          <w:p w14:paraId="7AB93842"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highlight w:val="yellow"/>
                <w14:ligatures w14:val="none"/>
              </w:rPr>
            </w:pPr>
            <w:r w:rsidRPr="00AD62CD">
              <w:rPr>
                <w:rFonts w:ascii="Times New Roman" w:eastAsia="Calibri" w:hAnsi="Times New Roman" w:cs="Times New Roman"/>
                <w:b/>
                <w:bCs/>
                <w:kern w:val="0"/>
                <w:sz w:val="22"/>
                <w:szCs w:val="22"/>
                <w14:ligatures w14:val="none"/>
              </w:rPr>
              <w:t>0</w:t>
            </w:r>
          </w:p>
        </w:tc>
        <w:tc>
          <w:tcPr>
            <w:tcW w:w="1521" w:type="dxa"/>
            <w:tcBorders>
              <w:top w:val="nil"/>
              <w:left w:val="nil"/>
              <w:bottom w:val="single" w:sz="8" w:space="0" w:color="auto"/>
              <w:right w:val="single" w:sz="8" w:space="0" w:color="auto"/>
            </w:tcBorders>
            <w:shd w:val="clear" w:color="auto" w:fill="A6A6A6"/>
            <w:noWrap/>
          </w:tcPr>
          <w:p w14:paraId="2EB03C8E"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2"/>
                <w:szCs w:val="22"/>
                <w14:ligatures w14:val="none"/>
              </w:rPr>
            </w:pPr>
            <w:r w:rsidRPr="00AD62CD">
              <w:rPr>
                <w:rFonts w:ascii="Times New Roman" w:eastAsia="Calibri" w:hAnsi="Times New Roman" w:cs="Times New Roman"/>
                <w:b/>
                <w:bCs/>
                <w:kern w:val="0"/>
                <w:sz w:val="22"/>
                <w:szCs w:val="22"/>
                <w14:ligatures w14:val="none"/>
              </w:rPr>
              <w:t>0</w:t>
            </w:r>
          </w:p>
        </w:tc>
      </w:tr>
    </w:tbl>
    <w:p w14:paraId="0E53D473"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p>
    <w:p w14:paraId="4109E983" w14:textId="77777777" w:rsidR="00AD62CD" w:rsidRPr="00AD62CD" w:rsidRDefault="00AD62CD" w:rsidP="00AD62CD">
      <w:pPr>
        <w:spacing w:after="200" w:line="276" w:lineRule="auto"/>
        <w:rPr>
          <w:rFonts w:ascii="Times New Roman" w:eastAsia="Times New Roman" w:hAnsi="Times New Roman" w:cs="Times New Roman"/>
          <w:b/>
          <w:bCs/>
          <w:kern w:val="0"/>
          <w:lang w:eastAsia="sk-SK"/>
          <w14:ligatures w14:val="none"/>
        </w:rPr>
      </w:pPr>
      <w:r w:rsidRPr="00AD62CD">
        <w:rPr>
          <w:rFonts w:ascii="Times New Roman" w:eastAsia="Times New Roman" w:hAnsi="Times New Roman" w:cs="Times New Roman"/>
          <w:b/>
          <w:bCs/>
          <w:kern w:val="0"/>
          <w:lang w:eastAsia="sk-SK"/>
          <w14:ligatures w14:val="none"/>
        </w:rPr>
        <w:t>2.1.1. Financovanie návrhu - Návrh na riešenie úbytku príjmov alebo zvýšených výdavkov podľa § 33 ods. 1 zákona č. 523/2004 Z. z. o rozpočtových pravidlách verejnej správy:</w:t>
      </w:r>
    </w:p>
    <w:p w14:paraId="34502719" w14:textId="77777777" w:rsidR="00AD62CD" w:rsidRPr="00AD62CD" w:rsidRDefault="00AD62CD" w:rsidP="00AD62C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kern w:val="0"/>
          <w14:ligatures w14:val="none"/>
        </w:rPr>
      </w:pPr>
    </w:p>
    <w:p w14:paraId="01F8C220"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3F3C0983"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 Popis a charakteristika návrhu</w:t>
      </w:r>
    </w:p>
    <w:p w14:paraId="7D45AFCB"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75760158"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2.2.1. Popis návrhu:</w:t>
      </w:r>
    </w:p>
    <w:p w14:paraId="4B1E7DE3"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6BD03D1C" w14:textId="77777777" w:rsidR="00AD62CD" w:rsidRPr="00AD62CD" w:rsidRDefault="00AD62CD" w:rsidP="00AD62CD">
      <w:pPr>
        <w:spacing w:after="20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V návrhu sa premieta vplyv konsolidačných opatrení pre rok 2026 vo vzťahu k DPFO v sume 55,5 mil. eur na obce a 29,7 mil. eur na vyššie územné celky, pričom predpokladaný vyšší výnos tejto dane bude smerovaný do štátneho rozpočtu na zníženie schodku rozpočtu verejnej správy. Ďalej sú v návrhu premietnuté úsporné konsolidačné opatrenia v rozpočtoch samospráv na vlastné úrady v sume 109,6 mil. eur pre obce a 19,7 mil. eur pre VÚC. Pozitívny vplyv má premietnutie valorizácie platov v originálnom školstve v sume 69,0 mil. euro pre obce a 8,6 mil. euro pre VÚC.</w:t>
      </w:r>
    </w:p>
    <w:p w14:paraId="2EC55E99" w14:textId="77777777" w:rsidR="00AD62CD" w:rsidRPr="00AD62CD" w:rsidRDefault="00AD62CD" w:rsidP="00AD62CD">
      <w:pPr>
        <w:spacing w:after="200" w:line="240" w:lineRule="auto"/>
        <w:jc w:val="both"/>
        <w:rPr>
          <w:rFonts w:ascii="Times New Roman" w:eastAsia="Calibri" w:hAnsi="Times New Roman" w:cs="Times New Roman"/>
          <w:kern w:val="0"/>
          <w:highlight w:val="yellow"/>
          <w:lang w:eastAsia="sk-SK"/>
          <w14:ligatures w14:val="none"/>
        </w:rPr>
      </w:pPr>
      <w:r w:rsidRPr="00AD62CD">
        <w:rPr>
          <w:rFonts w:ascii="Times New Roman" w:eastAsia="Calibri" w:hAnsi="Times New Roman" w:cs="Times New Roman"/>
          <w:kern w:val="0"/>
          <w14:ligatures w14:val="none"/>
        </w:rPr>
        <w:t>Uvedené dopady si vyžiadali úpravu percentuálneho podielu obcí a vyšších územných celkov  na výnose DPFO od 1. januára 2026.</w:t>
      </w:r>
    </w:p>
    <w:p w14:paraId="64CADE22" w14:textId="77777777" w:rsidR="00AD62CD" w:rsidRPr="00AD62CD" w:rsidRDefault="00AD62CD" w:rsidP="00AD62CD">
      <w:pPr>
        <w:spacing w:after="0" w:line="240" w:lineRule="auto"/>
        <w:jc w:val="both"/>
        <w:rPr>
          <w:rFonts w:ascii="Times New Roman" w:eastAsia="Calibri" w:hAnsi="Times New Roman" w:cs="Times New Roman"/>
          <w:kern w:val="0"/>
          <w:highlight w:val="yellow"/>
          <w:lang w:eastAsia="sk-SK"/>
          <w14:ligatures w14:val="none"/>
        </w:rPr>
      </w:pPr>
    </w:p>
    <w:p w14:paraId="55B8B44A"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2.2.2. Charakteristika návrhu:</w:t>
      </w:r>
    </w:p>
    <w:p w14:paraId="29E950FA"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76D45558"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kern w:val="0"/>
          <w:bdr w:val="single" w:sz="4" w:space="0" w:color="auto"/>
          <w:lang w:eastAsia="sk-SK"/>
          <w14:ligatures w14:val="none"/>
        </w:rPr>
        <w:t xml:space="preserve">     </w:t>
      </w:r>
      <w:r w:rsidRPr="00AD62CD">
        <w:rPr>
          <w:rFonts w:ascii="Times New Roman" w:eastAsia="Calibri" w:hAnsi="Times New Roman" w:cs="Times New Roman"/>
          <w:b/>
          <w:kern w:val="0"/>
          <w:lang w:eastAsia="sk-SK"/>
          <w14:ligatures w14:val="none"/>
        </w:rPr>
        <w:t xml:space="preserve">  </w:t>
      </w:r>
      <w:r w:rsidRPr="00AD62CD">
        <w:rPr>
          <w:rFonts w:ascii="Times New Roman" w:eastAsia="Calibri" w:hAnsi="Times New Roman" w:cs="Times New Roman"/>
          <w:kern w:val="0"/>
          <w:lang w:eastAsia="sk-SK"/>
          <w14:ligatures w14:val="none"/>
        </w:rPr>
        <w:t>zmena sadzby</w:t>
      </w:r>
    </w:p>
    <w:p w14:paraId="4ADAF898"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zmena v nároku</w:t>
      </w:r>
    </w:p>
    <w:p w14:paraId="4D7FC126"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nová služba alebo nariadenie (alebo ich zrušenie)</w:t>
      </w:r>
    </w:p>
    <w:p w14:paraId="3921B828"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x  </w:t>
      </w:r>
      <w:r w:rsidRPr="00AD62CD">
        <w:rPr>
          <w:rFonts w:ascii="Times New Roman" w:eastAsia="Calibri" w:hAnsi="Times New Roman" w:cs="Times New Roman"/>
          <w:kern w:val="0"/>
          <w:lang w:eastAsia="sk-SK"/>
          <w14:ligatures w14:val="none"/>
        </w:rPr>
        <w:t xml:space="preserve">  kombinovaný návrh</w:t>
      </w:r>
    </w:p>
    <w:p w14:paraId="5DA298D7"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bdr w:val="single" w:sz="4" w:space="0" w:color="auto"/>
          <w:lang w:eastAsia="sk-SK"/>
          <w14:ligatures w14:val="none"/>
        </w:rPr>
        <w:t xml:space="preserve">     </w:t>
      </w:r>
      <w:r w:rsidRPr="00AD62CD">
        <w:rPr>
          <w:rFonts w:ascii="Times New Roman" w:eastAsia="Calibri" w:hAnsi="Times New Roman" w:cs="Times New Roman"/>
          <w:kern w:val="0"/>
          <w:lang w:eastAsia="sk-SK"/>
          <w14:ligatures w14:val="none"/>
        </w:rPr>
        <w:t xml:space="preserve">  iné </w:t>
      </w:r>
    </w:p>
    <w:p w14:paraId="41CE66CB"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264A48CC"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0AD785CA"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r w:rsidRPr="00AD62CD">
        <w:rPr>
          <w:rFonts w:ascii="Times New Roman" w:eastAsia="Calibri" w:hAnsi="Times New Roman" w:cs="Times New Roman"/>
          <w:b/>
          <w:bCs/>
          <w:kern w:val="0"/>
          <w:lang w:eastAsia="sk-SK"/>
          <w14:ligatures w14:val="none"/>
        </w:rPr>
        <w:t>2.2.3. Predpoklady vývoja objemu aktivít:</w:t>
      </w:r>
    </w:p>
    <w:p w14:paraId="09345B65" w14:textId="77777777" w:rsidR="00AD62CD" w:rsidRPr="00AD62CD" w:rsidRDefault="00AD62CD" w:rsidP="00AD62CD">
      <w:pPr>
        <w:spacing w:after="0" w:line="240" w:lineRule="auto"/>
        <w:rPr>
          <w:rFonts w:ascii="Times New Roman" w:eastAsia="Calibri" w:hAnsi="Times New Roman" w:cs="Times New Roman"/>
          <w:kern w:val="0"/>
          <w:lang w:eastAsia="sk-SK"/>
          <w14:ligatures w14:val="none"/>
        </w:rPr>
      </w:pPr>
    </w:p>
    <w:p w14:paraId="38A2F055" w14:textId="77777777" w:rsidR="00AD62CD" w:rsidRPr="00AD62CD" w:rsidRDefault="00AD62CD" w:rsidP="00AD62CD">
      <w:pPr>
        <w:spacing w:after="0" w:line="240" w:lineRule="auto"/>
        <w:ind w:firstLine="708"/>
        <w:jc w:val="both"/>
        <w:rPr>
          <w:rFonts w:ascii="Times New Roman" w:eastAsia="Calibri" w:hAnsi="Times New Roman" w:cs="Times New Roman"/>
          <w:kern w:val="0"/>
          <w:lang w:eastAsia="sk-SK"/>
          <w14:ligatures w14:val="none"/>
        </w:rPr>
      </w:pPr>
      <w:r w:rsidRPr="00AD62CD">
        <w:rPr>
          <w:rFonts w:ascii="Times New Roman" w:eastAsia="Calibri" w:hAnsi="Times New Roman" w:cs="Times New Roman"/>
          <w:kern w:val="0"/>
          <w:lang w:eastAsia="sk-SK"/>
          <w14:ligatures w14:val="none"/>
        </w:rPr>
        <w:t>Jasne popíšte, v prípade potreby použite nižšie uvedenú tabuľku. Uveďte aj odhady základov daní a/alebo poplatkov, ak sa ich táto zmena týka.</w:t>
      </w:r>
    </w:p>
    <w:p w14:paraId="5DEAC106" w14:textId="77777777" w:rsidR="00AD62CD" w:rsidRPr="00AD62CD" w:rsidRDefault="00AD62CD" w:rsidP="00AD62CD">
      <w:pPr>
        <w:spacing w:after="0" w:line="240" w:lineRule="auto"/>
        <w:jc w:val="both"/>
        <w:rPr>
          <w:rFonts w:ascii="Times New Roman" w:eastAsia="Calibri" w:hAnsi="Times New Roman" w:cs="Times New Roman"/>
          <w:kern w:val="0"/>
          <w:lang w:eastAsia="sk-SK"/>
          <w14:ligatures w14:val="none"/>
        </w:rPr>
      </w:pPr>
    </w:p>
    <w:p w14:paraId="11FBDC59"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p>
    <w:p w14:paraId="0640FBA8" w14:textId="77777777" w:rsidR="00AD62CD" w:rsidRPr="00AD62CD" w:rsidRDefault="00AD62CD" w:rsidP="00AD62CD">
      <w:pPr>
        <w:spacing w:after="0" w:line="240" w:lineRule="auto"/>
        <w:rPr>
          <w:rFonts w:ascii="Times New Roman" w:eastAsia="Calibri" w:hAnsi="Times New Roman" w:cs="Times New Roman"/>
          <w:b/>
          <w:bCs/>
          <w:kern w:val="0"/>
          <w:lang w:eastAsia="sk-SK"/>
          <w14:ligatures w14:val="none"/>
        </w:rPr>
      </w:pPr>
      <w:r w:rsidRPr="00AD62CD">
        <w:rPr>
          <w:rFonts w:ascii="Times New Roman" w:eastAsia="Calibri" w:hAnsi="Times New Roman" w:cs="Times New Roman"/>
          <w:b/>
          <w:bCs/>
          <w:kern w:val="0"/>
          <w:lang w:eastAsia="sk-SK"/>
          <w14:ligatures w14:val="none"/>
        </w:rPr>
        <w:t>2.2.4. Výpočty vplyvov na verejné financie</w:t>
      </w:r>
    </w:p>
    <w:p w14:paraId="06030DCA" w14:textId="77777777" w:rsidR="00AD62CD" w:rsidRPr="00AD62CD" w:rsidRDefault="00AD62CD" w:rsidP="00AD62CD">
      <w:pPr>
        <w:spacing w:after="0" w:line="240" w:lineRule="auto"/>
        <w:jc w:val="both"/>
        <w:rPr>
          <w:rFonts w:ascii="Times New Roman" w:eastAsia="Calibri" w:hAnsi="Times New Roman" w:cs="Times New Roman"/>
          <w:b/>
          <w:bCs/>
          <w:kern w:val="0"/>
          <w:lang w:eastAsia="sk-SK"/>
          <w14:ligatures w14:val="none"/>
        </w:rPr>
      </w:pPr>
    </w:p>
    <w:p w14:paraId="3E34A2E0"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Nové percentuálne podiely obcí a VÚC na výnose DPFO zohľadňujú tri faktory. Ponechanie dodatočného výnosu DPFO, spôsobeného prijatými konsolidačnými opatreniami, v štátnom rozpočte a úsporné konsolidačné opatrenia v rozpočtoch samospráv na vlastné úrady znižujú podiely obcí a VÚC, zatiaľ čo potreba financovania valorizácie platov v originálnom školstve majú na tieto podiely pozitívny vplyv.  Zmena podielov z 55,1 % na 53,0 % pre obce a z 29,5 % na 28,6 % pre VÚC zohľadňuje práve vplyv týchto troch faktorov pri prognózovanom výnose DPFO na rok 2026.</w:t>
      </w:r>
    </w:p>
    <w:p w14:paraId="04593076" w14:textId="445135E1" w:rsidR="00AA643C" w:rsidRDefault="00AD62CD" w:rsidP="00AD62CD">
      <w:pPr>
        <w:tabs>
          <w:tab w:val="num" w:pos="1080"/>
        </w:tabs>
        <w:spacing w:before="120" w:after="0" w:line="240" w:lineRule="auto"/>
        <w:jc w:val="both"/>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t>Rozpočtové vplyvy zmeny percentuálnych podielov obcí a VÚC na výnose DPFO sú v plnej miere uvedené v tejto časti doložky. Kvôli zamedzeniu dvojitého započítania sú preto v častiach doložky, ktoré sa viažu k zmenám iných zákonov, použité pôvodné percentuálne podiely.</w:t>
      </w:r>
    </w:p>
    <w:p w14:paraId="7A8CDD37" w14:textId="77777777" w:rsidR="00AA643C" w:rsidRDefault="00AA643C">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1EC9F1E2" w14:textId="77777777" w:rsidR="00AD62CD" w:rsidRPr="00AD62CD" w:rsidRDefault="00AD62CD" w:rsidP="00AD62CD">
      <w:pPr>
        <w:tabs>
          <w:tab w:val="num" w:pos="1080"/>
        </w:tabs>
        <w:spacing w:before="120" w:after="0" w:line="240" w:lineRule="auto"/>
        <w:jc w:val="both"/>
        <w:rPr>
          <w:rFonts w:ascii="Times New Roman" w:eastAsia="Calibri" w:hAnsi="Times New Roman" w:cs="Times New Roman"/>
          <w:kern w:val="0"/>
          <w14:ligatures w14:val="none"/>
        </w:rPr>
        <w:sectPr w:rsidR="00AD62CD" w:rsidRPr="00AD62CD" w:rsidSect="0099636A">
          <w:headerReference w:type="even" r:id="rId40"/>
          <w:headerReference w:type="default" r:id="rId41"/>
          <w:footerReference w:type="even" r:id="rId42"/>
          <w:headerReference w:type="first" r:id="rId43"/>
          <w:footerReference w:type="first" r:id="rId44"/>
          <w:pgSz w:w="11906" w:h="16838"/>
          <w:pgMar w:top="1417" w:right="1417" w:bottom="1276" w:left="1417" w:header="708" w:footer="708" w:gutter="0"/>
          <w:cols w:space="708"/>
          <w:docGrid w:linePitch="360"/>
        </w:sect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D62CD" w:rsidRPr="00AD62CD" w14:paraId="5665E863" w14:textId="77777777" w:rsidTr="00AD62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CA4E479"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Príjmy štátneho rozpočtu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0CDDEC59"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 xml:space="preserve">Vplyv na štátny rozpočet </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8C0C582"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poznámka</w:t>
            </w:r>
          </w:p>
        </w:tc>
      </w:tr>
      <w:tr w:rsidR="00AD62CD" w:rsidRPr="00AD62CD" w14:paraId="173E1033" w14:textId="77777777" w:rsidTr="00AD62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1E9107D7" w14:textId="77777777" w:rsidR="00AD62CD" w:rsidRPr="00AD62CD" w:rsidRDefault="00AD62CD" w:rsidP="00AD62CD">
            <w:pPr>
              <w:spacing w:after="0" w:line="240" w:lineRule="auto"/>
              <w:rPr>
                <w:rFonts w:ascii="Times New Roman" w:eastAsia="Calibri" w:hAnsi="Times New Roman" w:cs="Times New Roman"/>
                <w:b/>
                <w:bCs/>
                <w:color w:val="FFFFFF"/>
                <w:kern w:val="0"/>
                <w:sz w:val="20"/>
                <w:szCs w:val="20"/>
                <w:lang w:eastAsia="sk-SK"/>
                <w14:ligatures w14:val="none"/>
              </w:rPr>
            </w:pPr>
          </w:p>
        </w:tc>
        <w:tc>
          <w:tcPr>
            <w:tcW w:w="1500" w:type="dxa"/>
            <w:tcBorders>
              <w:top w:val="nil"/>
              <w:left w:val="nil"/>
              <w:bottom w:val="single" w:sz="4" w:space="0" w:color="auto"/>
              <w:right w:val="single" w:sz="4" w:space="0" w:color="auto"/>
            </w:tcBorders>
            <w:shd w:val="clear" w:color="auto" w:fill="BFBFBF"/>
            <w:vAlign w:val="center"/>
          </w:tcPr>
          <w:p w14:paraId="3CE68FD5"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2025</w:t>
            </w:r>
          </w:p>
        </w:tc>
        <w:tc>
          <w:tcPr>
            <w:tcW w:w="1500" w:type="dxa"/>
            <w:tcBorders>
              <w:top w:val="nil"/>
              <w:left w:val="nil"/>
              <w:bottom w:val="single" w:sz="4" w:space="0" w:color="auto"/>
              <w:right w:val="single" w:sz="4" w:space="0" w:color="auto"/>
            </w:tcBorders>
            <w:shd w:val="clear" w:color="auto" w:fill="BFBFBF"/>
            <w:vAlign w:val="center"/>
          </w:tcPr>
          <w:p w14:paraId="7428B837"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2026</w:t>
            </w:r>
          </w:p>
        </w:tc>
        <w:tc>
          <w:tcPr>
            <w:tcW w:w="1500" w:type="dxa"/>
            <w:tcBorders>
              <w:top w:val="nil"/>
              <w:left w:val="nil"/>
              <w:bottom w:val="single" w:sz="4" w:space="0" w:color="auto"/>
              <w:right w:val="single" w:sz="4" w:space="0" w:color="auto"/>
            </w:tcBorders>
            <w:shd w:val="clear" w:color="auto" w:fill="BFBFBF"/>
            <w:vAlign w:val="center"/>
          </w:tcPr>
          <w:p w14:paraId="59300E04"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2027</w:t>
            </w:r>
          </w:p>
        </w:tc>
        <w:tc>
          <w:tcPr>
            <w:tcW w:w="1500" w:type="dxa"/>
            <w:tcBorders>
              <w:top w:val="nil"/>
              <w:left w:val="nil"/>
              <w:bottom w:val="single" w:sz="4" w:space="0" w:color="auto"/>
              <w:right w:val="single" w:sz="4" w:space="0" w:color="auto"/>
            </w:tcBorders>
            <w:shd w:val="clear" w:color="auto" w:fill="BFBFBF"/>
            <w:vAlign w:val="center"/>
          </w:tcPr>
          <w:p w14:paraId="239688FF" w14:textId="77777777" w:rsidR="00AD62CD" w:rsidRPr="00AD62CD" w:rsidRDefault="00AD62CD" w:rsidP="00AD62CD">
            <w:pPr>
              <w:spacing w:after="0" w:line="240" w:lineRule="auto"/>
              <w:jc w:val="center"/>
              <w:rPr>
                <w:rFonts w:ascii="Times New Roman" w:eastAsia="Calibri" w:hAnsi="Times New Roman" w:cs="Times New Roman"/>
                <w:b/>
                <w:bCs/>
                <w:kern w:val="0"/>
                <w:sz w:val="20"/>
                <w:szCs w:val="20"/>
                <w:lang w:eastAsia="sk-SK"/>
                <w14:ligatures w14:val="none"/>
              </w:rPr>
            </w:pPr>
            <w:r w:rsidRPr="00AD62CD">
              <w:rPr>
                <w:rFonts w:ascii="Times New Roman" w:eastAsia="Calibri" w:hAnsi="Times New Roman" w:cs="Times New Roman"/>
                <w:b/>
                <w:bCs/>
                <w:kern w:val="0"/>
                <w:sz w:val="20"/>
                <w:szCs w:val="20"/>
                <w:lang w:eastAsia="sk-SK"/>
                <w14:ligatures w14:val="none"/>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6112546F" w14:textId="77777777" w:rsidR="00AD62CD" w:rsidRPr="00AD62CD" w:rsidRDefault="00AD62CD" w:rsidP="00AD62CD">
            <w:pPr>
              <w:spacing w:after="0" w:line="240" w:lineRule="auto"/>
              <w:rPr>
                <w:rFonts w:ascii="Times New Roman" w:eastAsia="Calibri" w:hAnsi="Times New Roman" w:cs="Times New Roman"/>
                <w:b/>
                <w:bCs/>
                <w:color w:val="FFFFFF"/>
                <w:kern w:val="0"/>
                <w:sz w:val="20"/>
                <w:szCs w:val="20"/>
                <w:lang w:eastAsia="sk-SK"/>
                <w14:ligatures w14:val="none"/>
              </w:rPr>
            </w:pPr>
          </w:p>
        </w:tc>
      </w:tr>
      <w:tr w:rsidR="00AD62CD" w:rsidRPr="00AD62CD" w14:paraId="78C654CC"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43004141"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Daňové príjmy (100)</w:t>
            </w:r>
            <w:r w:rsidRPr="00AD62CD">
              <w:rPr>
                <w:rFonts w:ascii="Times New Roman" w:eastAsia="Calibri" w:hAnsi="Times New Roman" w:cs="Times New Roman"/>
                <w:b/>
                <w:bCs/>
                <w:color w:val="000000"/>
                <w:kern w:val="0"/>
                <w:sz w:val="20"/>
                <w:szCs w:val="20"/>
                <w:vertAlign w:val="superscript"/>
                <w14:ligatures w14:val="none"/>
              </w:rPr>
              <w:t>1</w:t>
            </w:r>
          </w:p>
        </w:tc>
        <w:tc>
          <w:tcPr>
            <w:tcW w:w="1500" w:type="dxa"/>
            <w:tcBorders>
              <w:top w:val="nil"/>
              <w:left w:val="nil"/>
              <w:bottom w:val="single" w:sz="8" w:space="0" w:color="auto"/>
              <w:right w:val="single" w:sz="8" w:space="0" w:color="auto"/>
            </w:tcBorders>
            <w:shd w:val="clear" w:color="auto" w:fill="auto"/>
            <w:vAlign w:val="center"/>
          </w:tcPr>
          <w:p w14:paraId="7BD43473"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16ED17D1"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136 982 000</w:t>
            </w:r>
          </w:p>
        </w:tc>
        <w:tc>
          <w:tcPr>
            <w:tcW w:w="1500" w:type="dxa"/>
            <w:tcBorders>
              <w:top w:val="nil"/>
              <w:left w:val="nil"/>
              <w:bottom w:val="single" w:sz="8" w:space="0" w:color="auto"/>
              <w:right w:val="single" w:sz="8" w:space="0" w:color="auto"/>
            </w:tcBorders>
            <w:shd w:val="clear" w:color="auto" w:fill="auto"/>
            <w:vAlign w:val="center"/>
          </w:tcPr>
          <w:p w14:paraId="20B7601B"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143 530 000</w:t>
            </w:r>
          </w:p>
        </w:tc>
        <w:tc>
          <w:tcPr>
            <w:tcW w:w="1500" w:type="dxa"/>
            <w:tcBorders>
              <w:top w:val="nil"/>
              <w:left w:val="nil"/>
              <w:bottom w:val="single" w:sz="8" w:space="0" w:color="auto"/>
              <w:right w:val="single" w:sz="8" w:space="0" w:color="auto"/>
            </w:tcBorders>
            <w:shd w:val="clear" w:color="auto" w:fill="auto"/>
            <w:vAlign w:val="center"/>
          </w:tcPr>
          <w:p w14:paraId="35EEA19C"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151 168 000</w:t>
            </w:r>
          </w:p>
        </w:tc>
        <w:tc>
          <w:tcPr>
            <w:tcW w:w="3000" w:type="dxa"/>
            <w:tcBorders>
              <w:top w:val="nil"/>
              <w:left w:val="nil"/>
              <w:bottom w:val="single" w:sz="4" w:space="0" w:color="auto"/>
              <w:right w:val="single" w:sz="4" w:space="0" w:color="auto"/>
            </w:tcBorders>
            <w:noWrap/>
            <w:vAlign w:val="bottom"/>
          </w:tcPr>
          <w:p w14:paraId="1EBAA12F"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w:t>
            </w:r>
          </w:p>
        </w:tc>
      </w:tr>
      <w:tr w:rsidR="00AD62CD" w:rsidRPr="00AD62CD" w14:paraId="68BD5055"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6BB0164F"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500" w:type="dxa"/>
            <w:tcBorders>
              <w:top w:val="nil"/>
              <w:left w:val="nil"/>
              <w:bottom w:val="single" w:sz="8" w:space="0" w:color="auto"/>
              <w:right w:val="single" w:sz="8" w:space="0" w:color="auto"/>
            </w:tcBorders>
            <w:shd w:val="clear" w:color="auto" w:fill="auto"/>
            <w:vAlign w:val="center"/>
          </w:tcPr>
          <w:p w14:paraId="5D54CCCF"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color w:val="000000"/>
                <w:kern w:val="0"/>
                <w:sz w:val="20"/>
                <w:szCs w:val="20"/>
                <w:lang w:eastAsia="sk-SK"/>
                <w14:ligatures w14:val="none"/>
              </w:rPr>
              <w:t>0</w:t>
            </w:r>
          </w:p>
        </w:tc>
        <w:tc>
          <w:tcPr>
            <w:tcW w:w="1500" w:type="dxa"/>
            <w:tcBorders>
              <w:top w:val="nil"/>
              <w:left w:val="nil"/>
              <w:bottom w:val="single" w:sz="8" w:space="0" w:color="auto"/>
              <w:right w:val="single" w:sz="8" w:space="0" w:color="auto"/>
            </w:tcBorders>
            <w:shd w:val="clear" w:color="auto" w:fill="auto"/>
            <w:vAlign w:val="center"/>
          </w:tcPr>
          <w:p w14:paraId="194201A2"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136 982 000</w:t>
            </w:r>
          </w:p>
        </w:tc>
        <w:tc>
          <w:tcPr>
            <w:tcW w:w="1500" w:type="dxa"/>
            <w:tcBorders>
              <w:top w:val="nil"/>
              <w:left w:val="nil"/>
              <w:bottom w:val="single" w:sz="8" w:space="0" w:color="auto"/>
              <w:right w:val="single" w:sz="8" w:space="0" w:color="auto"/>
            </w:tcBorders>
            <w:shd w:val="clear" w:color="auto" w:fill="auto"/>
            <w:vAlign w:val="center"/>
          </w:tcPr>
          <w:p w14:paraId="144574ED"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143 530 000</w:t>
            </w:r>
          </w:p>
        </w:tc>
        <w:tc>
          <w:tcPr>
            <w:tcW w:w="1500" w:type="dxa"/>
            <w:tcBorders>
              <w:top w:val="nil"/>
              <w:left w:val="nil"/>
              <w:bottom w:val="single" w:sz="8" w:space="0" w:color="auto"/>
              <w:right w:val="single" w:sz="8" w:space="0" w:color="auto"/>
            </w:tcBorders>
            <w:shd w:val="clear" w:color="auto" w:fill="auto"/>
            <w:vAlign w:val="center"/>
          </w:tcPr>
          <w:p w14:paraId="47A3701B" w14:textId="77777777" w:rsidR="00AD62CD" w:rsidRPr="00AD62CD" w:rsidRDefault="00AD62CD" w:rsidP="00AD62CD">
            <w:pPr>
              <w:spacing w:after="0" w:line="276" w:lineRule="auto"/>
              <w:ind w:hanging="143"/>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151 168 000</w:t>
            </w:r>
          </w:p>
        </w:tc>
        <w:tc>
          <w:tcPr>
            <w:tcW w:w="3000" w:type="dxa"/>
            <w:tcBorders>
              <w:top w:val="nil"/>
              <w:left w:val="nil"/>
              <w:bottom w:val="single" w:sz="4" w:space="0" w:color="auto"/>
              <w:right w:val="single" w:sz="4" w:space="0" w:color="auto"/>
            </w:tcBorders>
            <w:noWrap/>
            <w:vAlign w:val="bottom"/>
          </w:tcPr>
          <w:p w14:paraId="641084A3"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p>
        </w:tc>
      </w:tr>
      <w:tr w:rsidR="00AD62CD" w:rsidRPr="00AD62CD" w14:paraId="61132DB7"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41BFB508"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Nedaňové príjmy (200)</w:t>
            </w:r>
            <w:r w:rsidRPr="00AD62CD">
              <w:rPr>
                <w:rFonts w:ascii="Times New Roman" w:eastAsia="Calibri" w:hAnsi="Times New Roman" w:cs="Times New Roman"/>
                <w:b/>
                <w:bCs/>
                <w:color w:val="000000"/>
                <w:kern w:val="0"/>
                <w:sz w:val="20"/>
                <w:szCs w:val="20"/>
                <w:vertAlign w:val="superscript"/>
                <w14:ligatures w14:val="none"/>
              </w:rPr>
              <w:t>1</w:t>
            </w:r>
          </w:p>
        </w:tc>
        <w:tc>
          <w:tcPr>
            <w:tcW w:w="1500" w:type="dxa"/>
            <w:tcBorders>
              <w:top w:val="nil"/>
              <w:left w:val="nil"/>
              <w:bottom w:val="single" w:sz="8" w:space="0" w:color="auto"/>
              <w:right w:val="single" w:sz="8" w:space="0" w:color="auto"/>
            </w:tcBorders>
            <w:shd w:val="clear" w:color="auto" w:fill="auto"/>
            <w:vAlign w:val="center"/>
          </w:tcPr>
          <w:p w14:paraId="7290B9D0"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auto" w:fill="auto"/>
            <w:vAlign w:val="center"/>
          </w:tcPr>
          <w:p w14:paraId="35354C76"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auto" w:fill="auto"/>
            <w:vAlign w:val="center"/>
          </w:tcPr>
          <w:p w14:paraId="58C313EC"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auto" w:fill="auto"/>
            <w:vAlign w:val="center"/>
          </w:tcPr>
          <w:p w14:paraId="4EE02265"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3000" w:type="dxa"/>
            <w:tcBorders>
              <w:top w:val="nil"/>
              <w:left w:val="nil"/>
              <w:bottom w:val="single" w:sz="4" w:space="0" w:color="auto"/>
              <w:right w:val="single" w:sz="4" w:space="0" w:color="auto"/>
            </w:tcBorders>
            <w:noWrap/>
            <w:vAlign w:val="bottom"/>
          </w:tcPr>
          <w:p w14:paraId="0794587B"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w:t>
            </w:r>
          </w:p>
        </w:tc>
      </w:tr>
      <w:tr w:rsidR="00AD62CD" w:rsidRPr="00AD62CD" w14:paraId="63C854E1"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37CDA6D0"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Príjmy z transakcií s finančnými aktívami a finančnými pasívami (400)</w:t>
            </w:r>
          </w:p>
        </w:tc>
        <w:tc>
          <w:tcPr>
            <w:tcW w:w="1500" w:type="dxa"/>
            <w:tcBorders>
              <w:top w:val="nil"/>
              <w:left w:val="nil"/>
              <w:bottom w:val="single" w:sz="8" w:space="0" w:color="auto"/>
              <w:right w:val="single" w:sz="8" w:space="0" w:color="auto"/>
            </w:tcBorders>
            <w:shd w:val="clear" w:color="000000" w:fill="FFFF99"/>
            <w:vAlign w:val="center"/>
          </w:tcPr>
          <w:p w14:paraId="67855187"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00958B5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040EBC7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44617F8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3000" w:type="dxa"/>
            <w:tcBorders>
              <w:top w:val="nil"/>
              <w:left w:val="nil"/>
              <w:bottom w:val="single" w:sz="4" w:space="0" w:color="auto"/>
              <w:right w:val="single" w:sz="4" w:space="0" w:color="auto"/>
            </w:tcBorders>
            <w:noWrap/>
            <w:vAlign w:val="bottom"/>
          </w:tcPr>
          <w:p w14:paraId="6B66DA0F"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w:t>
            </w:r>
          </w:p>
        </w:tc>
      </w:tr>
      <w:tr w:rsidR="00AD62CD" w:rsidRPr="00AD62CD" w14:paraId="5A8846A8" w14:textId="77777777" w:rsidTr="003627DF">
        <w:trPr>
          <w:trHeight w:val="255"/>
        </w:trPr>
        <w:tc>
          <w:tcPr>
            <w:tcW w:w="4950" w:type="dxa"/>
            <w:tcBorders>
              <w:top w:val="nil"/>
              <w:left w:val="single" w:sz="8" w:space="0" w:color="auto"/>
              <w:bottom w:val="single" w:sz="8" w:space="0" w:color="auto"/>
              <w:right w:val="single" w:sz="8" w:space="0" w:color="auto"/>
            </w:tcBorders>
            <w:shd w:val="clear" w:color="auto" w:fill="auto"/>
            <w:vAlign w:val="center"/>
          </w:tcPr>
          <w:p w14:paraId="176D1714"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Prijaté úvery, pôžičky a návratné finančné výpomoci (500)</w:t>
            </w:r>
          </w:p>
        </w:tc>
        <w:tc>
          <w:tcPr>
            <w:tcW w:w="1500" w:type="dxa"/>
            <w:tcBorders>
              <w:top w:val="nil"/>
              <w:left w:val="nil"/>
              <w:bottom w:val="single" w:sz="8" w:space="0" w:color="auto"/>
              <w:right w:val="single" w:sz="8" w:space="0" w:color="auto"/>
            </w:tcBorders>
            <w:shd w:val="clear" w:color="000000" w:fill="FFFF99"/>
            <w:vAlign w:val="center"/>
          </w:tcPr>
          <w:p w14:paraId="4F1B1DD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5E5507E4"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7F1C8B8B"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1500" w:type="dxa"/>
            <w:tcBorders>
              <w:top w:val="nil"/>
              <w:left w:val="nil"/>
              <w:bottom w:val="single" w:sz="8" w:space="0" w:color="auto"/>
              <w:right w:val="single" w:sz="8" w:space="0" w:color="auto"/>
            </w:tcBorders>
            <w:shd w:val="clear" w:color="000000" w:fill="FFFF99"/>
            <w:vAlign w:val="center"/>
          </w:tcPr>
          <w:p w14:paraId="05224BE9"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p>
        </w:tc>
        <w:tc>
          <w:tcPr>
            <w:tcW w:w="3000" w:type="dxa"/>
            <w:tcBorders>
              <w:top w:val="nil"/>
              <w:left w:val="nil"/>
              <w:bottom w:val="single" w:sz="4" w:space="0" w:color="auto"/>
              <w:right w:val="single" w:sz="4" w:space="0" w:color="auto"/>
            </w:tcBorders>
            <w:noWrap/>
            <w:vAlign w:val="bottom"/>
          </w:tcPr>
          <w:p w14:paraId="0FC6D93A"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w:t>
            </w:r>
          </w:p>
        </w:tc>
      </w:tr>
      <w:tr w:rsidR="00AD62CD" w:rsidRPr="00AD62CD" w14:paraId="52992F4E" w14:textId="77777777" w:rsidTr="003627DF">
        <w:trPr>
          <w:trHeight w:val="255"/>
        </w:trPr>
        <w:tc>
          <w:tcPr>
            <w:tcW w:w="4950" w:type="dxa"/>
            <w:tcBorders>
              <w:top w:val="nil"/>
              <w:left w:val="single" w:sz="8" w:space="0" w:color="auto"/>
              <w:bottom w:val="single" w:sz="8" w:space="0" w:color="auto"/>
              <w:right w:val="single" w:sz="8" w:space="0" w:color="auto"/>
            </w:tcBorders>
            <w:shd w:val="clear" w:color="000000" w:fill="BFBFBF"/>
            <w:vAlign w:val="center"/>
          </w:tcPr>
          <w:p w14:paraId="390B8AE6" w14:textId="77777777" w:rsidR="00AD62CD" w:rsidRPr="00AD62CD" w:rsidRDefault="00AD62CD" w:rsidP="00AD62CD">
            <w:pPr>
              <w:spacing w:after="0" w:line="276" w:lineRule="auto"/>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Dopad na príjmy štátneho rozpočtu celkom</w:t>
            </w:r>
          </w:p>
        </w:tc>
        <w:tc>
          <w:tcPr>
            <w:tcW w:w="1500" w:type="dxa"/>
            <w:tcBorders>
              <w:top w:val="nil"/>
              <w:left w:val="nil"/>
              <w:bottom w:val="single" w:sz="8" w:space="0" w:color="auto"/>
              <w:right w:val="single" w:sz="8" w:space="0" w:color="auto"/>
            </w:tcBorders>
            <w:shd w:val="clear" w:color="000000" w:fill="BFBFBF"/>
            <w:vAlign w:val="center"/>
          </w:tcPr>
          <w:p w14:paraId="0ADC7AAA" w14:textId="77777777" w:rsidR="00AD62CD" w:rsidRPr="00AD62CD" w:rsidRDefault="00AD62CD" w:rsidP="00AD62CD">
            <w:pPr>
              <w:spacing w:after="0" w:line="276" w:lineRule="auto"/>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0</w:t>
            </w:r>
          </w:p>
        </w:tc>
        <w:tc>
          <w:tcPr>
            <w:tcW w:w="1500" w:type="dxa"/>
            <w:tcBorders>
              <w:top w:val="nil"/>
              <w:left w:val="nil"/>
              <w:bottom w:val="single" w:sz="8" w:space="0" w:color="auto"/>
              <w:right w:val="single" w:sz="8" w:space="0" w:color="auto"/>
            </w:tcBorders>
            <w:shd w:val="clear" w:color="000000" w:fill="BFBFBF"/>
            <w:vAlign w:val="center"/>
          </w:tcPr>
          <w:p w14:paraId="475A8ED2"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136 982 000</w:t>
            </w:r>
          </w:p>
        </w:tc>
        <w:tc>
          <w:tcPr>
            <w:tcW w:w="1500" w:type="dxa"/>
            <w:tcBorders>
              <w:top w:val="nil"/>
              <w:left w:val="nil"/>
              <w:bottom w:val="single" w:sz="8" w:space="0" w:color="auto"/>
              <w:right w:val="single" w:sz="8" w:space="0" w:color="auto"/>
            </w:tcBorders>
            <w:shd w:val="clear" w:color="000000" w:fill="BFBFBF"/>
            <w:vAlign w:val="center"/>
          </w:tcPr>
          <w:p w14:paraId="7825D791"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143 530 000</w:t>
            </w:r>
          </w:p>
        </w:tc>
        <w:tc>
          <w:tcPr>
            <w:tcW w:w="1500" w:type="dxa"/>
            <w:tcBorders>
              <w:top w:val="nil"/>
              <w:left w:val="nil"/>
              <w:bottom w:val="single" w:sz="8" w:space="0" w:color="auto"/>
              <w:right w:val="single" w:sz="8" w:space="0" w:color="auto"/>
            </w:tcBorders>
            <w:shd w:val="clear" w:color="000000" w:fill="BFBFBF"/>
            <w:vAlign w:val="center"/>
          </w:tcPr>
          <w:p w14:paraId="5ECBC83D" w14:textId="77777777" w:rsidR="00AD62CD" w:rsidRPr="00AD62CD" w:rsidRDefault="00AD62CD" w:rsidP="00AD62CD">
            <w:pPr>
              <w:spacing w:after="0" w:line="276" w:lineRule="auto"/>
              <w:ind w:hanging="143"/>
              <w:jc w:val="right"/>
              <w:rPr>
                <w:rFonts w:ascii="Times New Roman" w:eastAsia="Calibri" w:hAnsi="Times New Roman" w:cs="Times New Roman"/>
                <w:b/>
                <w:bCs/>
                <w:color w:val="000000"/>
                <w:kern w:val="0"/>
                <w:sz w:val="20"/>
                <w:szCs w:val="20"/>
                <w14:ligatures w14:val="none"/>
              </w:rPr>
            </w:pPr>
            <w:r w:rsidRPr="00AD62CD">
              <w:rPr>
                <w:rFonts w:ascii="Times New Roman" w:eastAsia="Calibri" w:hAnsi="Times New Roman" w:cs="Times New Roman"/>
                <w:b/>
                <w:bCs/>
                <w:color w:val="000000"/>
                <w:kern w:val="0"/>
                <w:sz w:val="20"/>
                <w:szCs w:val="20"/>
                <w14:ligatures w14:val="none"/>
              </w:rPr>
              <w:t>151 168 000</w:t>
            </w:r>
          </w:p>
        </w:tc>
        <w:tc>
          <w:tcPr>
            <w:tcW w:w="3000" w:type="dxa"/>
            <w:tcBorders>
              <w:top w:val="nil"/>
              <w:left w:val="nil"/>
              <w:bottom w:val="single" w:sz="4" w:space="0" w:color="auto"/>
              <w:right w:val="single" w:sz="4" w:space="0" w:color="auto"/>
            </w:tcBorders>
            <w:noWrap/>
            <w:vAlign w:val="bottom"/>
          </w:tcPr>
          <w:p w14:paraId="4ACDC206" w14:textId="77777777" w:rsidR="00AD62CD" w:rsidRPr="00AD62CD" w:rsidRDefault="00AD62CD" w:rsidP="00AD62CD">
            <w:pPr>
              <w:spacing w:after="0" w:line="240" w:lineRule="auto"/>
              <w:rPr>
                <w:rFonts w:ascii="Times New Roman" w:eastAsia="Calibri" w:hAnsi="Times New Roman" w:cs="Times New Roman"/>
                <w:kern w:val="0"/>
                <w:sz w:val="20"/>
                <w:szCs w:val="20"/>
                <w:lang w:eastAsia="sk-SK"/>
                <w14:ligatures w14:val="none"/>
              </w:rPr>
            </w:pPr>
            <w:r w:rsidRPr="00AD62CD">
              <w:rPr>
                <w:rFonts w:ascii="Times New Roman" w:eastAsia="Calibri" w:hAnsi="Times New Roman" w:cs="Times New Roman"/>
                <w:kern w:val="0"/>
                <w:sz w:val="20"/>
                <w:szCs w:val="20"/>
                <w:lang w:eastAsia="sk-SK"/>
                <w14:ligatures w14:val="none"/>
              </w:rPr>
              <w:t> </w:t>
            </w:r>
          </w:p>
        </w:tc>
      </w:tr>
    </w:tbl>
    <w:p w14:paraId="59B895FB"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195EA570"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5EFD78B3" w14:textId="77777777" w:rsidR="00AD62CD" w:rsidRPr="00AD62CD" w:rsidRDefault="00AD62CD" w:rsidP="00AD62CD">
      <w:pPr>
        <w:spacing w:after="200" w:line="276" w:lineRule="auto"/>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br w:type="page"/>
      </w:r>
    </w:p>
    <w:p w14:paraId="3D0C6204"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1F18F804"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tbl>
      <w:tblPr>
        <w:tblW w:w="10820" w:type="dxa"/>
        <w:tblCellMar>
          <w:left w:w="70" w:type="dxa"/>
          <w:right w:w="70" w:type="dxa"/>
        </w:tblCellMar>
        <w:tblLook w:val="04A0" w:firstRow="1" w:lastRow="0" w:firstColumn="1" w:lastColumn="0" w:noHBand="0" w:noVBand="1"/>
      </w:tblPr>
      <w:tblGrid>
        <w:gridCol w:w="3858"/>
        <w:gridCol w:w="1264"/>
        <w:gridCol w:w="1428"/>
        <w:gridCol w:w="1428"/>
        <w:gridCol w:w="1431"/>
        <w:gridCol w:w="1411"/>
      </w:tblGrid>
      <w:tr w:rsidR="00AD62CD" w:rsidRPr="00AD62CD" w14:paraId="14926923" w14:textId="77777777" w:rsidTr="003627DF">
        <w:trPr>
          <w:trHeight w:val="243"/>
        </w:trPr>
        <w:tc>
          <w:tcPr>
            <w:tcW w:w="385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BEF6CA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obcí (v eurách)</w:t>
            </w:r>
          </w:p>
        </w:tc>
        <w:tc>
          <w:tcPr>
            <w:tcW w:w="5551" w:type="dxa"/>
            <w:gridSpan w:val="4"/>
            <w:tcBorders>
              <w:top w:val="single" w:sz="8" w:space="0" w:color="auto"/>
              <w:left w:val="nil"/>
              <w:bottom w:val="single" w:sz="8" w:space="0" w:color="auto"/>
              <w:right w:val="single" w:sz="8" w:space="0" w:color="000000"/>
            </w:tcBorders>
            <w:shd w:val="clear" w:color="000000" w:fill="BFBFBF"/>
            <w:vAlign w:val="center"/>
            <w:hideMark/>
          </w:tcPr>
          <w:p w14:paraId="4B27E2D0"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obcí</w:t>
            </w:r>
          </w:p>
        </w:tc>
        <w:tc>
          <w:tcPr>
            <w:tcW w:w="1411"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54351C7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639A6A16" w14:textId="77777777" w:rsidTr="003627DF">
        <w:trPr>
          <w:trHeight w:val="243"/>
        </w:trPr>
        <w:tc>
          <w:tcPr>
            <w:tcW w:w="3858" w:type="dxa"/>
            <w:vMerge/>
            <w:tcBorders>
              <w:top w:val="single" w:sz="8" w:space="0" w:color="auto"/>
              <w:left w:val="single" w:sz="8" w:space="0" w:color="auto"/>
              <w:bottom w:val="single" w:sz="8" w:space="0" w:color="000000"/>
              <w:right w:val="single" w:sz="8" w:space="0" w:color="auto"/>
            </w:tcBorders>
            <w:vAlign w:val="center"/>
            <w:hideMark/>
          </w:tcPr>
          <w:p w14:paraId="4FD81E02"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264" w:type="dxa"/>
            <w:tcBorders>
              <w:top w:val="nil"/>
              <w:left w:val="nil"/>
              <w:bottom w:val="single" w:sz="8" w:space="0" w:color="auto"/>
              <w:right w:val="single" w:sz="8" w:space="0" w:color="auto"/>
            </w:tcBorders>
            <w:shd w:val="clear" w:color="000000" w:fill="BFBFBF"/>
            <w:vAlign w:val="center"/>
            <w:hideMark/>
          </w:tcPr>
          <w:p w14:paraId="310418B5"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2025</w:t>
            </w:r>
          </w:p>
        </w:tc>
        <w:tc>
          <w:tcPr>
            <w:tcW w:w="1428" w:type="dxa"/>
            <w:tcBorders>
              <w:top w:val="nil"/>
              <w:left w:val="nil"/>
              <w:bottom w:val="single" w:sz="8" w:space="0" w:color="auto"/>
              <w:right w:val="single" w:sz="8" w:space="0" w:color="auto"/>
            </w:tcBorders>
            <w:shd w:val="clear" w:color="000000" w:fill="BFBFBF"/>
            <w:vAlign w:val="center"/>
            <w:hideMark/>
          </w:tcPr>
          <w:p w14:paraId="0534936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2026</w:t>
            </w:r>
          </w:p>
        </w:tc>
        <w:tc>
          <w:tcPr>
            <w:tcW w:w="1428" w:type="dxa"/>
            <w:tcBorders>
              <w:top w:val="nil"/>
              <w:left w:val="nil"/>
              <w:bottom w:val="single" w:sz="8" w:space="0" w:color="auto"/>
              <w:right w:val="single" w:sz="8" w:space="0" w:color="auto"/>
            </w:tcBorders>
            <w:shd w:val="clear" w:color="000000" w:fill="BFBFBF"/>
            <w:vAlign w:val="center"/>
            <w:hideMark/>
          </w:tcPr>
          <w:p w14:paraId="4D077A02"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2027</w:t>
            </w:r>
          </w:p>
        </w:tc>
        <w:tc>
          <w:tcPr>
            <w:tcW w:w="1431" w:type="dxa"/>
            <w:tcBorders>
              <w:top w:val="nil"/>
              <w:left w:val="nil"/>
              <w:bottom w:val="single" w:sz="8" w:space="0" w:color="auto"/>
              <w:right w:val="single" w:sz="8" w:space="0" w:color="auto"/>
            </w:tcBorders>
            <w:shd w:val="clear" w:color="000000" w:fill="BFBFBF"/>
            <w:vAlign w:val="center"/>
            <w:hideMark/>
          </w:tcPr>
          <w:p w14:paraId="32E0834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2028</w:t>
            </w:r>
          </w:p>
        </w:tc>
        <w:tc>
          <w:tcPr>
            <w:tcW w:w="1411" w:type="dxa"/>
            <w:vMerge/>
            <w:tcBorders>
              <w:top w:val="single" w:sz="8" w:space="0" w:color="auto"/>
              <w:left w:val="single" w:sz="8" w:space="0" w:color="auto"/>
              <w:bottom w:val="single" w:sz="8" w:space="0" w:color="000000"/>
              <w:right w:val="single" w:sz="8" w:space="0" w:color="auto"/>
            </w:tcBorders>
            <w:vAlign w:val="center"/>
            <w:hideMark/>
          </w:tcPr>
          <w:p w14:paraId="6A1931D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r>
      <w:tr w:rsidR="00AD62CD" w:rsidRPr="00AD62CD" w14:paraId="39146355" w14:textId="77777777" w:rsidTr="003627DF">
        <w:trPr>
          <w:trHeight w:val="287"/>
        </w:trPr>
        <w:tc>
          <w:tcPr>
            <w:tcW w:w="3858" w:type="dxa"/>
            <w:tcBorders>
              <w:top w:val="nil"/>
              <w:left w:val="single" w:sz="8" w:space="0" w:color="auto"/>
              <w:bottom w:val="single" w:sz="8" w:space="0" w:color="auto"/>
              <w:right w:val="single" w:sz="8" w:space="0" w:color="auto"/>
            </w:tcBorders>
            <w:shd w:val="clear" w:color="auto" w:fill="auto"/>
            <w:vAlign w:val="center"/>
            <w:hideMark/>
          </w:tcPr>
          <w:p w14:paraId="35E4AB6E"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4" w:type="dxa"/>
            <w:tcBorders>
              <w:top w:val="nil"/>
              <w:left w:val="nil"/>
              <w:bottom w:val="single" w:sz="8" w:space="0" w:color="auto"/>
              <w:right w:val="single" w:sz="8" w:space="0" w:color="auto"/>
            </w:tcBorders>
            <w:shd w:val="clear" w:color="auto" w:fill="auto"/>
            <w:vAlign w:val="center"/>
            <w:hideMark/>
          </w:tcPr>
          <w:p w14:paraId="209161D8"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8" w:type="dxa"/>
            <w:tcBorders>
              <w:top w:val="nil"/>
              <w:left w:val="nil"/>
              <w:bottom w:val="single" w:sz="8" w:space="0" w:color="auto"/>
              <w:right w:val="single" w:sz="8" w:space="0" w:color="auto"/>
            </w:tcBorders>
            <w:shd w:val="clear" w:color="auto" w:fill="auto"/>
            <w:vAlign w:val="center"/>
            <w:hideMark/>
          </w:tcPr>
          <w:p w14:paraId="04636EDE"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-95 887 000</w:t>
            </w:r>
          </w:p>
        </w:tc>
        <w:tc>
          <w:tcPr>
            <w:tcW w:w="1428" w:type="dxa"/>
            <w:tcBorders>
              <w:top w:val="nil"/>
              <w:left w:val="nil"/>
              <w:bottom w:val="single" w:sz="8" w:space="0" w:color="auto"/>
              <w:right w:val="single" w:sz="8" w:space="0" w:color="auto"/>
            </w:tcBorders>
            <w:shd w:val="clear" w:color="auto" w:fill="auto"/>
            <w:vAlign w:val="center"/>
            <w:hideMark/>
          </w:tcPr>
          <w:p w14:paraId="75A0F47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-100 471 000</w:t>
            </w:r>
          </w:p>
        </w:tc>
        <w:tc>
          <w:tcPr>
            <w:tcW w:w="1431" w:type="dxa"/>
            <w:tcBorders>
              <w:top w:val="nil"/>
              <w:left w:val="nil"/>
              <w:bottom w:val="single" w:sz="8" w:space="0" w:color="auto"/>
              <w:right w:val="single" w:sz="8" w:space="0" w:color="auto"/>
            </w:tcBorders>
            <w:shd w:val="clear" w:color="auto" w:fill="auto"/>
            <w:vAlign w:val="center"/>
            <w:hideMark/>
          </w:tcPr>
          <w:p w14:paraId="3AD0684E"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-105 818 000</w:t>
            </w:r>
          </w:p>
        </w:tc>
        <w:tc>
          <w:tcPr>
            <w:tcW w:w="1411" w:type="dxa"/>
            <w:tcBorders>
              <w:top w:val="nil"/>
              <w:left w:val="nil"/>
              <w:bottom w:val="single" w:sz="8" w:space="0" w:color="auto"/>
              <w:right w:val="single" w:sz="8" w:space="0" w:color="auto"/>
            </w:tcBorders>
            <w:shd w:val="clear" w:color="auto" w:fill="auto"/>
            <w:noWrap/>
            <w:vAlign w:val="center"/>
            <w:hideMark/>
          </w:tcPr>
          <w:p w14:paraId="683E4CC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4063198F" w14:textId="77777777" w:rsidTr="003627DF">
        <w:trPr>
          <w:trHeight w:val="243"/>
        </w:trPr>
        <w:tc>
          <w:tcPr>
            <w:tcW w:w="3858" w:type="dxa"/>
            <w:tcBorders>
              <w:top w:val="nil"/>
              <w:left w:val="single" w:sz="8" w:space="0" w:color="auto"/>
              <w:bottom w:val="single" w:sz="8" w:space="0" w:color="auto"/>
              <w:right w:val="single" w:sz="8" w:space="0" w:color="auto"/>
            </w:tcBorders>
            <w:shd w:val="clear" w:color="auto" w:fill="auto"/>
            <w:noWrap/>
            <w:vAlign w:val="center"/>
            <w:hideMark/>
          </w:tcPr>
          <w:p w14:paraId="5E338314" w14:textId="77777777" w:rsidR="00AD62CD" w:rsidRPr="00AD62CD" w:rsidRDefault="00AD62CD" w:rsidP="00AD62CD">
            <w:pPr>
              <w:spacing w:after="0" w:line="240" w:lineRule="auto"/>
              <w:ind w:firstLineChars="100" w:firstLine="2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264" w:type="dxa"/>
            <w:tcBorders>
              <w:top w:val="nil"/>
              <w:left w:val="nil"/>
              <w:bottom w:val="single" w:sz="8" w:space="0" w:color="auto"/>
              <w:right w:val="single" w:sz="8" w:space="0" w:color="auto"/>
            </w:tcBorders>
            <w:shd w:val="clear" w:color="auto" w:fill="auto"/>
            <w:vAlign w:val="center"/>
            <w:hideMark/>
          </w:tcPr>
          <w:p w14:paraId="79386FE0"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428" w:type="dxa"/>
            <w:tcBorders>
              <w:top w:val="nil"/>
              <w:left w:val="nil"/>
              <w:bottom w:val="single" w:sz="8" w:space="0" w:color="auto"/>
              <w:right w:val="single" w:sz="8" w:space="0" w:color="auto"/>
            </w:tcBorders>
            <w:shd w:val="clear" w:color="auto" w:fill="auto"/>
            <w:vAlign w:val="center"/>
            <w:hideMark/>
          </w:tcPr>
          <w:p w14:paraId="0528EDDF"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-95 887 000</w:t>
            </w:r>
          </w:p>
        </w:tc>
        <w:tc>
          <w:tcPr>
            <w:tcW w:w="1428" w:type="dxa"/>
            <w:tcBorders>
              <w:top w:val="nil"/>
              <w:left w:val="nil"/>
              <w:bottom w:val="single" w:sz="8" w:space="0" w:color="auto"/>
              <w:right w:val="single" w:sz="8" w:space="0" w:color="auto"/>
            </w:tcBorders>
            <w:shd w:val="clear" w:color="auto" w:fill="auto"/>
            <w:vAlign w:val="center"/>
            <w:hideMark/>
          </w:tcPr>
          <w:p w14:paraId="0E3A437B"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-100 471 000</w:t>
            </w:r>
          </w:p>
        </w:tc>
        <w:tc>
          <w:tcPr>
            <w:tcW w:w="1431" w:type="dxa"/>
            <w:tcBorders>
              <w:top w:val="nil"/>
              <w:left w:val="nil"/>
              <w:bottom w:val="single" w:sz="8" w:space="0" w:color="auto"/>
              <w:right w:val="single" w:sz="8" w:space="0" w:color="auto"/>
            </w:tcBorders>
            <w:shd w:val="clear" w:color="auto" w:fill="auto"/>
            <w:vAlign w:val="center"/>
            <w:hideMark/>
          </w:tcPr>
          <w:p w14:paraId="6C3B7363"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-105 818 000</w:t>
            </w:r>
          </w:p>
        </w:tc>
        <w:tc>
          <w:tcPr>
            <w:tcW w:w="1411" w:type="dxa"/>
            <w:tcBorders>
              <w:top w:val="nil"/>
              <w:left w:val="nil"/>
              <w:bottom w:val="single" w:sz="8" w:space="0" w:color="auto"/>
              <w:right w:val="single" w:sz="8" w:space="0" w:color="auto"/>
            </w:tcBorders>
            <w:shd w:val="clear" w:color="auto" w:fill="auto"/>
            <w:noWrap/>
            <w:vAlign w:val="center"/>
            <w:hideMark/>
          </w:tcPr>
          <w:p w14:paraId="3FC6958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1427A27F" w14:textId="77777777" w:rsidTr="003627DF">
        <w:trPr>
          <w:trHeight w:val="287"/>
        </w:trPr>
        <w:tc>
          <w:tcPr>
            <w:tcW w:w="3858" w:type="dxa"/>
            <w:tcBorders>
              <w:top w:val="nil"/>
              <w:left w:val="single" w:sz="8" w:space="0" w:color="auto"/>
              <w:bottom w:val="single" w:sz="8" w:space="0" w:color="auto"/>
              <w:right w:val="single" w:sz="8" w:space="0" w:color="auto"/>
            </w:tcBorders>
            <w:shd w:val="clear" w:color="auto" w:fill="auto"/>
            <w:vAlign w:val="center"/>
            <w:hideMark/>
          </w:tcPr>
          <w:p w14:paraId="34D861A9"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264" w:type="dxa"/>
            <w:tcBorders>
              <w:top w:val="nil"/>
              <w:left w:val="nil"/>
              <w:bottom w:val="single" w:sz="8" w:space="0" w:color="auto"/>
              <w:right w:val="single" w:sz="8" w:space="0" w:color="auto"/>
            </w:tcBorders>
            <w:shd w:val="clear" w:color="auto" w:fill="auto"/>
            <w:vAlign w:val="center"/>
            <w:hideMark/>
          </w:tcPr>
          <w:p w14:paraId="6C275AA5"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8" w:type="dxa"/>
            <w:tcBorders>
              <w:top w:val="nil"/>
              <w:left w:val="nil"/>
              <w:bottom w:val="single" w:sz="8" w:space="0" w:color="auto"/>
              <w:right w:val="single" w:sz="8" w:space="0" w:color="auto"/>
            </w:tcBorders>
            <w:shd w:val="clear" w:color="auto" w:fill="auto"/>
            <w:vAlign w:val="center"/>
            <w:hideMark/>
          </w:tcPr>
          <w:p w14:paraId="3CCD6C5E"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8" w:type="dxa"/>
            <w:tcBorders>
              <w:top w:val="nil"/>
              <w:left w:val="nil"/>
              <w:bottom w:val="single" w:sz="8" w:space="0" w:color="auto"/>
              <w:right w:val="single" w:sz="8" w:space="0" w:color="auto"/>
            </w:tcBorders>
            <w:shd w:val="clear" w:color="auto" w:fill="auto"/>
            <w:vAlign w:val="center"/>
            <w:hideMark/>
          </w:tcPr>
          <w:p w14:paraId="2FC338E0"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31" w:type="dxa"/>
            <w:tcBorders>
              <w:top w:val="nil"/>
              <w:left w:val="nil"/>
              <w:bottom w:val="single" w:sz="8" w:space="0" w:color="auto"/>
              <w:right w:val="single" w:sz="8" w:space="0" w:color="auto"/>
            </w:tcBorders>
            <w:shd w:val="clear" w:color="auto" w:fill="auto"/>
            <w:vAlign w:val="center"/>
            <w:hideMark/>
          </w:tcPr>
          <w:p w14:paraId="6F69C456"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11" w:type="dxa"/>
            <w:tcBorders>
              <w:top w:val="nil"/>
              <w:left w:val="nil"/>
              <w:bottom w:val="single" w:sz="8" w:space="0" w:color="auto"/>
              <w:right w:val="single" w:sz="8" w:space="0" w:color="auto"/>
            </w:tcBorders>
            <w:shd w:val="clear" w:color="auto" w:fill="auto"/>
            <w:noWrap/>
            <w:vAlign w:val="center"/>
            <w:hideMark/>
          </w:tcPr>
          <w:p w14:paraId="479E04B6"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138F696" w14:textId="77777777" w:rsidTr="003627DF">
        <w:trPr>
          <w:trHeight w:val="476"/>
        </w:trPr>
        <w:tc>
          <w:tcPr>
            <w:tcW w:w="3858" w:type="dxa"/>
            <w:tcBorders>
              <w:top w:val="nil"/>
              <w:left w:val="single" w:sz="8" w:space="0" w:color="auto"/>
              <w:bottom w:val="single" w:sz="8" w:space="0" w:color="auto"/>
              <w:right w:val="single" w:sz="8" w:space="0" w:color="auto"/>
            </w:tcBorders>
            <w:shd w:val="clear" w:color="auto" w:fill="auto"/>
            <w:vAlign w:val="center"/>
            <w:hideMark/>
          </w:tcPr>
          <w:p w14:paraId="4F919696"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264" w:type="dxa"/>
            <w:tcBorders>
              <w:top w:val="nil"/>
              <w:left w:val="nil"/>
              <w:bottom w:val="single" w:sz="8" w:space="0" w:color="auto"/>
              <w:right w:val="single" w:sz="8" w:space="0" w:color="auto"/>
            </w:tcBorders>
            <w:shd w:val="clear" w:color="auto" w:fill="auto"/>
            <w:vAlign w:val="center"/>
            <w:hideMark/>
          </w:tcPr>
          <w:p w14:paraId="1F4AD807"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428" w:type="dxa"/>
            <w:tcBorders>
              <w:top w:val="nil"/>
              <w:left w:val="nil"/>
              <w:bottom w:val="single" w:sz="8" w:space="0" w:color="auto"/>
              <w:right w:val="single" w:sz="8" w:space="0" w:color="auto"/>
            </w:tcBorders>
            <w:shd w:val="clear" w:color="auto" w:fill="auto"/>
            <w:vAlign w:val="center"/>
            <w:hideMark/>
          </w:tcPr>
          <w:p w14:paraId="154E4EB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428" w:type="dxa"/>
            <w:tcBorders>
              <w:top w:val="nil"/>
              <w:left w:val="nil"/>
              <w:bottom w:val="single" w:sz="8" w:space="0" w:color="auto"/>
              <w:right w:val="single" w:sz="8" w:space="0" w:color="auto"/>
            </w:tcBorders>
            <w:shd w:val="clear" w:color="auto" w:fill="auto"/>
            <w:vAlign w:val="center"/>
            <w:hideMark/>
          </w:tcPr>
          <w:p w14:paraId="782EE24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431" w:type="dxa"/>
            <w:tcBorders>
              <w:top w:val="nil"/>
              <w:left w:val="nil"/>
              <w:bottom w:val="single" w:sz="8" w:space="0" w:color="auto"/>
              <w:right w:val="single" w:sz="8" w:space="0" w:color="auto"/>
            </w:tcBorders>
            <w:shd w:val="clear" w:color="auto" w:fill="auto"/>
            <w:vAlign w:val="center"/>
            <w:hideMark/>
          </w:tcPr>
          <w:p w14:paraId="39AC8EAC"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411" w:type="dxa"/>
            <w:tcBorders>
              <w:top w:val="nil"/>
              <w:left w:val="nil"/>
              <w:bottom w:val="single" w:sz="8" w:space="0" w:color="auto"/>
              <w:right w:val="single" w:sz="8" w:space="0" w:color="auto"/>
            </w:tcBorders>
            <w:shd w:val="clear" w:color="auto" w:fill="auto"/>
            <w:noWrap/>
            <w:vAlign w:val="center"/>
            <w:hideMark/>
          </w:tcPr>
          <w:p w14:paraId="2BEA292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A29FA35" w14:textId="77777777" w:rsidTr="003627DF">
        <w:trPr>
          <w:trHeight w:val="476"/>
        </w:trPr>
        <w:tc>
          <w:tcPr>
            <w:tcW w:w="3858" w:type="dxa"/>
            <w:tcBorders>
              <w:top w:val="nil"/>
              <w:left w:val="single" w:sz="8" w:space="0" w:color="auto"/>
              <w:bottom w:val="single" w:sz="8" w:space="0" w:color="auto"/>
              <w:right w:val="single" w:sz="8" w:space="0" w:color="auto"/>
            </w:tcBorders>
            <w:shd w:val="clear" w:color="auto" w:fill="auto"/>
            <w:vAlign w:val="center"/>
            <w:hideMark/>
          </w:tcPr>
          <w:p w14:paraId="1158AE4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264" w:type="dxa"/>
            <w:tcBorders>
              <w:top w:val="nil"/>
              <w:left w:val="nil"/>
              <w:bottom w:val="single" w:sz="8" w:space="0" w:color="auto"/>
              <w:right w:val="single" w:sz="8" w:space="0" w:color="auto"/>
            </w:tcBorders>
            <w:shd w:val="clear" w:color="auto" w:fill="auto"/>
            <w:vAlign w:val="center"/>
            <w:hideMark/>
          </w:tcPr>
          <w:p w14:paraId="1222FF8A"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428" w:type="dxa"/>
            <w:tcBorders>
              <w:top w:val="nil"/>
              <w:left w:val="nil"/>
              <w:bottom w:val="single" w:sz="8" w:space="0" w:color="auto"/>
              <w:right w:val="single" w:sz="8" w:space="0" w:color="auto"/>
            </w:tcBorders>
            <w:shd w:val="clear" w:color="auto" w:fill="auto"/>
            <w:vAlign w:val="center"/>
            <w:hideMark/>
          </w:tcPr>
          <w:p w14:paraId="63B1FC84"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428" w:type="dxa"/>
            <w:tcBorders>
              <w:top w:val="nil"/>
              <w:left w:val="nil"/>
              <w:bottom w:val="single" w:sz="8" w:space="0" w:color="auto"/>
              <w:right w:val="single" w:sz="8" w:space="0" w:color="auto"/>
            </w:tcBorders>
            <w:shd w:val="clear" w:color="auto" w:fill="auto"/>
            <w:vAlign w:val="center"/>
            <w:hideMark/>
          </w:tcPr>
          <w:p w14:paraId="3E313450"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431" w:type="dxa"/>
            <w:tcBorders>
              <w:top w:val="nil"/>
              <w:left w:val="nil"/>
              <w:bottom w:val="single" w:sz="8" w:space="0" w:color="auto"/>
              <w:right w:val="single" w:sz="8" w:space="0" w:color="auto"/>
            </w:tcBorders>
            <w:shd w:val="clear" w:color="auto" w:fill="auto"/>
            <w:vAlign w:val="center"/>
            <w:hideMark/>
          </w:tcPr>
          <w:p w14:paraId="00B0AB2C"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411" w:type="dxa"/>
            <w:tcBorders>
              <w:top w:val="nil"/>
              <w:left w:val="nil"/>
              <w:bottom w:val="single" w:sz="8" w:space="0" w:color="auto"/>
              <w:right w:val="single" w:sz="8" w:space="0" w:color="auto"/>
            </w:tcBorders>
            <w:shd w:val="clear" w:color="auto" w:fill="auto"/>
            <w:noWrap/>
            <w:vAlign w:val="center"/>
            <w:hideMark/>
          </w:tcPr>
          <w:p w14:paraId="14A35CC0"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560019E3" w14:textId="77777777" w:rsidTr="003627DF">
        <w:trPr>
          <w:trHeight w:val="243"/>
        </w:trPr>
        <w:tc>
          <w:tcPr>
            <w:tcW w:w="3858" w:type="dxa"/>
            <w:tcBorders>
              <w:top w:val="nil"/>
              <w:left w:val="single" w:sz="8" w:space="0" w:color="auto"/>
              <w:bottom w:val="single" w:sz="8" w:space="0" w:color="auto"/>
              <w:right w:val="single" w:sz="8" w:space="0" w:color="auto"/>
            </w:tcBorders>
            <w:shd w:val="clear" w:color="000000" w:fill="BFBFBF"/>
            <w:vAlign w:val="center"/>
            <w:hideMark/>
          </w:tcPr>
          <w:p w14:paraId="17709B09"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Dopad na príjmy obcí</w:t>
            </w:r>
          </w:p>
        </w:tc>
        <w:tc>
          <w:tcPr>
            <w:tcW w:w="1264" w:type="dxa"/>
            <w:tcBorders>
              <w:top w:val="nil"/>
              <w:left w:val="nil"/>
              <w:bottom w:val="single" w:sz="8" w:space="0" w:color="auto"/>
              <w:right w:val="single" w:sz="8" w:space="0" w:color="auto"/>
            </w:tcBorders>
            <w:shd w:val="clear" w:color="000000" w:fill="BFBFBF"/>
            <w:vAlign w:val="center"/>
          </w:tcPr>
          <w:p w14:paraId="55F866E9"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428" w:type="dxa"/>
            <w:tcBorders>
              <w:top w:val="nil"/>
              <w:left w:val="nil"/>
              <w:bottom w:val="single" w:sz="8" w:space="0" w:color="auto"/>
              <w:right w:val="single" w:sz="8" w:space="0" w:color="auto"/>
            </w:tcBorders>
            <w:shd w:val="clear" w:color="000000" w:fill="BFBFBF"/>
            <w:vAlign w:val="center"/>
          </w:tcPr>
          <w:p w14:paraId="3590CCCA"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-95 887 000</w:t>
            </w:r>
          </w:p>
        </w:tc>
        <w:tc>
          <w:tcPr>
            <w:tcW w:w="1428" w:type="dxa"/>
            <w:tcBorders>
              <w:top w:val="nil"/>
              <w:left w:val="nil"/>
              <w:bottom w:val="single" w:sz="8" w:space="0" w:color="auto"/>
              <w:right w:val="single" w:sz="8" w:space="0" w:color="auto"/>
            </w:tcBorders>
            <w:shd w:val="clear" w:color="000000" w:fill="BFBFBF"/>
            <w:vAlign w:val="center"/>
            <w:hideMark/>
          </w:tcPr>
          <w:p w14:paraId="0F0D3A8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-100 471 000</w:t>
            </w:r>
          </w:p>
        </w:tc>
        <w:tc>
          <w:tcPr>
            <w:tcW w:w="1431" w:type="dxa"/>
            <w:tcBorders>
              <w:top w:val="nil"/>
              <w:left w:val="nil"/>
              <w:bottom w:val="single" w:sz="8" w:space="0" w:color="auto"/>
              <w:right w:val="single" w:sz="8" w:space="0" w:color="auto"/>
            </w:tcBorders>
            <w:shd w:val="clear" w:color="000000" w:fill="BFBFBF"/>
            <w:vAlign w:val="center"/>
            <w:hideMark/>
          </w:tcPr>
          <w:p w14:paraId="098BEC8C"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-105 818 000</w:t>
            </w:r>
          </w:p>
        </w:tc>
        <w:tc>
          <w:tcPr>
            <w:tcW w:w="1411" w:type="dxa"/>
            <w:tcBorders>
              <w:top w:val="nil"/>
              <w:left w:val="nil"/>
              <w:bottom w:val="single" w:sz="8" w:space="0" w:color="auto"/>
              <w:right w:val="single" w:sz="8" w:space="0" w:color="auto"/>
            </w:tcBorders>
            <w:shd w:val="clear" w:color="000000" w:fill="BFBFBF"/>
            <w:noWrap/>
            <w:vAlign w:val="center"/>
            <w:hideMark/>
          </w:tcPr>
          <w:p w14:paraId="57FE689C"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5CEE04E9"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323F4A9E" w14:textId="77777777" w:rsidR="00AD62CD" w:rsidRPr="00AD62CD" w:rsidRDefault="00AD62CD" w:rsidP="00AD62CD">
      <w:pPr>
        <w:spacing w:after="200" w:line="276" w:lineRule="auto"/>
        <w:rPr>
          <w:rFonts w:ascii="Times New Roman" w:eastAsia="Calibri" w:hAnsi="Times New Roman" w:cs="Times New Roman"/>
          <w:kern w:val="0"/>
          <w14:ligatures w14:val="none"/>
        </w:rPr>
      </w:pPr>
      <w:r w:rsidRPr="00AD62CD">
        <w:rPr>
          <w:rFonts w:ascii="Times New Roman" w:eastAsia="Calibri" w:hAnsi="Times New Roman" w:cs="Times New Roman"/>
          <w:kern w:val="0"/>
          <w14:ligatures w14:val="none"/>
        </w:rPr>
        <w:br w:type="page"/>
      </w:r>
    </w:p>
    <w:tbl>
      <w:tblPr>
        <w:tblW w:w="11933" w:type="dxa"/>
        <w:tblCellMar>
          <w:left w:w="70" w:type="dxa"/>
          <w:right w:w="70" w:type="dxa"/>
        </w:tblCellMar>
        <w:tblLook w:val="04A0" w:firstRow="1" w:lastRow="0" w:firstColumn="1" w:lastColumn="0" w:noHBand="0" w:noVBand="1"/>
      </w:tblPr>
      <w:tblGrid>
        <w:gridCol w:w="4255"/>
        <w:gridCol w:w="1394"/>
        <w:gridCol w:w="1575"/>
        <w:gridCol w:w="1575"/>
        <w:gridCol w:w="1577"/>
        <w:gridCol w:w="1557"/>
      </w:tblGrid>
      <w:tr w:rsidR="00AD62CD" w:rsidRPr="00AD62CD" w14:paraId="4736E73B" w14:textId="77777777" w:rsidTr="003627DF">
        <w:trPr>
          <w:trHeight w:val="292"/>
        </w:trPr>
        <w:tc>
          <w:tcPr>
            <w:tcW w:w="425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11E5F6C"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vyšších územných celkov (v eurách)</w:t>
            </w:r>
          </w:p>
        </w:tc>
        <w:tc>
          <w:tcPr>
            <w:tcW w:w="6121" w:type="dxa"/>
            <w:gridSpan w:val="4"/>
            <w:tcBorders>
              <w:top w:val="single" w:sz="8" w:space="0" w:color="auto"/>
              <w:left w:val="nil"/>
              <w:bottom w:val="single" w:sz="8" w:space="0" w:color="auto"/>
              <w:right w:val="single" w:sz="8" w:space="0" w:color="000000"/>
            </w:tcBorders>
            <w:shd w:val="clear" w:color="000000" w:fill="BFBFBF"/>
            <w:vAlign w:val="center"/>
            <w:hideMark/>
          </w:tcPr>
          <w:p w14:paraId="453F8BC6"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Vplyv na rozpočet vyšších územných celkov</w:t>
            </w:r>
          </w:p>
        </w:tc>
        <w:tc>
          <w:tcPr>
            <w:tcW w:w="1557"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31E20718"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poznámka</w:t>
            </w:r>
          </w:p>
        </w:tc>
      </w:tr>
      <w:tr w:rsidR="00AD62CD" w:rsidRPr="00AD62CD" w14:paraId="7E8B7074" w14:textId="77777777" w:rsidTr="003627DF">
        <w:trPr>
          <w:trHeight w:val="292"/>
        </w:trPr>
        <w:tc>
          <w:tcPr>
            <w:tcW w:w="4255" w:type="dxa"/>
            <w:vMerge/>
            <w:tcBorders>
              <w:top w:val="single" w:sz="8" w:space="0" w:color="auto"/>
              <w:left w:val="single" w:sz="8" w:space="0" w:color="auto"/>
              <w:bottom w:val="single" w:sz="8" w:space="0" w:color="000000"/>
              <w:right w:val="single" w:sz="8" w:space="0" w:color="auto"/>
            </w:tcBorders>
            <w:vAlign w:val="center"/>
            <w:hideMark/>
          </w:tcPr>
          <w:p w14:paraId="20518F2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c>
          <w:tcPr>
            <w:tcW w:w="1394" w:type="dxa"/>
            <w:tcBorders>
              <w:top w:val="nil"/>
              <w:left w:val="nil"/>
              <w:bottom w:val="single" w:sz="8" w:space="0" w:color="auto"/>
              <w:right w:val="single" w:sz="8" w:space="0" w:color="auto"/>
            </w:tcBorders>
            <w:shd w:val="clear" w:color="000000" w:fill="BFBFBF"/>
            <w:vAlign w:val="center"/>
            <w:hideMark/>
          </w:tcPr>
          <w:p w14:paraId="73EDF1BB"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2025</w:t>
            </w:r>
          </w:p>
        </w:tc>
        <w:tc>
          <w:tcPr>
            <w:tcW w:w="1575" w:type="dxa"/>
            <w:tcBorders>
              <w:top w:val="nil"/>
              <w:left w:val="nil"/>
              <w:bottom w:val="single" w:sz="8" w:space="0" w:color="auto"/>
              <w:right w:val="single" w:sz="8" w:space="0" w:color="auto"/>
            </w:tcBorders>
            <w:shd w:val="clear" w:color="000000" w:fill="BFBFBF"/>
            <w:vAlign w:val="center"/>
            <w:hideMark/>
          </w:tcPr>
          <w:p w14:paraId="0A5F8AF9"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2026</w:t>
            </w:r>
          </w:p>
        </w:tc>
        <w:tc>
          <w:tcPr>
            <w:tcW w:w="1575" w:type="dxa"/>
            <w:tcBorders>
              <w:top w:val="nil"/>
              <w:left w:val="nil"/>
              <w:bottom w:val="single" w:sz="8" w:space="0" w:color="auto"/>
              <w:right w:val="single" w:sz="8" w:space="0" w:color="auto"/>
            </w:tcBorders>
            <w:shd w:val="clear" w:color="000000" w:fill="BFBFBF"/>
            <w:vAlign w:val="center"/>
            <w:hideMark/>
          </w:tcPr>
          <w:p w14:paraId="0E6325A3"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2027</w:t>
            </w:r>
          </w:p>
        </w:tc>
        <w:tc>
          <w:tcPr>
            <w:tcW w:w="1577" w:type="dxa"/>
            <w:tcBorders>
              <w:top w:val="nil"/>
              <w:left w:val="nil"/>
              <w:bottom w:val="single" w:sz="8" w:space="0" w:color="auto"/>
              <w:right w:val="single" w:sz="8" w:space="0" w:color="auto"/>
            </w:tcBorders>
            <w:shd w:val="clear" w:color="000000" w:fill="BFBFBF"/>
            <w:vAlign w:val="center"/>
            <w:hideMark/>
          </w:tcPr>
          <w:p w14:paraId="0CA79404" w14:textId="77777777" w:rsidR="00AD62CD" w:rsidRPr="00AD62CD" w:rsidRDefault="00AD62CD" w:rsidP="00AD62CD">
            <w:pPr>
              <w:spacing w:after="0" w:line="240" w:lineRule="auto"/>
              <w:jc w:val="center"/>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2028</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13E620F7"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p>
        </w:tc>
      </w:tr>
      <w:tr w:rsidR="00AD62CD" w:rsidRPr="00AD62CD" w14:paraId="6AD095BE" w14:textId="77777777" w:rsidTr="003627DF">
        <w:trPr>
          <w:trHeight w:val="345"/>
        </w:trPr>
        <w:tc>
          <w:tcPr>
            <w:tcW w:w="4255" w:type="dxa"/>
            <w:tcBorders>
              <w:top w:val="nil"/>
              <w:left w:val="single" w:sz="8" w:space="0" w:color="auto"/>
              <w:bottom w:val="single" w:sz="8" w:space="0" w:color="auto"/>
              <w:right w:val="single" w:sz="8" w:space="0" w:color="auto"/>
            </w:tcBorders>
            <w:shd w:val="clear" w:color="auto" w:fill="auto"/>
            <w:vAlign w:val="center"/>
            <w:hideMark/>
          </w:tcPr>
          <w:p w14:paraId="46661258"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Daňové príjmy (100)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394" w:type="dxa"/>
            <w:tcBorders>
              <w:top w:val="nil"/>
              <w:left w:val="nil"/>
              <w:bottom w:val="single" w:sz="8" w:space="0" w:color="auto"/>
              <w:right w:val="single" w:sz="8" w:space="0" w:color="auto"/>
            </w:tcBorders>
            <w:shd w:val="clear" w:color="auto" w:fill="auto"/>
            <w:vAlign w:val="center"/>
            <w:hideMark/>
          </w:tcPr>
          <w:p w14:paraId="54DA8BB7"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575" w:type="dxa"/>
            <w:tcBorders>
              <w:top w:val="nil"/>
              <w:left w:val="nil"/>
              <w:bottom w:val="single" w:sz="8" w:space="0" w:color="auto"/>
              <w:right w:val="single" w:sz="8" w:space="0" w:color="auto"/>
            </w:tcBorders>
            <w:shd w:val="clear" w:color="auto" w:fill="auto"/>
            <w:vAlign w:val="center"/>
            <w:hideMark/>
          </w:tcPr>
          <w:p w14:paraId="5F2ECBD6"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highlight w:val="yellow"/>
                <w:lang w:eastAsia="sk-SK"/>
                <w14:ligatures w14:val="none"/>
              </w:rPr>
            </w:pPr>
            <w:r w:rsidRPr="00AD62CD">
              <w:rPr>
                <w:rFonts w:ascii="Times New Roman" w:eastAsia="Calibri" w:hAnsi="Times New Roman" w:cs="Times New Roman"/>
                <w:b/>
                <w:bCs/>
                <w:color w:val="000000"/>
                <w:kern w:val="0"/>
                <w:sz w:val="20"/>
                <w:szCs w:val="20"/>
                <w14:ligatures w14:val="none"/>
              </w:rPr>
              <w:t>-41 095 000</w:t>
            </w:r>
          </w:p>
        </w:tc>
        <w:tc>
          <w:tcPr>
            <w:tcW w:w="1575" w:type="dxa"/>
            <w:tcBorders>
              <w:top w:val="nil"/>
              <w:left w:val="nil"/>
              <w:bottom w:val="single" w:sz="8" w:space="0" w:color="auto"/>
              <w:right w:val="single" w:sz="8" w:space="0" w:color="auto"/>
            </w:tcBorders>
            <w:shd w:val="clear" w:color="auto" w:fill="auto"/>
            <w:vAlign w:val="center"/>
            <w:hideMark/>
          </w:tcPr>
          <w:p w14:paraId="214EC136"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highlight w:val="yellow"/>
                <w:lang w:eastAsia="sk-SK"/>
                <w14:ligatures w14:val="none"/>
              </w:rPr>
            </w:pPr>
            <w:r w:rsidRPr="00AD62CD">
              <w:rPr>
                <w:rFonts w:ascii="Times New Roman" w:eastAsia="Calibri" w:hAnsi="Times New Roman" w:cs="Times New Roman"/>
                <w:b/>
                <w:bCs/>
                <w:color w:val="000000"/>
                <w:kern w:val="0"/>
                <w:sz w:val="20"/>
                <w:szCs w:val="20"/>
                <w14:ligatures w14:val="none"/>
              </w:rPr>
              <w:t>-43 059 000</w:t>
            </w:r>
          </w:p>
        </w:tc>
        <w:tc>
          <w:tcPr>
            <w:tcW w:w="1577" w:type="dxa"/>
            <w:tcBorders>
              <w:top w:val="nil"/>
              <w:left w:val="nil"/>
              <w:bottom w:val="single" w:sz="8" w:space="0" w:color="auto"/>
              <w:right w:val="single" w:sz="8" w:space="0" w:color="auto"/>
            </w:tcBorders>
            <w:shd w:val="clear" w:color="auto" w:fill="auto"/>
            <w:vAlign w:val="center"/>
            <w:hideMark/>
          </w:tcPr>
          <w:p w14:paraId="655700BE"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highlight w:val="yellow"/>
                <w:lang w:eastAsia="sk-SK"/>
                <w14:ligatures w14:val="none"/>
              </w:rPr>
            </w:pPr>
            <w:r w:rsidRPr="00AD62CD">
              <w:rPr>
                <w:rFonts w:ascii="Times New Roman" w:eastAsia="Calibri" w:hAnsi="Times New Roman" w:cs="Times New Roman"/>
                <w:b/>
                <w:bCs/>
                <w:color w:val="000000"/>
                <w:kern w:val="0"/>
                <w:sz w:val="20"/>
                <w:szCs w:val="20"/>
                <w14:ligatures w14:val="none"/>
              </w:rPr>
              <w:t>-45 350 000</w:t>
            </w:r>
          </w:p>
        </w:tc>
        <w:tc>
          <w:tcPr>
            <w:tcW w:w="1557" w:type="dxa"/>
            <w:tcBorders>
              <w:top w:val="nil"/>
              <w:left w:val="nil"/>
              <w:bottom w:val="single" w:sz="8" w:space="0" w:color="auto"/>
              <w:right w:val="single" w:sz="8" w:space="0" w:color="auto"/>
            </w:tcBorders>
            <w:shd w:val="clear" w:color="auto" w:fill="auto"/>
            <w:noWrap/>
            <w:vAlign w:val="center"/>
            <w:hideMark/>
          </w:tcPr>
          <w:p w14:paraId="55C467D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449B375" w14:textId="77777777" w:rsidTr="003627DF">
        <w:trPr>
          <w:trHeight w:val="292"/>
        </w:trPr>
        <w:tc>
          <w:tcPr>
            <w:tcW w:w="4255" w:type="dxa"/>
            <w:tcBorders>
              <w:top w:val="nil"/>
              <w:left w:val="single" w:sz="8" w:space="0" w:color="auto"/>
              <w:bottom w:val="single" w:sz="8" w:space="0" w:color="auto"/>
              <w:right w:val="single" w:sz="8" w:space="0" w:color="auto"/>
            </w:tcBorders>
            <w:shd w:val="clear" w:color="auto" w:fill="auto"/>
            <w:noWrap/>
            <w:vAlign w:val="center"/>
            <w:hideMark/>
          </w:tcPr>
          <w:p w14:paraId="5F0D96C7" w14:textId="77777777" w:rsidR="00AD62CD" w:rsidRPr="00AD62CD" w:rsidRDefault="00AD62CD" w:rsidP="00AD62CD">
            <w:pPr>
              <w:spacing w:after="0" w:line="240" w:lineRule="auto"/>
              <w:ind w:firstLineChars="100" w:firstLine="200"/>
              <w:rPr>
                <w:rFonts w:ascii="Times New Roman" w:eastAsia="Calibri" w:hAnsi="Times New Roman" w:cs="Times New Roman"/>
                <w:i/>
                <w:iCs/>
                <w:color w:val="000000"/>
                <w:kern w:val="0"/>
                <w:sz w:val="20"/>
                <w:szCs w:val="20"/>
                <w:lang w:eastAsia="sk-SK"/>
                <w14:ligatures w14:val="none"/>
              </w:rPr>
            </w:pPr>
            <w:r w:rsidRPr="00AD62CD">
              <w:rPr>
                <w:rFonts w:ascii="Times New Roman" w:eastAsia="Calibri" w:hAnsi="Times New Roman" w:cs="Times New Roman"/>
                <w:i/>
                <w:iCs/>
                <w:color w:val="000000"/>
                <w:kern w:val="0"/>
                <w:sz w:val="20"/>
                <w:szCs w:val="20"/>
                <w:lang w:eastAsia="sk-SK"/>
                <w14:ligatures w14:val="none"/>
              </w:rPr>
              <w:t xml:space="preserve">v tom: (111) daň z príjmov fyzických osôb </w:t>
            </w:r>
          </w:p>
        </w:tc>
        <w:tc>
          <w:tcPr>
            <w:tcW w:w="1394" w:type="dxa"/>
            <w:tcBorders>
              <w:top w:val="nil"/>
              <w:left w:val="nil"/>
              <w:bottom w:val="single" w:sz="8" w:space="0" w:color="auto"/>
              <w:right w:val="single" w:sz="8" w:space="0" w:color="auto"/>
            </w:tcBorders>
            <w:shd w:val="clear" w:color="auto" w:fill="auto"/>
            <w:vAlign w:val="center"/>
            <w:hideMark/>
          </w:tcPr>
          <w:p w14:paraId="275E3AC5"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14:ligatures w14:val="none"/>
              </w:rPr>
              <w:t>0</w:t>
            </w:r>
          </w:p>
        </w:tc>
        <w:tc>
          <w:tcPr>
            <w:tcW w:w="1575" w:type="dxa"/>
            <w:tcBorders>
              <w:top w:val="nil"/>
              <w:left w:val="nil"/>
              <w:bottom w:val="single" w:sz="8" w:space="0" w:color="auto"/>
              <w:right w:val="single" w:sz="8" w:space="0" w:color="auto"/>
            </w:tcBorders>
            <w:shd w:val="clear" w:color="auto" w:fill="auto"/>
            <w:vAlign w:val="center"/>
            <w:hideMark/>
          </w:tcPr>
          <w:p w14:paraId="65014F50"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highlight w:val="yellow"/>
                <w:lang w:eastAsia="sk-SK"/>
                <w14:ligatures w14:val="none"/>
              </w:rPr>
            </w:pPr>
            <w:r w:rsidRPr="00AD62CD">
              <w:rPr>
                <w:rFonts w:ascii="Times New Roman" w:eastAsia="Calibri" w:hAnsi="Times New Roman" w:cs="Times New Roman"/>
                <w:color w:val="000000"/>
                <w:kern w:val="0"/>
                <w:sz w:val="20"/>
                <w:szCs w:val="20"/>
                <w14:ligatures w14:val="none"/>
              </w:rPr>
              <w:t>-41 095 000</w:t>
            </w:r>
          </w:p>
        </w:tc>
        <w:tc>
          <w:tcPr>
            <w:tcW w:w="1575" w:type="dxa"/>
            <w:tcBorders>
              <w:top w:val="nil"/>
              <w:left w:val="nil"/>
              <w:bottom w:val="single" w:sz="8" w:space="0" w:color="auto"/>
              <w:right w:val="single" w:sz="8" w:space="0" w:color="auto"/>
            </w:tcBorders>
            <w:shd w:val="clear" w:color="auto" w:fill="auto"/>
            <w:vAlign w:val="center"/>
            <w:hideMark/>
          </w:tcPr>
          <w:p w14:paraId="7E4C8F4B"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highlight w:val="yellow"/>
                <w:lang w:eastAsia="sk-SK"/>
                <w14:ligatures w14:val="none"/>
              </w:rPr>
            </w:pPr>
            <w:r w:rsidRPr="00AD62CD">
              <w:rPr>
                <w:rFonts w:ascii="Times New Roman" w:eastAsia="Calibri" w:hAnsi="Times New Roman" w:cs="Times New Roman"/>
                <w:color w:val="000000"/>
                <w:kern w:val="0"/>
                <w:sz w:val="20"/>
                <w:szCs w:val="20"/>
                <w14:ligatures w14:val="none"/>
              </w:rPr>
              <w:t>-43 059 000</w:t>
            </w:r>
          </w:p>
        </w:tc>
        <w:tc>
          <w:tcPr>
            <w:tcW w:w="1577" w:type="dxa"/>
            <w:tcBorders>
              <w:top w:val="nil"/>
              <w:left w:val="nil"/>
              <w:bottom w:val="single" w:sz="8" w:space="0" w:color="auto"/>
              <w:right w:val="single" w:sz="8" w:space="0" w:color="auto"/>
            </w:tcBorders>
            <w:shd w:val="clear" w:color="auto" w:fill="auto"/>
            <w:vAlign w:val="center"/>
            <w:hideMark/>
          </w:tcPr>
          <w:p w14:paraId="5A222B47" w14:textId="77777777" w:rsidR="00AD62CD" w:rsidRPr="00AD62CD" w:rsidRDefault="00AD62CD" w:rsidP="00AD62CD">
            <w:pPr>
              <w:spacing w:after="0" w:line="240" w:lineRule="auto"/>
              <w:jc w:val="right"/>
              <w:rPr>
                <w:rFonts w:ascii="Times New Roman" w:eastAsia="Calibri" w:hAnsi="Times New Roman" w:cs="Times New Roman"/>
                <w:color w:val="000000"/>
                <w:kern w:val="0"/>
                <w:sz w:val="20"/>
                <w:szCs w:val="20"/>
                <w:highlight w:val="yellow"/>
                <w:lang w:eastAsia="sk-SK"/>
                <w14:ligatures w14:val="none"/>
              </w:rPr>
            </w:pPr>
            <w:r w:rsidRPr="00AD62CD">
              <w:rPr>
                <w:rFonts w:ascii="Times New Roman" w:eastAsia="Calibri" w:hAnsi="Times New Roman" w:cs="Times New Roman"/>
                <w:color w:val="000000"/>
                <w:kern w:val="0"/>
                <w:sz w:val="20"/>
                <w:szCs w:val="20"/>
                <w14:ligatures w14:val="none"/>
              </w:rPr>
              <w:t>-45 350 000</w:t>
            </w:r>
          </w:p>
        </w:tc>
        <w:tc>
          <w:tcPr>
            <w:tcW w:w="1557" w:type="dxa"/>
            <w:tcBorders>
              <w:top w:val="nil"/>
              <w:left w:val="nil"/>
              <w:bottom w:val="single" w:sz="8" w:space="0" w:color="auto"/>
              <w:right w:val="single" w:sz="8" w:space="0" w:color="auto"/>
            </w:tcBorders>
            <w:shd w:val="clear" w:color="auto" w:fill="auto"/>
            <w:noWrap/>
            <w:vAlign w:val="center"/>
            <w:hideMark/>
          </w:tcPr>
          <w:p w14:paraId="6BE32685"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06D53CE" w14:textId="77777777" w:rsidTr="003627DF">
        <w:trPr>
          <w:trHeight w:val="345"/>
        </w:trPr>
        <w:tc>
          <w:tcPr>
            <w:tcW w:w="4255" w:type="dxa"/>
            <w:tcBorders>
              <w:top w:val="nil"/>
              <w:left w:val="single" w:sz="8" w:space="0" w:color="auto"/>
              <w:bottom w:val="single" w:sz="8" w:space="0" w:color="auto"/>
              <w:right w:val="single" w:sz="8" w:space="0" w:color="auto"/>
            </w:tcBorders>
            <w:shd w:val="clear" w:color="auto" w:fill="auto"/>
            <w:vAlign w:val="center"/>
            <w:hideMark/>
          </w:tcPr>
          <w:p w14:paraId="1A763BC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Nedaňové príjmy (200)</w:t>
            </w:r>
            <w:r w:rsidRPr="00AD62CD">
              <w:rPr>
                <w:rFonts w:ascii="Times New Roman" w:eastAsia="Calibri" w:hAnsi="Times New Roman" w:cs="Times New Roman"/>
                <w:b/>
                <w:bCs/>
                <w:color w:val="000000"/>
                <w:kern w:val="0"/>
                <w:sz w:val="20"/>
                <w:szCs w:val="20"/>
                <w:vertAlign w:val="superscript"/>
                <w:lang w:eastAsia="sk-SK"/>
                <w14:ligatures w14:val="none"/>
              </w:rPr>
              <w:t>1</w:t>
            </w:r>
          </w:p>
        </w:tc>
        <w:tc>
          <w:tcPr>
            <w:tcW w:w="1394" w:type="dxa"/>
            <w:tcBorders>
              <w:top w:val="nil"/>
              <w:left w:val="nil"/>
              <w:bottom w:val="single" w:sz="8" w:space="0" w:color="auto"/>
              <w:right w:val="single" w:sz="8" w:space="0" w:color="auto"/>
            </w:tcBorders>
            <w:shd w:val="clear" w:color="auto" w:fill="auto"/>
            <w:vAlign w:val="center"/>
            <w:hideMark/>
          </w:tcPr>
          <w:p w14:paraId="44E07545"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575" w:type="dxa"/>
            <w:tcBorders>
              <w:top w:val="nil"/>
              <w:left w:val="nil"/>
              <w:bottom w:val="single" w:sz="8" w:space="0" w:color="auto"/>
              <w:right w:val="single" w:sz="8" w:space="0" w:color="auto"/>
            </w:tcBorders>
            <w:shd w:val="clear" w:color="auto" w:fill="auto"/>
            <w:vAlign w:val="center"/>
            <w:hideMark/>
          </w:tcPr>
          <w:p w14:paraId="71FFBD71"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575" w:type="dxa"/>
            <w:tcBorders>
              <w:top w:val="nil"/>
              <w:left w:val="nil"/>
              <w:bottom w:val="single" w:sz="8" w:space="0" w:color="auto"/>
              <w:right w:val="single" w:sz="8" w:space="0" w:color="auto"/>
            </w:tcBorders>
            <w:shd w:val="clear" w:color="auto" w:fill="auto"/>
            <w:vAlign w:val="center"/>
            <w:hideMark/>
          </w:tcPr>
          <w:p w14:paraId="7B138F09"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577" w:type="dxa"/>
            <w:tcBorders>
              <w:top w:val="nil"/>
              <w:left w:val="nil"/>
              <w:bottom w:val="single" w:sz="8" w:space="0" w:color="auto"/>
              <w:right w:val="single" w:sz="8" w:space="0" w:color="auto"/>
            </w:tcBorders>
            <w:shd w:val="clear" w:color="auto" w:fill="auto"/>
            <w:vAlign w:val="center"/>
            <w:hideMark/>
          </w:tcPr>
          <w:p w14:paraId="38633731"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557" w:type="dxa"/>
            <w:tcBorders>
              <w:top w:val="nil"/>
              <w:left w:val="nil"/>
              <w:bottom w:val="single" w:sz="8" w:space="0" w:color="auto"/>
              <w:right w:val="single" w:sz="8" w:space="0" w:color="auto"/>
            </w:tcBorders>
            <w:shd w:val="clear" w:color="auto" w:fill="auto"/>
            <w:noWrap/>
            <w:vAlign w:val="center"/>
            <w:hideMark/>
          </w:tcPr>
          <w:p w14:paraId="5149346E"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E3D215E" w14:textId="77777777" w:rsidTr="003627DF">
        <w:trPr>
          <w:trHeight w:val="571"/>
        </w:trPr>
        <w:tc>
          <w:tcPr>
            <w:tcW w:w="4255" w:type="dxa"/>
            <w:tcBorders>
              <w:top w:val="nil"/>
              <w:left w:val="single" w:sz="8" w:space="0" w:color="auto"/>
              <w:bottom w:val="single" w:sz="8" w:space="0" w:color="auto"/>
              <w:right w:val="single" w:sz="8" w:space="0" w:color="auto"/>
            </w:tcBorders>
            <w:shd w:val="clear" w:color="auto" w:fill="auto"/>
            <w:vAlign w:val="center"/>
            <w:hideMark/>
          </w:tcPr>
          <w:p w14:paraId="7D34B244"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Príjmy z transakcií s finančnými aktívami a finančnými pasívami (400)</w:t>
            </w:r>
          </w:p>
        </w:tc>
        <w:tc>
          <w:tcPr>
            <w:tcW w:w="1394" w:type="dxa"/>
            <w:tcBorders>
              <w:top w:val="nil"/>
              <w:left w:val="nil"/>
              <w:bottom w:val="single" w:sz="8" w:space="0" w:color="auto"/>
              <w:right w:val="single" w:sz="8" w:space="0" w:color="auto"/>
            </w:tcBorders>
            <w:shd w:val="clear" w:color="auto" w:fill="auto"/>
            <w:vAlign w:val="center"/>
            <w:hideMark/>
          </w:tcPr>
          <w:p w14:paraId="69A7CFE4"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575" w:type="dxa"/>
            <w:tcBorders>
              <w:top w:val="nil"/>
              <w:left w:val="nil"/>
              <w:bottom w:val="single" w:sz="8" w:space="0" w:color="auto"/>
              <w:right w:val="single" w:sz="8" w:space="0" w:color="auto"/>
            </w:tcBorders>
            <w:shd w:val="clear" w:color="auto" w:fill="auto"/>
            <w:vAlign w:val="center"/>
            <w:hideMark/>
          </w:tcPr>
          <w:p w14:paraId="65DF4680"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575" w:type="dxa"/>
            <w:tcBorders>
              <w:top w:val="nil"/>
              <w:left w:val="nil"/>
              <w:bottom w:val="single" w:sz="8" w:space="0" w:color="auto"/>
              <w:right w:val="single" w:sz="8" w:space="0" w:color="auto"/>
            </w:tcBorders>
            <w:shd w:val="clear" w:color="auto" w:fill="auto"/>
            <w:vAlign w:val="center"/>
            <w:hideMark/>
          </w:tcPr>
          <w:p w14:paraId="41A09330"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577" w:type="dxa"/>
            <w:tcBorders>
              <w:top w:val="nil"/>
              <w:left w:val="nil"/>
              <w:bottom w:val="single" w:sz="8" w:space="0" w:color="auto"/>
              <w:right w:val="single" w:sz="8" w:space="0" w:color="auto"/>
            </w:tcBorders>
            <w:shd w:val="clear" w:color="auto" w:fill="auto"/>
            <w:vAlign w:val="center"/>
            <w:hideMark/>
          </w:tcPr>
          <w:p w14:paraId="483B677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557" w:type="dxa"/>
            <w:tcBorders>
              <w:top w:val="nil"/>
              <w:left w:val="nil"/>
              <w:bottom w:val="single" w:sz="8" w:space="0" w:color="auto"/>
              <w:right w:val="single" w:sz="8" w:space="0" w:color="auto"/>
            </w:tcBorders>
            <w:shd w:val="clear" w:color="auto" w:fill="auto"/>
            <w:noWrap/>
            <w:vAlign w:val="center"/>
            <w:hideMark/>
          </w:tcPr>
          <w:p w14:paraId="29FDF217"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0A944E4" w14:textId="77777777" w:rsidTr="003627DF">
        <w:trPr>
          <w:trHeight w:val="571"/>
        </w:trPr>
        <w:tc>
          <w:tcPr>
            <w:tcW w:w="4255" w:type="dxa"/>
            <w:tcBorders>
              <w:top w:val="nil"/>
              <w:left w:val="single" w:sz="8" w:space="0" w:color="auto"/>
              <w:bottom w:val="single" w:sz="8" w:space="0" w:color="auto"/>
              <w:right w:val="single" w:sz="8" w:space="0" w:color="auto"/>
            </w:tcBorders>
            <w:shd w:val="clear" w:color="auto" w:fill="auto"/>
            <w:vAlign w:val="center"/>
            <w:hideMark/>
          </w:tcPr>
          <w:p w14:paraId="5A35D1CA"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Prijaté úvery, pôžičky a návratné finančné výpomoci (500)</w:t>
            </w:r>
          </w:p>
        </w:tc>
        <w:tc>
          <w:tcPr>
            <w:tcW w:w="1394" w:type="dxa"/>
            <w:tcBorders>
              <w:top w:val="nil"/>
              <w:left w:val="nil"/>
              <w:bottom w:val="single" w:sz="8" w:space="0" w:color="auto"/>
              <w:right w:val="single" w:sz="8" w:space="0" w:color="auto"/>
            </w:tcBorders>
            <w:shd w:val="clear" w:color="auto" w:fill="auto"/>
            <w:vAlign w:val="center"/>
            <w:hideMark/>
          </w:tcPr>
          <w:p w14:paraId="5DBE0687"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p>
        </w:tc>
        <w:tc>
          <w:tcPr>
            <w:tcW w:w="1575" w:type="dxa"/>
            <w:tcBorders>
              <w:top w:val="nil"/>
              <w:left w:val="nil"/>
              <w:bottom w:val="single" w:sz="8" w:space="0" w:color="auto"/>
              <w:right w:val="single" w:sz="8" w:space="0" w:color="auto"/>
            </w:tcBorders>
            <w:shd w:val="clear" w:color="auto" w:fill="auto"/>
            <w:vAlign w:val="center"/>
            <w:hideMark/>
          </w:tcPr>
          <w:p w14:paraId="5E0D4235"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575" w:type="dxa"/>
            <w:tcBorders>
              <w:top w:val="nil"/>
              <w:left w:val="nil"/>
              <w:bottom w:val="single" w:sz="8" w:space="0" w:color="auto"/>
              <w:right w:val="single" w:sz="8" w:space="0" w:color="auto"/>
            </w:tcBorders>
            <w:shd w:val="clear" w:color="auto" w:fill="auto"/>
            <w:vAlign w:val="center"/>
            <w:hideMark/>
          </w:tcPr>
          <w:p w14:paraId="3DB1CAF0"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577" w:type="dxa"/>
            <w:tcBorders>
              <w:top w:val="nil"/>
              <w:left w:val="nil"/>
              <w:bottom w:val="single" w:sz="8" w:space="0" w:color="auto"/>
              <w:right w:val="single" w:sz="8" w:space="0" w:color="auto"/>
            </w:tcBorders>
            <w:shd w:val="clear" w:color="auto" w:fill="auto"/>
            <w:vAlign w:val="center"/>
            <w:hideMark/>
          </w:tcPr>
          <w:p w14:paraId="68C3314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 </w:t>
            </w:r>
          </w:p>
        </w:tc>
        <w:tc>
          <w:tcPr>
            <w:tcW w:w="1557" w:type="dxa"/>
            <w:tcBorders>
              <w:top w:val="nil"/>
              <w:left w:val="nil"/>
              <w:bottom w:val="single" w:sz="8" w:space="0" w:color="auto"/>
              <w:right w:val="single" w:sz="8" w:space="0" w:color="auto"/>
            </w:tcBorders>
            <w:shd w:val="clear" w:color="auto" w:fill="auto"/>
            <w:noWrap/>
            <w:vAlign w:val="center"/>
            <w:hideMark/>
          </w:tcPr>
          <w:p w14:paraId="23474831"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r w:rsidR="00AD62CD" w:rsidRPr="00AD62CD" w14:paraId="054996FD" w14:textId="77777777" w:rsidTr="003627DF">
        <w:trPr>
          <w:trHeight w:val="292"/>
        </w:trPr>
        <w:tc>
          <w:tcPr>
            <w:tcW w:w="4255" w:type="dxa"/>
            <w:tcBorders>
              <w:top w:val="nil"/>
              <w:left w:val="single" w:sz="8" w:space="0" w:color="auto"/>
              <w:bottom w:val="single" w:sz="8" w:space="0" w:color="auto"/>
              <w:right w:val="single" w:sz="8" w:space="0" w:color="auto"/>
            </w:tcBorders>
            <w:shd w:val="clear" w:color="000000" w:fill="BFBFBF"/>
            <w:vAlign w:val="center"/>
            <w:hideMark/>
          </w:tcPr>
          <w:p w14:paraId="78C47E12" w14:textId="77777777" w:rsidR="00AD62CD" w:rsidRPr="00AD62CD" w:rsidRDefault="00AD62CD" w:rsidP="00AD62CD">
            <w:pPr>
              <w:spacing w:after="0" w:line="240" w:lineRule="auto"/>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lang w:eastAsia="sk-SK"/>
                <w14:ligatures w14:val="none"/>
              </w:rPr>
              <w:t>Dopad na príjmy vyšších územných celkov</w:t>
            </w:r>
          </w:p>
        </w:tc>
        <w:tc>
          <w:tcPr>
            <w:tcW w:w="1394" w:type="dxa"/>
            <w:tcBorders>
              <w:top w:val="nil"/>
              <w:left w:val="nil"/>
              <w:bottom w:val="single" w:sz="8" w:space="0" w:color="auto"/>
              <w:right w:val="single" w:sz="8" w:space="0" w:color="auto"/>
            </w:tcBorders>
            <w:shd w:val="clear" w:color="000000" w:fill="BFBFBF"/>
            <w:vAlign w:val="center"/>
            <w:hideMark/>
          </w:tcPr>
          <w:p w14:paraId="25256EEE"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0</w:t>
            </w:r>
          </w:p>
        </w:tc>
        <w:tc>
          <w:tcPr>
            <w:tcW w:w="1575" w:type="dxa"/>
            <w:tcBorders>
              <w:top w:val="nil"/>
              <w:left w:val="nil"/>
              <w:bottom w:val="single" w:sz="8" w:space="0" w:color="auto"/>
              <w:right w:val="single" w:sz="8" w:space="0" w:color="auto"/>
            </w:tcBorders>
            <w:shd w:val="clear" w:color="000000" w:fill="BFBFBF"/>
            <w:vAlign w:val="center"/>
            <w:hideMark/>
          </w:tcPr>
          <w:p w14:paraId="281D5F2D"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-41 095 000</w:t>
            </w:r>
          </w:p>
        </w:tc>
        <w:tc>
          <w:tcPr>
            <w:tcW w:w="1575" w:type="dxa"/>
            <w:tcBorders>
              <w:top w:val="nil"/>
              <w:left w:val="nil"/>
              <w:bottom w:val="single" w:sz="8" w:space="0" w:color="auto"/>
              <w:right w:val="single" w:sz="8" w:space="0" w:color="auto"/>
            </w:tcBorders>
            <w:shd w:val="clear" w:color="000000" w:fill="BFBFBF"/>
            <w:vAlign w:val="center"/>
            <w:hideMark/>
          </w:tcPr>
          <w:p w14:paraId="09D91C77"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-43 059 000</w:t>
            </w:r>
          </w:p>
        </w:tc>
        <w:tc>
          <w:tcPr>
            <w:tcW w:w="1577" w:type="dxa"/>
            <w:tcBorders>
              <w:top w:val="nil"/>
              <w:left w:val="nil"/>
              <w:bottom w:val="single" w:sz="8" w:space="0" w:color="auto"/>
              <w:right w:val="single" w:sz="8" w:space="0" w:color="auto"/>
            </w:tcBorders>
            <w:shd w:val="clear" w:color="000000" w:fill="BFBFBF"/>
            <w:vAlign w:val="center"/>
            <w:hideMark/>
          </w:tcPr>
          <w:p w14:paraId="6925AFE9" w14:textId="77777777" w:rsidR="00AD62CD" w:rsidRPr="00AD62CD" w:rsidRDefault="00AD62CD" w:rsidP="00AD62CD">
            <w:pPr>
              <w:spacing w:after="0" w:line="240" w:lineRule="auto"/>
              <w:jc w:val="right"/>
              <w:rPr>
                <w:rFonts w:ascii="Times New Roman" w:eastAsia="Calibri" w:hAnsi="Times New Roman" w:cs="Times New Roman"/>
                <w:b/>
                <w:bCs/>
                <w:color w:val="000000"/>
                <w:kern w:val="0"/>
                <w:sz w:val="20"/>
                <w:szCs w:val="20"/>
                <w:lang w:eastAsia="sk-SK"/>
                <w14:ligatures w14:val="none"/>
              </w:rPr>
            </w:pPr>
            <w:r w:rsidRPr="00AD62CD">
              <w:rPr>
                <w:rFonts w:ascii="Times New Roman" w:eastAsia="Calibri" w:hAnsi="Times New Roman" w:cs="Times New Roman"/>
                <w:b/>
                <w:bCs/>
                <w:color w:val="000000"/>
                <w:kern w:val="0"/>
                <w:sz w:val="20"/>
                <w:szCs w:val="20"/>
                <w14:ligatures w14:val="none"/>
              </w:rPr>
              <w:t>-45 350 000</w:t>
            </w:r>
          </w:p>
        </w:tc>
        <w:tc>
          <w:tcPr>
            <w:tcW w:w="1557" w:type="dxa"/>
            <w:tcBorders>
              <w:top w:val="nil"/>
              <w:left w:val="nil"/>
              <w:bottom w:val="single" w:sz="8" w:space="0" w:color="auto"/>
              <w:right w:val="single" w:sz="8" w:space="0" w:color="auto"/>
            </w:tcBorders>
            <w:shd w:val="clear" w:color="000000" w:fill="BFBFBF"/>
            <w:noWrap/>
            <w:vAlign w:val="center"/>
            <w:hideMark/>
          </w:tcPr>
          <w:p w14:paraId="65DA5DB3" w14:textId="77777777" w:rsidR="00AD62CD" w:rsidRPr="00AD62CD" w:rsidRDefault="00AD62CD" w:rsidP="00AD62CD">
            <w:pPr>
              <w:spacing w:after="0" w:line="240" w:lineRule="auto"/>
              <w:rPr>
                <w:rFonts w:ascii="Times New Roman" w:eastAsia="Calibri" w:hAnsi="Times New Roman" w:cs="Times New Roman"/>
                <w:color w:val="000000"/>
                <w:kern w:val="0"/>
                <w:sz w:val="20"/>
                <w:szCs w:val="20"/>
                <w:lang w:eastAsia="sk-SK"/>
                <w14:ligatures w14:val="none"/>
              </w:rPr>
            </w:pPr>
            <w:r w:rsidRPr="00AD62CD">
              <w:rPr>
                <w:rFonts w:ascii="Times New Roman" w:eastAsia="Calibri" w:hAnsi="Times New Roman" w:cs="Times New Roman"/>
                <w:color w:val="000000"/>
                <w:kern w:val="0"/>
                <w:sz w:val="20"/>
                <w:szCs w:val="20"/>
                <w:lang w:eastAsia="sk-SK"/>
                <w14:ligatures w14:val="none"/>
              </w:rPr>
              <w:t> </w:t>
            </w:r>
          </w:p>
        </w:tc>
      </w:tr>
    </w:tbl>
    <w:p w14:paraId="73321E28" w14:textId="77777777" w:rsidR="00AD62CD" w:rsidRPr="00AD62CD" w:rsidRDefault="00AD62CD" w:rsidP="00AD62CD">
      <w:pPr>
        <w:tabs>
          <w:tab w:val="num" w:pos="1080"/>
        </w:tabs>
        <w:spacing w:after="0" w:line="240" w:lineRule="auto"/>
        <w:jc w:val="both"/>
        <w:rPr>
          <w:rFonts w:ascii="Times New Roman" w:eastAsia="Calibri" w:hAnsi="Times New Roman" w:cs="Times New Roman"/>
          <w:kern w:val="0"/>
          <w14:ligatures w14:val="none"/>
        </w:rPr>
      </w:pPr>
    </w:p>
    <w:p w14:paraId="175244E1" w14:textId="77777777" w:rsidR="00B560F6" w:rsidRDefault="00B560F6">
      <w:pPr>
        <w:rPr>
          <w:rFonts w:ascii="Times New Roman" w:eastAsia="Calibri" w:hAnsi="Times New Roman" w:cs="Times New Roman"/>
          <w:kern w:val="0"/>
          <w14:ligatures w14:val="none"/>
        </w:rPr>
        <w:sectPr w:rsidR="00B560F6" w:rsidSect="00B560F6">
          <w:headerReference w:type="default" r:id="rId45"/>
          <w:pgSz w:w="16838" w:h="11906" w:orient="landscape"/>
          <w:pgMar w:top="1417" w:right="993" w:bottom="1417" w:left="1417" w:header="708" w:footer="708" w:gutter="0"/>
          <w:cols w:space="708"/>
          <w:docGrid w:linePitch="360"/>
        </w:sectPr>
      </w:pPr>
    </w:p>
    <w:p w14:paraId="248CB741" w14:textId="77777777" w:rsidR="00136466" w:rsidRPr="00136466" w:rsidRDefault="00136466" w:rsidP="00136466">
      <w:pPr>
        <w:spacing w:line="259" w:lineRule="auto"/>
        <w:jc w:val="center"/>
        <w:rPr>
          <w:rFonts w:ascii="Times New Roman" w:eastAsia="Calibri" w:hAnsi="Times New Roman" w:cs="Times New Roman"/>
          <w:b/>
          <w:kern w:val="0"/>
          <w:sz w:val="28"/>
          <w:szCs w:val="28"/>
          <w14:ligatures w14:val="none"/>
        </w:rPr>
      </w:pPr>
      <w:r w:rsidRPr="00136466">
        <w:rPr>
          <w:rFonts w:ascii="Times New Roman" w:eastAsia="Calibri" w:hAnsi="Times New Roman" w:cs="Times New Roman"/>
          <w:b/>
          <w:kern w:val="0"/>
          <w:sz w:val="28"/>
          <w:szCs w:val="28"/>
          <w14:ligatures w14:val="none"/>
        </w:rPr>
        <w:t>Analýza vplyvov na podnikateľské prostredie</w:t>
      </w:r>
    </w:p>
    <w:p w14:paraId="455F0650" w14:textId="77777777" w:rsidR="00136466" w:rsidRPr="00136466" w:rsidRDefault="00136466" w:rsidP="00136466">
      <w:pPr>
        <w:spacing w:line="259" w:lineRule="auto"/>
        <w:jc w:val="both"/>
        <w:rPr>
          <w:rFonts w:ascii="Times New Roman" w:eastAsia="Calibri" w:hAnsi="Times New Roman" w:cs="Times New Roman"/>
          <w:b/>
          <w:kern w:val="0"/>
          <w14:ligatures w14:val="none"/>
        </w:rPr>
      </w:pPr>
    </w:p>
    <w:p w14:paraId="698212C3" w14:textId="49463D15" w:rsidR="00136466" w:rsidRPr="00136466" w:rsidRDefault="00136466" w:rsidP="00136466">
      <w:pPr>
        <w:spacing w:line="259" w:lineRule="auto"/>
        <w:jc w:val="both"/>
        <w:rPr>
          <w:rFonts w:ascii="Times New Roman" w:eastAsia="Calibri" w:hAnsi="Times New Roman" w:cs="Times New Roman"/>
          <w:b/>
          <w:kern w:val="0"/>
          <w14:ligatures w14:val="none"/>
        </w:rPr>
      </w:pPr>
      <w:r w:rsidRPr="00136466">
        <w:rPr>
          <w:rFonts w:ascii="Times New Roman" w:eastAsia="Calibri" w:hAnsi="Times New Roman" w:cs="Times New Roman"/>
          <w:b/>
          <w:kern w:val="0"/>
          <w14:ligatures w14:val="none"/>
        </w:rPr>
        <w:t xml:space="preserve">Názov materiálu: </w:t>
      </w:r>
      <w:r w:rsidR="00930551">
        <w:rPr>
          <w:rFonts w:ascii="Times New Roman" w:eastAsia="Calibri" w:hAnsi="Times New Roman" w:cs="Arial"/>
          <w:bCs/>
          <w:color w:val="000000"/>
          <w:kern w:val="0"/>
          <w:shd w:val="clear" w:color="auto" w:fill="FFFFFF"/>
          <w14:ligatures w14:val="none"/>
        </w:rPr>
        <w:t>Vládny n</w:t>
      </w:r>
      <w:r w:rsidRPr="00136466">
        <w:rPr>
          <w:rFonts w:ascii="Times New Roman" w:eastAsia="Calibri" w:hAnsi="Times New Roman" w:cs="Arial"/>
          <w:bCs/>
          <w:color w:val="000000"/>
          <w:kern w:val="0"/>
          <w:shd w:val="clear" w:color="auto" w:fill="FFFFFF"/>
          <w14:ligatures w14:val="none"/>
        </w:rPr>
        <w:t>ávrh zákona, ktorým sa menia a dopĺňajú niektoré zákony v súvislosti s konsolidáciou verejných financií.</w:t>
      </w:r>
    </w:p>
    <w:p w14:paraId="3E16ABAA" w14:textId="22CE6E89" w:rsidR="00136466" w:rsidRPr="00136466" w:rsidRDefault="00136466" w:rsidP="00136466">
      <w:pPr>
        <w:spacing w:line="259" w:lineRule="auto"/>
        <w:jc w:val="both"/>
        <w:rPr>
          <w:rFonts w:ascii="Times New Roman" w:eastAsia="Calibri" w:hAnsi="Times New Roman" w:cs="Times New Roman"/>
          <w:bCs/>
          <w:kern w:val="0"/>
          <w14:ligatures w14:val="none"/>
        </w:rPr>
      </w:pPr>
      <w:r w:rsidRPr="00136466">
        <w:rPr>
          <w:rFonts w:ascii="Times New Roman" w:eastAsia="Calibri" w:hAnsi="Times New Roman" w:cs="Times New Roman"/>
          <w:b/>
          <w:kern w:val="0"/>
          <w14:ligatures w14:val="none"/>
        </w:rPr>
        <w:t xml:space="preserve">Predkladateľ: </w:t>
      </w:r>
      <w:r w:rsidR="00930551">
        <w:rPr>
          <w:rFonts w:ascii="Times New Roman" w:eastAsia="Calibri" w:hAnsi="Times New Roman" w:cs="Times New Roman"/>
          <w:kern w:val="0"/>
          <w14:ligatures w14:val="none"/>
        </w:rPr>
        <w:t>Vláda</w:t>
      </w:r>
      <w:r w:rsidRPr="00136466">
        <w:rPr>
          <w:rFonts w:ascii="Times New Roman" w:eastAsia="Calibri" w:hAnsi="Times New Roman" w:cs="Times New Roman"/>
          <w:kern w:val="0"/>
          <w14:ligatures w14:val="none"/>
        </w:rPr>
        <w:t xml:space="preserve"> Slovenskej republiky</w:t>
      </w:r>
      <w:r w:rsidRPr="00136466">
        <w:rPr>
          <w:rFonts w:ascii="Times New Roman" w:eastAsia="Calibri" w:hAnsi="Times New Roman" w:cs="Times New Roman"/>
          <w:bCs/>
          <w:kern w:val="0"/>
          <w14:ligatures w14:val="none"/>
        </w:rPr>
        <w:t>.</w:t>
      </w:r>
    </w:p>
    <w:p w14:paraId="06C47705" w14:textId="77777777" w:rsidR="00136466" w:rsidRPr="00136466" w:rsidRDefault="00136466" w:rsidP="00136466">
      <w:pPr>
        <w:spacing w:line="259" w:lineRule="auto"/>
        <w:jc w:val="both"/>
        <w:rPr>
          <w:rFonts w:ascii="Times New Roman" w:eastAsia="Calibri" w:hAnsi="Times New Roman" w:cs="Times New Roman"/>
          <w:b/>
          <w:kern w:val="0"/>
          <w14:ligatures w14:val="none"/>
        </w:rPr>
      </w:pPr>
      <w:r w:rsidRPr="00136466">
        <w:rPr>
          <w:rFonts w:ascii="Times New Roman" w:eastAsia="Calibri" w:hAnsi="Times New Roman" w:cs="Times New Roman"/>
          <w:b/>
          <w:kern w:val="0"/>
          <w14:ligatures w14:val="none"/>
        </w:rPr>
        <w:t>3.1 Náklady regulácie</w:t>
      </w:r>
    </w:p>
    <w:p w14:paraId="3A16C1A0" w14:textId="77777777" w:rsidR="00136466" w:rsidRPr="00136466" w:rsidRDefault="00136466" w:rsidP="00136466">
      <w:pPr>
        <w:tabs>
          <w:tab w:val="left" w:pos="8025"/>
        </w:tabs>
        <w:spacing w:line="259" w:lineRule="auto"/>
        <w:rPr>
          <w:rFonts w:ascii="Times New Roman" w:eastAsia="Calibri" w:hAnsi="Times New Roman" w:cs="Times New Roman"/>
          <w:bCs/>
          <w:i/>
          <w:iCs/>
          <w:kern w:val="0"/>
          <w14:ligatures w14:val="none"/>
        </w:rPr>
      </w:pPr>
      <w:r w:rsidRPr="00136466">
        <w:rPr>
          <w:rFonts w:ascii="Times New Roman" w:eastAsia="Calibri" w:hAnsi="Times New Roman" w:cs="Times New Roman"/>
          <w:b/>
          <w:i/>
          <w:iCs/>
          <w:kern w:val="0"/>
          <w14:ligatures w14:val="none"/>
        </w:rPr>
        <w:t xml:space="preserve">3.1.1 Súhrnná tabuľka nákladov regulácie </w:t>
      </w:r>
      <w:r w:rsidRPr="00136466">
        <w:rPr>
          <w:rFonts w:ascii="Times New Roman" w:eastAsia="Calibri" w:hAnsi="Times New Roman" w:cs="Times New Roman"/>
          <w:b/>
          <w:i/>
          <w:iCs/>
          <w:kern w:val="0"/>
          <w14:ligatures w14:val="none"/>
        </w:rPr>
        <w:tab/>
      </w:r>
    </w:p>
    <w:p w14:paraId="160EE38E" w14:textId="77777777" w:rsidR="00136466" w:rsidRPr="00136466" w:rsidRDefault="00136466" w:rsidP="00136466">
      <w:pPr>
        <w:spacing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Tabuľka č. 1: Zmeny nákladov (ročne) v prepočte na podnikateľské prostredie (PP), vyhodnotenie mechanizmu znižovania byrokracie a nákladov, náklady goldplatingu</w:t>
      </w:r>
      <w:r w:rsidRPr="00136466">
        <w:rPr>
          <w:rFonts w:ascii="Times New Roman" w:eastAsia="Calibri" w:hAnsi="Times New Roman" w:cs="Times New Roman"/>
          <w:i/>
          <w:kern w:val="0"/>
          <w:vertAlign w:val="superscript"/>
          <w14:ligatures w14:val="none"/>
        </w:rPr>
        <w:footnoteReference w:id="1"/>
      </w:r>
      <w:r w:rsidRPr="00136466">
        <w:rPr>
          <w:rFonts w:ascii="Times New Roman" w:eastAsia="Calibri" w:hAnsi="Times New Roman" w:cs="Times New Roman"/>
          <w:i/>
          <w:kern w:val="0"/>
          <w14:ligatures w14:val="none"/>
        </w:rPr>
        <w:t xml:space="preserve"> na podnikateľské prostredie. </w:t>
      </w:r>
    </w:p>
    <w:p w14:paraId="543C7C8D" w14:textId="77777777" w:rsidR="00136466" w:rsidRPr="00136466" w:rsidRDefault="00136466" w:rsidP="00136466">
      <w:pPr>
        <w:spacing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 xml:space="preserve">Nahraďte rovnakou tabuľkou po vyplnení Kalkulačky nákladov podnikateľského prostredia, ktorá je povinnou prílohou tejto analýzy a nájdete ju na </w:t>
      </w:r>
      <w:hyperlink r:id="rId46" w:history="1">
        <w:r w:rsidRPr="00136466">
          <w:rPr>
            <w:rFonts w:ascii="Times New Roman" w:eastAsia="Calibri" w:hAnsi="Times New Roman" w:cs="Times New Roman"/>
            <w:i/>
            <w:color w:val="0563C1"/>
            <w:kern w:val="0"/>
            <w:u w:val="single"/>
            <w14:ligatures w14:val="none"/>
          </w:rPr>
          <w:t>webovom sídle MH SR</w:t>
        </w:r>
      </w:hyperlink>
      <w:r w:rsidRPr="00136466">
        <w:rPr>
          <w:rFonts w:ascii="Times New Roman" w:eastAsia="Calibri" w:hAnsi="Times New Roman" w:cs="Times New Roman"/>
          <w:i/>
          <w:kern w:val="0"/>
          <w14:ligatures w14:val="none"/>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136466" w:rsidRPr="00136466" w14:paraId="0EAB0A08" w14:textId="77777777" w:rsidTr="003627DF">
        <w:trPr>
          <w:trHeight w:val="270"/>
        </w:trPr>
        <w:tc>
          <w:tcPr>
            <w:tcW w:w="146" w:type="dxa"/>
            <w:tcBorders>
              <w:top w:val="nil"/>
              <w:left w:val="nil"/>
              <w:bottom w:val="nil"/>
              <w:right w:val="nil"/>
            </w:tcBorders>
            <w:shd w:val="clear" w:color="auto" w:fill="auto"/>
            <w:noWrap/>
            <w:vAlign w:val="bottom"/>
            <w:hideMark/>
          </w:tcPr>
          <w:p w14:paraId="2F830F61"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nil"/>
              <w:left w:val="nil"/>
              <w:bottom w:val="nil"/>
              <w:right w:val="nil"/>
            </w:tcBorders>
            <w:shd w:val="clear" w:color="auto" w:fill="auto"/>
            <w:noWrap/>
            <w:vAlign w:val="bottom"/>
            <w:hideMark/>
          </w:tcPr>
          <w:p w14:paraId="51F1D421"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2792" w:type="dxa"/>
            <w:gridSpan w:val="2"/>
            <w:tcBorders>
              <w:top w:val="nil"/>
              <w:left w:val="nil"/>
              <w:bottom w:val="nil"/>
              <w:right w:val="nil"/>
            </w:tcBorders>
            <w:shd w:val="clear" w:color="auto" w:fill="auto"/>
            <w:noWrap/>
            <w:vAlign w:val="bottom"/>
            <w:hideMark/>
          </w:tcPr>
          <w:p w14:paraId="4563D24D"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160" w:type="dxa"/>
            <w:tcBorders>
              <w:top w:val="nil"/>
              <w:left w:val="nil"/>
              <w:bottom w:val="nil"/>
              <w:right w:val="nil"/>
            </w:tcBorders>
            <w:shd w:val="clear" w:color="auto" w:fill="auto"/>
            <w:noWrap/>
            <w:vAlign w:val="bottom"/>
            <w:hideMark/>
          </w:tcPr>
          <w:p w14:paraId="2187A56C"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2716" w:type="dxa"/>
            <w:gridSpan w:val="2"/>
            <w:tcBorders>
              <w:top w:val="nil"/>
              <w:left w:val="nil"/>
              <w:bottom w:val="nil"/>
              <w:right w:val="nil"/>
            </w:tcBorders>
            <w:shd w:val="clear" w:color="auto" w:fill="auto"/>
            <w:noWrap/>
            <w:vAlign w:val="bottom"/>
            <w:hideMark/>
          </w:tcPr>
          <w:p w14:paraId="6BE1E4B7"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160" w:type="dxa"/>
            <w:tcBorders>
              <w:top w:val="nil"/>
              <w:left w:val="nil"/>
              <w:bottom w:val="nil"/>
              <w:right w:val="nil"/>
            </w:tcBorders>
            <w:shd w:val="clear" w:color="auto" w:fill="auto"/>
            <w:noWrap/>
            <w:vAlign w:val="bottom"/>
            <w:hideMark/>
          </w:tcPr>
          <w:p w14:paraId="5410416E"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p>
        </w:tc>
      </w:tr>
      <w:tr w:rsidR="00136466" w:rsidRPr="00136466" w14:paraId="3C184DC9" w14:textId="77777777" w:rsidTr="003627DF">
        <w:trPr>
          <w:gridAfter w:val="2"/>
          <w:wAfter w:w="583" w:type="dxa"/>
          <w:trHeight w:val="451"/>
        </w:trPr>
        <w:tc>
          <w:tcPr>
            <w:tcW w:w="146" w:type="dxa"/>
            <w:tcBorders>
              <w:top w:val="nil"/>
              <w:left w:val="nil"/>
              <w:bottom w:val="nil"/>
              <w:right w:val="nil"/>
            </w:tcBorders>
            <w:shd w:val="clear" w:color="auto" w:fill="auto"/>
            <w:noWrap/>
            <w:vAlign w:val="bottom"/>
            <w:hideMark/>
          </w:tcPr>
          <w:p w14:paraId="52AC8C0D"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85C2F0" w14:textId="77777777" w:rsidR="00136466" w:rsidRPr="00136466" w:rsidRDefault="00136466" w:rsidP="00136466">
            <w:pPr>
              <w:spacing w:after="0" w:line="240" w:lineRule="auto"/>
              <w:jc w:val="center"/>
              <w:rPr>
                <w:rFonts w:ascii="Times New Roman" w:eastAsia="Times New Roman" w:hAnsi="Times New Roman" w:cs="Times New Roman"/>
                <w:b/>
                <w:bCs/>
                <w:i/>
                <w:iCs/>
                <w:color w:val="000000"/>
                <w:kern w:val="0"/>
                <w:sz w:val="20"/>
                <w:szCs w:val="20"/>
                <w:lang w:eastAsia="sk-SK"/>
                <w14:ligatures w14:val="none"/>
              </w:rPr>
            </w:pPr>
            <w:r w:rsidRPr="00136466">
              <w:rPr>
                <w:rFonts w:ascii="Times New Roman" w:eastAsia="Times New Roman" w:hAnsi="Times New Roman" w:cs="Times New Roman"/>
                <w:b/>
                <w:bCs/>
                <w:i/>
                <w:iCs/>
                <w:color w:val="000000"/>
                <w:kern w:val="0"/>
                <w:sz w:val="20"/>
                <w:szCs w:val="20"/>
                <w:lang w:eastAsia="sk-SK"/>
                <w14:ligatures w14:val="none"/>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66944076"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079CF73"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Zníženie nákladov v € na PP</w:t>
            </w:r>
          </w:p>
        </w:tc>
      </w:tr>
      <w:tr w:rsidR="00136466" w:rsidRPr="00136466" w14:paraId="52221FB1" w14:textId="77777777" w:rsidTr="003627DF">
        <w:trPr>
          <w:gridAfter w:val="2"/>
          <w:wAfter w:w="583" w:type="dxa"/>
          <w:trHeight w:val="600"/>
        </w:trPr>
        <w:tc>
          <w:tcPr>
            <w:tcW w:w="146" w:type="dxa"/>
            <w:tcBorders>
              <w:top w:val="nil"/>
              <w:left w:val="nil"/>
              <w:bottom w:val="nil"/>
              <w:right w:val="nil"/>
            </w:tcBorders>
            <w:shd w:val="clear" w:color="auto" w:fill="auto"/>
            <w:noWrap/>
            <w:vAlign w:val="bottom"/>
            <w:hideMark/>
          </w:tcPr>
          <w:p w14:paraId="0B6CFE26"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6F5EC162" w14:textId="77777777" w:rsidR="00136466" w:rsidRPr="00136466" w:rsidRDefault="00136466" w:rsidP="00136466">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136466">
              <w:rPr>
                <w:rFonts w:ascii="Times New Roman" w:eastAsia="Times New Roman" w:hAnsi="Times New Roman" w:cs="Times New Roman"/>
                <w:b/>
                <w:bCs/>
                <w:i/>
                <w:iCs/>
                <w:color w:val="000000"/>
                <w:kern w:val="0"/>
                <w:sz w:val="20"/>
                <w:szCs w:val="20"/>
                <w:lang w:eastAsia="sk-SK"/>
                <w14:ligatures w14:val="none"/>
              </w:rPr>
              <w:t>A. 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12DB4AE"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403 491 656</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1793639"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13 979 719</w:t>
            </w:r>
          </w:p>
        </w:tc>
      </w:tr>
      <w:tr w:rsidR="00136466" w:rsidRPr="00136466" w14:paraId="2EB54385" w14:textId="77777777" w:rsidTr="003627DF">
        <w:trPr>
          <w:gridAfter w:val="2"/>
          <w:wAfter w:w="583" w:type="dxa"/>
          <w:trHeight w:val="420"/>
        </w:trPr>
        <w:tc>
          <w:tcPr>
            <w:tcW w:w="146" w:type="dxa"/>
            <w:tcBorders>
              <w:top w:val="nil"/>
              <w:left w:val="nil"/>
              <w:bottom w:val="nil"/>
              <w:right w:val="nil"/>
            </w:tcBorders>
            <w:shd w:val="clear" w:color="auto" w:fill="auto"/>
            <w:noWrap/>
            <w:vAlign w:val="bottom"/>
            <w:hideMark/>
          </w:tcPr>
          <w:p w14:paraId="0226B43A"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21DCD044" w14:textId="77777777" w:rsidR="00136466" w:rsidRPr="00136466" w:rsidRDefault="00136466" w:rsidP="00136466">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136466">
              <w:rPr>
                <w:rFonts w:ascii="Times New Roman" w:eastAsia="Times New Roman" w:hAnsi="Times New Roman" w:cs="Times New Roman"/>
                <w:b/>
                <w:bCs/>
                <w:i/>
                <w:iCs/>
                <w:color w:val="000000"/>
                <w:kern w:val="0"/>
                <w:sz w:val="20"/>
                <w:szCs w:val="20"/>
                <w:lang w:eastAsia="sk-SK"/>
                <w14:ligatures w14:val="none"/>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F2E8737"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706108A"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0</w:t>
            </w:r>
          </w:p>
        </w:tc>
      </w:tr>
      <w:tr w:rsidR="00136466" w:rsidRPr="00136466" w14:paraId="1709E912" w14:textId="77777777" w:rsidTr="003627DF">
        <w:trPr>
          <w:gridAfter w:val="2"/>
          <w:wAfter w:w="583" w:type="dxa"/>
          <w:trHeight w:val="435"/>
        </w:trPr>
        <w:tc>
          <w:tcPr>
            <w:tcW w:w="146" w:type="dxa"/>
            <w:tcBorders>
              <w:top w:val="nil"/>
              <w:left w:val="nil"/>
              <w:bottom w:val="nil"/>
              <w:right w:val="nil"/>
            </w:tcBorders>
            <w:shd w:val="clear" w:color="auto" w:fill="auto"/>
            <w:noWrap/>
            <w:vAlign w:val="bottom"/>
            <w:hideMark/>
          </w:tcPr>
          <w:p w14:paraId="7AEC006E"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AD9883A" w14:textId="77777777" w:rsidR="00136466" w:rsidRPr="00136466" w:rsidRDefault="00136466" w:rsidP="00136466">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136466">
              <w:rPr>
                <w:rFonts w:ascii="Times New Roman" w:eastAsia="Times New Roman" w:hAnsi="Times New Roman" w:cs="Times New Roman"/>
                <w:b/>
                <w:bCs/>
                <w:i/>
                <w:iCs/>
                <w:color w:val="000000"/>
                <w:kern w:val="0"/>
                <w:sz w:val="20"/>
                <w:szCs w:val="20"/>
                <w:lang w:eastAsia="sk-SK"/>
                <w14:ligatures w14:val="none"/>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164BF41C"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1 426 000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AE0A43E"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1 363 256</w:t>
            </w:r>
          </w:p>
        </w:tc>
      </w:tr>
      <w:tr w:rsidR="00136466" w:rsidRPr="00136466" w14:paraId="1B3F8788" w14:textId="77777777" w:rsidTr="003627DF">
        <w:trPr>
          <w:gridAfter w:val="2"/>
          <w:wAfter w:w="583" w:type="dxa"/>
          <w:trHeight w:val="480"/>
        </w:trPr>
        <w:tc>
          <w:tcPr>
            <w:tcW w:w="146" w:type="dxa"/>
            <w:tcBorders>
              <w:top w:val="nil"/>
              <w:left w:val="nil"/>
              <w:bottom w:val="nil"/>
              <w:right w:val="nil"/>
            </w:tcBorders>
            <w:shd w:val="clear" w:color="auto" w:fill="auto"/>
            <w:noWrap/>
            <w:vAlign w:val="bottom"/>
            <w:hideMark/>
          </w:tcPr>
          <w:p w14:paraId="723F0578"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6C1B3B1" w14:textId="77777777" w:rsidR="00136466" w:rsidRPr="00136466" w:rsidRDefault="00136466" w:rsidP="00136466">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136466">
              <w:rPr>
                <w:rFonts w:ascii="Times New Roman" w:eastAsia="Times New Roman" w:hAnsi="Times New Roman" w:cs="Times New Roman"/>
                <w:b/>
                <w:bCs/>
                <w:i/>
                <w:iCs/>
                <w:color w:val="000000"/>
                <w:kern w:val="0"/>
                <w:sz w:val="20"/>
                <w:szCs w:val="20"/>
                <w:lang w:eastAsia="sk-SK"/>
                <w14:ligatures w14:val="none"/>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0178B1C"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24 991 220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24063C0"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0</w:t>
            </w:r>
          </w:p>
        </w:tc>
      </w:tr>
      <w:tr w:rsidR="00136466" w:rsidRPr="00136466" w14:paraId="360EAB8B" w14:textId="77777777" w:rsidTr="003627DF">
        <w:trPr>
          <w:gridAfter w:val="2"/>
          <w:wAfter w:w="583" w:type="dxa"/>
          <w:trHeight w:val="480"/>
        </w:trPr>
        <w:tc>
          <w:tcPr>
            <w:tcW w:w="146" w:type="dxa"/>
            <w:tcBorders>
              <w:top w:val="nil"/>
              <w:left w:val="nil"/>
              <w:bottom w:val="nil"/>
              <w:right w:val="nil"/>
            </w:tcBorders>
            <w:shd w:val="clear" w:color="auto" w:fill="auto"/>
            <w:noWrap/>
            <w:vAlign w:val="bottom"/>
          </w:tcPr>
          <w:p w14:paraId="6F3F3828"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675A48DF" w14:textId="77777777" w:rsidR="00136466" w:rsidRPr="00136466" w:rsidRDefault="00136466" w:rsidP="00136466">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136466">
              <w:rPr>
                <w:rFonts w:ascii="Times New Roman" w:eastAsia="Times New Roman" w:hAnsi="Times New Roman" w:cs="Times New Roman"/>
                <w:b/>
                <w:bCs/>
                <w:i/>
                <w:iCs/>
                <w:color w:val="000000"/>
                <w:kern w:val="0"/>
                <w:sz w:val="20"/>
                <w:szCs w:val="20"/>
                <w:lang w:eastAsia="sk-SK"/>
                <w14:ligatures w14:val="none"/>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0DAA740C"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8 978 277</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5F32AC73"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10 353 427</w:t>
            </w:r>
          </w:p>
        </w:tc>
      </w:tr>
      <w:tr w:rsidR="00136466" w:rsidRPr="00136466" w14:paraId="7BA9A3CB" w14:textId="77777777" w:rsidTr="003627DF">
        <w:trPr>
          <w:gridAfter w:val="2"/>
          <w:wAfter w:w="583" w:type="dxa"/>
          <w:trHeight w:val="600"/>
        </w:trPr>
        <w:tc>
          <w:tcPr>
            <w:tcW w:w="146" w:type="dxa"/>
            <w:tcBorders>
              <w:top w:val="nil"/>
              <w:left w:val="nil"/>
              <w:bottom w:val="nil"/>
              <w:right w:val="nil"/>
            </w:tcBorders>
            <w:shd w:val="clear" w:color="auto" w:fill="auto"/>
            <w:noWrap/>
            <w:vAlign w:val="bottom"/>
            <w:hideMark/>
          </w:tcPr>
          <w:p w14:paraId="6BD7BF52"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4ED3A619" w14:textId="77777777" w:rsidR="00136466" w:rsidRPr="00136466" w:rsidRDefault="00136466" w:rsidP="00136466">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136466">
              <w:rPr>
                <w:rFonts w:ascii="Times New Roman" w:eastAsia="Times New Roman" w:hAnsi="Times New Roman" w:cs="Times New Roman"/>
                <w:b/>
                <w:bCs/>
                <w:i/>
                <w:iCs/>
                <w:color w:val="000000"/>
                <w:kern w:val="0"/>
                <w:sz w:val="20"/>
                <w:szCs w:val="20"/>
                <w:lang w:eastAsia="sk-SK"/>
                <w14:ligatures w14:val="none"/>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2897E9EC"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438 887 153</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66F5B83B"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25 696 402</w:t>
            </w:r>
          </w:p>
        </w:tc>
      </w:tr>
      <w:tr w:rsidR="00136466" w:rsidRPr="00136466" w14:paraId="74E228EC" w14:textId="77777777" w:rsidTr="003627DF">
        <w:trPr>
          <w:trHeight w:val="270"/>
        </w:trPr>
        <w:tc>
          <w:tcPr>
            <w:tcW w:w="146" w:type="dxa"/>
            <w:tcBorders>
              <w:top w:val="nil"/>
              <w:left w:val="nil"/>
              <w:bottom w:val="nil"/>
              <w:right w:val="nil"/>
            </w:tcBorders>
            <w:shd w:val="clear" w:color="auto" w:fill="auto"/>
            <w:noWrap/>
            <w:vAlign w:val="bottom"/>
            <w:hideMark/>
          </w:tcPr>
          <w:p w14:paraId="35FDA652"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nil"/>
              <w:left w:val="nil"/>
              <w:bottom w:val="nil"/>
              <w:right w:val="nil"/>
            </w:tcBorders>
            <w:shd w:val="clear" w:color="auto" w:fill="auto"/>
            <w:noWrap/>
            <w:vAlign w:val="bottom"/>
            <w:hideMark/>
          </w:tcPr>
          <w:p w14:paraId="5EE27021"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2792" w:type="dxa"/>
            <w:gridSpan w:val="2"/>
            <w:tcBorders>
              <w:top w:val="nil"/>
              <w:left w:val="nil"/>
              <w:bottom w:val="nil"/>
              <w:right w:val="nil"/>
            </w:tcBorders>
            <w:shd w:val="clear" w:color="auto" w:fill="auto"/>
            <w:vAlign w:val="center"/>
            <w:hideMark/>
          </w:tcPr>
          <w:p w14:paraId="2FF481BF" w14:textId="77777777" w:rsidR="00136466" w:rsidRPr="00136466" w:rsidRDefault="00136466" w:rsidP="00136466">
            <w:pPr>
              <w:spacing w:after="0" w:line="240" w:lineRule="auto"/>
              <w:rPr>
                <w:rFonts w:ascii="Times New Roman" w:eastAsia="Times New Roman" w:hAnsi="Times New Roman" w:cs="Times New Roman"/>
                <w:i/>
                <w:iCs/>
                <w:color w:val="000000"/>
                <w:kern w:val="0"/>
                <w:sz w:val="20"/>
                <w:szCs w:val="20"/>
                <w:lang w:eastAsia="sk-SK"/>
                <w14:ligatures w14:val="none"/>
              </w:rPr>
            </w:pPr>
          </w:p>
        </w:tc>
        <w:tc>
          <w:tcPr>
            <w:tcW w:w="160" w:type="dxa"/>
            <w:tcBorders>
              <w:top w:val="nil"/>
              <w:left w:val="nil"/>
              <w:bottom w:val="nil"/>
              <w:right w:val="nil"/>
            </w:tcBorders>
            <w:shd w:val="clear" w:color="auto" w:fill="auto"/>
            <w:vAlign w:val="center"/>
            <w:hideMark/>
          </w:tcPr>
          <w:p w14:paraId="52225B78" w14:textId="77777777" w:rsidR="00136466" w:rsidRPr="00136466" w:rsidRDefault="00136466" w:rsidP="00136466">
            <w:pPr>
              <w:spacing w:after="0" w:line="240" w:lineRule="auto"/>
              <w:rPr>
                <w:rFonts w:ascii="Times New Roman" w:eastAsia="Times New Roman" w:hAnsi="Times New Roman" w:cs="Times New Roman"/>
                <w:i/>
                <w:iCs/>
                <w:color w:val="000000"/>
                <w:kern w:val="0"/>
                <w:sz w:val="20"/>
                <w:szCs w:val="20"/>
                <w:lang w:eastAsia="sk-SK"/>
                <w14:ligatures w14:val="none"/>
              </w:rPr>
            </w:pPr>
          </w:p>
        </w:tc>
        <w:tc>
          <w:tcPr>
            <w:tcW w:w="2716" w:type="dxa"/>
            <w:gridSpan w:val="2"/>
            <w:tcBorders>
              <w:top w:val="nil"/>
              <w:left w:val="nil"/>
              <w:bottom w:val="nil"/>
              <w:right w:val="nil"/>
            </w:tcBorders>
            <w:shd w:val="clear" w:color="auto" w:fill="auto"/>
            <w:vAlign w:val="center"/>
            <w:hideMark/>
          </w:tcPr>
          <w:p w14:paraId="0B1BF7B1" w14:textId="77777777" w:rsidR="00136466" w:rsidRPr="00136466" w:rsidRDefault="00136466" w:rsidP="00136466">
            <w:pPr>
              <w:spacing w:after="0" w:line="240" w:lineRule="auto"/>
              <w:rPr>
                <w:rFonts w:ascii="Times New Roman" w:eastAsia="Times New Roman" w:hAnsi="Times New Roman" w:cs="Times New Roman"/>
                <w:i/>
                <w:iCs/>
                <w:color w:val="000000"/>
                <w:kern w:val="0"/>
                <w:sz w:val="20"/>
                <w:szCs w:val="20"/>
                <w:lang w:eastAsia="sk-SK"/>
                <w14:ligatures w14:val="none"/>
              </w:rPr>
            </w:pPr>
          </w:p>
        </w:tc>
        <w:tc>
          <w:tcPr>
            <w:tcW w:w="160" w:type="dxa"/>
            <w:tcBorders>
              <w:top w:val="nil"/>
              <w:left w:val="nil"/>
              <w:bottom w:val="nil"/>
              <w:right w:val="nil"/>
            </w:tcBorders>
            <w:shd w:val="clear" w:color="auto" w:fill="auto"/>
            <w:vAlign w:val="center"/>
            <w:hideMark/>
          </w:tcPr>
          <w:p w14:paraId="4AFA06C2" w14:textId="77777777" w:rsidR="00136466" w:rsidRPr="00136466" w:rsidRDefault="00136466" w:rsidP="00136466">
            <w:pPr>
              <w:spacing w:after="0" w:line="240" w:lineRule="auto"/>
              <w:rPr>
                <w:rFonts w:ascii="Times New Roman" w:eastAsia="Times New Roman" w:hAnsi="Times New Roman" w:cs="Times New Roman"/>
                <w:i/>
                <w:iCs/>
                <w:color w:val="000000"/>
                <w:kern w:val="0"/>
                <w:sz w:val="20"/>
                <w:szCs w:val="20"/>
                <w:lang w:eastAsia="sk-SK"/>
                <w14:ligatures w14:val="none"/>
              </w:rPr>
            </w:pPr>
          </w:p>
        </w:tc>
      </w:tr>
      <w:tr w:rsidR="00136466" w:rsidRPr="00136466" w14:paraId="3B4114F4" w14:textId="77777777" w:rsidTr="003627DF">
        <w:trPr>
          <w:gridAfter w:val="2"/>
          <w:wAfter w:w="583" w:type="dxa"/>
          <w:trHeight w:val="412"/>
        </w:trPr>
        <w:tc>
          <w:tcPr>
            <w:tcW w:w="146" w:type="dxa"/>
            <w:tcBorders>
              <w:top w:val="nil"/>
              <w:left w:val="nil"/>
              <w:bottom w:val="nil"/>
              <w:right w:val="nil"/>
            </w:tcBorders>
            <w:shd w:val="clear" w:color="auto" w:fill="auto"/>
            <w:noWrap/>
            <w:vAlign w:val="bottom"/>
            <w:hideMark/>
          </w:tcPr>
          <w:p w14:paraId="2348EDE2"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FDAAC3A" w14:textId="77777777" w:rsidR="00136466" w:rsidRPr="00136466" w:rsidRDefault="00136466" w:rsidP="00136466">
            <w:pPr>
              <w:spacing w:after="0" w:line="240" w:lineRule="auto"/>
              <w:rPr>
                <w:rFonts w:ascii="Times New Roman" w:eastAsia="Times New Roman" w:hAnsi="Times New Roman" w:cs="Times New Roman"/>
                <w:i/>
                <w:iCs/>
                <w:color w:val="000000"/>
                <w:kern w:val="0"/>
                <w:sz w:val="22"/>
                <w:szCs w:val="22"/>
                <w:lang w:eastAsia="sk-SK"/>
                <w14:ligatures w14:val="none"/>
              </w:rPr>
            </w:pPr>
            <w:r w:rsidRPr="00136466">
              <w:rPr>
                <w:rFonts w:ascii="Times New Roman" w:eastAsia="Times New Roman" w:hAnsi="Times New Roman" w:cs="Times New Roman"/>
                <w:i/>
                <w:iCs/>
                <w:color w:val="000000"/>
                <w:kern w:val="0"/>
                <w:sz w:val="22"/>
                <w:szCs w:val="22"/>
                <w:lang w:eastAsia="sk-SK"/>
                <w14:ligatures w14:val="none"/>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30DFE98"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0AECD8AD"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Zníženie nákladov v € na PP</w:t>
            </w:r>
          </w:p>
        </w:tc>
      </w:tr>
      <w:tr w:rsidR="00136466" w:rsidRPr="00136466" w14:paraId="67ECAB0D" w14:textId="77777777" w:rsidTr="003627DF">
        <w:trPr>
          <w:gridAfter w:val="2"/>
          <w:wAfter w:w="583" w:type="dxa"/>
          <w:trHeight w:val="840"/>
        </w:trPr>
        <w:tc>
          <w:tcPr>
            <w:tcW w:w="146" w:type="dxa"/>
            <w:tcBorders>
              <w:top w:val="nil"/>
              <w:left w:val="nil"/>
              <w:bottom w:val="nil"/>
              <w:right w:val="nil"/>
            </w:tcBorders>
            <w:shd w:val="clear" w:color="auto" w:fill="auto"/>
            <w:noWrap/>
            <w:vAlign w:val="bottom"/>
            <w:hideMark/>
          </w:tcPr>
          <w:p w14:paraId="4ACD9FA5"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D724FF6" w14:textId="77777777" w:rsidR="00136466" w:rsidRPr="00136466" w:rsidRDefault="00136466" w:rsidP="00136466">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136466">
              <w:rPr>
                <w:rFonts w:ascii="Times New Roman" w:eastAsia="Times New Roman" w:hAnsi="Times New Roman" w:cs="Times New Roman"/>
                <w:b/>
                <w:bCs/>
                <w:i/>
                <w:iCs/>
                <w:color w:val="000000"/>
                <w:kern w:val="0"/>
                <w:sz w:val="20"/>
                <w:szCs w:val="20"/>
                <w:lang w:eastAsia="sk-SK"/>
                <w14:ligatures w14:val="none"/>
              </w:rPr>
              <w:t>F. Úplná harmonizácia práva EÚ</w:t>
            </w:r>
            <w:r w:rsidRPr="00136466">
              <w:rPr>
                <w:rFonts w:ascii="Times New Roman" w:eastAsia="Times New Roman" w:hAnsi="Times New Roman" w:cs="Times New Roman"/>
                <w:b/>
                <w:bCs/>
                <w:i/>
                <w:iCs/>
                <w:color w:val="000000"/>
                <w:kern w:val="0"/>
                <w:sz w:val="20"/>
                <w:szCs w:val="20"/>
                <w:lang w:eastAsia="sk-SK"/>
                <w14:ligatures w14:val="none"/>
              </w:rPr>
              <w:br/>
            </w:r>
            <w:r w:rsidRPr="00136466">
              <w:rPr>
                <w:rFonts w:ascii="Times New Roman" w:eastAsia="Times New Roman" w:hAnsi="Times New Roman" w:cs="Times New Roman"/>
                <w:i/>
                <w:iCs/>
                <w:color w:val="000000"/>
                <w:kern w:val="0"/>
                <w:sz w:val="16"/>
                <w:szCs w:val="16"/>
                <w:lang w:eastAsia="sk-SK"/>
                <w14:ligatures w14:val="none"/>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5727419"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7 838 385</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2DCB3DC"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10 353 427</w:t>
            </w:r>
          </w:p>
        </w:tc>
      </w:tr>
      <w:tr w:rsidR="00136466" w:rsidRPr="00136466" w14:paraId="27BF6AA3" w14:textId="77777777" w:rsidTr="003627DF">
        <w:trPr>
          <w:gridAfter w:val="2"/>
          <w:wAfter w:w="583" w:type="dxa"/>
          <w:trHeight w:val="486"/>
        </w:trPr>
        <w:tc>
          <w:tcPr>
            <w:tcW w:w="146" w:type="dxa"/>
            <w:tcBorders>
              <w:top w:val="nil"/>
              <w:left w:val="nil"/>
              <w:bottom w:val="nil"/>
              <w:right w:val="nil"/>
            </w:tcBorders>
            <w:shd w:val="clear" w:color="auto" w:fill="auto"/>
            <w:noWrap/>
            <w:vAlign w:val="bottom"/>
            <w:hideMark/>
          </w:tcPr>
          <w:p w14:paraId="7D6B1166"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0F877AAE" w14:textId="77777777" w:rsidR="00136466" w:rsidRPr="00136466" w:rsidRDefault="00136466" w:rsidP="00136466">
            <w:pPr>
              <w:spacing w:after="0" w:line="240" w:lineRule="auto"/>
              <w:rPr>
                <w:rFonts w:ascii="Times New Roman" w:eastAsia="Times New Roman" w:hAnsi="Times New Roman" w:cs="Times New Roman"/>
                <w:b/>
                <w:bCs/>
                <w:i/>
                <w:iCs/>
                <w:color w:val="000000"/>
                <w:kern w:val="0"/>
                <w:sz w:val="20"/>
                <w:szCs w:val="20"/>
                <w:lang w:eastAsia="sk-SK"/>
                <w14:ligatures w14:val="none"/>
              </w:rPr>
            </w:pPr>
            <w:r w:rsidRPr="00136466">
              <w:rPr>
                <w:rFonts w:ascii="Times New Roman" w:eastAsia="Times New Roman" w:hAnsi="Times New Roman" w:cs="Times New Roman"/>
                <w:b/>
                <w:bCs/>
                <w:i/>
                <w:iCs/>
                <w:color w:val="000000"/>
                <w:kern w:val="0"/>
                <w:sz w:val="20"/>
                <w:szCs w:val="20"/>
                <w:lang w:eastAsia="sk-SK"/>
                <w14:ligatures w14:val="none"/>
              </w:rPr>
              <w:t>G.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5B7A2C2B"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78FD47FB"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0</w:t>
            </w:r>
          </w:p>
        </w:tc>
      </w:tr>
      <w:tr w:rsidR="00136466" w:rsidRPr="00136466" w14:paraId="01454E61" w14:textId="77777777" w:rsidTr="003627DF">
        <w:trPr>
          <w:trHeight w:val="360"/>
        </w:trPr>
        <w:tc>
          <w:tcPr>
            <w:tcW w:w="146" w:type="dxa"/>
            <w:tcBorders>
              <w:top w:val="nil"/>
              <w:left w:val="nil"/>
              <w:bottom w:val="nil"/>
              <w:right w:val="nil"/>
            </w:tcBorders>
            <w:shd w:val="clear" w:color="auto" w:fill="auto"/>
            <w:noWrap/>
            <w:vAlign w:val="bottom"/>
            <w:hideMark/>
          </w:tcPr>
          <w:p w14:paraId="756AABD4"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nil"/>
              <w:left w:val="nil"/>
              <w:bottom w:val="nil"/>
              <w:right w:val="nil"/>
            </w:tcBorders>
            <w:shd w:val="clear" w:color="auto" w:fill="auto"/>
            <w:noWrap/>
            <w:vAlign w:val="bottom"/>
            <w:hideMark/>
          </w:tcPr>
          <w:p w14:paraId="184EE233"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2792" w:type="dxa"/>
            <w:gridSpan w:val="2"/>
            <w:tcBorders>
              <w:top w:val="nil"/>
              <w:left w:val="nil"/>
              <w:bottom w:val="nil"/>
              <w:right w:val="nil"/>
            </w:tcBorders>
            <w:shd w:val="clear" w:color="auto" w:fill="auto"/>
            <w:vAlign w:val="center"/>
            <w:hideMark/>
          </w:tcPr>
          <w:p w14:paraId="25486D82" w14:textId="77777777" w:rsidR="00136466" w:rsidRPr="00136466" w:rsidRDefault="00136466" w:rsidP="00136466">
            <w:pPr>
              <w:spacing w:after="0" w:line="240" w:lineRule="auto"/>
              <w:rPr>
                <w:rFonts w:ascii="Times New Roman" w:eastAsia="Times New Roman" w:hAnsi="Times New Roman" w:cs="Times New Roman"/>
                <w:i/>
                <w:iCs/>
                <w:color w:val="000000"/>
                <w:kern w:val="0"/>
                <w:sz w:val="20"/>
                <w:szCs w:val="20"/>
                <w:lang w:eastAsia="sk-SK"/>
                <w14:ligatures w14:val="none"/>
              </w:rPr>
            </w:pPr>
          </w:p>
        </w:tc>
        <w:tc>
          <w:tcPr>
            <w:tcW w:w="160" w:type="dxa"/>
            <w:tcBorders>
              <w:top w:val="nil"/>
              <w:left w:val="nil"/>
              <w:bottom w:val="nil"/>
              <w:right w:val="nil"/>
            </w:tcBorders>
            <w:shd w:val="clear" w:color="auto" w:fill="auto"/>
            <w:vAlign w:val="center"/>
            <w:hideMark/>
          </w:tcPr>
          <w:p w14:paraId="669DE9CB" w14:textId="77777777" w:rsidR="00136466" w:rsidRPr="00136466" w:rsidRDefault="00136466" w:rsidP="00136466">
            <w:pPr>
              <w:spacing w:after="0" w:line="240" w:lineRule="auto"/>
              <w:rPr>
                <w:rFonts w:ascii="Times New Roman" w:eastAsia="Times New Roman" w:hAnsi="Times New Roman" w:cs="Times New Roman"/>
                <w:i/>
                <w:iCs/>
                <w:color w:val="000000"/>
                <w:kern w:val="0"/>
                <w:sz w:val="20"/>
                <w:szCs w:val="20"/>
                <w:lang w:eastAsia="sk-SK"/>
                <w14:ligatures w14:val="none"/>
              </w:rPr>
            </w:pPr>
          </w:p>
        </w:tc>
        <w:tc>
          <w:tcPr>
            <w:tcW w:w="2716" w:type="dxa"/>
            <w:gridSpan w:val="2"/>
            <w:tcBorders>
              <w:top w:val="nil"/>
              <w:left w:val="nil"/>
              <w:bottom w:val="nil"/>
              <w:right w:val="nil"/>
            </w:tcBorders>
            <w:shd w:val="clear" w:color="auto" w:fill="auto"/>
            <w:vAlign w:val="center"/>
            <w:hideMark/>
          </w:tcPr>
          <w:p w14:paraId="531EFB38" w14:textId="77777777" w:rsidR="00136466" w:rsidRPr="00136466" w:rsidRDefault="00136466" w:rsidP="00136466">
            <w:pPr>
              <w:spacing w:after="0" w:line="240" w:lineRule="auto"/>
              <w:rPr>
                <w:rFonts w:ascii="Times New Roman" w:eastAsia="Times New Roman" w:hAnsi="Times New Roman" w:cs="Times New Roman"/>
                <w:i/>
                <w:iCs/>
                <w:color w:val="000000"/>
                <w:kern w:val="0"/>
                <w:sz w:val="20"/>
                <w:szCs w:val="20"/>
                <w:lang w:eastAsia="sk-SK"/>
                <w14:ligatures w14:val="none"/>
              </w:rPr>
            </w:pPr>
          </w:p>
        </w:tc>
        <w:tc>
          <w:tcPr>
            <w:tcW w:w="160" w:type="dxa"/>
            <w:tcBorders>
              <w:top w:val="nil"/>
              <w:left w:val="nil"/>
              <w:bottom w:val="nil"/>
              <w:right w:val="nil"/>
            </w:tcBorders>
            <w:shd w:val="clear" w:color="auto" w:fill="auto"/>
            <w:vAlign w:val="center"/>
            <w:hideMark/>
          </w:tcPr>
          <w:p w14:paraId="66987174" w14:textId="77777777" w:rsidR="00136466" w:rsidRPr="00136466" w:rsidRDefault="00136466" w:rsidP="00136466">
            <w:pPr>
              <w:spacing w:after="0" w:line="240" w:lineRule="auto"/>
              <w:rPr>
                <w:rFonts w:ascii="Times New Roman" w:eastAsia="Times New Roman" w:hAnsi="Times New Roman" w:cs="Times New Roman"/>
                <w:i/>
                <w:iCs/>
                <w:color w:val="000000"/>
                <w:kern w:val="0"/>
                <w:sz w:val="20"/>
                <w:szCs w:val="20"/>
                <w:lang w:eastAsia="sk-SK"/>
                <w14:ligatures w14:val="none"/>
              </w:rPr>
            </w:pPr>
          </w:p>
        </w:tc>
      </w:tr>
      <w:tr w:rsidR="00136466" w:rsidRPr="00136466" w14:paraId="068AF3EA" w14:textId="77777777" w:rsidTr="003627DF">
        <w:trPr>
          <w:gridAfter w:val="2"/>
          <w:wAfter w:w="583" w:type="dxa"/>
          <w:trHeight w:val="390"/>
        </w:trPr>
        <w:tc>
          <w:tcPr>
            <w:tcW w:w="146" w:type="dxa"/>
            <w:tcBorders>
              <w:top w:val="nil"/>
              <w:left w:val="nil"/>
              <w:bottom w:val="nil"/>
              <w:right w:val="nil"/>
            </w:tcBorders>
            <w:shd w:val="clear" w:color="auto" w:fill="auto"/>
            <w:noWrap/>
            <w:vAlign w:val="bottom"/>
            <w:hideMark/>
          </w:tcPr>
          <w:p w14:paraId="5ADC8D8B"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A2EF113" w14:textId="77777777" w:rsidR="00136466" w:rsidRPr="00136466" w:rsidRDefault="00136466" w:rsidP="00136466">
            <w:pPr>
              <w:spacing w:after="0" w:line="240" w:lineRule="auto"/>
              <w:rPr>
                <w:rFonts w:ascii="Times New Roman" w:eastAsia="Times New Roman" w:hAnsi="Times New Roman" w:cs="Times New Roman"/>
                <w:i/>
                <w:iCs/>
                <w:color w:val="000000"/>
                <w:kern w:val="0"/>
                <w:sz w:val="20"/>
                <w:szCs w:val="20"/>
                <w:lang w:eastAsia="sk-SK"/>
                <w14:ligatures w14:val="none"/>
              </w:rPr>
            </w:pPr>
            <w:r w:rsidRPr="00136466">
              <w:rPr>
                <w:rFonts w:ascii="Times New Roman" w:eastAsia="Times New Roman" w:hAnsi="Times New Roman" w:cs="Times New Roman"/>
                <w:i/>
                <w:iCs/>
                <w:color w:val="000000"/>
                <w:kern w:val="0"/>
                <w:sz w:val="20"/>
                <w:szCs w:val="20"/>
                <w:lang w:eastAsia="sk-SK"/>
                <w14:ligatures w14:val="none"/>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55E35A91"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0E163F66"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OUT</w:t>
            </w:r>
          </w:p>
        </w:tc>
      </w:tr>
      <w:tr w:rsidR="00136466" w:rsidRPr="00136466" w14:paraId="4B2BDC76" w14:textId="77777777" w:rsidTr="003627DF">
        <w:trPr>
          <w:gridAfter w:val="2"/>
          <w:wAfter w:w="583" w:type="dxa"/>
          <w:trHeight w:val="390"/>
        </w:trPr>
        <w:tc>
          <w:tcPr>
            <w:tcW w:w="146" w:type="dxa"/>
            <w:tcBorders>
              <w:top w:val="nil"/>
              <w:left w:val="nil"/>
              <w:bottom w:val="nil"/>
              <w:right w:val="nil"/>
            </w:tcBorders>
            <w:shd w:val="clear" w:color="auto" w:fill="auto"/>
            <w:noWrap/>
            <w:vAlign w:val="bottom"/>
            <w:hideMark/>
          </w:tcPr>
          <w:p w14:paraId="1BBC12E7" w14:textId="77777777" w:rsidR="00136466" w:rsidRPr="00136466" w:rsidRDefault="00136466" w:rsidP="00136466">
            <w:pPr>
              <w:spacing w:after="0" w:line="240" w:lineRule="auto"/>
              <w:rPr>
                <w:rFonts w:ascii="Times New Roman" w:eastAsia="Times New Roman" w:hAnsi="Times New Roman" w:cs="Times New Roman"/>
                <w:color w:val="000000"/>
                <w:kern w:val="0"/>
                <w:sz w:val="20"/>
                <w:szCs w:val="20"/>
                <w:lang w:eastAsia="sk-SK"/>
                <w14:ligatures w14:val="none"/>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192DF8EB" w14:textId="77777777" w:rsidR="00136466" w:rsidRPr="00136466" w:rsidRDefault="00136466" w:rsidP="00136466">
            <w:pPr>
              <w:spacing w:after="0" w:line="240" w:lineRule="auto"/>
              <w:rPr>
                <w:rFonts w:ascii="Times New Roman" w:eastAsia="Times New Roman" w:hAnsi="Times New Roman" w:cs="Times New Roman"/>
                <w:i/>
                <w:iCs/>
                <w:color w:val="000000"/>
                <w:kern w:val="0"/>
                <w:sz w:val="20"/>
                <w:szCs w:val="20"/>
                <w:lang w:eastAsia="sk-SK"/>
                <w14:ligatures w14:val="none"/>
              </w:rPr>
            </w:pPr>
            <w:r w:rsidRPr="00136466">
              <w:rPr>
                <w:rFonts w:ascii="Times New Roman" w:eastAsia="Times New Roman" w:hAnsi="Times New Roman" w:cs="Times New Roman"/>
                <w:b/>
                <w:i/>
                <w:iCs/>
                <w:color w:val="000000"/>
                <w:kern w:val="0"/>
                <w:sz w:val="20"/>
                <w:szCs w:val="20"/>
                <w:lang w:eastAsia="sk-SK"/>
                <w14:ligatures w14:val="none"/>
              </w:rPr>
              <w:t>H.</w:t>
            </w:r>
            <w:r w:rsidRPr="00136466">
              <w:rPr>
                <w:rFonts w:ascii="Times New Roman" w:eastAsia="Times New Roman" w:hAnsi="Times New Roman" w:cs="Times New Roman"/>
                <w:i/>
                <w:iCs/>
                <w:color w:val="000000"/>
                <w:kern w:val="0"/>
                <w:sz w:val="20"/>
                <w:szCs w:val="20"/>
                <w:lang w:eastAsia="sk-SK"/>
                <w14:ligatures w14:val="none"/>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13B31069"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26 131 112</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57895918"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Calibri" w:hAnsi="Times New Roman" w:cs="Times New Roman"/>
                <w:b/>
                <w:bCs/>
                <w:color w:val="000000"/>
                <w:kern w:val="0"/>
                <w:sz w:val="20"/>
                <w:szCs w:val="20"/>
                <w14:ligatures w14:val="none"/>
              </w:rPr>
              <w:t>0</w:t>
            </w:r>
          </w:p>
        </w:tc>
      </w:tr>
    </w:tbl>
    <w:p w14:paraId="6CB58689" w14:textId="77777777" w:rsidR="00136466" w:rsidRPr="00136466" w:rsidRDefault="00136466" w:rsidP="00136466">
      <w:pPr>
        <w:spacing w:line="259" w:lineRule="auto"/>
        <w:rPr>
          <w:rFonts w:ascii="Times New Roman" w:eastAsia="Calibri" w:hAnsi="Times New Roman" w:cs="Times New Roman"/>
          <w:b/>
          <w:kern w:val="0"/>
          <w14:ligatures w14:val="none"/>
        </w:rPr>
        <w:sectPr w:rsidR="00136466" w:rsidRPr="00136466" w:rsidSect="00B560F6">
          <w:pgSz w:w="11906" w:h="16838"/>
          <w:pgMar w:top="993" w:right="1417" w:bottom="1417" w:left="1417" w:header="708" w:footer="708" w:gutter="0"/>
          <w:cols w:space="708"/>
          <w:docGrid w:linePitch="360"/>
        </w:sectPr>
      </w:pPr>
    </w:p>
    <w:p w14:paraId="0AF736A6" w14:textId="77777777" w:rsidR="00136466" w:rsidRPr="00136466" w:rsidRDefault="00136466" w:rsidP="00136466">
      <w:pPr>
        <w:spacing w:line="259" w:lineRule="auto"/>
        <w:rPr>
          <w:rFonts w:ascii="Times New Roman" w:eastAsia="Calibri" w:hAnsi="Times New Roman" w:cs="Times New Roman"/>
          <w:b/>
          <w:i/>
          <w:iCs/>
          <w:kern w:val="0"/>
          <w14:ligatures w14:val="none"/>
        </w:rPr>
      </w:pPr>
      <w:r w:rsidRPr="00136466">
        <w:rPr>
          <w:rFonts w:ascii="Times New Roman" w:eastAsia="Calibri" w:hAnsi="Times New Roman" w:cs="Times New Roman"/>
          <w:b/>
          <w:i/>
          <w:iCs/>
          <w:kern w:val="0"/>
          <w14:ligatures w14:val="none"/>
        </w:rPr>
        <w:t>3.1.2 Výpočty vplyvov jednotlivých regulácií na zmeny v nákladoch podnikateľov</w:t>
      </w:r>
      <w:r w:rsidRPr="00136466">
        <w:rPr>
          <w:rFonts w:ascii="Times New Roman" w:eastAsia="Calibri" w:hAnsi="Times New Roman" w:cs="Times New Roman"/>
          <w:i/>
          <w:kern w:val="0"/>
          <w14:ligatures w14:val="none"/>
        </w:rPr>
        <w:tab/>
      </w:r>
      <w:r w:rsidRPr="00136466">
        <w:rPr>
          <w:rFonts w:ascii="Times New Roman" w:eastAsia="Calibri" w:hAnsi="Times New Roman" w:cs="Times New Roman"/>
          <w:i/>
          <w:kern w:val="0"/>
          <w14:ligatures w14:val="none"/>
        </w:rPr>
        <w:tab/>
      </w:r>
      <w:r w:rsidRPr="00136466">
        <w:rPr>
          <w:rFonts w:ascii="Times New Roman" w:eastAsia="Calibri" w:hAnsi="Times New Roman" w:cs="Times New Roman"/>
          <w:i/>
          <w:kern w:val="0"/>
          <w14:ligatures w14:val="none"/>
        </w:rPr>
        <w:tab/>
      </w:r>
      <w:r w:rsidRPr="00136466">
        <w:rPr>
          <w:rFonts w:ascii="Times New Roman" w:eastAsia="Calibri" w:hAnsi="Times New Roman" w:cs="Times New Roman"/>
          <w:i/>
          <w:kern w:val="0"/>
          <w14:ligatures w14:val="none"/>
        </w:rPr>
        <w:tab/>
      </w:r>
      <w:r w:rsidRPr="00136466">
        <w:rPr>
          <w:rFonts w:ascii="Times New Roman" w:eastAsia="Calibri" w:hAnsi="Times New Roman" w:cs="Times New Roman"/>
          <w:i/>
          <w:kern w:val="0"/>
          <w14:ligatures w14:val="none"/>
        </w:rPr>
        <w:tab/>
      </w:r>
      <w:r w:rsidRPr="00136466">
        <w:rPr>
          <w:rFonts w:ascii="Times New Roman" w:eastAsia="Calibri" w:hAnsi="Times New Roman" w:cs="Times New Roman"/>
          <w:i/>
          <w:kern w:val="0"/>
          <w14:ligatures w14:val="none"/>
        </w:rPr>
        <w:tab/>
      </w:r>
      <w:r w:rsidRPr="00136466">
        <w:rPr>
          <w:rFonts w:ascii="Times New Roman" w:eastAsia="Calibri" w:hAnsi="Times New Roman" w:cs="Times New Roman"/>
          <w:i/>
          <w:kern w:val="0"/>
          <w14:ligatures w14:val="none"/>
        </w:rPr>
        <w:tab/>
      </w:r>
      <w:r w:rsidRPr="00136466">
        <w:rPr>
          <w:rFonts w:ascii="Times New Roman" w:eastAsia="Calibri" w:hAnsi="Times New Roman" w:cs="Times New Roman"/>
          <w:i/>
          <w:kern w:val="0"/>
          <w14:ligatures w14:val="none"/>
        </w:rPr>
        <w:tab/>
      </w:r>
    </w:p>
    <w:p w14:paraId="48F841F7" w14:textId="77777777" w:rsidR="00136466" w:rsidRPr="00136466" w:rsidRDefault="00136466" w:rsidP="00136466">
      <w:pPr>
        <w:spacing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136466" w:rsidRPr="00136466" w14:paraId="3C947518" w14:textId="77777777" w:rsidTr="00136466">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7077B64"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b/>
                <w:bCs/>
                <w:color w:val="000000"/>
                <w:kern w:val="0"/>
                <w:sz w:val="20"/>
                <w:szCs w:val="20"/>
                <w:lang w:eastAsia="sk-SK"/>
                <w14:ligatures w14:val="none"/>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515A349"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b/>
                <w:bCs/>
                <w:color w:val="000000"/>
                <w:kern w:val="0"/>
                <w:sz w:val="20"/>
                <w:szCs w:val="20"/>
                <w:lang w:eastAsia="sk-SK"/>
                <w14:ligatures w14:val="none"/>
              </w:rPr>
              <w:t xml:space="preserve">Zrozumiteľný a stručný opis regulácie </w:t>
            </w:r>
            <w:r w:rsidRPr="00136466">
              <w:rPr>
                <w:rFonts w:ascii="Times New Roman" w:eastAsia="Times New Roman" w:hAnsi="Times New Roman" w:cs="Times New Roman"/>
                <w:b/>
                <w:bCs/>
                <w:color w:val="000000"/>
                <w:kern w:val="0"/>
                <w:sz w:val="20"/>
                <w:szCs w:val="20"/>
                <w:lang w:eastAsia="sk-SK"/>
                <w14:ligatures w14:val="none"/>
              </w:rPr>
              <w:br/>
              <w:t>(dôvod zvýšenia/zníženia nákladov na PP a dôvod ponechania nákladov na PP, ktoré sú goldplatngom)</w:t>
            </w:r>
          </w:p>
        </w:tc>
        <w:tc>
          <w:tcPr>
            <w:tcW w:w="992" w:type="dxa"/>
            <w:tcBorders>
              <w:top w:val="single" w:sz="4" w:space="0" w:color="auto"/>
              <w:left w:val="single" w:sz="4" w:space="0" w:color="auto"/>
              <w:bottom w:val="single" w:sz="4" w:space="0" w:color="000000"/>
              <w:right w:val="single" w:sz="4" w:space="0" w:color="auto"/>
            </w:tcBorders>
            <w:shd w:val="clear" w:color="auto" w:fill="D0CECE"/>
            <w:vAlign w:val="center"/>
            <w:hideMark/>
          </w:tcPr>
          <w:p w14:paraId="5A262061"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b/>
                <w:bCs/>
                <w:color w:val="000000"/>
                <w:kern w:val="0"/>
                <w:sz w:val="20"/>
                <w:szCs w:val="20"/>
                <w:lang w:eastAsia="sk-SK"/>
                <w14:ligatures w14:val="none"/>
              </w:rPr>
              <w:t>Číslo normy</w:t>
            </w:r>
            <w:r w:rsidRPr="00136466">
              <w:rPr>
                <w:rFonts w:ascii="Times New Roman" w:eastAsia="Times New Roman" w:hAnsi="Times New Roman" w:cs="Times New Roman"/>
                <w:b/>
                <w:bCs/>
                <w:color w:val="000000"/>
                <w:kern w:val="0"/>
                <w:sz w:val="20"/>
                <w:szCs w:val="20"/>
                <w:lang w:eastAsia="sk-SK"/>
                <w14:ligatures w14:val="none"/>
              </w:rPr>
              <w:br/>
            </w:r>
            <w:r w:rsidRPr="00136466">
              <w:rPr>
                <w:rFonts w:ascii="Times New Roman" w:eastAsia="Times New Roman" w:hAnsi="Times New Roman" w:cs="Times New Roman"/>
                <w:color w:val="000000"/>
                <w:kern w:val="0"/>
                <w:sz w:val="20"/>
                <w:szCs w:val="20"/>
                <w:lang w:eastAsia="sk-SK"/>
                <w14:ligatures w14:val="none"/>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vAlign w:val="center"/>
            <w:hideMark/>
          </w:tcPr>
          <w:p w14:paraId="03B502A2"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b/>
                <w:bCs/>
                <w:color w:val="000000"/>
                <w:kern w:val="0"/>
                <w:sz w:val="20"/>
                <w:szCs w:val="20"/>
                <w:lang w:eastAsia="sk-SK"/>
                <w14:ligatures w14:val="none"/>
              </w:rPr>
              <w:t>Lokalizácia</w:t>
            </w:r>
            <w:r w:rsidRPr="00136466">
              <w:rPr>
                <w:rFonts w:ascii="Times New Roman" w:eastAsia="Times New Roman" w:hAnsi="Times New Roman" w:cs="Times New Roman"/>
                <w:b/>
                <w:bCs/>
                <w:color w:val="000000"/>
                <w:kern w:val="0"/>
                <w:sz w:val="20"/>
                <w:szCs w:val="20"/>
                <w:lang w:eastAsia="sk-SK"/>
                <w14:ligatures w14:val="none"/>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232A8B6"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Times New Roman" w:hAnsi="Times New Roman" w:cs="Times New Roman"/>
                <w:b/>
                <w:bCs/>
                <w:color w:val="000000"/>
                <w:kern w:val="0"/>
                <w:sz w:val="20"/>
                <w:szCs w:val="20"/>
                <w:lang w:eastAsia="sk-SK"/>
                <w14:ligatures w14:val="none"/>
              </w:rPr>
              <w:t xml:space="preserve">Pôvod regulácie: </w:t>
            </w:r>
            <w:r w:rsidRPr="00136466">
              <w:rPr>
                <w:rFonts w:ascii="Times New Roman" w:eastAsia="Times New Roman" w:hAnsi="Times New Roman" w:cs="Times New Roman"/>
                <w:b/>
                <w:bCs/>
                <w:color w:val="000000"/>
                <w:kern w:val="0"/>
                <w:sz w:val="20"/>
                <w:szCs w:val="20"/>
                <w:lang w:eastAsia="sk-SK"/>
                <w14:ligatures w14:val="none"/>
              </w:rPr>
              <w:br/>
            </w:r>
            <w:r w:rsidRPr="00136466">
              <w:rPr>
                <w:rFonts w:ascii="Times New Roman" w:eastAsia="Times New Roman" w:hAnsi="Times New Roman" w:cs="Times New Roman"/>
                <w:color w:val="000000"/>
                <w:kern w:val="0"/>
                <w:sz w:val="20"/>
                <w:szCs w:val="20"/>
                <w:lang w:eastAsia="sk-SK"/>
                <w14:ligatures w14:val="none"/>
              </w:rPr>
              <w:t>SK/EÚ úplná harm./</w:t>
            </w:r>
          </w:p>
          <w:p w14:paraId="7C7F403B"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color w:val="000000"/>
                <w:kern w:val="0"/>
                <w:sz w:val="20"/>
                <w:szCs w:val="20"/>
                <w:lang w:eastAsia="sk-SK"/>
                <w14:ligatures w14:val="none"/>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8D009C6"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b/>
                <w:bCs/>
                <w:color w:val="000000"/>
                <w:kern w:val="0"/>
                <w:sz w:val="20"/>
                <w:szCs w:val="20"/>
                <w:lang w:eastAsia="sk-SK"/>
                <w14:ligatures w14:val="none"/>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013D1F7"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b/>
                <w:bCs/>
                <w:color w:val="000000"/>
                <w:kern w:val="0"/>
                <w:sz w:val="20"/>
                <w:szCs w:val="20"/>
                <w:lang w:eastAsia="sk-SK"/>
                <w14:ligatures w14:val="none"/>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vAlign w:val="center"/>
          </w:tcPr>
          <w:p w14:paraId="336AACD3"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b/>
                <w:bCs/>
                <w:color w:val="000000"/>
                <w:kern w:val="0"/>
                <w:sz w:val="20"/>
                <w:szCs w:val="20"/>
                <w:lang w:eastAsia="sk-SK"/>
                <w14:ligatures w14:val="none"/>
              </w:rPr>
              <w:t xml:space="preserve">Počet </w:t>
            </w:r>
          </w:p>
          <w:p w14:paraId="1E74E80E"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b/>
                <w:bCs/>
                <w:color w:val="000000"/>
                <w:kern w:val="0"/>
                <w:sz w:val="20"/>
                <w:szCs w:val="20"/>
                <w:lang w:eastAsia="sk-SK"/>
                <w14:ligatures w14:val="none"/>
              </w:rPr>
              <w:t xml:space="preserve">dotk.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5F72CEB"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b/>
                <w:bCs/>
                <w:color w:val="000000"/>
                <w:kern w:val="0"/>
                <w:sz w:val="20"/>
                <w:szCs w:val="20"/>
                <w:lang w:eastAsia="sk-SK"/>
                <w14:ligatures w14:val="none"/>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682DFF3"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b/>
                <w:bCs/>
                <w:color w:val="000000"/>
                <w:kern w:val="0"/>
                <w:sz w:val="20"/>
                <w:szCs w:val="20"/>
                <w:lang w:eastAsia="sk-SK"/>
                <w14:ligatures w14:val="none"/>
              </w:rPr>
              <w:t>Vplyv na kateg. dotk.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D67068" w14:textId="77777777" w:rsidR="00136466" w:rsidRPr="00136466" w:rsidRDefault="00136466" w:rsidP="00136466">
            <w:pPr>
              <w:spacing w:after="0" w:line="240" w:lineRule="auto"/>
              <w:jc w:val="center"/>
              <w:rPr>
                <w:rFonts w:ascii="Times New Roman" w:eastAsia="Times New Roman" w:hAnsi="Times New Roman" w:cs="Times New Roman"/>
                <w:bCs/>
                <w:color w:val="000000"/>
                <w:kern w:val="0"/>
                <w:sz w:val="20"/>
                <w:szCs w:val="20"/>
                <w:lang w:eastAsia="sk-SK"/>
                <w14:ligatures w14:val="none"/>
              </w:rPr>
            </w:pPr>
            <w:r w:rsidRPr="00136466">
              <w:rPr>
                <w:rFonts w:ascii="Times New Roman" w:eastAsia="Times New Roman" w:hAnsi="Times New Roman" w:cs="Times New Roman"/>
                <w:b/>
                <w:bCs/>
                <w:color w:val="000000"/>
                <w:kern w:val="0"/>
                <w:sz w:val="20"/>
                <w:szCs w:val="20"/>
                <w:lang w:eastAsia="sk-SK"/>
                <w14:ligatures w14:val="none"/>
              </w:rPr>
              <w:t>Druh vplyvu</w:t>
            </w:r>
            <w:r w:rsidRPr="00136466">
              <w:rPr>
                <w:rFonts w:ascii="Times New Roman" w:eastAsia="Times New Roman" w:hAnsi="Times New Roman" w:cs="Times New Roman"/>
                <w:b/>
                <w:bCs/>
                <w:color w:val="000000"/>
                <w:kern w:val="0"/>
                <w:sz w:val="20"/>
                <w:szCs w:val="20"/>
                <w:lang w:eastAsia="sk-SK"/>
                <w14:ligatures w14:val="none"/>
              </w:rPr>
              <w:br/>
            </w:r>
            <w:r w:rsidRPr="00136466">
              <w:rPr>
                <w:rFonts w:ascii="Times New Roman" w:eastAsia="Times New Roman" w:hAnsi="Times New Roman" w:cs="Times New Roman"/>
                <w:bCs/>
                <w:color w:val="000000"/>
                <w:kern w:val="0"/>
                <w:sz w:val="20"/>
                <w:szCs w:val="20"/>
                <w:lang w:eastAsia="sk-SK"/>
                <w14:ligatures w14:val="none"/>
              </w:rPr>
              <w:t xml:space="preserve">In (zvyšuje náklady) / </w:t>
            </w:r>
          </w:p>
          <w:p w14:paraId="5EA2F476"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bCs/>
                <w:color w:val="000000"/>
                <w:kern w:val="0"/>
                <w:sz w:val="20"/>
                <w:szCs w:val="20"/>
                <w:lang w:eastAsia="sk-SK"/>
                <w14:ligatures w14:val="none"/>
              </w:rPr>
              <w:t>Out (znižuje náklady</w:t>
            </w:r>
            <w:r w:rsidRPr="00136466">
              <w:rPr>
                <w:rFonts w:ascii="Times New Roman" w:eastAsia="Times New Roman" w:hAnsi="Times New Roman" w:cs="Times New Roman"/>
                <w:b/>
                <w:bCs/>
                <w:color w:val="000000"/>
                <w:kern w:val="0"/>
                <w:sz w:val="20"/>
                <w:szCs w:val="20"/>
                <w:lang w:eastAsia="sk-SK"/>
                <w14:ligatures w14:val="none"/>
              </w:rPr>
              <w:t>)</w:t>
            </w:r>
          </w:p>
          <w:p w14:paraId="2C8932ED"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20"/>
                <w:szCs w:val="20"/>
                <w:lang w:eastAsia="sk-SK"/>
                <w14:ligatures w14:val="none"/>
              </w:rPr>
            </w:pPr>
            <w:r w:rsidRPr="00136466">
              <w:rPr>
                <w:rFonts w:ascii="Times New Roman" w:eastAsia="Times New Roman" w:hAnsi="Times New Roman" w:cs="Times New Roman"/>
                <w:color w:val="000000"/>
                <w:kern w:val="0"/>
                <w:sz w:val="20"/>
                <w:szCs w:val="20"/>
                <w:lang w:eastAsia="sk-SK"/>
                <w14:ligatures w14:val="none"/>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67382B2"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18"/>
                <w:szCs w:val="18"/>
                <w:lang w:eastAsia="sk-SK"/>
                <w14:ligatures w14:val="none"/>
              </w:rPr>
            </w:pPr>
            <w:r w:rsidRPr="00136466">
              <w:rPr>
                <w:rFonts w:ascii="Times New Roman" w:eastAsia="Times New Roman" w:hAnsi="Times New Roman" w:cs="Times New Roman"/>
                <w:b/>
                <w:bCs/>
                <w:color w:val="000000"/>
                <w:kern w:val="0"/>
                <w:sz w:val="18"/>
                <w:szCs w:val="18"/>
                <w:lang w:eastAsia="sk-SK"/>
                <w14:ligatures w14:val="none"/>
              </w:rPr>
              <w:t>1in</w:t>
            </w:r>
          </w:p>
          <w:p w14:paraId="38699CEA"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18"/>
                <w:szCs w:val="18"/>
                <w:lang w:eastAsia="sk-SK"/>
                <w14:ligatures w14:val="none"/>
              </w:rPr>
            </w:pPr>
            <w:r w:rsidRPr="00136466">
              <w:rPr>
                <w:rFonts w:ascii="Times New Roman" w:eastAsia="Times New Roman" w:hAnsi="Times New Roman" w:cs="Times New Roman"/>
                <w:b/>
                <w:bCs/>
                <w:color w:val="000000"/>
                <w:kern w:val="0"/>
                <w:sz w:val="18"/>
                <w:szCs w:val="18"/>
                <w:lang w:eastAsia="sk-SK"/>
                <w14:ligatures w14:val="none"/>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6B583F7" w14:textId="77777777" w:rsidR="00136466" w:rsidRPr="00136466" w:rsidRDefault="00136466" w:rsidP="00136466">
            <w:pPr>
              <w:spacing w:after="0" w:line="240" w:lineRule="auto"/>
              <w:jc w:val="center"/>
              <w:rPr>
                <w:rFonts w:ascii="Times New Roman" w:eastAsia="Times New Roman" w:hAnsi="Times New Roman" w:cs="Times New Roman"/>
                <w:b/>
                <w:bCs/>
                <w:color w:val="000000"/>
                <w:kern w:val="0"/>
                <w:sz w:val="18"/>
                <w:szCs w:val="18"/>
                <w:lang w:eastAsia="sk-SK"/>
                <w14:ligatures w14:val="none"/>
              </w:rPr>
            </w:pPr>
            <w:r w:rsidRPr="00136466">
              <w:rPr>
                <w:rFonts w:ascii="Times New Roman" w:eastAsia="Times New Roman" w:hAnsi="Times New Roman" w:cs="Times New Roman"/>
                <w:b/>
                <w:bCs/>
                <w:color w:val="000000"/>
                <w:kern w:val="0"/>
                <w:sz w:val="18"/>
                <w:szCs w:val="18"/>
                <w:lang w:eastAsia="sk-SK"/>
                <w14:ligatures w14:val="none"/>
              </w:rPr>
              <w:t>Goldplating celkom</w:t>
            </w:r>
          </w:p>
        </w:tc>
      </w:tr>
      <w:tr w:rsidR="00136466" w:rsidRPr="00136466" w14:paraId="2BD6A860"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65CF5CF"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color w:val="000000"/>
                <w:kern w:val="0"/>
                <w:sz w:val="20"/>
                <w:szCs w:val="20"/>
                <w14:ligatures w14:val="none"/>
              </w:rPr>
              <w:t>1</w:t>
            </w:r>
          </w:p>
        </w:tc>
        <w:tc>
          <w:tcPr>
            <w:tcW w:w="1740" w:type="dxa"/>
            <w:shd w:val="clear" w:color="auto" w:fill="auto"/>
            <w:vAlign w:val="center"/>
          </w:tcPr>
          <w:p w14:paraId="574EC2B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Úprava vlastných ekonomických informačných systémov</w:t>
            </w:r>
          </w:p>
        </w:tc>
        <w:tc>
          <w:tcPr>
            <w:tcW w:w="992" w:type="dxa"/>
            <w:vAlign w:val="center"/>
          </w:tcPr>
          <w:p w14:paraId="0391C3E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222/2004 Z. z.</w:t>
            </w:r>
          </w:p>
        </w:tc>
        <w:tc>
          <w:tcPr>
            <w:tcW w:w="1134" w:type="dxa"/>
            <w:vAlign w:val="center"/>
          </w:tcPr>
          <w:p w14:paraId="0A141B7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27</w:t>
            </w:r>
          </w:p>
        </w:tc>
        <w:tc>
          <w:tcPr>
            <w:tcW w:w="1843" w:type="dxa"/>
            <w:shd w:val="clear" w:color="auto" w:fill="auto"/>
            <w:vAlign w:val="center"/>
          </w:tcPr>
          <w:p w14:paraId="406EEC8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2. EÚ úplná harmonizácia</w:t>
            </w:r>
          </w:p>
        </w:tc>
        <w:tc>
          <w:tcPr>
            <w:tcW w:w="992" w:type="dxa"/>
            <w:vAlign w:val="center"/>
          </w:tcPr>
          <w:p w14:paraId="7A744B9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5A8485D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platitelia dane</w:t>
            </w:r>
          </w:p>
        </w:tc>
        <w:tc>
          <w:tcPr>
            <w:tcW w:w="1108" w:type="dxa"/>
            <w:vAlign w:val="center"/>
          </w:tcPr>
          <w:p w14:paraId="290F8CE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225 206 </w:t>
            </w:r>
          </w:p>
        </w:tc>
        <w:tc>
          <w:tcPr>
            <w:tcW w:w="851" w:type="dxa"/>
            <w:shd w:val="clear" w:color="auto" w:fill="auto"/>
            <w:noWrap/>
            <w:vAlign w:val="center"/>
          </w:tcPr>
          <w:p w14:paraId="549D672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w:t>
            </w:r>
          </w:p>
        </w:tc>
        <w:tc>
          <w:tcPr>
            <w:tcW w:w="843" w:type="dxa"/>
            <w:shd w:val="clear" w:color="auto" w:fill="auto"/>
            <w:noWrap/>
            <w:vAlign w:val="center"/>
          </w:tcPr>
          <w:p w14:paraId="358B89A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243 466</w:t>
            </w:r>
          </w:p>
        </w:tc>
        <w:tc>
          <w:tcPr>
            <w:tcW w:w="1000" w:type="dxa"/>
            <w:shd w:val="clear" w:color="auto" w:fill="auto"/>
            <w:noWrap/>
            <w:vAlign w:val="center"/>
          </w:tcPr>
          <w:p w14:paraId="452CABE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5DCA92E7"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3F72A2A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15687B12"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5063E31"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color w:val="000000"/>
                <w:kern w:val="0"/>
                <w:sz w:val="20"/>
                <w:szCs w:val="20"/>
                <w14:ligatures w14:val="none"/>
              </w:rPr>
              <w:t>2</w:t>
            </w:r>
          </w:p>
        </w:tc>
        <w:tc>
          <w:tcPr>
            <w:tcW w:w="1740" w:type="dxa"/>
            <w:shd w:val="clear" w:color="auto" w:fill="auto"/>
            <w:vAlign w:val="center"/>
          </w:tcPr>
          <w:p w14:paraId="3B8CDD6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Úprava pokladnice E-kasa klient</w:t>
            </w:r>
          </w:p>
        </w:tc>
        <w:tc>
          <w:tcPr>
            <w:tcW w:w="992" w:type="dxa"/>
            <w:vAlign w:val="center"/>
          </w:tcPr>
          <w:p w14:paraId="26169F1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222/2004 Z. z.</w:t>
            </w:r>
          </w:p>
        </w:tc>
        <w:tc>
          <w:tcPr>
            <w:tcW w:w="1134" w:type="dxa"/>
            <w:vAlign w:val="center"/>
          </w:tcPr>
          <w:p w14:paraId="4CE1498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27</w:t>
            </w:r>
          </w:p>
        </w:tc>
        <w:tc>
          <w:tcPr>
            <w:tcW w:w="1843" w:type="dxa"/>
            <w:shd w:val="clear" w:color="auto" w:fill="auto"/>
            <w:vAlign w:val="center"/>
          </w:tcPr>
          <w:p w14:paraId="79CED7F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2. EÚ úplná harmonizácia</w:t>
            </w:r>
          </w:p>
        </w:tc>
        <w:tc>
          <w:tcPr>
            <w:tcW w:w="992" w:type="dxa"/>
            <w:vAlign w:val="center"/>
          </w:tcPr>
          <w:p w14:paraId="0F41399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544A20C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platitelia dane</w:t>
            </w:r>
          </w:p>
        </w:tc>
        <w:tc>
          <w:tcPr>
            <w:tcW w:w="1108" w:type="dxa"/>
            <w:vAlign w:val="center"/>
          </w:tcPr>
          <w:p w14:paraId="3AD764F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225 206 </w:t>
            </w:r>
          </w:p>
        </w:tc>
        <w:tc>
          <w:tcPr>
            <w:tcW w:w="851" w:type="dxa"/>
            <w:shd w:val="clear" w:color="auto" w:fill="auto"/>
            <w:noWrap/>
            <w:vAlign w:val="center"/>
          </w:tcPr>
          <w:p w14:paraId="7449B4F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w:t>
            </w:r>
          </w:p>
        </w:tc>
        <w:tc>
          <w:tcPr>
            <w:tcW w:w="843" w:type="dxa"/>
            <w:shd w:val="clear" w:color="auto" w:fill="auto"/>
            <w:noWrap/>
            <w:vAlign w:val="center"/>
          </w:tcPr>
          <w:p w14:paraId="4AB15CD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243 466</w:t>
            </w:r>
          </w:p>
        </w:tc>
        <w:tc>
          <w:tcPr>
            <w:tcW w:w="1000" w:type="dxa"/>
            <w:shd w:val="clear" w:color="auto" w:fill="auto"/>
            <w:noWrap/>
            <w:vAlign w:val="center"/>
          </w:tcPr>
          <w:p w14:paraId="1144C6B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1688C71B"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184B221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6ACD22D5"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4460E6B"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color w:val="000000"/>
                <w:kern w:val="0"/>
                <w:sz w:val="20"/>
                <w:szCs w:val="20"/>
                <w14:ligatures w14:val="none"/>
              </w:rPr>
              <w:t>3</w:t>
            </w:r>
          </w:p>
        </w:tc>
        <w:tc>
          <w:tcPr>
            <w:tcW w:w="1740" w:type="dxa"/>
            <w:shd w:val="clear" w:color="auto" w:fill="auto"/>
            <w:vAlign w:val="center"/>
          </w:tcPr>
          <w:p w14:paraId="6EA4178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Precenenie tovarov</w:t>
            </w:r>
          </w:p>
        </w:tc>
        <w:tc>
          <w:tcPr>
            <w:tcW w:w="992" w:type="dxa"/>
            <w:vAlign w:val="center"/>
          </w:tcPr>
          <w:p w14:paraId="28269AA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222/2004 Z. z.</w:t>
            </w:r>
          </w:p>
        </w:tc>
        <w:tc>
          <w:tcPr>
            <w:tcW w:w="1134" w:type="dxa"/>
            <w:vAlign w:val="center"/>
          </w:tcPr>
          <w:p w14:paraId="6C0732E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27</w:t>
            </w:r>
          </w:p>
        </w:tc>
        <w:tc>
          <w:tcPr>
            <w:tcW w:w="1843" w:type="dxa"/>
            <w:shd w:val="clear" w:color="auto" w:fill="auto"/>
            <w:vAlign w:val="center"/>
          </w:tcPr>
          <w:p w14:paraId="6B38EA5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2. EÚ úplná harmonizácia</w:t>
            </w:r>
          </w:p>
        </w:tc>
        <w:tc>
          <w:tcPr>
            <w:tcW w:w="992" w:type="dxa"/>
            <w:vAlign w:val="center"/>
          </w:tcPr>
          <w:p w14:paraId="0183C3D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36FC985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platitelia dane</w:t>
            </w:r>
          </w:p>
        </w:tc>
        <w:tc>
          <w:tcPr>
            <w:tcW w:w="1108" w:type="dxa"/>
            <w:vAlign w:val="center"/>
          </w:tcPr>
          <w:p w14:paraId="136C68B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225 206 </w:t>
            </w:r>
          </w:p>
        </w:tc>
        <w:tc>
          <w:tcPr>
            <w:tcW w:w="851" w:type="dxa"/>
            <w:shd w:val="clear" w:color="auto" w:fill="auto"/>
            <w:noWrap/>
            <w:vAlign w:val="center"/>
          </w:tcPr>
          <w:p w14:paraId="40FB15F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w:t>
            </w:r>
          </w:p>
        </w:tc>
        <w:tc>
          <w:tcPr>
            <w:tcW w:w="843" w:type="dxa"/>
            <w:shd w:val="clear" w:color="auto" w:fill="auto"/>
            <w:noWrap/>
            <w:vAlign w:val="center"/>
          </w:tcPr>
          <w:p w14:paraId="7B878A5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730 399</w:t>
            </w:r>
          </w:p>
        </w:tc>
        <w:tc>
          <w:tcPr>
            <w:tcW w:w="1000" w:type="dxa"/>
            <w:shd w:val="clear" w:color="auto" w:fill="auto"/>
            <w:noWrap/>
            <w:vAlign w:val="center"/>
          </w:tcPr>
          <w:p w14:paraId="19D3EA8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71D80CBC"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086D792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2D269C34"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ABE2D87"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color w:val="000000"/>
                <w:kern w:val="0"/>
                <w:sz w:val="20"/>
                <w:szCs w:val="20"/>
                <w14:ligatures w14:val="none"/>
              </w:rPr>
              <w:t>4</w:t>
            </w:r>
          </w:p>
        </w:tc>
        <w:tc>
          <w:tcPr>
            <w:tcW w:w="1740" w:type="dxa"/>
            <w:shd w:val="clear" w:color="auto" w:fill="auto"/>
            <w:vAlign w:val="center"/>
          </w:tcPr>
          <w:p w14:paraId="4CE5807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Zánik povinnosti určovať základ dane pre výpočet dane pripadajúcej na súkromnú spotrebu osobného motorového vozidla používaného aj na iné účely ako na podnikanie</w:t>
            </w:r>
          </w:p>
        </w:tc>
        <w:tc>
          <w:tcPr>
            <w:tcW w:w="992" w:type="dxa"/>
            <w:vAlign w:val="center"/>
          </w:tcPr>
          <w:p w14:paraId="1B7E28B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222/2004 Z. z.</w:t>
            </w:r>
          </w:p>
        </w:tc>
        <w:tc>
          <w:tcPr>
            <w:tcW w:w="1134" w:type="dxa"/>
            <w:vAlign w:val="center"/>
          </w:tcPr>
          <w:p w14:paraId="51EC423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85n ods. 1 a ods. 2</w:t>
            </w:r>
          </w:p>
        </w:tc>
        <w:tc>
          <w:tcPr>
            <w:tcW w:w="1843" w:type="dxa"/>
            <w:shd w:val="clear" w:color="auto" w:fill="auto"/>
            <w:vAlign w:val="center"/>
          </w:tcPr>
          <w:p w14:paraId="6FB4A34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2. EÚ úplná harmonizácia</w:t>
            </w:r>
          </w:p>
        </w:tc>
        <w:tc>
          <w:tcPr>
            <w:tcW w:w="992" w:type="dxa"/>
            <w:vAlign w:val="center"/>
          </w:tcPr>
          <w:p w14:paraId="7FE995B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3F21781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platitelia dane</w:t>
            </w:r>
          </w:p>
        </w:tc>
        <w:tc>
          <w:tcPr>
            <w:tcW w:w="1108" w:type="dxa"/>
            <w:vAlign w:val="center"/>
          </w:tcPr>
          <w:p w14:paraId="0209699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141 880 </w:t>
            </w:r>
          </w:p>
        </w:tc>
        <w:tc>
          <w:tcPr>
            <w:tcW w:w="851" w:type="dxa"/>
            <w:shd w:val="clear" w:color="auto" w:fill="auto"/>
            <w:noWrap/>
            <w:vAlign w:val="center"/>
          </w:tcPr>
          <w:p w14:paraId="3E23BDA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32</w:t>
            </w:r>
          </w:p>
        </w:tc>
        <w:tc>
          <w:tcPr>
            <w:tcW w:w="843" w:type="dxa"/>
            <w:shd w:val="clear" w:color="auto" w:fill="auto"/>
            <w:noWrap/>
            <w:vAlign w:val="center"/>
          </w:tcPr>
          <w:p w14:paraId="7C2EE78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4 601 523</w:t>
            </w:r>
          </w:p>
        </w:tc>
        <w:tc>
          <w:tcPr>
            <w:tcW w:w="1000" w:type="dxa"/>
            <w:shd w:val="clear" w:color="auto" w:fill="auto"/>
            <w:noWrap/>
            <w:vAlign w:val="center"/>
          </w:tcPr>
          <w:p w14:paraId="2E74808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Out (znižuje náklady)</w:t>
            </w:r>
          </w:p>
        </w:tc>
        <w:tc>
          <w:tcPr>
            <w:tcW w:w="708" w:type="dxa"/>
            <w:shd w:val="clear" w:color="auto" w:fill="auto"/>
            <w:noWrap/>
            <w:vAlign w:val="center"/>
          </w:tcPr>
          <w:p w14:paraId="4672AEB4"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38A5011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03A0BFAA"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D43451E"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color w:val="000000"/>
                <w:kern w:val="0"/>
                <w:sz w:val="20"/>
                <w:szCs w:val="20"/>
                <w14:ligatures w14:val="none"/>
              </w:rPr>
              <w:t>5</w:t>
            </w:r>
          </w:p>
        </w:tc>
        <w:tc>
          <w:tcPr>
            <w:tcW w:w="1740" w:type="dxa"/>
            <w:shd w:val="clear" w:color="auto" w:fill="auto"/>
            <w:vAlign w:val="center"/>
          </w:tcPr>
          <w:p w14:paraId="58BF5BA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Nevykonávanie úpravy odpočítanej dane z dôvodu zmeny rozsahu použitia investičného majetku</w:t>
            </w:r>
          </w:p>
        </w:tc>
        <w:tc>
          <w:tcPr>
            <w:tcW w:w="992" w:type="dxa"/>
            <w:vAlign w:val="center"/>
          </w:tcPr>
          <w:p w14:paraId="402BE1A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222/2004 Z. z.</w:t>
            </w:r>
          </w:p>
        </w:tc>
        <w:tc>
          <w:tcPr>
            <w:tcW w:w="1134" w:type="dxa"/>
            <w:vAlign w:val="center"/>
          </w:tcPr>
          <w:p w14:paraId="6E7C57D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85n ods. 10</w:t>
            </w:r>
          </w:p>
        </w:tc>
        <w:tc>
          <w:tcPr>
            <w:tcW w:w="1843" w:type="dxa"/>
            <w:shd w:val="clear" w:color="auto" w:fill="auto"/>
            <w:vAlign w:val="center"/>
          </w:tcPr>
          <w:p w14:paraId="33420E2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2. EÚ úplná harmonizácia</w:t>
            </w:r>
          </w:p>
        </w:tc>
        <w:tc>
          <w:tcPr>
            <w:tcW w:w="992" w:type="dxa"/>
            <w:vAlign w:val="center"/>
          </w:tcPr>
          <w:p w14:paraId="082683A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4894829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platitelia dane</w:t>
            </w:r>
          </w:p>
        </w:tc>
        <w:tc>
          <w:tcPr>
            <w:tcW w:w="1108" w:type="dxa"/>
            <w:vAlign w:val="center"/>
          </w:tcPr>
          <w:p w14:paraId="0461CEA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141 880 </w:t>
            </w:r>
          </w:p>
        </w:tc>
        <w:tc>
          <w:tcPr>
            <w:tcW w:w="851" w:type="dxa"/>
            <w:shd w:val="clear" w:color="auto" w:fill="auto"/>
            <w:noWrap/>
            <w:vAlign w:val="center"/>
          </w:tcPr>
          <w:p w14:paraId="37422F5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32</w:t>
            </w:r>
          </w:p>
        </w:tc>
        <w:tc>
          <w:tcPr>
            <w:tcW w:w="843" w:type="dxa"/>
            <w:shd w:val="clear" w:color="auto" w:fill="auto"/>
            <w:noWrap/>
            <w:vAlign w:val="center"/>
          </w:tcPr>
          <w:p w14:paraId="011FFA4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4 601 523</w:t>
            </w:r>
          </w:p>
        </w:tc>
        <w:tc>
          <w:tcPr>
            <w:tcW w:w="1000" w:type="dxa"/>
            <w:shd w:val="clear" w:color="auto" w:fill="auto"/>
            <w:noWrap/>
            <w:vAlign w:val="center"/>
          </w:tcPr>
          <w:p w14:paraId="42D2049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Out (znižuje náklady)</w:t>
            </w:r>
          </w:p>
        </w:tc>
        <w:tc>
          <w:tcPr>
            <w:tcW w:w="708" w:type="dxa"/>
            <w:shd w:val="clear" w:color="auto" w:fill="auto"/>
            <w:noWrap/>
            <w:vAlign w:val="center"/>
          </w:tcPr>
          <w:p w14:paraId="0E06B335"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3215A67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66BA78DB"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8E57D5A"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6</w:t>
            </w:r>
          </w:p>
        </w:tc>
        <w:tc>
          <w:tcPr>
            <w:tcW w:w="1740" w:type="dxa"/>
            <w:shd w:val="clear" w:color="auto" w:fill="auto"/>
            <w:vAlign w:val="center"/>
          </w:tcPr>
          <w:p w14:paraId="2706C010"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 xml:space="preserve">Neurčovanie pomeru použitia osobného motorového vozidla na podnikanie a na iný účel ako na podnikanie </w:t>
            </w:r>
          </w:p>
        </w:tc>
        <w:tc>
          <w:tcPr>
            <w:tcW w:w="992" w:type="dxa"/>
            <w:vAlign w:val="center"/>
          </w:tcPr>
          <w:p w14:paraId="4902DB89"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zákon č. 222/2004 Z. z.</w:t>
            </w:r>
          </w:p>
        </w:tc>
        <w:tc>
          <w:tcPr>
            <w:tcW w:w="1134" w:type="dxa"/>
            <w:vAlign w:val="center"/>
          </w:tcPr>
          <w:p w14:paraId="0DACF9AE"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 85n ods. 1 a 2</w:t>
            </w:r>
          </w:p>
        </w:tc>
        <w:tc>
          <w:tcPr>
            <w:tcW w:w="1843" w:type="dxa"/>
            <w:shd w:val="clear" w:color="auto" w:fill="auto"/>
            <w:vAlign w:val="center"/>
          </w:tcPr>
          <w:p w14:paraId="3FF332B2"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2. EÚ úplná harmonizácia</w:t>
            </w:r>
          </w:p>
        </w:tc>
        <w:tc>
          <w:tcPr>
            <w:tcW w:w="992" w:type="dxa"/>
            <w:vAlign w:val="center"/>
          </w:tcPr>
          <w:p w14:paraId="6FECB020"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662DB72E"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platitelia dane</w:t>
            </w:r>
          </w:p>
        </w:tc>
        <w:tc>
          <w:tcPr>
            <w:tcW w:w="1108" w:type="dxa"/>
            <w:vAlign w:val="center"/>
          </w:tcPr>
          <w:p w14:paraId="02D94DC9"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 xml:space="preserve">        141 880 </w:t>
            </w:r>
          </w:p>
        </w:tc>
        <w:tc>
          <w:tcPr>
            <w:tcW w:w="851" w:type="dxa"/>
            <w:shd w:val="clear" w:color="auto" w:fill="auto"/>
            <w:noWrap/>
            <w:vAlign w:val="center"/>
          </w:tcPr>
          <w:p w14:paraId="6589C4F9"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2</w:t>
            </w:r>
          </w:p>
        </w:tc>
        <w:tc>
          <w:tcPr>
            <w:tcW w:w="843" w:type="dxa"/>
            <w:shd w:val="clear" w:color="auto" w:fill="auto"/>
            <w:noWrap/>
            <w:vAlign w:val="center"/>
          </w:tcPr>
          <w:p w14:paraId="7156840F"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230 076</w:t>
            </w:r>
          </w:p>
        </w:tc>
        <w:tc>
          <w:tcPr>
            <w:tcW w:w="1000" w:type="dxa"/>
            <w:shd w:val="clear" w:color="auto" w:fill="auto"/>
            <w:noWrap/>
            <w:vAlign w:val="center"/>
          </w:tcPr>
          <w:p w14:paraId="1F15311B"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Out (znižuje náklady)</w:t>
            </w:r>
          </w:p>
        </w:tc>
        <w:tc>
          <w:tcPr>
            <w:tcW w:w="708" w:type="dxa"/>
            <w:shd w:val="clear" w:color="auto" w:fill="auto"/>
            <w:noWrap/>
            <w:vAlign w:val="center"/>
          </w:tcPr>
          <w:p w14:paraId="0B09A3D1"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0BDE3596"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4613FC8D"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ABB60B2"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7</w:t>
            </w:r>
          </w:p>
        </w:tc>
        <w:tc>
          <w:tcPr>
            <w:tcW w:w="1740" w:type="dxa"/>
            <w:shd w:val="clear" w:color="auto" w:fill="auto"/>
            <w:vAlign w:val="center"/>
          </w:tcPr>
          <w:p w14:paraId="21795F2A"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 xml:space="preserve">Neurčovanie pomeru použitia tovaru a služby na podnikanie a na iný účel ako na podnikanie </w:t>
            </w:r>
          </w:p>
        </w:tc>
        <w:tc>
          <w:tcPr>
            <w:tcW w:w="992" w:type="dxa"/>
            <w:vAlign w:val="center"/>
          </w:tcPr>
          <w:p w14:paraId="48448135"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zákon č. 222/2004 Z. z.</w:t>
            </w:r>
          </w:p>
        </w:tc>
        <w:tc>
          <w:tcPr>
            <w:tcW w:w="1134" w:type="dxa"/>
            <w:vAlign w:val="center"/>
          </w:tcPr>
          <w:p w14:paraId="071DBBE1"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 85n ods. 3</w:t>
            </w:r>
          </w:p>
        </w:tc>
        <w:tc>
          <w:tcPr>
            <w:tcW w:w="1843" w:type="dxa"/>
            <w:shd w:val="clear" w:color="auto" w:fill="auto"/>
            <w:vAlign w:val="center"/>
          </w:tcPr>
          <w:p w14:paraId="1ABD5040" w14:textId="77777777" w:rsidR="00136466" w:rsidRPr="00136466" w:rsidDel="0080159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2. EÚ úplná harmonizácia</w:t>
            </w:r>
          </w:p>
        </w:tc>
        <w:tc>
          <w:tcPr>
            <w:tcW w:w="992" w:type="dxa"/>
            <w:vAlign w:val="center"/>
          </w:tcPr>
          <w:p w14:paraId="6BBC72DA"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378EF99A"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platitelia dane</w:t>
            </w:r>
          </w:p>
        </w:tc>
        <w:tc>
          <w:tcPr>
            <w:tcW w:w="1108" w:type="dxa"/>
            <w:vAlign w:val="center"/>
          </w:tcPr>
          <w:p w14:paraId="030A4BB6"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 xml:space="preserve">        141 880 </w:t>
            </w:r>
          </w:p>
        </w:tc>
        <w:tc>
          <w:tcPr>
            <w:tcW w:w="851" w:type="dxa"/>
            <w:shd w:val="clear" w:color="auto" w:fill="auto"/>
            <w:noWrap/>
            <w:vAlign w:val="center"/>
          </w:tcPr>
          <w:p w14:paraId="3D073286"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6,4865</w:t>
            </w:r>
          </w:p>
        </w:tc>
        <w:tc>
          <w:tcPr>
            <w:tcW w:w="843" w:type="dxa"/>
            <w:shd w:val="clear" w:color="auto" w:fill="auto"/>
            <w:noWrap/>
            <w:vAlign w:val="center"/>
          </w:tcPr>
          <w:p w14:paraId="582A1B5E"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920304,62</w:t>
            </w:r>
          </w:p>
        </w:tc>
        <w:tc>
          <w:tcPr>
            <w:tcW w:w="1000" w:type="dxa"/>
            <w:shd w:val="clear" w:color="auto" w:fill="auto"/>
            <w:noWrap/>
            <w:vAlign w:val="center"/>
          </w:tcPr>
          <w:p w14:paraId="6268CA13"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Out (znižuje náklady)</w:t>
            </w:r>
          </w:p>
        </w:tc>
        <w:tc>
          <w:tcPr>
            <w:tcW w:w="708" w:type="dxa"/>
            <w:shd w:val="clear" w:color="auto" w:fill="auto"/>
            <w:noWrap/>
            <w:vAlign w:val="center"/>
          </w:tcPr>
          <w:p w14:paraId="691D2E71"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0</w:t>
            </w:r>
          </w:p>
        </w:tc>
        <w:tc>
          <w:tcPr>
            <w:tcW w:w="1134" w:type="dxa"/>
            <w:vAlign w:val="center"/>
          </w:tcPr>
          <w:p w14:paraId="1F8B8257"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54CC2505"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7CC88DD"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8</w:t>
            </w:r>
          </w:p>
        </w:tc>
        <w:tc>
          <w:tcPr>
            <w:tcW w:w="1740" w:type="dxa"/>
            <w:shd w:val="clear" w:color="auto" w:fill="auto"/>
            <w:vAlign w:val="center"/>
          </w:tcPr>
          <w:p w14:paraId="4CAB3F61"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Vedenie záznamov preukazujúcich rozsah použitia osobného motorového vozidla výlučne na podnikanie</w:t>
            </w:r>
          </w:p>
        </w:tc>
        <w:tc>
          <w:tcPr>
            <w:tcW w:w="992" w:type="dxa"/>
            <w:vAlign w:val="center"/>
          </w:tcPr>
          <w:p w14:paraId="60AB55D0"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zákon č. 222/2004 Z. z.</w:t>
            </w:r>
          </w:p>
        </w:tc>
        <w:tc>
          <w:tcPr>
            <w:tcW w:w="1134" w:type="dxa"/>
            <w:vAlign w:val="center"/>
          </w:tcPr>
          <w:p w14:paraId="2807E3C8"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 85n ods. 6</w:t>
            </w:r>
          </w:p>
        </w:tc>
        <w:tc>
          <w:tcPr>
            <w:tcW w:w="1843" w:type="dxa"/>
            <w:shd w:val="clear" w:color="auto" w:fill="auto"/>
            <w:vAlign w:val="center"/>
          </w:tcPr>
          <w:p w14:paraId="51BA339E" w14:textId="77777777" w:rsidR="00136466" w:rsidRPr="00136466" w:rsidDel="0080159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2. EÚ úplná harmonizácia</w:t>
            </w:r>
          </w:p>
        </w:tc>
        <w:tc>
          <w:tcPr>
            <w:tcW w:w="992" w:type="dxa"/>
            <w:vAlign w:val="center"/>
          </w:tcPr>
          <w:p w14:paraId="6F5B0492"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11CB3C85"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platitelia dane</w:t>
            </w:r>
          </w:p>
        </w:tc>
        <w:tc>
          <w:tcPr>
            <w:tcW w:w="1108" w:type="dxa"/>
            <w:vAlign w:val="center"/>
          </w:tcPr>
          <w:p w14:paraId="3CDD67F3"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 xml:space="preserve">          83 326 </w:t>
            </w:r>
          </w:p>
        </w:tc>
        <w:tc>
          <w:tcPr>
            <w:tcW w:w="851" w:type="dxa"/>
            <w:shd w:val="clear" w:color="auto" w:fill="auto"/>
            <w:noWrap/>
            <w:vAlign w:val="center"/>
          </w:tcPr>
          <w:p w14:paraId="14E9A082"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78</w:t>
            </w:r>
          </w:p>
        </w:tc>
        <w:tc>
          <w:tcPr>
            <w:tcW w:w="843" w:type="dxa"/>
            <w:shd w:val="clear" w:color="auto" w:fill="auto"/>
            <w:noWrap/>
            <w:vAlign w:val="center"/>
          </w:tcPr>
          <w:p w14:paraId="61BF5CC9"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6 485 929</w:t>
            </w:r>
          </w:p>
        </w:tc>
        <w:tc>
          <w:tcPr>
            <w:tcW w:w="1000" w:type="dxa"/>
            <w:shd w:val="clear" w:color="auto" w:fill="auto"/>
            <w:noWrap/>
            <w:vAlign w:val="center"/>
          </w:tcPr>
          <w:p w14:paraId="055788C1"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0A25FFA6"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6ECD4B3C"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265EEAE3"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6B52422"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9</w:t>
            </w:r>
          </w:p>
        </w:tc>
        <w:tc>
          <w:tcPr>
            <w:tcW w:w="1740" w:type="dxa"/>
            <w:shd w:val="clear" w:color="auto" w:fill="auto"/>
            <w:vAlign w:val="center"/>
          </w:tcPr>
          <w:p w14:paraId="5E37F4BB"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Oznámenie o použití osobného motorového vozidla</w:t>
            </w:r>
          </w:p>
        </w:tc>
        <w:tc>
          <w:tcPr>
            <w:tcW w:w="992" w:type="dxa"/>
            <w:vAlign w:val="center"/>
          </w:tcPr>
          <w:p w14:paraId="23B4959C"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zákon č. 222/2004 Z. z.</w:t>
            </w:r>
          </w:p>
        </w:tc>
        <w:tc>
          <w:tcPr>
            <w:tcW w:w="1134" w:type="dxa"/>
            <w:vAlign w:val="center"/>
          </w:tcPr>
          <w:p w14:paraId="61DC35D2"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 85n ods. 9</w:t>
            </w:r>
          </w:p>
        </w:tc>
        <w:tc>
          <w:tcPr>
            <w:tcW w:w="1843" w:type="dxa"/>
            <w:shd w:val="clear" w:color="auto" w:fill="auto"/>
            <w:vAlign w:val="center"/>
          </w:tcPr>
          <w:p w14:paraId="5809A350" w14:textId="77777777" w:rsidR="00136466" w:rsidRPr="00136466" w:rsidDel="0080159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2. EÚ úplná harmonizácia</w:t>
            </w:r>
          </w:p>
        </w:tc>
        <w:tc>
          <w:tcPr>
            <w:tcW w:w="992" w:type="dxa"/>
            <w:vAlign w:val="center"/>
          </w:tcPr>
          <w:p w14:paraId="04CB0EBB"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7D00C72A"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platitelia dane</w:t>
            </w:r>
          </w:p>
        </w:tc>
        <w:tc>
          <w:tcPr>
            <w:tcW w:w="1108" w:type="dxa"/>
            <w:vAlign w:val="center"/>
          </w:tcPr>
          <w:p w14:paraId="21E58F0B"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 xml:space="preserve">          83 326 </w:t>
            </w:r>
          </w:p>
        </w:tc>
        <w:tc>
          <w:tcPr>
            <w:tcW w:w="851" w:type="dxa"/>
            <w:shd w:val="clear" w:color="auto" w:fill="auto"/>
            <w:noWrap/>
            <w:vAlign w:val="center"/>
          </w:tcPr>
          <w:p w14:paraId="7EAD6B57"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2</w:t>
            </w:r>
          </w:p>
        </w:tc>
        <w:tc>
          <w:tcPr>
            <w:tcW w:w="843" w:type="dxa"/>
            <w:shd w:val="clear" w:color="auto" w:fill="auto"/>
            <w:noWrap/>
            <w:vAlign w:val="center"/>
          </w:tcPr>
          <w:p w14:paraId="5DFBDA58"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135 124</w:t>
            </w:r>
          </w:p>
        </w:tc>
        <w:tc>
          <w:tcPr>
            <w:tcW w:w="1000" w:type="dxa"/>
            <w:shd w:val="clear" w:color="auto" w:fill="auto"/>
            <w:noWrap/>
            <w:vAlign w:val="center"/>
          </w:tcPr>
          <w:p w14:paraId="21F457FC"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35E0153F" w14:textId="77777777" w:rsidR="00136466" w:rsidRPr="00136466" w:rsidRDefault="00136466" w:rsidP="00136466">
            <w:pPr>
              <w:spacing w:after="0" w:line="240" w:lineRule="auto"/>
              <w:jc w:val="center"/>
              <w:rPr>
                <w:rFonts w:ascii="Times New Roman" w:eastAsia="Times New Roman" w:hAnsi="Times New Roman" w:cs="Times New Roman"/>
                <w:color w:val="000000"/>
                <w:kern w:val="0"/>
                <w:sz w:val="20"/>
                <w:szCs w:val="20"/>
                <w:lang w:eastAsia="sk-SK"/>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709BDC4A"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787F5894"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265BE7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10</w:t>
            </w:r>
          </w:p>
        </w:tc>
        <w:tc>
          <w:tcPr>
            <w:tcW w:w="1740" w:type="dxa"/>
            <w:shd w:val="clear" w:color="auto" w:fill="auto"/>
            <w:vAlign w:val="center"/>
          </w:tcPr>
          <w:p w14:paraId="34479C7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Úprava výšky sadzby dane z poistenia z 8 % na 10 % zo základu dane</w:t>
            </w:r>
          </w:p>
        </w:tc>
        <w:tc>
          <w:tcPr>
            <w:tcW w:w="992" w:type="dxa"/>
            <w:vAlign w:val="center"/>
          </w:tcPr>
          <w:p w14:paraId="3A4A498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213/2018 Z. z.</w:t>
            </w:r>
          </w:p>
        </w:tc>
        <w:tc>
          <w:tcPr>
            <w:tcW w:w="1134" w:type="dxa"/>
            <w:vAlign w:val="center"/>
          </w:tcPr>
          <w:p w14:paraId="4EF3F17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8 písm. a)</w:t>
            </w:r>
          </w:p>
        </w:tc>
        <w:tc>
          <w:tcPr>
            <w:tcW w:w="1843" w:type="dxa"/>
            <w:shd w:val="clear" w:color="auto" w:fill="auto"/>
            <w:vAlign w:val="center"/>
          </w:tcPr>
          <w:p w14:paraId="7F838D9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74DBC38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2DE80A3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poisťovne, poisťovne z iného členského štátu a pobočky zahraničnej poisťovne - platitelia dane</w:t>
            </w:r>
          </w:p>
        </w:tc>
        <w:tc>
          <w:tcPr>
            <w:tcW w:w="1108" w:type="dxa"/>
            <w:vAlign w:val="center"/>
          </w:tcPr>
          <w:p w14:paraId="39DC146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463 </w:t>
            </w:r>
          </w:p>
        </w:tc>
        <w:tc>
          <w:tcPr>
            <w:tcW w:w="851" w:type="dxa"/>
            <w:shd w:val="clear" w:color="auto" w:fill="auto"/>
            <w:noWrap/>
            <w:vAlign w:val="center"/>
          </w:tcPr>
          <w:p w14:paraId="4B069C8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39</w:t>
            </w:r>
          </w:p>
        </w:tc>
        <w:tc>
          <w:tcPr>
            <w:tcW w:w="843" w:type="dxa"/>
            <w:shd w:val="clear" w:color="auto" w:fill="auto"/>
            <w:noWrap/>
            <w:vAlign w:val="center"/>
          </w:tcPr>
          <w:p w14:paraId="57AF2E2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18 019</w:t>
            </w:r>
          </w:p>
        </w:tc>
        <w:tc>
          <w:tcPr>
            <w:tcW w:w="1000" w:type="dxa"/>
            <w:shd w:val="clear" w:color="auto" w:fill="auto"/>
            <w:noWrap/>
            <w:vAlign w:val="center"/>
          </w:tcPr>
          <w:p w14:paraId="768B2CF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5449F266"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18 019</w:t>
            </w:r>
          </w:p>
        </w:tc>
        <w:tc>
          <w:tcPr>
            <w:tcW w:w="1134" w:type="dxa"/>
            <w:vAlign w:val="center"/>
          </w:tcPr>
          <w:p w14:paraId="33E5231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2B699F41"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8762D5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11</w:t>
            </w:r>
          </w:p>
        </w:tc>
        <w:tc>
          <w:tcPr>
            <w:tcW w:w="1740" w:type="dxa"/>
            <w:shd w:val="clear" w:color="auto" w:fill="auto"/>
            <w:vAlign w:val="center"/>
          </w:tcPr>
          <w:p w14:paraId="78B5202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red"/>
                <w14:ligatures w14:val="none"/>
              </w:rPr>
            </w:pPr>
            <w:r w:rsidRPr="00136466">
              <w:rPr>
                <w:rFonts w:ascii="Times New Roman" w:eastAsia="Calibri" w:hAnsi="Times New Roman" w:cs="Times New Roman"/>
                <w:color w:val="000000"/>
                <w:kern w:val="0"/>
                <w:sz w:val="20"/>
                <w:szCs w:val="20"/>
                <w14:ligatures w14:val="none"/>
              </w:rPr>
              <w:t>Zvýšenie  osobitného odvodu z PZP z 8% na 10 %</w:t>
            </w:r>
          </w:p>
        </w:tc>
        <w:tc>
          <w:tcPr>
            <w:tcW w:w="992" w:type="dxa"/>
            <w:vAlign w:val="center"/>
          </w:tcPr>
          <w:p w14:paraId="579FDDB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red"/>
                <w14:ligatures w14:val="none"/>
              </w:rPr>
            </w:pPr>
            <w:r w:rsidRPr="00136466">
              <w:rPr>
                <w:rFonts w:ascii="Times New Roman" w:eastAsia="Calibri" w:hAnsi="Times New Roman" w:cs="Times New Roman"/>
                <w:color w:val="000000"/>
                <w:kern w:val="0"/>
                <w:sz w:val="20"/>
                <w:szCs w:val="20"/>
                <w14:ligatures w14:val="none"/>
              </w:rPr>
              <w:t>zákon č. 39/2015 Z. z.</w:t>
            </w:r>
          </w:p>
        </w:tc>
        <w:tc>
          <w:tcPr>
            <w:tcW w:w="1134" w:type="dxa"/>
            <w:vAlign w:val="center"/>
          </w:tcPr>
          <w:p w14:paraId="2B0AD73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red"/>
                <w14:ligatures w14:val="none"/>
              </w:rPr>
            </w:pPr>
            <w:r w:rsidRPr="00136466">
              <w:rPr>
                <w:rFonts w:ascii="Times New Roman" w:eastAsia="Calibri" w:hAnsi="Times New Roman" w:cs="Times New Roman"/>
                <w:color w:val="000000"/>
                <w:kern w:val="0"/>
                <w:sz w:val="20"/>
                <w:szCs w:val="20"/>
                <w14:ligatures w14:val="none"/>
              </w:rPr>
              <w:t>§ 68 ods.1</w:t>
            </w:r>
          </w:p>
        </w:tc>
        <w:tc>
          <w:tcPr>
            <w:tcW w:w="1843" w:type="dxa"/>
            <w:shd w:val="clear" w:color="auto" w:fill="auto"/>
            <w:vAlign w:val="center"/>
          </w:tcPr>
          <w:p w14:paraId="59EED88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red"/>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3AF5AFC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red"/>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7E660F8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red"/>
                <w14:ligatures w14:val="none"/>
              </w:rPr>
            </w:pPr>
            <w:r w:rsidRPr="00136466">
              <w:rPr>
                <w:rFonts w:ascii="Times New Roman" w:eastAsia="Calibri" w:hAnsi="Times New Roman" w:cs="Times New Roman"/>
                <w:color w:val="000000"/>
                <w:kern w:val="0"/>
                <w:sz w:val="20"/>
                <w:szCs w:val="20"/>
                <w14:ligatures w14:val="none"/>
              </w:rPr>
              <w:t>poisťovne</w:t>
            </w:r>
          </w:p>
        </w:tc>
        <w:tc>
          <w:tcPr>
            <w:tcW w:w="1108" w:type="dxa"/>
            <w:vAlign w:val="center"/>
          </w:tcPr>
          <w:p w14:paraId="2C6DC55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red"/>
                <w14:ligatures w14:val="none"/>
              </w:rPr>
            </w:pPr>
            <w:r w:rsidRPr="00136466">
              <w:rPr>
                <w:rFonts w:ascii="Times New Roman" w:eastAsia="Calibri" w:hAnsi="Times New Roman" w:cs="Times New Roman"/>
                <w:color w:val="000000"/>
                <w:kern w:val="0"/>
                <w:sz w:val="20"/>
                <w:szCs w:val="20"/>
                <w14:ligatures w14:val="none"/>
              </w:rPr>
              <w:t xml:space="preserve">                 10 </w:t>
            </w:r>
          </w:p>
        </w:tc>
        <w:tc>
          <w:tcPr>
            <w:tcW w:w="851" w:type="dxa"/>
            <w:shd w:val="clear" w:color="auto" w:fill="auto"/>
            <w:noWrap/>
            <w:vAlign w:val="center"/>
          </w:tcPr>
          <w:p w14:paraId="0A398A9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red"/>
                <w14:ligatures w14:val="none"/>
              </w:rPr>
            </w:pPr>
            <w:r w:rsidRPr="00136466">
              <w:rPr>
                <w:rFonts w:ascii="Times New Roman" w:eastAsia="Calibri" w:hAnsi="Times New Roman" w:cs="Times New Roman"/>
                <w:color w:val="000000"/>
                <w:kern w:val="0"/>
                <w:sz w:val="20"/>
                <w:szCs w:val="20"/>
                <w14:ligatures w14:val="none"/>
              </w:rPr>
              <w:t>39</w:t>
            </w:r>
          </w:p>
        </w:tc>
        <w:tc>
          <w:tcPr>
            <w:tcW w:w="843" w:type="dxa"/>
            <w:shd w:val="clear" w:color="auto" w:fill="auto"/>
            <w:noWrap/>
            <w:vAlign w:val="center"/>
          </w:tcPr>
          <w:p w14:paraId="5C862B0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red"/>
                <w14:ligatures w14:val="none"/>
              </w:rPr>
            </w:pPr>
            <w:r w:rsidRPr="00136466">
              <w:rPr>
                <w:rFonts w:ascii="Times New Roman" w:eastAsia="Calibri" w:hAnsi="Times New Roman" w:cs="Times New Roman"/>
                <w:color w:val="000000"/>
                <w:kern w:val="0"/>
                <w:sz w:val="20"/>
                <w:szCs w:val="20"/>
                <w14:ligatures w14:val="none"/>
              </w:rPr>
              <w:t>389</w:t>
            </w:r>
          </w:p>
        </w:tc>
        <w:tc>
          <w:tcPr>
            <w:tcW w:w="1000" w:type="dxa"/>
            <w:shd w:val="clear" w:color="auto" w:fill="auto"/>
            <w:noWrap/>
            <w:vAlign w:val="center"/>
          </w:tcPr>
          <w:p w14:paraId="222D8E8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red"/>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48C1827F" w14:textId="77777777" w:rsidR="00136466" w:rsidRPr="00136466" w:rsidRDefault="00136466" w:rsidP="00136466">
            <w:pPr>
              <w:spacing w:after="0" w:line="240" w:lineRule="auto"/>
              <w:jc w:val="center"/>
              <w:rPr>
                <w:rFonts w:ascii="Times New Roman" w:eastAsia="Calibri" w:hAnsi="Times New Roman" w:cs="Times New Roman"/>
                <w:kern w:val="0"/>
                <w:sz w:val="20"/>
                <w:szCs w:val="20"/>
                <w:highlight w:val="red"/>
                <w14:ligatures w14:val="none"/>
              </w:rPr>
            </w:pPr>
            <w:r w:rsidRPr="00136466">
              <w:rPr>
                <w:rFonts w:ascii="Times New Roman" w:eastAsia="Calibri" w:hAnsi="Times New Roman" w:cs="Times New Roman"/>
                <w:kern w:val="0"/>
                <w:sz w:val="20"/>
                <w:szCs w:val="20"/>
                <w14:ligatures w14:val="none"/>
              </w:rPr>
              <w:t>389</w:t>
            </w:r>
          </w:p>
        </w:tc>
        <w:tc>
          <w:tcPr>
            <w:tcW w:w="1134" w:type="dxa"/>
            <w:vAlign w:val="center"/>
          </w:tcPr>
          <w:p w14:paraId="42B8177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red"/>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4875D345"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E0F44B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12</w:t>
            </w:r>
          </w:p>
        </w:tc>
        <w:tc>
          <w:tcPr>
            <w:tcW w:w="1740" w:type="dxa"/>
            <w:shd w:val="clear" w:color="auto" w:fill="auto"/>
            <w:vAlign w:val="center"/>
          </w:tcPr>
          <w:p w14:paraId="7ACC4B5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Osobitná sadzba - subjekty podľa § 3 ods. 1 písm. a) druhý bod</w:t>
            </w:r>
          </w:p>
        </w:tc>
        <w:tc>
          <w:tcPr>
            <w:tcW w:w="992" w:type="dxa"/>
            <w:vAlign w:val="center"/>
          </w:tcPr>
          <w:p w14:paraId="0A7241A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235/2012 Z. z.</w:t>
            </w:r>
          </w:p>
        </w:tc>
        <w:tc>
          <w:tcPr>
            <w:tcW w:w="1134" w:type="dxa"/>
            <w:vAlign w:val="center"/>
          </w:tcPr>
          <w:p w14:paraId="5C4DC52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6 písm. d)</w:t>
            </w:r>
          </w:p>
        </w:tc>
        <w:tc>
          <w:tcPr>
            <w:tcW w:w="1843" w:type="dxa"/>
            <w:shd w:val="clear" w:color="auto" w:fill="auto"/>
            <w:vAlign w:val="center"/>
          </w:tcPr>
          <w:p w14:paraId="2E90BA4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0146816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31.12.25</w:t>
            </w:r>
          </w:p>
        </w:tc>
        <w:tc>
          <w:tcPr>
            <w:tcW w:w="1160" w:type="dxa"/>
            <w:shd w:val="clear" w:color="auto" w:fill="auto"/>
            <w:noWrap/>
            <w:vAlign w:val="center"/>
          </w:tcPr>
          <w:p w14:paraId="08DFC0F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subjekty podľa § 3 ods. 1 písm. a) druhý bod</w:t>
            </w:r>
          </w:p>
        </w:tc>
        <w:tc>
          <w:tcPr>
            <w:tcW w:w="1108" w:type="dxa"/>
            <w:vAlign w:val="center"/>
          </w:tcPr>
          <w:p w14:paraId="0AFB589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9 </w:t>
            </w:r>
          </w:p>
        </w:tc>
        <w:tc>
          <w:tcPr>
            <w:tcW w:w="851" w:type="dxa"/>
            <w:shd w:val="clear" w:color="auto" w:fill="auto"/>
            <w:noWrap/>
            <w:vAlign w:val="center"/>
          </w:tcPr>
          <w:p w14:paraId="6782846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548 889</w:t>
            </w:r>
          </w:p>
        </w:tc>
        <w:tc>
          <w:tcPr>
            <w:tcW w:w="843" w:type="dxa"/>
            <w:shd w:val="clear" w:color="auto" w:fill="auto"/>
            <w:noWrap/>
            <w:vAlign w:val="center"/>
          </w:tcPr>
          <w:p w14:paraId="151EB9C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4 940 000</w:t>
            </w:r>
          </w:p>
        </w:tc>
        <w:tc>
          <w:tcPr>
            <w:tcW w:w="1000" w:type="dxa"/>
            <w:shd w:val="clear" w:color="auto" w:fill="auto"/>
            <w:noWrap/>
            <w:vAlign w:val="center"/>
          </w:tcPr>
          <w:p w14:paraId="56C8D7C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720C10F7"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53F3BBB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59460DA0"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B36CBD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13</w:t>
            </w:r>
          </w:p>
        </w:tc>
        <w:tc>
          <w:tcPr>
            <w:tcW w:w="1740" w:type="dxa"/>
            <w:shd w:val="clear" w:color="auto" w:fill="auto"/>
            <w:vAlign w:val="center"/>
          </w:tcPr>
          <w:p w14:paraId="3036E5C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Doručenie písomného oznámenia správcovi odvodu pri zmene sadzby odvodu</w:t>
            </w:r>
          </w:p>
        </w:tc>
        <w:tc>
          <w:tcPr>
            <w:tcW w:w="992" w:type="dxa"/>
            <w:vAlign w:val="center"/>
          </w:tcPr>
          <w:p w14:paraId="4519C1B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235/2012 Z. z.</w:t>
            </w:r>
          </w:p>
        </w:tc>
        <w:tc>
          <w:tcPr>
            <w:tcW w:w="1134" w:type="dxa"/>
            <w:vAlign w:val="center"/>
          </w:tcPr>
          <w:p w14:paraId="0829225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8 ods. 3</w:t>
            </w:r>
          </w:p>
        </w:tc>
        <w:tc>
          <w:tcPr>
            <w:tcW w:w="1843" w:type="dxa"/>
            <w:shd w:val="clear" w:color="auto" w:fill="auto"/>
            <w:vAlign w:val="center"/>
          </w:tcPr>
          <w:p w14:paraId="2D17E29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085C730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31.12.25</w:t>
            </w:r>
          </w:p>
        </w:tc>
        <w:tc>
          <w:tcPr>
            <w:tcW w:w="1160" w:type="dxa"/>
            <w:shd w:val="clear" w:color="auto" w:fill="auto"/>
            <w:noWrap/>
            <w:vAlign w:val="center"/>
          </w:tcPr>
          <w:p w14:paraId="5DB69C6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subjekty podľa § 3</w:t>
            </w:r>
          </w:p>
        </w:tc>
        <w:tc>
          <w:tcPr>
            <w:tcW w:w="1108" w:type="dxa"/>
            <w:vAlign w:val="center"/>
          </w:tcPr>
          <w:p w14:paraId="419AFDB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9 </w:t>
            </w:r>
          </w:p>
        </w:tc>
        <w:tc>
          <w:tcPr>
            <w:tcW w:w="851" w:type="dxa"/>
            <w:shd w:val="clear" w:color="auto" w:fill="auto"/>
            <w:noWrap/>
            <w:vAlign w:val="center"/>
          </w:tcPr>
          <w:p w14:paraId="7204880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w:t>
            </w:r>
          </w:p>
        </w:tc>
        <w:tc>
          <w:tcPr>
            <w:tcW w:w="843" w:type="dxa"/>
            <w:shd w:val="clear" w:color="auto" w:fill="auto"/>
            <w:noWrap/>
            <w:vAlign w:val="center"/>
          </w:tcPr>
          <w:p w14:paraId="32E3955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20</w:t>
            </w:r>
          </w:p>
        </w:tc>
        <w:tc>
          <w:tcPr>
            <w:tcW w:w="1000" w:type="dxa"/>
            <w:shd w:val="clear" w:color="auto" w:fill="auto"/>
            <w:noWrap/>
            <w:vAlign w:val="center"/>
          </w:tcPr>
          <w:p w14:paraId="5FE4FCF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6EC8E804"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20</w:t>
            </w:r>
          </w:p>
        </w:tc>
        <w:tc>
          <w:tcPr>
            <w:tcW w:w="1134" w:type="dxa"/>
            <w:vAlign w:val="center"/>
          </w:tcPr>
          <w:p w14:paraId="2C79D75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76D2AE5B"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F858CB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Calibri" w:eastAsia="Calibri" w:hAnsi="Calibri" w:cs="Arial"/>
                <w:color w:val="000000"/>
                <w:kern w:val="0"/>
                <w:sz w:val="20"/>
                <w:szCs w:val="20"/>
                <w14:ligatures w14:val="none"/>
              </w:rPr>
              <w:t>14</w:t>
            </w:r>
          </w:p>
        </w:tc>
        <w:tc>
          <w:tcPr>
            <w:tcW w:w="1740" w:type="dxa"/>
            <w:shd w:val="clear" w:color="auto" w:fill="auto"/>
            <w:vAlign w:val="center"/>
          </w:tcPr>
          <w:p w14:paraId="717511C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Calibri" w:eastAsia="Calibri" w:hAnsi="Calibri" w:cs="Arial"/>
                <w:color w:val="000000"/>
                <w:kern w:val="0"/>
                <w:sz w:val="20"/>
                <w:szCs w:val="20"/>
                <w14:ligatures w14:val="none"/>
              </w:rPr>
              <w:t>Zavedenie novej hranice minimálnej dane právnickej osoby</w:t>
            </w:r>
          </w:p>
        </w:tc>
        <w:tc>
          <w:tcPr>
            <w:tcW w:w="992" w:type="dxa"/>
            <w:vAlign w:val="center"/>
          </w:tcPr>
          <w:p w14:paraId="3338583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Calibri" w:eastAsia="Calibri" w:hAnsi="Calibri" w:cs="Arial"/>
                <w:color w:val="000000"/>
                <w:kern w:val="0"/>
                <w:sz w:val="20"/>
                <w:szCs w:val="20"/>
                <w14:ligatures w14:val="none"/>
              </w:rPr>
              <w:t>zákon č. 595/2003 Z. z.</w:t>
            </w:r>
          </w:p>
        </w:tc>
        <w:tc>
          <w:tcPr>
            <w:tcW w:w="1134" w:type="dxa"/>
            <w:vAlign w:val="center"/>
          </w:tcPr>
          <w:p w14:paraId="139CE3C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Calibri" w:eastAsia="Calibri" w:hAnsi="Calibri" w:cs="Arial"/>
                <w:color w:val="000000"/>
                <w:kern w:val="0"/>
                <w:sz w:val="20"/>
                <w:szCs w:val="20"/>
                <w14:ligatures w14:val="none"/>
              </w:rPr>
              <w:t>§ 46b</w:t>
            </w:r>
          </w:p>
        </w:tc>
        <w:tc>
          <w:tcPr>
            <w:tcW w:w="1843" w:type="dxa"/>
            <w:shd w:val="clear" w:color="auto" w:fill="auto"/>
            <w:vAlign w:val="center"/>
          </w:tcPr>
          <w:p w14:paraId="04DA890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Calibri" w:eastAsia="Calibri" w:hAnsi="Calibri" w:cs="Calibri"/>
                <w:color w:val="000000"/>
                <w:kern w:val="0"/>
                <w:sz w:val="20"/>
                <w:szCs w:val="20"/>
                <w:lang w:eastAsia="sk-SK"/>
                <w14:ligatures w14:val="none"/>
              </w:rPr>
              <w:t>1.SK</w:t>
            </w:r>
          </w:p>
        </w:tc>
        <w:tc>
          <w:tcPr>
            <w:tcW w:w="992" w:type="dxa"/>
            <w:vAlign w:val="center"/>
          </w:tcPr>
          <w:p w14:paraId="4EC6CB0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Calibri" w:eastAsia="Calibri" w:hAnsi="Calibri" w:cs="Arial"/>
                <w:color w:val="000000"/>
                <w:kern w:val="0"/>
                <w:sz w:val="20"/>
                <w:szCs w:val="20"/>
                <w14:ligatures w14:val="none"/>
              </w:rPr>
              <w:t>01.01.26</w:t>
            </w:r>
          </w:p>
        </w:tc>
        <w:tc>
          <w:tcPr>
            <w:tcW w:w="1160" w:type="dxa"/>
            <w:shd w:val="clear" w:color="auto" w:fill="auto"/>
            <w:noWrap/>
            <w:vAlign w:val="center"/>
          </w:tcPr>
          <w:p w14:paraId="3B68637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Calibri" w:eastAsia="Calibri" w:hAnsi="Calibri" w:cs="Arial"/>
                <w:color w:val="000000"/>
                <w:kern w:val="0"/>
                <w:sz w:val="20"/>
                <w:szCs w:val="20"/>
                <w14:ligatures w14:val="none"/>
              </w:rPr>
              <w:t>právnické osoby dosahujúce zdaniteľné príjmy nad 5 mil. eur</w:t>
            </w:r>
          </w:p>
        </w:tc>
        <w:tc>
          <w:tcPr>
            <w:tcW w:w="1108" w:type="dxa"/>
            <w:vAlign w:val="center"/>
          </w:tcPr>
          <w:p w14:paraId="2EBD0A2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Calibri" w:eastAsia="Calibri" w:hAnsi="Calibri" w:cs="Arial"/>
                <w:color w:val="000000"/>
                <w:kern w:val="0"/>
                <w:sz w:val="20"/>
                <w:szCs w:val="20"/>
                <w14:ligatures w14:val="none"/>
              </w:rPr>
              <w:t xml:space="preserve">            1 400 </w:t>
            </w:r>
          </w:p>
        </w:tc>
        <w:tc>
          <w:tcPr>
            <w:tcW w:w="851" w:type="dxa"/>
            <w:shd w:val="clear" w:color="auto" w:fill="auto"/>
            <w:noWrap/>
            <w:vAlign w:val="center"/>
          </w:tcPr>
          <w:p w14:paraId="253C256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Calibri" w:eastAsia="Calibri" w:hAnsi="Calibri" w:cs="Arial"/>
                <w:color w:val="000000"/>
                <w:kern w:val="0"/>
                <w:sz w:val="20"/>
                <w:szCs w:val="20"/>
                <w14:ligatures w14:val="none"/>
              </w:rPr>
              <w:t>7 000</w:t>
            </w:r>
          </w:p>
        </w:tc>
        <w:tc>
          <w:tcPr>
            <w:tcW w:w="843" w:type="dxa"/>
            <w:shd w:val="clear" w:color="auto" w:fill="auto"/>
            <w:noWrap/>
            <w:vAlign w:val="center"/>
          </w:tcPr>
          <w:p w14:paraId="0F74D8F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Calibri" w:eastAsia="Calibri" w:hAnsi="Calibri" w:cs="Arial"/>
                <w:color w:val="000000"/>
                <w:kern w:val="0"/>
                <w:sz w:val="20"/>
                <w:szCs w:val="20"/>
                <w14:ligatures w14:val="none"/>
              </w:rPr>
              <w:t>9 800 000</w:t>
            </w:r>
          </w:p>
        </w:tc>
        <w:tc>
          <w:tcPr>
            <w:tcW w:w="1000" w:type="dxa"/>
            <w:shd w:val="clear" w:color="auto" w:fill="auto"/>
            <w:noWrap/>
            <w:vAlign w:val="center"/>
          </w:tcPr>
          <w:p w14:paraId="10B318D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Calibri" w:eastAsia="Calibri" w:hAnsi="Calibri" w:cs="Arial"/>
                <w:color w:val="000000"/>
                <w:kern w:val="0"/>
                <w:sz w:val="20"/>
                <w:szCs w:val="20"/>
                <w14:ligatures w14:val="none"/>
              </w:rPr>
              <w:t>In (zvyšuje náklady)</w:t>
            </w:r>
          </w:p>
        </w:tc>
        <w:tc>
          <w:tcPr>
            <w:tcW w:w="708" w:type="dxa"/>
            <w:shd w:val="clear" w:color="auto" w:fill="auto"/>
            <w:noWrap/>
            <w:vAlign w:val="center"/>
          </w:tcPr>
          <w:p w14:paraId="41CD165F"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Calibri" w:eastAsia="Calibri" w:hAnsi="Calibri" w:cs="Arial"/>
                <w:kern w:val="0"/>
                <w:sz w:val="20"/>
                <w:szCs w:val="20"/>
                <w14:ligatures w14:val="none"/>
              </w:rPr>
              <w:t>0</w:t>
            </w:r>
          </w:p>
        </w:tc>
        <w:tc>
          <w:tcPr>
            <w:tcW w:w="1134" w:type="dxa"/>
            <w:vAlign w:val="center"/>
          </w:tcPr>
          <w:p w14:paraId="73E016A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Calibri" w:eastAsia="Calibri" w:hAnsi="Calibri" w:cs="Arial"/>
                <w:color w:val="000000"/>
                <w:kern w:val="0"/>
                <w:sz w:val="20"/>
                <w:szCs w:val="20"/>
                <w14:ligatures w14:val="none"/>
              </w:rPr>
              <w:t>0</w:t>
            </w:r>
          </w:p>
        </w:tc>
      </w:tr>
      <w:tr w:rsidR="00136466" w:rsidRPr="00136466" w14:paraId="38C7EE8D"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B77CC3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15</w:t>
            </w:r>
          </w:p>
        </w:tc>
        <w:tc>
          <w:tcPr>
            <w:tcW w:w="1740" w:type="dxa"/>
            <w:shd w:val="clear" w:color="auto" w:fill="auto"/>
            <w:vAlign w:val="center"/>
          </w:tcPr>
          <w:p w14:paraId="0DE2879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Zavedenie zvýšených sadzieb pre FO podnikateľov</w:t>
            </w:r>
          </w:p>
        </w:tc>
        <w:tc>
          <w:tcPr>
            <w:tcW w:w="992" w:type="dxa"/>
            <w:vAlign w:val="center"/>
          </w:tcPr>
          <w:p w14:paraId="4678806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595/2003 Z. z.</w:t>
            </w:r>
          </w:p>
        </w:tc>
        <w:tc>
          <w:tcPr>
            <w:tcW w:w="1134" w:type="dxa"/>
            <w:vAlign w:val="center"/>
          </w:tcPr>
          <w:p w14:paraId="17E1B88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15</w:t>
            </w:r>
          </w:p>
        </w:tc>
        <w:tc>
          <w:tcPr>
            <w:tcW w:w="1843" w:type="dxa"/>
            <w:shd w:val="clear" w:color="auto" w:fill="auto"/>
            <w:vAlign w:val="center"/>
          </w:tcPr>
          <w:p w14:paraId="4970916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7E86A9A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0F2857D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FO podnikatelia</w:t>
            </w:r>
          </w:p>
        </w:tc>
        <w:tc>
          <w:tcPr>
            <w:tcW w:w="1108" w:type="dxa"/>
            <w:vAlign w:val="center"/>
          </w:tcPr>
          <w:p w14:paraId="19BDE47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61 800 </w:t>
            </w:r>
          </w:p>
        </w:tc>
        <w:tc>
          <w:tcPr>
            <w:tcW w:w="851" w:type="dxa"/>
            <w:shd w:val="clear" w:color="auto" w:fill="auto"/>
            <w:noWrap/>
            <w:vAlign w:val="center"/>
          </w:tcPr>
          <w:p w14:paraId="24F16BA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578</w:t>
            </w:r>
          </w:p>
        </w:tc>
        <w:tc>
          <w:tcPr>
            <w:tcW w:w="843" w:type="dxa"/>
            <w:shd w:val="clear" w:color="auto" w:fill="auto"/>
            <w:noWrap/>
            <w:vAlign w:val="center"/>
          </w:tcPr>
          <w:p w14:paraId="5CBC1D7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35 700 433</w:t>
            </w:r>
          </w:p>
        </w:tc>
        <w:tc>
          <w:tcPr>
            <w:tcW w:w="1000" w:type="dxa"/>
            <w:shd w:val="clear" w:color="auto" w:fill="auto"/>
            <w:noWrap/>
            <w:vAlign w:val="center"/>
          </w:tcPr>
          <w:p w14:paraId="37C34DB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5A8996D6"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200 433</w:t>
            </w:r>
          </w:p>
        </w:tc>
        <w:tc>
          <w:tcPr>
            <w:tcW w:w="1134" w:type="dxa"/>
            <w:vAlign w:val="center"/>
          </w:tcPr>
          <w:p w14:paraId="6B6C676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759B3E31"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917751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16</w:t>
            </w:r>
          </w:p>
        </w:tc>
        <w:tc>
          <w:tcPr>
            <w:tcW w:w="1740" w:type="dxa"/>
            <w:shd w:val="clear" w:color="auto" w:fill="auto"/>
            <w:vAlign w:val="center"/>
          </w:tcPr>
          <w:p w14:paraId="43F47D8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Daň z poplatku za hazard - osobitná sadzba dane</w:t>
            </w:r>
          </w:p>
        </w:tc>
        <w:tc>
          <w:tcPr>
            <w:tcW w:w="992" w:type="dxa"/>
            <w:vAlign w:val="center"/>
          </w:tcPr>
          <w:p w14:paraId="157F788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595/2003 Z. z.</w:t>
            </w:r>
          </w:p>
        </w:tc>
        <w:tc>
          <w:tcPr>
            <w:tcW w:w="1134" w:type="dxa"/>
            <w:vAlign w:val="center"/>
          </w:tcPr>
          <w:p w14:paraId="563FDBD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15</w:t>
            </w:r>
          </w:p>
        </w:tc>
        <w:tc>
          <w:tcPr>
            <w:tcW w:w="1843" w:type="dxa"/>
            <w:shd w:val="clear" w:color="auto" w:fill="auto"/>
            <w:vAlign w:val="center"/>
          </w:tcPr>
          <w:p w14:paraId="6AE27AA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0D897DC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6EAA9B2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banky</w:t>
            </w:r>
          </w:p>
        </w:tc>
        <w:tc>
          <w:tcPr>
            <w:tcW w:w="1108" w:type="dxa"/>
            <w:vAlign w:val="center"/>
          </w:tcPr>
          <w:p w14:paraId="220EDD9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23 </w:t>
            </w:r>
          </w:p>
        </w:tc>
        <w:tc>
          <w:tcPr>
            <w:tcW w:w="851" w:type="dxa"/>
            <w:shd w:val="clear" w:color="auto" w:fill="auto"/>
            <w:noWrap/>
            <w:vAlign w:val="center"/>
          </w:tcPr>
          <w:p w14:paraId="2F56D8B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521 772</w:t>
            </w:r>
          </w:p>
        </w:tc>
        <w:tc>
          <w:tcPr>
            <w:tcW w:w="843" w:type="dxa"/>
            <w:shd w:val="clear" w:color="auto" w:fill="auto"/>
            <w:noWrap/>
            <w:vAlign w:val="center"/>
          </w:tcPr>
          <w:p w14:paraId="31C4EAE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12 000 746</w:t>
            </w:r>
          </w:p>
        </w:tc>
        <w:tc>
          <w:tcPr>
            <w:tcW w:w="1000" w:type="dxa"/>
            <w:shd w:val="clear" w:color="auto" w:fill="auto"/>
            <w:noWrap/>
            <w:vAlign w:val="center"/>
          </w:tcPr>
          <w:p w14:paraId="6A74748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10A6A234"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746</w:t>
            </w:r>
          </w:p>
        </w:tc>
        <w:tc>
          <w:tcPr>
            <w:tcW w:w="1134" w:type="dxa"/>
            <w:vAlign w:val="center"/>
          </w:tcPr>
          <w:p w14:paraId="63A96BD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28D32AE7"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FADE04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17</w:t>
            </w:r>
          </w:p>
        </w:tc>
        <w:tc>
          <w:tcPr>
            <w:tcW w:w="1740" w:type="dxa"/>
            <w:shd w:val="clear" w:color="auto" w:fill="auto"/>
            <w:vAlign w:val="center"/>
          </w:tcPr>
          <w:p w14:paraId="2C80DA3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Úprava odpočtu na investície</w:t>
            </w:r>
          </w:p>
        </w:tc>
        <w:tc>
          <w:tcPr>
            <w:tcW w:w="992" w:type="dxa"/>
            <w:vAlign w:val="center"/>
          </w:tcPr>
          <w:p w14:paraId="6640E13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595/2003 Z. z.</w:t>
            </w:r>
          </w:p>
        </w:tc>
        <w:tc>
          <w:tcPr>
            <w:tcW w:w="1134" w:type="dxa"/>
            <w:vAlign w:val="center"/>
          </w:tcPr>
          <w:p w14:paraId="620E299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30e</w:t>
            </w:r>
          </w:p>
        </w:tc>
        <w:tc>
          <w:tcPr>
            <w:tcW w:w="1843" w:type="dxa"/>
            <w:shd w:val="clear" w:color="auto" w:fill="auto"/>
            <w:vAlign w:val="center"/>
          </w:tcPr>
          <w:p w14:paraId="545E81C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48A5E67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1F884DE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PO</w:t>
            </w:r>
          </w:p>
        </w:tc>
        <w:tc>
          <w:tcPr>
            <w:tcW w:w="1108" w:type="dxa"/>
            <w:vAlign w:val="center"/>
          </w:tcPr>
          <w:p w14:paraId="4B20B65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 </w:t>
            </w:r>
          </w:p>
        </w:tc>
        <w:tc>
          <w:tcPr>
            <w:tcW w:w="851" w:type="dxa"/>
            <w:shd w:val="clear" w:color="auto" w:fill="auto"/>
            <w:noWrap/>
            <w:vAlign w:val="center"/>
          </w:tcPr>
          <w:p w14:paraId="40FFD5E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c>
          <w:tcPr>
            <w:tcW w:w="843" w:type="dxa"/>
            <w:shd w:val="clear" w:color="auto" w:fill="auto"/>
            <w:noWrap/>
            <w:vAlign w:val="center"/>
          </w:tcPr>
          <w:p w14:paraId="31BE2F3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c>
          <w:tcPr>
            <w:tcW w:w="1000" w:type="dxa"/>
            <w:shd w:val="clear" w:color="auto" w:fill="auto"/>
            <w:noWrap/>
            <w:vAlign w:val="center"/>
          </w:tcPr>
          <w:p w14:paraId="682686E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Out (znižuje náklady)</w:t>
            </w:r>
          </w:p>
        </w:tc>
        <w:tc>
          <w:tcPr>
            <w:tcW w:w="708" w:type="dxa"/>
            <w:shd w:val="clear" w:color="auto" w:fill="auto"/>
            <w:noWrap/>
            <w:vAlign w:val="center"/>
          </w:tcPr>
          <w:p w14:paraId="29124D05"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3E21916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23A0AAD5"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821B2A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Calibri" w:eastAsia="Calibri" w:hAnsi="Calibri" w:cs="Arial"/>
                <w:color w:val="000000"/>
                <w:kern w:val="0"/>
                <w:sz w:val="20"/>
                <w:szCs w:val="20"/>
                <w14:ligatures w14:val="none"/>
              </w:rPr>
              <w:t>18</w:t>
            </w:r>
          </w:p>
        </w:tc>
        <w:tc>
          <w:tcPr>
            <w:tcW w:w="1740" w:type="dxa"/>
            <w:shd w:val="clear" w:color="auto" w:fill="auto"/>
            <w:vAlign w:val="center"/>
          </w:tcPr>
          <w:p w14:paraId="4FCF056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yellow"/>
                <w14:ligatures w14:val="none"/>
              </w:rPr>
            </w:pPr>
            <w:r w:rsidRPr="00136466">
              <w:rPr>
                <w:rFonts w:ascii="Calibri" w:eastAsia="Calibri" w:hAnsi="Calibri" w:cs="Arial"/>
                <w:color w:val="000000"/>
                <w:kern w:val="0"/>
                <w:sz w:val="20"/>
                <w:szCs w:val="20"/>
                <w14:ligatures w14:val="none"/>
              </w:rPr>
              <w:t>Neuznanie odpočtu DPH pri automobiloch</w:t>
            </w:r>
          </w:p>
        </w:tc>
        <w:tc>
          <w:tcPr>
            <w:tcW w:w="992" w:type="dxa"/>
            <w:vAlign w:val="center"/>
          </w:tcPr>
          <w:p w14:paraId="5410549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yellow"/>
                <w14:ligatures w14:val="none"/>
              </w:rPr>
            </w:pPr>
            <w:r w:rsidRPr="00136466">
              <w:rPr>
                <w:rFonts w:ascii="Calibri" w:eastAsia="Calibri" w:hAnsi="Calibri" w:cs="Arial"/>
                <w:color w:val="000000"/>
                <w:kern w:val="0"/>
                <w:sz w:val="20"/>
                <w:szCs w:val="20"/>
                <w14:ligatures w14:val="none"/>
              </w:rPr>
              <w:t>zákon č. 595/2003 Z. z.</w:t>
            </w:r>
          </w:p>
        </w:tc>
        <w:tc>
          <w:tcPr>
            <w:tcW w:w="1134" w:type="dxa"/>
            <w:vAlign w:val="center"/>
          </w:tcPr>
          <w:p w14:paraId="1189A92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yellow"/>
                <w14:ligatures w14:val="none"/>
              </w:rPr>
            </w:pPr>
            <w:r w:rsidRPr="00136466">
              <w:rPr>
                <w:rFonts w:ascii="Calibri" w:eastAsia="Calibri" w:hAnsi="Calibri" w:cs="Arial"/>
                <w:color w:val="000000"/>
                <w:kern w:val="0"/>
                <w:sz w:val="20"/>
                <w:szCs w:val="20"/>
                <w14:ligatures w14:val="none"/>
              </w:rPr>
              <w:t>§ 52zzzk</w:t>
            </w:r>
          </w:p>
        </w:tc>
        <w:tc>
          <w:tcPr>
            <w:tcW w:w="1843" w:type="dxa"/>
            <w:shd w:val="clear" w:color="auto" w:fill="auto"/>
            <w:vAlign w:val="center"/>
          </w:tcPr>
          <w:p w14:paraId="692A180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yellow"/>
                <w:lang w:eastAsia="sk-SK"/>
                <w14:ligatures w14:val="none"/>
              </w:rPr>
            </w:pPr>
            <w:r w:rsidRPr="00136466">
              <w:rPr>
                <w:rFonts w:ascii="Calibri" w:eastAsia="Calibri" w:hAnsi="Calibri" w:cs="Calibri"/>
                <w:color w:val="000000"/>
                <w:kern w:val="0"/>
                <w:sz w:val="20"/>
                <w:szCs w:val="20"/>
                <w:lang w:eastAsia="sk-SK"/>
                <w14:ligatures w14:val="none"/>
              </w:rPr>
              <w:t>1.SK</w:t>
            </w:r>
          </w:p>
        </w:tc>
        <w:tc>
          <w:tcPr>
            <w:tcW w:w="992" w:type="dxa"/>
            <w:vAlign w:val="center"/>
          </w:tcPr>
          <w:p w14:paraId="0EE8917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yellow"/>
                <w14:ligatures w14:val="none"/>
              </w:rPr>
            </w:pPr>
            <w:r w:rsidRPr="00136466">
              <w:rPr>
                <w:rFonts w:ascii="Calibri" w:eastAsia="Calibri" w:hAnsi="Calibri" w:cs="Arial"/>
                <w:color w:val="000000"/>
                <w:kern w:val="0"/>
                <w:sz w:val="20"/>
                <w:szCs w:val="20"/>
                <w14:ligatures w14:val="none"/>
              </w:rPr>
              <w:t>01.01.26</w:t>
            </w:r>
          </w:p>
        </w:tc>
        <w:tc>
          <w:tcPr>
            <w:tcW w:w="1160" w:type="dxa"/>
            <w:shd w:val="clear" w:color="auto" w:fill="auto"/>
            <w:noWrap/>
            <w:vAlign w:val="center"/>
          </w:tcPr>
          <w:p w14:paraId="0B227D8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yellow"/>
                <w14:ligatures w14:val="none"/>
              </w:rPr>
            </w:pPr>
            <w:r w:rsidRPr="00136466">
              <w:rPr>
                <w:rFonts w:ascii="Calibri" w:eastAsia="Calibri" w:hAnsi="Calibri" w:cs="Arial"/>
                <w:color w:val="000000"/>
                <w:kern w:val="0"/>
                <w:sz w:val="20"/>
                <w:szCs w:val="20"/>
                <w14:ligatures w14:val="none"/>
              </w:rPr>
              <w:t>PO, FO platitelia DPH</w:t>
            </w:r>
          </w:p>
        </w:tc>
        <w:tc>
          <w:tcPr>
            <w:tcW w:w="1108" w:type="dxa"/>
            <w:vAlign w:val="center"/>
          </w:tcPr>
          <w:p w14:paraId="45361CA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yellow"/>
                <w14:ligatures w14:val="none"/>
              </w:rPr>
            </w:pPr>
            <w:r w:rsidRPr="00136466">
              <w:rPr>
                <w:rFonts w:ascii="Calibri" w:eastAsia="Calibri" w:hAnsi="Calibri" w:cs="Arial"/>
                <w:color w:val="000000"/>
                <w:kern w:val="0"/>
                <w:sz w:val="20"/>
                <w:szCs w:val="20"/>
                <w14:ligatures w14:val="none"/>
              </w:rPr>
              <w:t xml:space="preserve">        141 880 </w:t>
            </w:r>
          </w:p>
        </w:tc>
        <w:tc>
          <w:tcPr>
            <w:tcW w:w="851" w:type="dxa"/>
            <w:shd w:val="clear" w:color="auto" w:fill="auto"/>
            <w:noWrap/>
            <w:vAlign w:val="center"/>
          </w:tcPr>
          <w:p w14:paraId="47F500A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yellow"/>
                <w14:ligatures w14:val="none"/>
              </w:rPr>
            </w:pPr>
            <w:r w:rsidRPr="00136466">
              <w:rPr>
                <w:rFonts w:ascii="Calibri" w:eastAsia="Calibri" w:hAnsi="Calibri" w:cs="Arial"/>
                <w:color w:val="000000"/>
                <w:kern w:val="0"/>
                <w:sz w:val="20"/>
                <w:szCs w:val="20"/>
                <w14:ligatures w14:val="none"/>
              </w:rPr>
              <w:t>6</w:t>
            </w:r>
          </w:p>
        </w:tc>
        <w:tc>
          <w:tcPr>
            <w:tcW w:w="843" w:type="dxa"/>
            <w:shd w:val="clear" w:color="auto" w:fill="auto"/>
            <w:noWrap/>
            <w:vAlign w:val="center"/>
          </w:tcPr>
          <w:p w14:paraId="1D26573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yellow"/>
                <w14:ligatures w14:val="none"/>
              </w:rPr>
            </w:pPr>
            <w:r w:rsidRPr="00136466">
              <w:rPr>
                <w:rFonts w:ascii="Calibri" w:eastAsia="Calibri" w:hAnsi="Calibri" w:cs="Arial"/>
                <w:color w:val="000000"/>
                <w:kern w:val="0"/>
                <w:sz w:val="20"/>
                <w:szCs w:val="20"/>
                <w14:ligatures w14:val="none"/>
              </w:rPr>
              <w:t>920 305</w:t>
            </w:r>
          </w:p>
        </w:tc>
        <w:tc>
          <w:tcPr>
            <w:tcW w:w="1000" w:type="dxa"/>
            <w:shd w:val="clear" w:color="auto" w:fill="auto"/>
            <w:noWrap/>
            <w:vAlign w:val="center"/>
          </w:tcPr>
          <w:p w14:paraId="62ED99D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yellow"/>
                <w14:ligatures w14:val="none"/>
              </w:rPr>
            </w:pPr>
            <w:r w:rsidRPr="00136466">
              <w:rPr>
                <w:rFonts w:ascii="Calibri" w:eastAsia="Calibri" w:hAnsi="Calibri" w:cs="Arial"/>
                <w:color w:val="000000"/>
                <w:kern w:val="0"/>
                <w:sz w:val="20"/>
                <w:szCs w:val="20"/>
                <w14:ligatures w14:val="none"/>
              </w:rPr>
              <w:t>In (zvyšuje náklady)</w:t>
            </w:r>
          </w:p>
        </w:tc>
        <w:tc>
          <w:tcPr>
            <w:tcW w:w="708" w:type="dxa"/>
            <w:shd w:val="clear" w:color="auto" w:fill="auto"/>
            <w:noWrap/>
            <w:vAlign w:val="center"/>
          </w:tcPr>
          <w:p w14:paraId="50330540" w14:textId="77777777" w:rsidR="00136466" w:rsidRPr="00136466" w:rsidRDefault="00136466" w:rsidP="00136466">
            <w:pPr>
              <w:spacing w:after="0" w:line="240" w:lineRule="auto"/>
              <w:jc w:val="center"/>
              <w:rPr>
                <w:rFonts w:ascii="Times New Roman" w:eastAsia="Calibri" w:hAnsi="Times New Roman" w:cs="Times New Roman"/>
                <w:kern w:val="0"/>
                <w:sz w:val="20"/>
                <w:szCs w:val="20"/>
                <w:highlight w:val="yellow"/>
                <w14:ligatures w14:val="none"/>
              </w:rPr>
            </w:pPr>
            <w:r w:rsidRPr="00136466">
              <w:rPr>
                <w:rFonts w:ascii="Calibri" w:eastAsia="Calibri" w:hAnsi="Calibri" w:cs="Arial"/>
                <w:kern w:val="0"/>
                <w:sz w:val="20"/>
                <w:szCs w:val="20"/>
                <w14:ligatures w14:val="none"/>
              </w:rPr>
              <w:t>920 305</w:t>
            </w:r>
          </w:p>
        </w:tc>
        <w:tc>
          <w:tcPr>
            <w:tcW w:w="1134" w:type="dxa"/>
            <w:vAlign w:val="center"/>
          </w:tcPr>
          <w:p w14:paraId="505D3AA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highlight w:val="yellow"/>
                <w14:ligatures w14:val="none"/>
              </w:rPr>
            </w:pPr>
            <w:r w:rsidRPr="00136466">
              <w:rPr>
                <w:rFonts w:ascii="Calibri" w:eastAsia="Calibri" w:hAnsi="Calibri" w:cs="Arial"/>
                <w:color w:val="000000"/>
                <w:kern w:val="0"/>
                <w:sz w:val="20"/>
                <w:szCs w:val="20"/>
                <w14:ligatures w14:val="none"/>
              </w:rPr>
              <w:t>0</w:t>
            </w:r>
          </w:p>
        </w:tc>
      </w:tr>
      <w:tr w:rsidR="00136466" w:rsidRPr="00136466" w14:paraId="3582ED3B"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5C678C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19</w:t>
            </w:r>
          </w:p>
        </w:tc>
        <w:tc>
          <w:tcPr>
            <w:tcW w:w="1740" w:type="dxa"/>
            <w:shd w:val="clear" w:color="auto" w:fill="auto"/>
            <w:vAlign w:val="center"/>
          </w:tcPr>
          <w:p w14:paraId="0A1379F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Poplatky, úhrady za skladovanie ropy a plynu</w:t>
            </w:r>
          </w:p>
        </w:tc>
        <w:tc>
          <w:tcPr>
            <w:tcW w:w="992" w:type="dxa"/>
            <w:vAlign w:val="center"/>
          </w:tcPr>
          <w:p w14:paraId="283B3AF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44/1988 Zb.</w:t>
            </w:r>
          </w:p>
        </w:tc>
        <w:tc>
          <w:tcPr>
            <w:tcW w:w="1134" w:type="dxa"/>
            <w:vAlign w:val="center"/>
          </w:tcPr>
          <w:p w14:paraId="0351289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32a ods. 3</w:t>
            </w:r>
          </w:p>
        </w:tc>
        <w:tc>
          <w:tcPr>
            <w:tcW w:w="1843" w:type="dxa"/>
            <w:shd w:val="clear" w:color="auto" w:fill="auto"/>
            <w:vAlign w:val="center"/>
          </w:tcPr>
          <w:p w14:paraId="5B8DDD3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6C6BD2E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7F86F5E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organizácia vykonávajúca banskú činnosť</w:t>
            </w:r>
          </w:p>
        </w:tc>
        <w:tc>
          <w:tcPr>
            <w:tcW w:w="1108" w:type="dxa"/>
            <w:vAlign w:val="center"/>
          </w:tcPr>
          <w:p w14:paraId="7794A73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8 </w:t>
            </w:r>
          </w:p>
        </w:tc>
        <w:tc>
          <w:tcPr>
            <w:tcW w:w="851" w:type="dxa"/>
            <w:shd w:val="clear" w:color="auto" w:fill="auto"/>
            <w:noWrap/>
            <w:vAlign w:val="center"/>
          </w:tcPr>
          <w:p w14:paraId="1CDFAC0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66 750</w:t>
            </w:r>
          </w:p>
        </w:tc>
        <w:tc>
          <w:tcPr>
            <w:tcW w:w="843" w:type="dxa"/>
            <w:shd w:val="clear" w:color="auto" w:fill="auto"/>
            <w:noWrap/>
            <w:vAlign w:val="center"/>
          </w:tcPr>
          <w:p w14:paraId="4BD7EB5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534 000</w:t>
            </w:r>
          </w:p>
        </w:tc>
        <w:tc>
          <w:tcPr>
            <w:tcW w:w="1000" w:type="dxa"/>
            <w:shd w:val="clear" w:color="auto" w:fill="auto"/>
            <w:noWrap/>
            <w:vAlign w:val="center"/>
          </w:tcPr>
          <w:p w14:paraId="356CAED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257D45F4"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51F16A2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4A0E6CF3"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AD3C2B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20</w:t>
            </w:r>
          </w:p>
        </w:tc>
        <w:tc>
          <w:tcPr>
            <w:tcW w:w="1740" w:type="dxa"/>
            <w:shd w:val="clear" w:color="auto" w:fill="auto"/>
            <w:vAlign w:val="center"/>
          </w:tcPr>
          <w:p w14:paraId="28E15E2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Poplatky, úhrady za dobývací priestor</w:t>
            </w:r>
          </w:p>
        </w:tc>
        <w:tc>
          <w:tcPr>
            <w:tcW w:w="992" w:type="dxa"/>
            <w:vAlign w:val="center"/>
          </w:tcPr>
          <w:p w14:paraId="68E644F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44/1988 Zb.</w:t>
            </w:r>
          </w:p>
        </w:tc>
        <w:tc>
          <w:tcPr>
            <w:tcW w:w="1134" w:type="dxa"/>
            <w:vAlign w:val="center"/>
          </w:tcPr>
          <w:p w14:paraId="64F01A5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32a ods. 1</w:t>
            </w:r>
          </w:p>
        </w:tc>
        <w:tc>
          <w:tcPr>
            <w:tcW w:w="1843" w:type="dxa"/>
            <w:shd w:val="clear" w:color="auto" w:fill="auto"/>
            <w:vAlign w:val="center"/>
          </w:tcPr>
          <w:p w14:paraId="6A300D7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50818A7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14A9B0D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organizácia vykonávajúca banskú činnosť</w:t>
            </w:r>
          </w:p>
        </w:tc>
        <w:tc>
          <w:tcPr>
            <w:tcW w:w="1108" w:type="dxa"/>
            <w:vAlign w:val="center"/>
          </w:tcPr>
          <w:p w14:paraId="4CF268D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152 </w:t>
            </w:r>
          </w:p>
        </w:tc>
        <w:tc>
          <w:tcPr>
            <w:tcW w:w="851" w:type="dxa"/>
            <w:shd w:val="clear" w:color="auto" w:fill="auto"/>
            <w:noWrap/>
            <w:vAlign w:val="center"/>
          </w:tcPr>
          <w:p w14:paraId="0AAC210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1 342</w:t>
            </w:r>
          </w:p>
        </w:tc>
        <w:tc>
          <w:tcPr>
            <w:tcW w:w="843" w:type="dxa"/>
            <w:shd w:val="clear" w:color="auto" w:fill="auto"/>
            <w:noWrap/>
            <w:vAlign w:val="center"/>
          </w:tcPr>
          <w:p w14:paraId="087BA9C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204 000</w:t>
            </w:r>
          </w:p>
        </w:tc>
        <w:tc>
          <w:tcPr>
            <w:tcW w:w="1000" w:type="dxa"/>
            <w:shd w:val="clear" w:color="auto" w:fill="auto"/>
            <w:noWrap/>
            <w:vAlign w:val="center"/>
          </w:tcPr>
          <w:p w14:paraId="0B2C7BB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449358E6"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63C6509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4AB139A6"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67673A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21</w:t>
            </w:r>
          </w:p>
        </w:tc>
        <w:tc>
          <w:tcPr>
            <w:tcW w:w="1740" w:type="dxa"/>
            <w:shd w:val="clear" w:color="auto" w:fill="auto"/>
            <w:vAlign w:val="center"/>
          </w:tcPr>
          <w:p w14:paraId="2940A60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Poplatky, úhrady za primárne suroviny</w:t>
            </w:r>
          </w:p>
        </w:tc>
        <w:tc>
          <w:tcPr>
            <w:tcW w:w="992" w:type="dxa"/>
            <w:vAlign w:val="center"/>
          </w:tcPr>
          <w:p w14:paraId="302EA09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44/1988 Zb.</w:t>
            </w:r>
          </w:p>
        </w:tc>
        <w:tc>
          <w:tcPr>
            <w:tcW w:w="1134" w:type="dxa"/>
            <w:vAlign w:val="center"/>
          </w:tcPr>
          <w:p w14:paraId="07D32A8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32a ods. 7</w:t>
            </w:r>
          </w:p>
        </w:tc>
        <w:tc>
          <w:tcPr>
            <w:tcW w:w="1843" w:type="dxa"/>
            <w:shd w:val="clear" w:color="auto" w:fill="auto"/>
            <w:vAlign w:val="center"/>
          </w:tcPr>
          <w:p w14:paraId="4B1351F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3F3B364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5D9F518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organizácia vykonávajúca banskú činnosť a činnosť vykonávanú banským spôsobom</w:t>
            </w:r>
          </w:p>
        </w:tc>
        <w:tc>
          <w:tcPr>
            <w:tcW w:w="1108" w:type="dxa"/>
            <w:vAlign w:val="center"/>
          </w:tcPr>
          <w:p w14:paraId="4407D0A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191 </w:t>
            </w:r>
          </w:p>
        </w:tc>
        <w:tc>
          <w:tcPr>
            <w:tcW w:w="851" w:type="dxa"/>
            <w:shd w:val="clear" w:color="auto" w:fill="auto"/>
            <w:noWrap/>
            <w:vAlign w:val="center"/>
          </w:tcPr>
          <w:p w14:paraId="7ADBA4D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165 607</w:t>
            </w:r>
          </w:p>
        </w:tc>
        <w:tc>
          <w:tcPr>
            <w:tcW w:w="843" w:type="dxa"/>
            <w:shd w:val="clear" w:color="auto" w:fill="auto"/>
            <w:noWrap/>
            <w:vAlign w:val="center"/>
          </w:tcPr>
          <w:p w14:paraId="57501C6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31 631 000</w:t>
            </w:r>
          </w:p>
        </w:tc>
        <w:tc>
          <w:tcPr>
            <w:tcW w:w="1000" w:type="dxa"/>
            <w:shd w:val="clear" w:color="auto" w:fill="auto"/>
            <w:noWrap/>
            <w:vAlign w:val="center"/>
          </w:tcPr>
          <w:p w14:paraId="375E9A1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434B7705"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4121D9E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05EFF53E"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BFD812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22</w:t>
            </w:r>
          </w:p>
        </w:tc>
        <w:tc>
          <w:tcPr>
            <w:tcW w:w="1740" w:type="dxa"/>
            <w:shd w:val="clear" w:color="auto" w:fill="auto"/>
            <w:vAlign w:val="center"/>
          </w:tcPr>
          <w:p w14:paraId="174F911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Zvýšenie odvodov na verejné zdravotné poistenie o 1 perc. bod</w:t>
            </w:r>
          </w:p>
        </w:tc>
        <w:tc>
          <w:tcPr>
            <w:tcW w:w="992" w:type="dxa"/>
            <w:vAlign w:val="center"/>
          </w:tcPr>
          <w:p w14:paraId="627D67A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580/2004 Z. z.</w:t>
            </w:r>
          </w:p>
        </w:tc>
        <w:tc>
          <w:tcPr>
            <w:tcW w:w="1134" w:type="dxa"/>
            <w:vAlign w:val="center"/>
          </w:tcPr>
          <w:p w14:paraId="7FFF7FF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12 ods. 1</w:t>
            </w:r>
          </w:p>
        </w:tc>
        <w:tc>
          <w:tcPr>
            <w:tcW w:w="1843" w:type="dxa"/>
            <w:shd w:val="clear" w:color="auto" w:fill="auto"/>
            <w:vAlign w:val="center"/>
          </w:tcPr>
          <w:p w14:paraId="07DDD77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649FBFE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5F90F7C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samostatne zárobkovo činné osoby</w:t>
            </w:r>
          </w:p>
        </w:tc>
        <w:tc>
          <w:tcPr>
            <w:tcW w:w="1108" w:type="dxa"/>
            <w:vAlign w:val="center"/>
          </w:tcPr>
          <w:p w14:paraId="577F3DE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377 324 </w:t>
            </w:r>
          </w:p>
        </w:tc>
        <w:tc>
          <w:tcPr>
            <w:tcW w:w="851" w:type="dxa"/>
            <w:shd w:val="clear" w:color="auto" w:fill="auto"/>
            <w:noWrap/>
            <w:vAlign w:val="center"/>
          </w:tcPr>
          <w:p w14:paraId="4775A26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76</w:t>
            </w:r>
          </w:p>
        </w:tc>
        <w:tc>
          <w:tcPr>
            <w:tcW w:w="843" w:type="dxa"/>
            <w:shd w:val="clear" w:color="auto" w:fill="auto"/>
            <w:noWrap/>
            <w:vAlign w:val="center"/>
          </w:tcPr>
          <w:p w14:paraId="06E31B3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28 810 000</w:t>
            </w:r>
          </w:p>
        </w:tc>
        <w:tc>
          <w:tcPr>
            <w:tcW w:w="1000" w:type="dxa"/>
            <w:shd w:val="clear" w:color="auto" w:fill="auto"/>
            <w:noWrap/>
            <w:vAlign w:val="center"/>
          </w:tcPr>
          <w:p w14:paraId="5197B46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43F04EFF"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7513715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668A4D04"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1A00EE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23</w:t>
            </w:r>
          </w:p>
        </w:tc>
        <w:tc>
          <w:tcPr>
            <w:tcW w:w="1740" w:type="dxa"/>
            <w:shd w:val="clear" w:color="auto" w:fill="auto"/>
            <w:vAlign w:val="center"/>
          </w:tcPr>
          <w:p w14:paraId="5467D94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Platenie poistného na nemocenské, dôchodkové a garančné poistenie, poistenie v nezamestnanosti a do rezervného fondu solidarity z príjmu vyplatenom pri vylúčení povinnosti platiť poistné (napr. PN-ke, materskom). Vplyv vyššej platby na sociálne poistenie. </w:t>
            </w:r>
          </w:p>
        </w:tc>
        <w:tc>
          <w:tcPr>
            <w:tcW w:w="992" w:type="dxa"/>
            <w:vAlign w:val="center"/>
          </w:tcPr>
          <w:p w14:paraId="2F0674B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461/2003 z. z.</w:t>
            </w:r>
          </w:p>
        </w:tc>
        <w:tc>
          <w:tcPr>
            <w:tcW w:w="1134" w:type="dxa"/>
            <w:vAlign w:val="center"/>
          </w:tcPr>
          <w:p w14:paraId="25B7A19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§140 ods. 4</w:t>
            </w:r>
          </w:p>
        </w:tc>
        <w:tc>
          <w:tcPr>
            <w:tcW w:w="1843" w:type="dxa"/>
            <w:shd w:val="clear" w:color="auto" w:fill="auto"/>
            <w:vAlign w:val="center"/>
          </w:tcPr>
          <w:p w14:paraId="10BED7E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046E702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1BD20FF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všetky</w:t>
            </w:r>
          </w:p>
        </w:tc>
        <w:tc>
          <w:tcPr>
            <w:tcW w:w="1108" w:type="dxa"/>
            <w:vAlign w:val="center"/>
          </w:tcPr>
          <w:p w14:paraId="64BC4C1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11 400 </w:t>
            </w:r>
          </w:p>
        </w:tc>
        <w:tc>
          <w:tcPr>
            <w:tcW w:w="851" w:type="dxa"/>
            <w:shd w:val="clear" w:color="auto" w:fill="auto"/>
            <w:noWrap/>
            <w:vAlign w:val="center"/>
          </w:tcPr>
          <w:p w14:paraId="26C0709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1 609</w:t>
            </w:r>
          </w:p>
        </w:tc>
        <w:tc>
          <w:tcPr>
            <w:tcW w:w="843" w:type="dxa"/>
            <w:shd w:val="clear" w:color="auto" w:fill="auto"/>
            <w:noWrap/>
            <w:vAlign w:val="center"/>
          </w:tcPr>
          <w:p w14:paraId="3FAB2C7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18 338 867</w:t>
            </w:r>
          </w:p>
        </w:tc>
        <w:tc>
          <w:tcPr>
            <w:tcW w:w="1000" w:type="dxa"/>
            <w:shd w:val="clear" w:color="auto" w:fill="auto"/>
            <w:noWrap/>
            <w:vAlign w:val="center"/>
          </w:tcPr>
          <w:p w14:paraId="24D5972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3114059D"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6828211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3E6F90B1"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2B96E3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24</w:t>
            </w:r>
          </w:p>
        </w:tc>
        <w:tc>
          <w:tcPr>
            <w:tcW w:w="1740" w:type="dxa"/>
            <w:shd w:val="clear" w:color="auto" w:fill="auto"/>
            <w:vAlign w:val="center"/>
          </w:tcPr>
          <w:p w14:paraId="7EC7078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Platenie poistného na nemocenské, dôchodkové a garančné poistenie, poistenie v nezamestnanosti a do rezervného fondu solidarity z príjmu vyplatenom pri vylúčení povinnosti platiť poistné (napr. PN-ke, materskom). Vplyv nižšej platby na daň z príjmu právnických osôb (prejaví sa až v roku 2027).</w:t>
            </w:r>
          </w:p>
        </w:tc>
        <w:tc>
          <w:tcPr>
            <w:tcW w:w="992" w:type="dxa"/>
            <w:vAlign w:val="center"/>
          </w:tcPr>
          <w:p w14:paraId="3479B3E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461/2003 z. z.</w:t>
            </w:r>
          </w:p>
        </w:tc>
        <w:tc>
          <w:tcPr>
            <w:tcW w:w="1134" w:type="dxa"/>
            <w:vAlign w:val="center"/>
          </w:tcPr>
          <w:p w14:paraId="3BF8166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§140 ods. 4</w:t>
            </w:r>
          </w:p>
        </w:tc>
        <w:tc>
          <w:tcPr>
            <w:tcW w:w="1843" w:type="dxa"/>
            <w:shd w:val="clear" w:color="auto" w:fill="auto"/>
            <w:vAlign w:val="center"/>
          </w:tcPr>
          <w:p w14:paraId="3780A46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5D2F7FE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024A5FC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všetky</w:t>
            </w:r>
          </w:p>
        </w:tc>
        <w:tc>
          <w:tcPr>
            <w:tcW w:w="1108" w:type="dxa"/>
            <w:vAlign w:val="center"/>
          </w:tcPr>
          <w:p w14:paraId="7A499BE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11 400 </w:t>
            </w:r>
          </w:p>
        </w:tc>
        <w:tc>
          <w:tcPr>
            <w:tcW w:w="851" w:type="dxa"/>
            <w:shd w:val="clear" w:color="auto" w:fill="auto"/>
            <w:noWrap/>
            <w:vAlign w:val="center"/>
          </w:tcPr>
          <w:p w14:paraId="74EFC13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287</w:t>
            </w:r>
          </w:p>
        </w:tc>
        <w:tc>
          <w:tcPr>
            <w:tcW w:w="843" w:type="dxa"/>
            <w:shd w:val="clear" w:color="auto" w:fill="auto"/>
            <w:noWrap/>
            <w:vAlign w:val="center"/>
          </w:tcPr>
          <w:p w14:paraId="2CD558E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3 266 276</w:t>
            </w:r>
          </w:p>
        </w:tc>
        <w:tc>
          <w:tcPr>
            <w:tcW w:w="1000" w:type="dxa"/>
            <w:shd w:val="clear" w:color="auto" w:fill="auto"/>
            <w:noWrap/>
            <w:vAlign w:val="center"/>
          </w:tcPr>
          <w:p w14:paraId="0FBFF5E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Out (znižuje náklady)</w:t>
            </w:r>
          </w:p>
        </w:tc>
        <w:tc>
          <w:tcPr>
            <w:tcW w:w="708" w:type="dxa"/>
            <w:shd w:val="clear" w:color="auto" w:fill="auto"/>
            <w:noWrap/>
            <w:vAlign w:val="center"/>
          </w:tcPr>
          <w:p w14:paraId="524A496E"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06EFF3F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0A9E0719"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90EAC1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25</w:t>
            </w:r>
          </w:p>
        </w:tc>
        <w:tc>
          <w:tcPr>
            <w:tcW w:w="1740" w:type="dxa"/>
            <w:shd w:val="clear" w:color="auto" w:fill="auto"/>
            <w:vAlign w:val="center"/>
          </w:tcPr>
          <w:p w14:paraId="22ECEDB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Zvýšenie minimálneho vymeriavacieho základu na platenie poistného na sociálne poistenie z 50 % na 60 % priemernej mzdy v národnom hospodárstve spred dvoch rokov (SZČO). Vplyv vyššej platby na sociálne poistenie. </w:t>
            </w:r>
          </w:p>
        </w:tc>
        <w:tc>
          <w:tcPr>
            <w:tcW w:w="992" w:type="dxa"/>
            <w:vAlign w:val="center"/>
          </w:tcPr>
          <w:p w14:paraId="7669170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461/2003 z. z.</w:t>
            </w:r>
          </w:p>
        </w:tc>
        <w:tc>
          <w:tcPr>
            <w:tcW w:w="1134" w:type="dxa"/>
            <w:vAlign w:val="center"/>
          </w:tcPr>
          <w:p w14:paraId="38A5E15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138 ods. 9 </w:t>
            </w:r>
          </w:p>
        </w:tc>
        <w:tc>
          <w:tcPr>
            <w:tcW w:w="1843" w:type="dxa"/>
            <w:shd w:val="clear" w:color="auto" w:fill="auto"/>
            <w:vAlign w:val="center"/>
          </w:tcPr>
          <w:p w14:paraId="4EC32A5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303B192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663FC73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všetky</w:t>
            </w:r>
          </w:p>
        </w:tc>
        <w:tc>
          <w:tcPr>
            <w:tcW w:w="1108" w:type="dxa"/>
            <w:vAlign w:val="center"/>
          </w:tcPr>
          <w:p w14:paraId="37C9E2E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200 000 </w:t>
            </w:r>
          </w:p>
        </w:tc>
        <w:tc>
          <w:tcPr>
            <w:tcW w:w="851" w:type="dxa"/>
            <w:shd w:val="clear" w:color="auto" w:fill="auto"/>
            <w:noWrap/>
            <w:vAlign w:val="center"/>
          </w:tcPr>
          <w:p w14:paraId="571320B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492</w:t>
            </w:r>
          </w:p>
        </w:tc>
        <w:tc>
          <w:tcPr>
            <w:tcW w:w="843" w:type="dxa"/>
            <w:shd w:val="clear" w:color="auto" w:fill="auto"/>
            <w:noWrap/>
            <w:vAlign w:val="center"/>
          </w:tcPr>
          <w:p w14:paraId="13DB1A6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98 350 975</w:t>
            </w:r>
          </w:p>
        </w:tc>
        <w:tc>
          <w:tcPr>
            <w:tcW w:w="1000" w:type="dxa"/>
            <w:shd w:val="clear" w:color="auto" w:fill="auto"/>
            <w:noWrap/>
            <w:vAlign w:val="center"/>
          </w:tcPr>
          <w:p w14:paraId="57906F9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5B156744"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5F27881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7E5D5B65"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B830AE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26</w:t>
            </w:r>
          </w:p>
        </w:tc>
        <w:tc>
          <w:tcPr>
            <w:tcW w:w="1740" w:type="dxa"/>
            <w:shd w:val="clear" w:color="auto" w:fill="auto"/>
            <w:vAlign w:val="center"/>
          </w:tcPr>
          <w:p w14:paraId="1D45D19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Zvýšenie minimálneho vymeriavacieho základu na platenie poistného na sociálne poistenie z 50 % na 60 % priemernej mzdy v národnom hospodárstve spred dvoch rokov (SZČO). Vplyv nižšej platby na daň z príjmu fyzických osôb (prejaví sa až v roku 2027). </w:t>
            </w:r>
          </w:p>
        </w:tc>
        <w:tc>
          <w:tcPr>
            <w:tcW w:w="992" w:type="dxa"/>
            <w:vAlign w:val="center"/>
          </w:tcPr>
          <w:p w14:paraId="1A86D5B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461/2003 z. z.</w:t>
            </w:r>
          </w:p>
        </w:tc>
        <w:tc>
          <w:tcPr>
            <w:tcW w:w="1134" w:type="dxa"/>
            <w:vAlign w:val="center"/>
          </w:tcPr>
          <w:p w14:paraId="41C0AB7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138 ods. 9 </w:t>
            </w:r>
          </w:p>
        </w:tc>
        <w:tc>
          <w:tcPr>
            <w:tcW w:w="1843" w:type="dxa"/>
            <w:shd w:val="clear" w:color="auto" w:fill="auto"/>
            <w:vAlign w:val="center"/>
          </w:tcPr>
          <w:p w14:paraId="177F992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15223BB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5D5A96B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všetky</w:t>
            </w:r>
          </w:p>
        </w:tc>
        <w:tc>
          <w:tcPr>
            <w:tcW w:w="1108" w:type="dxa"/>
            <w:vAlign w:val="center"/>
          </w:tcPr>
          <w:p w14:paraId="7754577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200 000 </w:t>
            </w:r>
          </w:p>
        </w:tc>
        <w:tc>
          <w:tcPr>
            <w:tcW w:w="851" w:type="dxa"/>
            <w:shd w:val="clear" w:color="auto" w:fill="auto"/>
            <w:noWrap/>
            <w:vAlign w:val="center"/>
          </w:tcPr>
          <w:p w14:paraId="79ABAB5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26</w:t>
            </w:r>
          </w:p>
        </w:tc>
        <w:tc>
          <w:tcPr>
            <w:tcW w:w="843" w:type="dxa"/>
            <w:shd w:val="clear" w:color="auto" w:fill="auto"/>
            <w:noWrap/>
            <w:vAlign w:val="center"/>
          </w:tcPr>
          <w:p w14:paraId="49DA383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5 271 595</w:t>
            </w:r>
          </w:p>
        </w:tc>
        <w:tc>
          <w:tcPr>
            <w:tcW w:w="1000" w:type="dxa"/>
            <w:shd w:val="clear" w:color="auto" w:fill="auto"/>
            <w:noWrap/>
            <w:vAlign w:val="center"/>
          </w:tcPr>
          <w:p w14:paraId="53AACA8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Out (znižuje náklady)</w:t>
            </w:r>
          </w:p>
        </w:tc>
        <w:tc>
          <w:tcPr>
            <w:tcW w:w="708" w:type="dxa"/>
            <w:shd w:val="clear" w:color="auto" w:fill="auto"/>
            <w:noWrap/>
            <w:vAlign w:val="center"/>
          </w:tcPr>
          <w:p w14:paraId="5A287A41"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5DE6E7F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32A23F33"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E88372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27</w:t>
            </w:r>
          </w:p>
        </w:tc>
        <w:tc>
          <w:tcPr>
            <w:tcW w:w="1740" w:type="dxa"/>
            <w:shd w:val="clear" w:color="auto" w:fill="auto"/>
            <w:vAlign w:val="center"/>
          </w:tcPr>
          <w:p w14:paraId="2AB826E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Úprava vzniku a zániku povinného nemocenského a dôchodkového poistenia SZČO, ktorá už nebude podmienená dosiahnutím určitej hranice príjmu z podnikania a z inej samostatnej zárobkovej činnosti. Vplyv vyššej platby na sociálne poistenie. </w:t>
            </w:r>
          </w:p>
        </w:tc>
        <w:tc>
          <w:tcPr>
            <w:tcW w:w="992" w:type="dxa"/>
            <w:vAlign w:val="center"/>
          </w:tcPr>
          <w:p w14:paraId="75B89EE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461/2003 z. z.</w:t>
            </w:r>
          </w:p>
        </w:tc>
        <w:tc>
          <w:tcPr>
            <w:tcW w:w="1134" w:type="dxa"/>
            <w:vAlign w:val="center"/>
          </w:tcPr>
          <w:p w14:paraId="46B4752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21 a § 138 ods. 2 písm. b)</w:t>
            </w:r>
          </w:p>
        </w:tc>
        <w:tc>
          <w:tcPr>
            <w:tcW w:w="1843" w:type="dxa"/>
            <w:shd w:val="clear" w:color="auto" w:fill="auto"/>
            <w:vAlign w:val="center"/>
          </w:tcPr>
          <w:p w14:paraId="13FF61C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475654B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55FC2F3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všetky</w:t>
            </w:r>
          </w:p>
        </w:tc>
        <w:tc>
          <w:tcPr>
            <w:tcW w:w="1108" w:type="dxa"/>
            <w:vAlign w:val="center"/>
          </w:tcPr>
          <w:p w14:paraId="46AC492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196 000 </w:t>
            </w:r>
          </w:p>
        </w:tc>
        <w:tc>
          <w:tcPr>
            <w:tcW w:w="851" w:type="dxa"/>
            <w:shd w:val="clear" w:color="auto" w:fill="auto"/>
            <w:noWrap/>
            <w:vAlign w:val="center"/>
          </w:tcPr>
          <w:p w14:paraId="5A7FB795"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603</w:t>
            </w:r>
          </w:p>
        </w:tc>
        <w:tc>
          <w:tcPr>
            <w:tcW w:w="843" w:type="dxa"/>
            <w:shd w:val="clear" w:color="auto" w:fill="auto"/>
            <w:noWrap/>
            <w:vAlign w:val="center"/>
          </w:tcPr>
          <w:p w14:paraId="70B2BB7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118 275 132</w:t>
            </w:r>
          </w:p>
        </w:tc>
        <w:tc>
          <w:tcPr>
            <w:tcW w:w="1000" w:type="dxa"/>
            <w:shd w:val="clear" w:color="auto" w:fill="auto"/>
            <w:noWrap/>
            <w:vAlign w:val="center"/>
          </w:tcPr>
          <w:p w14:paraId="13CF03D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07D27AAA"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30B88A6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037D6546"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55F60B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28</w:t>
            </w:r>
          </w:p>
        </w:tc>
        <w:tc>
          <w:tcPr>
            <w:tcW w:w="1740" w:type="dxa"/>
            <w:shd w:val="clear" w:color="auto" w:fill="auto"/>
            <w:vAlign w:val="center"/>
          </w:tcPr>
          <w:p w14:paraId="070D45F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Úprava vzniku a zániku povinného nemocenského a dôchodkového poistenia, ktorá už nebude podmienená dosiahnutím určitej hranice príjmu z podnikania a z inej samostatnej zárobkovej činnosti. Vplyv nižšej platby na daň z príjmu fyzických osôb. </w:t>
            </w:r>
          </w:p>
        </w:tc>
        <w:tc>
          <w:tcPr>
            <w:tcW w:w="992" w:type="dxa"/>
            <w:vAlign w:val="center"/>
          </w:tcPr>
          <w:p w14:paraId="2342ACA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461/2003 z. z.</w:t>
            </w:r>
          </w:p>
        </w:tc>
        <w:tc>
          <w:tcPr>
            <w:tcW w:w="1134" w:type="dxa"/>
            <w:vAlign w:val="center"/>
          </w:tcPr>
          <w:p w14:paraId="4FE6C09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21 a § 138 ods. 2 písm. b)</w:t>
            </w:r>
          </w:p>
        </w:tc>
        <w:tc>
          <w:tcPr>
            <w:tcW w:w="1843" w:type="dxa"/>
            <w:shd w:val="clear" w:color="auto" w:fill="auto"/>
            <w:vAlign w:val="center"/>
          </w:tcPr>
          <w:p w14:paraId="62780C1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3275C6D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6B5B290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všetky</w:t>
            </w:r>
          </w:p>
        </w:tc>
        <w:tc>
          <w:tcPr>
            <w:tcW w:w="1108" w:type="dxa"/>
            <w:vAlign w:val="center"/>
          </w:tcPr>
          <w:p w14:paraId="234217D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196 000 </w:t>
            </w:r>
          </w:p>
        </w:tc>
        <w:tc>
          <w:tcPr>
            <w:tcW w:w="851" w:type="dxa"/>
            <w:shd w:val="clear" w:color="auto" w:fill="auto"/>
            <w:noWrap/>
            <w:vAlign w:val="center"/>
          </w:tcPr>
          <w:p w14:paraId="39983C7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28</w:t>
            </w:r>
          </w:p>
        </w:tc>
        <w:tc>
          <w:tcPr>
            <w:tcW w:w="843" w:type="dxa"/>
            <w:shd w:val="clear" w:color="auto" w:fill="auto"/>
            <w:noWrap/>
            <w:vAlign w:val="center"/>
          </w:tcPr>
          <w:p w14:paraId="20535F2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5 441 848</w:t>
            </w:r>
          </w:p>
        </w:tc>
        <w:tc>
          <w:tcPr>
            <w:tcW w:w="1000" w:type="dxa"/>
            <w:shd w:val="clear" w:color="auto" w:fill="auto"/>
            <w:noWrap/>
            <w:vAlign w:val="center"/>
          </w:tcPr>
          <w:p w14:paraId="3976BD3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Out (znižuje náklady)</w:t>
            </w:r>
          </w:p>
        </w:tc>
        <w:tc>
          <w:tcPr>
            <w:tcW w:w="708" w:type="dxa"/>
            <w:shd w:val="clear" w:color="auto" w:fill="auto"/>
            <w:noWrap/>
            <w:vAlign w:val="center"/>
          </w:tcPr>
          <w:p w14:paraId="1B463449"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6F50A2A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2F0F3FA2"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CA2D85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29</w:t>
            </w:r>
          </w:p>
        </w:tc>
        <w:tc>
          <w:tcPr>
            <w:tcW w:w="1740" w:type="dxa"/>
            <w:shd w:val="clear" w:color="auto" w:fill="auto"/>
            <w:vAlign w:val="center"/>
          </w:tcPr>
          <w:p w14:paraId="0E51638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Predĺženie obdobia vyplácania náhrady príjmu zamestnávateľom pri dočasnej práceneschopnosti z 10 na 14 dní.</w:t>
            </w:r>
          </w:p>
        </w:tc>
        <w:tc>
          <w:tcPr>
            <w:tcW w:w="992" w:type="dxa"/>
            <w:vAlign w:val="center"/>
          </w:tcPr>
          <w:p w14:paraId="6363422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461/2003 z. z.</w:t>
            </w:r>
          </w:p>
        </w:tc>
        <w:tc>
          <w:tcPr>
            <w:tcW w:w="1134" w:type="dxa"/>
            <w:vAlign w:val="center"/>
          </w:tcPr>
          <w:p w14:paraId="71EE8AE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34 ods. 1 a 3; §7 ods. 2 a §8 ods. 1 písm. b) a ods. 3 </w:t>
            </w:r>
          </w:p>
        </w:tc>
        <w:tc>
          <w:tcPr>
            <w:tcW w:w="1843" w:type="dxa"/>
            <w:shd w:val="clear" w:color="auto" w:fill="auto"/>
            <w:vAlign w:val="center"/>
          </w:tcPr>
          <w:p w14:paraId="675439A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2534A53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6FB412B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všetky</w:t>
            </w:r>
          </w:p>
        </w:tc>
        <w:tc>
          <w:tcPr>
            <w:tcW w:w="1108" w:type="dxa"/>
            <w:vAlign w:val="center"/>
          </w:tcPr>
          <w:p w14:paraId="6A3FC6F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46 800 </w:t>
            </w:r>
          </w:p>
        </w:tc>
        <w:tc>
          <w:tcPr>
            <w:tcW w:w="851" w:type="dxa"/>
            <w:shd w:val="clear" w:color="auto" w:fill="auto"/>
            <w:noWrap/>
            <w:vAlign w:val="center"/>
          </w:tcPr>
          <w:p w14:paraId="2BC181C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534</w:t>
            </w:r>
          </w:p>
        </w:tc>
        <w:tc>
          <w:tcPr>
            <w:tcW w:w="843" w:type="dxa"/>
            <w:shd w:val="clear" w:color="auto" w:fill="auto"/>
            <w:noWrap/>
            <w:vAlign w:val="center"/>
          </w:tcPr>
          <w:p w14:paraId="399D373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24 991 200</w:t>
            </w:r>
          </w:p>
        </w:tc>
        <w:tc>
          <w:tcPr>
            <w:tcW w:w="1000" w:type="dxa"/>
            <w:shd w:val="clear" w:color="auto" w:fill="auto"/>
            <w:noWrap/>
            <w:vAlign w:val="center"/>
          </w:tcPr>
          <w:p w14:paraId="5F5B229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464B3294"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24 991 200</w:t>
            </w:r>
          </w:p>
        </w:tc>
        <w:tc>
          <w:tcPr>
            <w:tcW w:w="1134" w:type="dxa"/>
            <w:vAlign w:val="center"/>
          </w:tcPr>
          <w:p w14:paraId="4DE0404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2ABDACFC"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7090124"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30</w:t>
            </w:r>
          </w:p>
        </w:tc>
        <w:tc>
          <w:tcPr>
            <w:tcW w:w="1740" w:type="dxa"/>
            <w:shd w:val="clear" w:color="auto" w:fill="auto"/>
            <w:vAlign w:val="center"/>
          </w:tcPr>
          <w:p w14:paraId="2F7DB35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Zvýšenie dolnej hranice výšky pokuty za správny delikt nelegálneho zamestnávania z 2 000 eur na 4 000 eur, a ak ide o nelegálne zamestnávanie dvoch a viac fyzických osôb súčasne z 5 000 eur na 8 000 eur</w:t>
            </w:r>
          </w:p>
        </w:tc>
        <w:tc>
          <w:tcPr>
            <w:tcW w:w="992" w:type="dxa"/>
            <w:vAlign w:val="center"/>
          </w:tcPr>
          <w:p w14:paraId="04570F9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125/2006 Z. z.</w:t>
            </w:r>
          </w:p>
        </w:tc>
        <w:tc>
          <w:tcPr>
            <w:tcW w:w="1134" w:type="dxa"/>
            <w:vAlign w:val="center"/>
          </w:tcPr>
          <w:p w14:paraId="1AFCEF2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19 ods. 2 písm. a) 1. bod</w:t>
            </w:r>
          </w:p>
        </w:tc>
        <w:tc>
          <w:tcPr>
            <w:tcW w:w="1843" w:type="dxa"/>
            <w:shd w:val="clear" w:color="auto" w:fill="auto"/>
            <w:vAlign w:val="center"/>
          </w:tcPr>
          <w:p w14:paraId="746FEEA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0523790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3CE7AF4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Zamestnávateľ alebo fyzická osoba, ktorá porušila zákaz nelegálneho zamestnávania</w:t>
            </w:r>
          </w:p>
        </w:tc>
        <w:tc>
          <w:tcPr>
            <w:tcW w:w="1108" w:type="dxa"/>
            <w:vAlign w:val="center"/>
          </w:tcPr>
          <w:p w14:paraId="1F3C228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713 </w:t>
            </w:r>
          </w:p>
        </w:tc>
        <w:tc>
          <w:tcPr>
            <w:tcW w:w="851" w:type="dxa"/>
            <w:shd w:val="clear" w:color="auto" w:fill="auto"/>
            <w:noWrap/>
            <w:vAlign w:val="center"/>
          </w:tcPr>
          <w:p w14:paraId="6105E99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2 000</w:t>
            </w:r>
          </w:p>
        </w:tc>
        <w:tc>
          <w:tcPr>
            <w:tcW w:w="843" w:type="dxa"/>
            <w:shd w:val="clear" w:color="auto" w:fill="auto"/>
            <w:noWrap/>
            <w:vAlign w:val="center"/>
          </w:tcPr>
          <w:p w14:paraId="3AE011F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1 426 000</w:t>
            </w:r>
          </w:p>
        </w:tc>
        <w:tc>
          <w:tcPr>
            <w:tcW w:w="1000" w:type="dxa"/>
            <w:shd w:val="clear" w:color="auto" w:fill="auto"/>
            <w:noWrap/>
            <w:vAlign w:val="center"/>
          </w:tcPr>
          <w:p w14:paraId="411CFF3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10782226"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6BC2C99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3E0D4F7F"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9A1F95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31</w:t>
            </w:r>
          </w:p>
        </w:tc>
        <w:tc>
          <w:tcPr>
            <w:tcW w:w="1740" w:type="dxa"/>
            <w:shd w:val="clear" w:color="auto" w:fill="auto"/>
            <w:vAlign w:val="center"/>
          </w:tcPr>
          <w:p w14:paraId="65E673FC"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Zníženie výšky pokuty za správny delikt nelegálneho zamestnávania v prípade jej včasného uhradenia o 1/3</w:t>
            </w:r>
          </w:p>
        </w:tc>
        <w:tc>
          <w:tcPr>
            <w:tcW w:w="992" w:type="dxa"/>
            <w:vAlign w:val="center"/>
          </w:tcPr>
          <w:p w14:paraId="54FC896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125/2006 Z. z.</w:t>
            </w:r>
          </w:p>
        </w:tc>
        <w:tc>
          <w:tcPr>
            <w:tcW w:w="1134" w:type="dxa"/>
            <w:vAlign w:val="center"/>
          </w:tcPr>
          <w:p w14:paraId="772FFBBF"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19 ods. 7 (nový odsek)</w:t>
            </w:r>
          </w:p>
        </w:tc>
        <w:tc>
          <w:tcPr>
            <w:tcW w:w="1843" w:type="dxa"/>
            <w:shd w:val="clear" w:color="auto" w:fill="auto"/>
            <w:vAlign w:val="center"/>
          </w:tcPr>
          <w:p w14:paraId="06D9CB9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6C644DC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5F0890A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Zamestnávateľ alebo fyzická osoba, ktorá porušila zákaz nelegálneho zamestnávania</w:t>
            </w:r>
          </w:p>
        </w:tc>
        <w:tc>
          <w:tcPr>
            <w:tcW w:w="1108" w:type="dxa"/>
            <w:vAlign w:val="center"/>
          </w:tcPr>
          <w:p w14:paraId="66A31E7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713 </w:t>
            </w:r>
          </w:p>
        </w:tc>
        <w:tc>
          <w:tcPr>
            <w:tcW w:w="851" w:type="dxa"/>
            <w:shd w:val="clear" w:color="auto" w:fill="auto"/>
            <w:noWrap/>
            <w:vAlign w:val="center"/>
          </w:tcPr>
          <w:p w14:paraId="1AD5222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1 912</w:t>
            </w:r>
          </w:p>
        </w:tc>
        <w:tc>
          <w:tcPr>
            <w:tcW w:w="843" w:type="dxa"/>
            <w:shd w:val="clear" w:color="auto" w:fill="auto"/>
            <w:noWrap/>
            <w:vAlign w:val="center"/>
          </w:tcPr>
          <w:p w14:paraId="7D8C51B0"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1 363 256</w:t>
            </w:r>
          </w:p>
        </w:tc>
        <w:tc>
          <w:tcPr>
            <w:tcW w:w="1000" w:type="dxa"/>
            <w:shd w:val="clear" w:color="auto" w:fill="auto"/>
            <w:noWrap/>
            <w:vAlign w:val="center"/>
          </w:tcPr>
          <w:p w14:paraId="0B26C221"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Out (znižuje náklady)</w:t>
            </w:r>
          </w:p>
        </w:tc>
        <w:tc>
          <w:tcPr>
            <w:tcW w:w="708" w:type="dxa"/>
            <w:shd w:val="clear" w:color="auto" w:fill="auto"/>
            <w:noWrap/>
            <w:vAlign w:val="center"/>
          </w:tcPr>
          <w:p w14:paraId="68F222C2"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2C2C643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48FE2216"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FAF99D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32</w:t>
            </w:r>
          </w:p>
        </w:tc>
        <w:tc>
          <w:tcPr>
            <w:tcW w:w="1740" w:type="dxa"/>
            <w:shd w:val="clear" w:color="auto" w:fill="auto"/>
            <w:vAlign w:val="center"/>
          </w:tcPr>
          <w:p w14:paraId="2EADE41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Zmena výšky zdanenia vybraných druhov hazardných hier</w:t>
            </w:r>
          </w:p>
        </w:tc>
        <w:tc>
          <w:tcPr>
            <w:tcW w:w="992" w:type="dxa"/>
            <w:vAlign w:val="center"/>
          </w:tcPr>
          <w:p w14:paraId="6013FA0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30/2019 Z. z.</w:t>
            </w:r>
          </w:p>
        </w:tc>
        <w:tc>
          <w:tcPr>
            <w:tcW w:w="1134" w:type="dxa"/>
            <w:vAlign w:val="center"/>
          </w:tcPr>
          <w:p w14:paraId="796CD1A9"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71 ods. 2 až 5</w:t>
            </w:r>
          </w:p>
        </w:tc>
        <w:tc>
          <w:tcPr>
            <w:tcW w:w="1843" w:type="dxa"/>
            <w:shd w:val="clear" w:color="auto" w:fill="auto"/>
            <w:vAlign w:val="center"/>
          </w:tcPr>
          <w:p w14:paraId="5EB433C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4233755E"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01.12.25</w:t>
            </w:r>
          </w:p>
        </w:tc>
        <w:tc>
          <w:tcPr>
            <w:tcW w:w="1160" w:type="dxa"/>
            <w:shd w:val="clear" w:color="auto" w:fill="auto"/>
            <w:noWrap/>
            <w:vAlign w:val="center"/>
          </w:tcPr>
          <w:p w14:paraId="4B2A7EB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Prevádzkovatelia hazardných hier s individuálnou licenciou na prevádzkovanie kurzových stávok v internetovej herni, ako aj za prevádzkovanie kurzových stávok v rámci kombinovanej licencie (v prevádzkach a zároveň v internetovej herni), a za prevádzkovanie internetových hier v internetovom kasíne.</w:t>
            </w:r>
          </w:p>
        </w:tc>
        <w:tc>
          <w:tcPr>
            <w:tcW w:w="1108" w:type="dxa"/>
            <w:vAlign w:val="center"/>
          </w:tcPr>
          <w:p w14:paraId="384B73E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19 </w:t>
            </w:r>
          </w:p>
        </w:tc>
        <w:tc>
          <w:tcPr>
            <w:tcW w:w="851" w:type="dxa"/>
            <w:shd w:val="clear" w:color="auto" w:fill="auto"/>
            <w:noWrap/>
            <w:vAlign w:val="center"/>
          </w:tcPr>
          <w:p w14:paraId="41AABE8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1 363 117</w:t>
            </w:r>
          </w:p>
        </w:tc>
        <w:tc>
          <w:tcPr>
            <w:tcW w:w="843" w:type="dxa"/>
            <w:shd w:val="clear" w:color="auto" w:fill="auto"/>
            <w:noWrap/>
            <w:vAlign w:val="center"/>
          </w:tcPr>
          <w:p w14:paraId="4E5B6DA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25 899 217</w:t>
            </w:r>
          </w:p>
        </w:tc>
        <w:tc>
          <w:tcPr>
            <w:tcW w:w="1000" w:type="dxa"/>
            <w:shd w:val="clear" w:color="auto" w:fill="auto"/>
            <w:noWrap/>
            <w:vAlign w:val="center"/>
          </w:tcPr>
          <w:p w14:paraId="248A4CC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68B02F1B"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4A0BFD38"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r w:rsidR="00136466" w:rsidRPr="00136466" w14:paraId="29E717FA" w14:textId="77777777" w:rsidTr="00362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86E908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33</w:t>
            </w:r>
          </w:p>
        </w:tc>
        <w:tc>
          <w:tcPr>
            <w:tcW w:w="1740" w:type="dxa"/>
            <w:shd w:val="clear" w:color="auto" w:fill="auto"/>
            <w:vAlign w:val="center"/>
          </w:tcPr>
          <w:p w14:paraId="24ABE33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Zmena výšky zdanenia vybraných druhov hazardných hier</w:t>
            </w:r>
          </w:p>
        </w:tc>
        <w:tc>
          <w:tcPr>
            <w:tcW w:w="992" w:type="dxa"/>
            <w:vAlign w:val="center"/>
          </w:tcPr>
          <w:p w14:paraId="713869B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zákon č. 30/2019 Z. z.</w:t>
            </w:r>
          </w:p>
        </w:tc>
        <w:tc>
          <w:tcPr>
            <w:tcW w:w="1134" w:type="dxa"/>
            <w:vAlign w:val="center"/>
          </w:tcPr>
          <w:p w14:paraId="1C3CFFFB"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71 ods. 1</w:t>
            </w:r>
          </w:p>
        </w:tc>
        <w:tc>
          <w:tcPr>
            <w:tcW w:w="1843" w:type="dxa"/>
            <w:shd w:val="clear" w:color="auto" w:fill="auto"/>
            <w:vAlign w:val="center"/>
          </w:tcPr>
          <w:p w14:paraId="6B34F9F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lang w:eastAsia="sk-SK"/>
                <w14:ligatures w14:val="none"/>
              </w:rPr>
            </w:pPr>
            <w:r w:rsidRPr="00136466">
              <w:rPr>
                <w:rFonts w:ascii="Times New Roman" w:eastAsia="Calibri" w:hAnsi="Times New Roman" w:cs="Times New Roman"/>
                <w:color w:val="000000"/>
                <w:kern w:val="0"/>
                <w:sz w:val="20"/>
                <w:szCs w:val="20"/>
                <w:lang w:eastAsia="sk-SK"/>
                <w14:ligatures w14:val="none"/>
              </w:rPr>
              <w:t>1.SK</w:t>
            </w:r>
          </w:p>
        </w:tc>
        <w:tc>
          <w:tcPr>
            <w:tcW w:w="992" w:type="dxa"/>
            <w:vAlign w:val="center"/>
          </w:tcPr>
          <w:p w14:paraId="6A65E13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01.01.26</w:t>
            </w:r>
          </w:p>
        </w:tc>
        <w:tc>
          <w:tcPr>
            <w:tcW w:w="1160" w:type="dxa"/>
            <w:shd w:val="clear" w:color="auto" w:fill="auto"/>
            <w:noWrap/>
            <w:vAlign w:val="center"/>
          </w:tcPr>
          <w:p w14:paraId="617D6087"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Prevádzkovatelia hazardných hier s individuálnou licenciou na prevádzkovanie technických zariadení obsluhovaných priamo hráčmi,</w:t>
            </w:r>
            <w:r w:rsidRPr="00136466">
              <w:rPr>
                <w:rFonts w:ascii="Times New Roman" w:eastAsia="Calibri" w:hAnsi="Times New Roman" w:cs="Times New Roman"/>
                <w:color w:val="000000"/>
                <w:kern w:val="0"/>
                <w:sz w:val="20"/>
                <w:szCs w:val="20"/>
                <w14:ligatures w14:val="none"/>
              </w:rPr>
              <w:br/>
              <w:t>prevádzkovanie výherných prístrojov, prevádzkovanie terminálov videohier a prevádzkovanie iných technických zariadení, a to tak za ich prevádzkovanie v herni ako aj v kasíne.</w:t>
            </w:r>
          </w:p>
        </w:tc>
        <w:tc>
          <w:tcPr>
            <w:tcW w:w="1108" w:type="dxa"/>
            <w:vAlign w:val="center"/>
          </w:tcPr>
          <w:p w14:paraId="21ED16AD"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 xml:space="preserve">                 13 </w:t>
            </w:r>
          </w:p>
        </w:tc>
        <w:tc>
          <w:tcPr>
            <w:tcW w:w="851" w:type="dxa"/>
            <w:shd w:val="clear" w:color="auto" w:fill="auto"/>
            <w:noWrap/>
            <w:vAlign w:val="center"/>
          </w:tcPr>
          <w:p w14:paraId="1F8BB973"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1 477 574</w:t>
            </w:r>
          </w:p>
        </w:tc>
        <w:tc>
          <w:tcPr>
            <w:tcW w:w="843" w:type="dxa"/>
            <w:shd w:val="clear" w:color="auto" w:fill="auto"/>
            <w:noWrap/>
            <w:vAlign w:val="center"/>
          </w:tcPr>
          <w:p w14:paraId="4E563902"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19 208 465</w:t>
            </w:r>
          </w:p>
        </w:tc>
        <w:tc>
          <w:tcPr>
            <w:tcW w:w="1000" w:type="dxa"/>
            <w:shd w:val="clear" w:color="auto" w:fill="auto"/>
            <w:noWrap/>
            <w:vAlign w:val="center"/>
          </w:tcPr>
          <w:p w14:paraId="5CD5DF76"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In (zvyšuje náklady)</w:t>
            </w:r>
          </w:p>
        </w:tc>
        <w:tc>
          <w:tcPr>
            <w:tcW w:w="708" w:type="dxa"/>
            <w:shd w:val="clear" w:color="auto" w:fill="auto"/>
            <w:noWrap/>
            <w:vAlign w:val="center"/>
          </w:tcPr>
          <w:p w14:paraId="13EA94A0" w14:textId="77777777" w:rsidR="00136466" w:rsidRPr="00136466" w:rsidRDefault="00136466" w:rsidP="00136466">
            <w:pPr>
              <w:spacing w:after="0" w:line="240" w:lineRule="auto"/>
              <w:jc w:val="center"/>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0</w:t>
            </w:r>
          </w:p>
        </w:tc>
        <w:tc>
          <w:tcPr>
            <w:tcW w:w="1134" w:type="dxa"/>
            <w:vAlign w:val="center"/>
          </w:tcPr>
          <w:p w14:paraId="2954810A" w14:textId="77777777" w:rsidR="00136466" w:rsidRPr="00136466" w:rsidRDefault="00136466" w:rsidP="00136466">
            <w:pPr>
              <w:spacing w:after="0" w:line="240" w:lineRule="auto"/>
              <w:jc w:val="center"/>
              <w:rPr>
                <w:rFonts w:ascii="Times New Roman" w:eastAsia="Calibri" w:hAnsi="Times New Roman" w:cs="Times New Roman"/>
                <w:color w:val="000000"/>
                <w:kern w:val="0"/>
                <w:sz w:val="20"/>
                <w:szCs w:val="20"/>
                <w14:ligatures w14:val="none"/>
              </w:rPr>
            </w:pPr>
            <w:r w:rsidRPr="00136466">
              <w:rPr>
                <w:rFonts w:ascii="Times New Roman" w:eastAsia="Calibri" w:hAnsi="Times New Roman" w:cs="Times New Roman"/>
                <w:color w:val="000000"/>
                <w:kern w:val="0"/>
                <w:sz w:val="20"/>
                <w:szCs w:val="20"/>
                <w14:ligatures w14:val="none"/>
              </w:rPr>
              <w:t>0</w:t>
            </w:r>
          </w:p>
        </w:tc>
      </w:tr>
    </w:tbl>
    <w:p w14:paraId="218FA644" w14:textId="77777777" w:rsidR="00136466" w:rsidRPr="00136466" w:rsidRDefault="00136466" w:rsidP="00136466">
      <w:pPr>
        <w:spacing w:line="259" w:lineRule="auto"/>
        <w:jc w:val="both"/>
        <w:rPr>
          <w:rFonts w:ascii="Times New Roman" w:eastAsia="Calibri" w:hAnsi="Times New Roman" w:cs="Times New Roman"/>
          <w:i/>
          <w:kern w:val="0"/>
          <w:sz w:val="22"/>
          <w:szCs w:val="22"/>
          <w14:ligatures w14:val="none"/>
        </w:rPr>
      </w:pPr>
    </w:p>
    <w:p w14:paraId="1EEA4D61" w14:textId="77777777" w:rsidR="00136466" w:rsidRPr="00136466" w:rsidRDefault="00136466" w:rsidP="00136466">
      <w:pPr>
        <w:spacing w:line="259" w:lineRule="auto"/>
        <w:jc w:val="both"/>
        <w:rPr>
          <w:rFonts w:ascii="Times New Roman" w:eastAsia="Calibri" w:hAnsi="Times New Roman" w:cs="Times New Roman"/>
          <w:b/>
          <w:bCs/>
          <w:i/>
          <w:kern w:val="0"/>
          <w14:ligatures w14:val="none"/>
        </w:rPr>
        <w:sectPr w:rsidR="00136466" w:rsidRPr="00136466" w:rsidSect="00136466">
          <w:pgSz w:w="16838" w:h="11906" w:orient="landscape"/>
          <w:pgMar w:top="1417" w:right="1417" w:bottom="1417" w:left="1417" w:header="708" w:footer="708" w:gutter="0"/>
          <w:cols w:space="708"/>
          <w:docGrid w:linePitch="360"/>
        </w:sectPr>
      </w:pPr>
    </w:p>
    <w:p w14:paraId="1DA75171" w14:textId="77777777" w:rsidR="00136466" w:rsidRPr="00136466" w:rsidRDefault="00136466" w:rsidP="00136466">
      <w:pPr>
        <w:spacing w:line="259" w:lineRule="auto"/>
        <w:jc w:val="both"/>
        <w:rPr>
          <w:rFonts w:ascii="Times New Roman" w:eastAsia="Calibri" w:hAnsi="Times New Roman" w:cs="Times New Roman"/>
          <w:b/>
          <w:bCs/>
          <w:i/>
          <w:kern w:val="0"/>
          <w:u w:val="single"/>
          <w14:ligatures w14:val="none"/>
        </w:rPr>
      </w:pPr>
      <w:r w:rsidRPr="00136466">
        <w:rPr>
          <w:rFonts w:ascii="Times New Roman" w:eastAsia="Calibri" w:hAnsi="Times New Roman" w:cs="Times New Roman"/>
          <w:b/>
          <w:bCs/>
          <w:i/>
          <w:kern w:val="0"/>
          <w:u w:val="single"/>
          <w14:ligatures w14:val="none"/>
        </w:rPr>
        <w:t xml:space="preserve">3.1.3 Doplňujúce informácie k spôsobu výpočtu vplyvov jednotlivých regulácií na zmenu nákladov </w:t>
      </w:r>
    </w:p>
    <w:p w14:paraId="36EC0F4D" w14:textId="77777777" w:rsidR="00136466" w:rsidRPr="00136466" w:rsidRDefault="00136466" w:rsidP="00136466">
      <w:pPr>
        <w:spacing w:after="0" w:line="240" w:lineRule="auto"/>
        <w:jc w:val="both"/>
        <w:rPr>
          <w:rFonts w:ascii="Times New Roman" w:eastAsia="Calibri" w:hAnsi="Times New Roman" w:cs="Times New Roman"/>
          <w:bCs/>
          <w:i/>
          <w:iCs/>
          <w:color w:val="000000"/>
          <w:kern w:val="0"/>
          <w14:ligatures w14:val="none"/>
        </w:rPr>
      </w:pPr>
      <w:r w:rsidRPr="00136466">
        <w:rPr>
          <w:rFonts w:ascii="Times New Roman" w:eastAsia="Calibri" w:hAnsi="Times New Roman" w:cs="Times New Roman"/>
          <w:bCs/>
          <w:i/>
          <w:iCs/>
          <w:color w:val="000000"/>
          <w:kern w:val="0"/>
          <w14:ligatures w14:val="none"/>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w:t>
      </w:r>
    </w:p>
    <w:p w14:paraId="1913E01B" w14:textId="77777777" w:rsidR="00136466" w:rsidRPr="00136466" w:rsidRDefault="00136466" w:rsidP="00136466">
      <w:pPr>
        <w:spacing w:after="0" w:line="240" w:lineRule="auto"/>
        <w:jc w:val="both"/>
        <w:rPr>
          <w:rFonts w:ascii="Times New Roman" w:eastAsia="Calibri" w:hAnsi="Times New Roman" w:cs="Times New Roman"/>
          <w:bCs/>
          <w:i/>
          <w:iCs/>
          <w:color w:val="000000"/>
          <w:kern w:val="0"/>
          <w14:ligatures w14:val="none"/>
        </w:rPr>
      </w:pPr>
    </w:p>
    <w:p w14:paraId="2A892B33"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V predkladanom návrhu zákona bolo identifikovaných 37 regulácií s vplyvom na podnikateľské prostredie.</w:t>
      </w:r>
    </w:p>
    <w:p w14:paraId="6B4B10A0"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39C9C6CE" w14:textId="77777777" w:rsidR="00136466" w:rsidRPr="00136466" w:rsidRDefault="00136466" w:rsidP="00136466">
      <w:pPr>
        <w:numPr>
          <w:ilvl w:val="0"/>
          <w:numId w:val="61"/>
        </w:numPr>
        <w:spacing w:after="0" w:line="240" w:lineRule="auto"/>
        <w:contextualSpacing/>
        <w:jc w:val="both"/>
        <w:rPr>
          <w:rFonts w:ascii="Times New Roman" w:eastAsia="Calibri" w:hAnsi="Times New Roman" w:cs="Times New Roman"/>
          <w:b/>
          <w:i/>
          <w:iCs/>
          <w:kern w:val="0"/>
          <w:lang w:eastAsia="sk-SK"/>
          <w14:ligatures w14:val="none"/>
        </w:rPr>
      </w:pPr>
      <w:r w:rsidRPr="00136466">
        <w:rPr>
          <w:rFonts w:ascii="Times New Roman" w:eastAsia="Calibri" w:hAnsi="Times New Roman" w:cs="Times New Roman"/>
          <w:b/>
          <w:i/>
          <w:iCs/>
          <w:color w:val="000000"/>
          <w:kern w:val="0"/>
          <w14:ligatures w14:val="none"/>
        </w:rPr>
        <w:t>Úprava vlastných ekonomických informačných systémov</w:t>
      </w:r>
    </w:p>
    <w:p w14:paraId="0CDCB045"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p>
    <w:p w14:paraId="0962FBF8"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shd w:val="clear" w:color="auto" w:fill="FFFFFF"/>
          <w14:ligatures w14:val="none"/>
        </w:rPr>
        <w:t xml:space="preserve">Zmena regulácie dotknutým subjektom zvyšuje náklady. </w:t>
      </w:r>
      <w:r w:rsidRPr="00136466">
        <w:rPr>
          <w:rFonts w:ascii="Times New Roman" w:eastAsia="Calibri" w:hAnsi="Times New Roman" w:cs="Times New Roman"/>
          <w:kern w:val="0"/>
          <w14:ligatures w14:val="none"/>
        </w:rPr>
        <w:t>Primárny dôvodom úprav v zákone č. 222/2004 Z. z. o dani z pridanej hodnoty v znení neskorších predpisov (ďalej len „zákon o DPH“) je zmena v sadzbách dane z pridanej hodnoty. Navrhuje sa vyňať zo zoznamu tovarov, na ktoré sa uplatňuje znížená sadzba dane, vybrané konečné výrobky určené na ľudskú konzumáciu, ktoré sa vyznačujú vyšším obsahom soli alebo cukru. Dané tovary tak budú podliehať základnej sadzbe dane vo výške 23 % zo základu dane.</w:t>
      </w:r>
    </w:p>
    <w:p w14:paraId="356915B6"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p>
    <w:p w14:paraId="1B72BEF0"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color w:val="000000"/>
          <w:kern w:val="0"/>
          <w14:ligatures w14:val="none"/>
        </w:rPr>
        <w:t xml:space="preserve">Predmetná regulácia pre dotknuté subjekty predstavuje administratívny vplyv. </w:t>
      </w:r>
      <w:r w:rsidRPr="00136466">
        <w:rPr>
          <w:rFonts w:ascii="Times New Roman" w:eastAsia="Calibri" w:hAnsi="Times New Roman" w:cs="Times New Roman"/>
          <w:kern w:val="0"/>
          <w14:ligatures w14:val="none"/>
        </w:rPr>
        <w:t>Počet dotknutých subjektov bol určený na základe celkového počtu platiteľov dane z pridanej hodnoty registrovaných k 1.1.2025, t.j. 225 206 subjektov. Pri kvantifikácii bol zvolený postup na základe alternatívy č. 1. V týchto prípadoch je expertný odhad časovej náročnosti na úpravu vlastných ekonomických informačných systémov 20 minút. Frekvencia plnenia bola určená jednorazovo.</w:t>
      </w:r>
    </w:p>
    <w:p w14:paraId="1C13AC2C" w14:textId="77777777" w:rsidR="00136466" w:rsidRPr="00136466" w:rsidRDefault="00136466" w:rsidP="00136466">
      <w:pPr>
        <w:spacing w:after="0" w:line="240" w:lineRule="auto"/>
        <w:jc w:val="both"/>
        <w:rPr>
          <w:rFonts w:ascii="Times New Roman" w:eastAsia="Calibri" w:hAnsi="Times New Roman" w:cs="Times New Roman"/>
          <w:b/>
          <w:color w:val="000000"/>
          <w:kern w:val="0"/>
          <w14:ligatures w14:val="none"/>
        </w:rPr>
      </w:pPr>
    </w:p>
    <w:p w14:paraId="39C0C331" w14:textId="77777777" w:rsidR="00136466" w:rsidRPr="00136466" w:rsidRDefault="00136466" w:rsidP="00136466">
      <w:pPr>
        <w:numPr>
          <w:ilvl w:val="0"/>
          <w:numId w:val="61"/>
        </w:numPr>
        <w:spacing w:after="0" w:line="240" w:lineRule="auto"/>
        <w:contextualSpacing/>
        <w:jc w:val="both"/>
        <w:rPr>
          <w:rFonts w:ascii="Times New Roman" w:eastAsia="Calibri" w:hAnsi="Times New Roman" w:cs="Times New Roman"/>
          <w:b/>
          <w:i/>
          <w:iCs/>
          <w:color w:val="000000"/>
          <w:kern w:val="0"/>
          <w14:ligatures w14:val="none"/>
        </w:rPr>
      </w:pPr>
      <w:r w:rsidRPr="00136466">
        <w:rPr>
          <w:rFonts w:ascii="Times New Roman" w:eastAsia="Calibri" w:hAnsi="Times New Roman" w:cs="Times New Roman"/>
          <w:b/>
          <w:i/>
          <w:iCs/>
          <w:color w:val="000000"/>
          <w:kern w:val="0"/>
          <w14:ligatures w14:val="none"/>
        </w:rPr>
        <w:t>Úprava pokladnice E-kasa klient</w:t>
      </w:r>
    </w:p>
    <w:p w14:paraId="330CF2E9"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p>
    <w:p w14:paraId="12CFB2C2"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r w:rsidRPr="00136466">
        <w:rPr>
          <w:rFonts w:ascii="Times New Roman" w:eastAsia="Calibri" w:hAnsi="Times New Roman" w:cs="Times New Roman"/>
          <w:kern w:val="0"/>
          <w:shd w:val="clear" w:color="auto" w:fill="FFFFFF"/>
          <w14:ligatures w14:val="none"/>
        </w:rPr>
        <w:t xml:space="preserve">Zmena regulácie dotknutým subjektom zvyšuje náklady. </w:t>
      </w:r>
      <w:r w:rsidRPr="00136466">
        <w:rPr>
          <w:rFonts w:ascii="Times New Roman" w:eastAsia="Calibri" w:hAnsi="Times New Roman" w:cs="Times New Roman"/>
          <w:kern w:val="0"/>
          <w14:ligatures w14:val="none"/>
        </w:rPr>
        <w:t>Navrhuje sa vyňať zo zoznamu tovarov, na ktoré sa uplatňuje znížená sadzba dane, vybrané konečné výrobky určené na ľudskú konzumáciu, ktoré sa vyznačujú vyšším obsahom soli alebo cukru. Dané tovary tak budú podliehať základnej sadzbe dane vo výške 23 % zo základu dane.</w:t>
      </w:r>
    </w:p>
    <w:p w14:paraId="45097559"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p>
    <w:p w14:paraId="16E7AC01"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color w:val="000000"/>
          <w:kern w:val="0"/>
          <w14:ligatures w14:val="none"/>
        </w:rPr>
        <w:t xml:space="preserve">Predmetná regulácia pre dotknuté subjekty predstavuje administratívny vplyv. </w:t>
      </w:r>
      <w:r w:rsidRPr="00136466">
        <w:rPr>
          <w:rFonts w:ascii="Times New Roman" w:eastAsia="Calibri" w:hAnsi="Times New Roman" w:cs="Times New Roman"/>
          <w:kern w:val="0"/>
          <w14:ligatures w14:val="none"/>
        </w:rPr>
        <w:t xml:space="preserve">Počet dotknutých subjektov bol určený na základe celkového počtu platiteľov dane z pridanej hodnoty registrovaných k 1.1.2025, t.j. 225 206 subjektov. Pri kvantifikácii bol zvolený postup na základe alternatívy č. 1. V týchto prípadoch je expertný odhad časovej náročnosti na úpravu systému pokladnice </w:t>
      </w:r>
      <w:r w:rsidRPr="00136466">
        <w:rPr>
          <w:rFonts w:ascii="Times New Roman" w:eastAsia="Calibri" w:hAnsi="Times New Roman" w:cs="Times New Roman"/>
          <w:kern w:val="0"/>
          <w:lang w:eastAsia="sk-SK"/>
          <w14:ligatures w14:val="none"/>
        </w:rPr>
        <w:t>E-kasa klient</w:t>
      </w:r>
      <w:r w:rsidRPr="00136466">
        <w:rPr>
          <w:rFonts w:ascii="Times New Roman" w:eastAsia="Calibri" w:hAnsi="Times New Roman" w:cs="Times New Roman"/>
          <w:kern w:val="0"/>
          <w14:ligatures w14:val="none"/>
        </w:rPr>
        <w:t xml:space="preserve"> 20 minút. Frekvencia plnenia bola určená jednorazovo.</w:t>
      </w:r>
    </w:p>
    <w:p w14:paraId="50BE5F94"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p>
    <w:p w14:paraId="326599F7" w14:textId="77777777" w:rsidR="00136466" w:rsidRPr="00136466" w:rsidRDefault="00136466" w:rsidP="00136466">
      <w:pPr>
        <w:numPr>
          <w:ilvl w:val="0"/>
          <w:numId w:val="61"/>
        </w:numPr>
        <w:spacing w:after="0" w:line="240" w:lineRule="auto"/>
        <w:contextualSpacing/>
        <w:jc w:val="both"/>
        <w:rPr>
          <w:rFonts w:ascii="Times New Roman" w:eastAsia="Calibri" w:hAnsi="Times New Roman" w:cs="Times New Roman"/>
          <w:b/>
          <w:i/>
          <w:iCs/>
          <w:color w:val="000000"/>
          <w:kern w:val="0"/>
          <w14:ligatures w14:val="none"/>
        </w:rPr>
      </w:pPr>
      <w:r w:rsidRPr="00136466">
        <w:rPr>
          <w:rFonts w:ascii="Times New Roman" w:eastAsia="Calibri" w:hAnsi="Times New Roman" w:cs="Times New Roman"/>
          <w:b/>
          <w:i/>
          <w:iCs/>
          <w:color w:val="000000"/>
          <w:kern w:val="0"/>
          <w14:ligatures w14:val="none"/>
        </w:rPr>
        <w:t>Precenenie tovarov</w:t>
      </w:r>
    </w:p>
    <w:p w14:paraId="7ED07377"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p>
    <w:p w14:paraId="1DEA9B29"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shd w:val="clear" w:color="auto" w:fill="FFFFFF"/>
          <w14:ligatures w14:val="none"/>
        </w:rPr>
        <w:t xml:space="preserve">Zmena regulácie dotknutým subjektom zvyšuje náklady. </w:t>
      </w:r>
      <w:r w:rsidRPr="00136466">
        <w:rPr>
          <w:rFonts w:ascii="Times New Roman" w:eastAsia="Calibri" w:hAnsi="Times New Roman" w:cs="Times New Roman"/>
          <w:kern w:val="0"/>
          <w14:ligatures w14:val="none"/>
        </w:rPr>
        <w:t xml:space="preserve">Navrhuje sa vyňať zo zoznamu tovarov, na ktoré sa uplatňuje znížená sadzba dane, vybrané konečné výrobky určené na ľudskú konzumáciu, ktoré sa vyznačujú vyšším obsahom soli alebo cukru. </w:t>
      </w:r>
    </w:p>
    <w:p w14:paraId="4C4F4258"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p>
    <w:p w14:paraId="17B10AA1" w14:textId="77777777" w:rsidR="00136466" w:rsidRPr="00136466" w:rsidRDefault="00136466" w:rsidP="00136466">
      <w:pPr>
        <w:spacing w:after="0" w:line="240" w:lineRule="auto"/>
        <w:jc w:val="both"/>
        <w:rPr>
          <w:rFonts w:ascii="Times New Roman" w:eastAsia="Calibri" w:hAnsi="Times New Roman" w:cs="Times New Roman"/>
          <w:kern w:val="0"/>
          <w:shd w:val="clear" w:color="auto" w:fill="FFFFFF"/>
          <w14:ligatures w14:val="none"/>
        </w:rPr>
      </w:pPr>
      <w:r w:rsidRPr="00136466">
        <w:rPr>
          <w:rFonts w:ascii="Times New Roman" w:eastAsia="Calibri" w:hAnsi="Times New Roman" w:cs="Times New Roman"/>
          <w:kern w:val="0"/>
          <w:shd w:val="clear" w:color="auto" w:fill="FFFFFF"/>
          <w14:ligatures w14:val="none"/>
        </w:rPr>
        <w:t>Predmetná regulácia pre dotknuté subjekty predstavuje administratívny vplyv. Počet dotknutých subjektov bol určený na základe celkového počtu platiteľov dane z pridanej hodnoty registrovaných k 1.1.2025, t.j. 225 206 subjektov. Pri kvantifikácii bol zvolený postup na základe alternatívy č. 1. V týchto prípadoch je expertný odhad časovej náročnosti na precenenie tovarov 60 minút. Frekvencia plnenia bola určená jednorazovo, avšak je potrebné zdôrazniť, že nie je možné prognózovať správanie podnikateľských subjektov.</w:t>
      </w:r>
    </w:p>
    <w:p w14:paraId="7DF18219"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35190174" w14:textId="77777777" w:rsidR="00136466" w:rsidRPr="00136466" w:rsidRDefault="00136466" w:rsidP="00136466">
      <w:pPr>
        <w:numPr>
          <w:ilvl w:val="0"/>
          <w:numId w:val="61"/>
        </w:numPr>
        <w:spacing w:after="0" w:line="240" w:lineRule="auto"/>
        <w:contextualSpacing/>
        <w:jc w:val="both"/>
        <w:rPr>
          <w:rFonts w:ascii="Times New Roman" w:eastAsia="Calibri" w:hAnsi="Times New Roman" w:cs="Times New Roman"/>
          <w:b/>
          <w:bCs/>
          <w:i/>
          <w:iCs/>
          <w:kern w:val="0"/>
          <w14:ligatures w14:val="none"/>
        </w:rPr>
      </w:pPr>
      <w:r w:rsidRPr="00136466">
        <w:rPr>
          <w:rFonts w:ascii="Times New Roman" w:eastAsia="Calibri" w:hAnsi="Times New Roman" w:cs="Times New Roman"/>
          <w:b/>
          <w:bCs/>
          <w:i/>
          <w:iCs/>
          <w:kern w:val="0"/>
          <w14:ligatures w14:val="none"/>
        </w:rPr>
        <w:t>Zánik povinnosti určovať základ dane pre výpočet dane pripadajúcej na súkromnú spotrebu osobného motorového vozidla používaného aj na iné účely ako na podnikanie</w:t>
      </w:r>
    </w:p>
    <w:p w14:paraId="1B598919"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54ED4246"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Navrhovaná regulácia dotknutým subjektom znižuje náklady. Ak platiteľ v období od 1. januára 2026 do 30. júna 2028 vrátane nadobudne osobné motorové vozidlo, ktoré je investičným majetkom podľa § 54 ods. 2 písm. a) alebo používa na základe nájomnej zmluvy inej ako krátkodobej nájomnej zmluvy alebo na základe obdobnej zmluvy osobné motorové vozidlo a odpočíta daň vzťahujúcu sa na toto osobné motorové vozidlo v rozsahu 50 %, platiteľ nebude povinný za každé zdaňovacie obdobie určiť základ dane pre výpočet dane pripadajúcej na súkromnú spotrebu tohto osobného motorového vozidla. Použitie tohto osobného motorového vozidla na iný účel ako na podnikanie sa nebude považovať za dodanie služby za protihodnotu (§ 85n ods. 1 a 2) a v rozsahu, v akom pri tomto tovare nebola odpočítaná daň, sa zároveň použitie osobného motorového vozidla na iný účel ako na podnikanie nebude považovať za dodanie tovaru za protihodnotu (§ 85n ods. 1).</w:t>
      </w:r>
    </w:p>
    <w:p w14:paraId="2D144821"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7E1FE583"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color w:val="000000"/>
          <w:kern w:val="0"/>
          <w14:ligatures w14:val="none"/>
        </w:rPr>
        <w:t xml:space="preserve">Predmetná regulácia pre dotknuté subjekty predstavuje administratívny vplyv. </w:t>
      </w:r>
      <w:r w:rsidRPr="00136466">
        <w:rPr>
          <w:rFonts w:ascii="Times New Roman" w:eastAsia="Calibri" w:hAnsi="Times New Roman" w:cs="Times New Roman"/>
          <w:kern w:val="0"/>
          <w14:ligatures w14:val="none"/>
        </w:rPr>
        <w:t xml:space="preserve">Počet dotknutých subjektov bol určený na základe celkového počtu platiteľov dane z pridanej hodnoty registrovaných k 1.1.2025, t.j. 225 206 subjektov. Z analýzy dát predložených MFSR vyplynulo, že 63,08 % platiteľov dane používa vozidlá aj na súkromné účely, nie len na podnikanie. </w:t>
      </w:r>
    </w:p>
    <w:p w14:paraId="28B4D664"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Finančná správa skúmala údaje o nákupe motorových vozidiel z kontrolných výkazov a uplatneného odpočítania dane z týchto nákupov. Z údajov za obdobie 1/2023 – 12/2023 bolo identifikovaných celkovo 152 769 nákupov motorových vozidiel platiteľmi dane. Finančná správa s cieľom zistiť, ako podnikatelia uplatňujú pravidlá odpočítania DPH pri nákupe motorových vozidiel, ktoré sú využívané na podnikanie a zároveň aj na súkromné účely, vykonala miestne zisťovania a zistila porušenia v oblasti odpočítania dane u 32 % preverení. Pri týchto miestnych zisťovaniach bolo finančnou správou zistené, že využitie vozidiel na súkromné účely bolo v priemere 57 %. Uvedené zistenia kopírujú výsledky analýzy dát predložených MFSR, keďže podľa najazdených kilometrov sa vozidlá používajú na súkromné účely v prevažujúcej miere, t.j. v podiele 56,44 %. Z dostupných údajov nie je možné zistiť koľko osobných motorových vozidiel nakúpených v roku 2023 je používaných výlučne na podnikanie a koľko aj na súkromné účely.</w:t>
      </w:r>
    </w:p>
    <w:p w14:paraId="3C918149"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Počet dotknutých subjektov teda predstavuje skupinu 141 880 subjektov (63 % z celkového počtu platiteľov dane). Pri kvantifikácii bol zvolený postup na základe alternatívy č. 2. Tieto subjekty nebudú musieť určovať základ DPH pri používaní vozidla aj na súkromné účely, teda viesť náročnú evidenciu. Frekvencia plnenia bola určená nepravidelne.</w:t>
      </w:r>
    </w:p>
    <w:p w14:paraId="3519A7E2"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344A6531" w14:textId="77777777" w:rsidR="00136466" w:rsidRPr="00136466" w:rsidRDefault="00136466" w:rsidP="00136466">
      <w:pPr>
        <w:numPr>
          <w:ilvl w:val="0"/>
          <w:numId w:val="61"/>
        </w:numPr>
        <w:spacing w:after="0" w:line="240" w:lineRule="auto"/>
        <w:contextualSpacing/>
        <w:jc w:val="both"/>
        <w:rPr>
          <w:rFonts w:ascii="Times New Roman" w:eastAsia="Calibri" w:hAnsi="Times New Roman" w:cs="Times New Roman"/>
          <w:b/>
          <w:bCs/>
          <w:i/>
          <w:iCs/>
          <w:kern w:val="0"/>
          <w14:ligatures w14:val="none"/>
        </w:rPr>
      </w:pPr>
      <w:r w:rsidRPr="00136466">
        <w:rPr>
          <w:rFonts w:ascii="Times New Roman" w:eastAsia="Calibri" w:hAnsi="Times New Roman" w:cs="Times New Roman"/>
          <w:b/>
          <w:bCs/>
          <w:i/>
          <w:iCs/>
          <w:kern w:val="0"/>
          <w14:ligatures w14:val="none"/>
        </w:rPr>
        <w:t>Nevykonávanie úpravy odpočítanej dane z dôvodu zmeny rozsahu použitia investičného majetku</w:t>
      </w:r>
    </w:p>
    <w:p w14:paraId="2518C558"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425791D1"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Navrhovaná regulácia dotknutým subjektom znižuje náklady. Platiteľ, ktorý v období od 1. januára 2026 do 30. júna 2028 vrátane nadobudne osobné motorové vozidlo, ktoré je investičným majetkom podľa § 54 ods. 2 písm. a), a odpočíta daň vzťahujúcu sa na toto osobné motorové vozidlo v rozsahu 50 % podľa § 85n ods. 1, nebude podľa § 85n ods. 10 povinný postupovať § 54d, teda sledovať akékoľvek zmeny v rozsahu použitia tohto osobného motorového vozidla, ako ani vykonávať úpravu odpočítanej dane.</w:t>
      </w:r>
    </w:p>
    <w:p w14:paraId="3481D864"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74574985"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color w:val="000000"/>
          <w:kern w:val="0"/>
          <w14:ligatures w14:val="none"/>
        </w:rPr>
        <w:t xml:space="preserve">Predmetná regulácia pre dotknuté subjekty predstavuje administratívny vplyv. </w:t>
      </w:r>
      <w:r w:rsidRPr="00136466">
        <w:rPr>
          <w:rFonts w:ascii="Times New Roman" w:eastAsia="Calibri" w:hAnsi="Times New Roman" w:cs="Times New Roman"/>
          <w:kern w:val="0"/>
          <w14:ligatures w14:val="none"/>
        </w:rPr>
        <w:t xml:space="preserve">Počet dotknutých subjektov bol určený na základe celkového počtu platiteľov dane z pridanej hodnoty registrovaných k 1.1.2025, t.j. 225 206 subjektov. Z analýzy dát predložených MFSR vyplynulo, že 63,08 % platiteľov dane používa vozidlá aj na súkromné účely, nie len na podnikanie. </w:t>
      </w:r>
    </w:p>
    <w:p w14:paraId="53AC614F"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Ďalšie podrobnosti k výpočtu regulácie sú uvedené v rámci regulácie č. 4, tretí odsek.</w:t>
      </w:r>
    </w:p>
    <w:p w14:paraId="171E066B"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Počet dotknutých subjektov teda predstavuje skupinu 141 880 subjektov (63 % z celkového počtu platiteľov dane). Pri kvantifikácii bol zvolený postup na základe alternatívy č. 2. Frekvencia plnenia bola určená nepravidelne.</w:t>
      </w:r>
    </w:p>
    <w:p w14:paraId="75E8EDDE"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03FA43EE" w14:textId="77777777" w:rsidR="00136466" w:rsidRPr="00136466" w:rsidRDefault="00136466" w:rsidP="00136466">
      <w:pPr>
        <w:numPr>
          <w:ilvl w:val="0"/>
          <w:numId w:val="61"/>
        </w:numPr>
        <w:spacing w:after="0" w:line="240" w:lineRule="auto"/>
        <w:contextualSpacing/>
        <w:jc w:val="both"/>
        <w:rPr>
          <w:rFonts w:ascii="Times New Roman" w:eastAsia="Calibri" w:hAnsi="Times New Roman" w:cs="Times New Roman"/>
          <w:b/>
          <w:bCs/>
          <w:i/>
          <w:iCs/>
          <w:kern w:val="0"/>
          <w14:ligatures w14:val="none"/>
        </w:rPr>
      </w:pPr>
      <w:r w:rsidRPr="00136466">
        <w:rPr>
          <w:rFonts w:ascii="Times New Roman" w:eastAsia="Calibri" w:hAnsi="Times New Roman" w:cs="Times New Roman"/>
          <w:b/>
          <w:bCs/>
          <w:i/>
          <w:iCs/>
          <w:kern w:val="0"/>
          <w14:ligatures w14:val="none"/>
        </w:rPr>
        <w:t>Neurčovanie pomeru použitia osobného motorového vozidla na podnikanie a na iný účel ako na podnikanie</w:t>
      </w:r>
    </w:p>
    <w:p w14:paraId="330CB2B1"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092FF0BE"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Navrhovaná regulácia dotknutým subjektom znižuje náklady. V § 85n ods. 1 a 2 sa ustanovuje pevný pomer paušálne odpočítateľnej dane vo výške 50 % na osobné motorové vozidlo, ktoré platiteľ v období od 1. januára 2026 do 30. júna 2028 vrátane nadobudol ako investičný majetok podľa § 54 ods. 2 písm. a) alebo používa na základe nájomnej zmluvy inej ako krátkodobej nájomnej zmluvy alebo na základe obdobnej zmluvy. Platiteľ v tejto súvislosti nebude pri určovaní pomeru použitia osobného motorového vozidla na podnikanie a na iný účel ako na podnikanie postupovať podľa § 49 ods. 5.</w:t>
      </w:r>
    </w:p>
    <w:p w14:paraId="0F336498"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41A6DE34"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color w:val="000000"/>
          <w:kern w:val="0"/>
          <w14:ligatures w14:val="none"/>
        </w:rPr>
        <w:t xml:space="preserve">Predmetná regulácia pre dotknuté subjekty predstavuje administratívny vplyv. </w:t>
      </w:r>
      <w:r w:rsidRPr="00136466">
        <w:rPr>
          <w:rFonts w:ascii="Times New Roman" w:eastAsia="Calibri" w:hAnsi="Times New Roman" w:cs="Times New Roman"/>
          <w:kern w:val="0"/>
          <w14:ligatures w14:val="none"/>
        </w:rPr>
        <w:t xml:space="preserve">Počet dotknutých subjektov bol určený na základe celkového počtu platiteľov dane z pridanej hodnoty registrovaných k 1.1.2025, t.j. 225 206 subjektov. Z analýzy dát predložených MFSR vyplynulo, že 63,08 % platiteľov dane používa vozidlá aj na súkromné účely, nie len na podnikanie. </w:t>
      </w:r>
    </w:p>
    <w:p w14:paraId="39A75991"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Ďalšie podrobnosti k výpočtu regulácie sú uvedené v rámci regulácie č. 4, tretí odsek.</w:t>
      </w:r>
    </w:p>
    <w:p w14:paraId="6423DFFF"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Počet dotknutých subjektov teda predstavuje skupinu 141 880 subjektov (63 % z celkového počtu platiteľov dane). Pri kvantifikácii bol zvolený postup na základe alternatívy č. 2. Frekvencia plnenia bola určená jednorazovo.</w:t>
      </w:r>
    </w:p>
    <w:p w14:paraId="4F552F0C"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11FAD167" w14:textId="77777777" w:rsidR="00136466" w:rsidRPr="00136466" w:rsidRDefault="00136466" w:rsidP="00136466">
      <w:pPr>
        <w:numPr>
          <w:ilvl w:val="0"/>
          <w:numId w:val="61"/>
        </w:numPr>
        <w:spacing w:after="0" w:line="240" w:lineRule="auto"/>
        <w:contextualSpacing/>
        <w:jc w:val="both"/>
        <w:rPr>
          <w:rFonts w:ascii="Times New Roman" w:eastAsia="Calibri" w:hAnsi="Times New Roman" w:cs="Times New Roman"/>
          <w:b/>
          <w:bCs/>
          <w:i/>
          <w:iCs/>
          <w:kern w:val="0"/>
          <w14:ligatures w14:val="none"/>
        </w:rPr>
      </w:pPr>
      <w:r w:rsidRPr="00136466">
        <w:rPr>
          <w:rFonts w:ascii="Times New Roman" w:eastAsia="Calibri" w:hAnsi="Times New Roman" w:cs="Times New Roman"/>
          <w:b/>
          <w:bCs/>
          <w:i/>
          <w:iCs/>
          <w:kern w:val="0"/>
          <w14:ligatures w14:val="none"/>
        </w:rPr>
        <w:t>Neurčovanie pomeru použitia tovaru a služby na podnikanie a na iný účel ako na podnikanie</w:t>
      </w:r>
    </w:p>
    <w:p w14:paraId="5E40216D"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5D4F3799"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Navrhovaná regulácia dotknutým subjektom znižuje náklady. V § 85n ods. 3 sa ustanovuje pevný pomer paušálne odpočítateľnej dane vo výške 50 % na prijaté služby alebo nadobudnuté tovary, ktoré nie sú investičným majetkom podľa § 54 ods. 2 písm. a), ktoré platiteľ prijal alebo nadobudol v súvislosti s osobným motorovým vozidlom používaným na účely svojho podnikania, ako aj na iný účel ako na podnikanie.</w:t>
      </w:r>
    </w:p>
    <w:p w14:paraId="4314E317"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1358C286"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color w:val="000000"/>
          <w:kern w:val="0"/>
          <w14:ligatures w14:val="none"/>
        </w:rPr>
        <w:t xml:space="preserve">Predmetná regulácia pre dotknuté subjekty predstavuje administratívny vplyv. </w:t>
      </w:r>
      <w:r w:rsidRPr="00136466">
        <w:rPr>
          <w:rFonts w:ascii="Times New Roman" w:eastAsia="Calibri" w:hAnsi="Times New Roman" w:cs="Times New Roman"/>
          <w:kern w:val="0"/>
          <w14:ligatures w14:val="none"/>
        </w:rPr>
        <w:t xml:space="preserve">Počet dotknutých subjektov bol určený na základe celkového počtu platiteľov dane z pridanej hodnoty registrovaných k 1.1.2025, t.j. 225 206 subjektov. Z analýzy dát predložených MFSR vyplynulo, že 63,08 % platiteľov dane používa vozidlá aj na súkromné účely, nie len na podnikanie. </w:t>
      </w:r>
    </w:p>
    <w:p w14:paraId="4F2B4800"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Ďalšie podrobnosti k výpočtu regulácie sú uvedené v rámci regulácie č. 4, tretí odsek.</w:t>
      </w:r>
    </w:p>
    <w:p w14:paraId="4A76001E"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Počet dotknutých subjektov teda predstavuje skupinu 141 880 subjektov (63 % z celkového počtu platiteľov dane). Pri kvantifikácii bol zvolený postup na základe alternatívy č. 2. Frekvencia plnenia bola určená nepravidelne.</w:t>
      </w:r>
    </w:p>
    <w:p w14:paraId="2BEF49C1"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15ED3633" w14:textId="77777777" w:rsidR="00136466" w:rsidRPr="00136466" w:rsidRDefault="00136466" w:rsidP="00136466">
      <w:pPr>
        <w:numPr>
          <w:ilvl w:val="0"/>
          <w:numId w:val="61"/>
        </w:numPr>
        <w:spacing w:after="0" w:line="240" w:lineRule="auto"/>
        <w:contextualSpacing/>
        <w:jc w:val="both"/>
        <w:rPr>
          <w:rFonts w:ascii="Times New Roman" w:eastAsia="Calibri" w:hAnsi="Times New Roman" w:cs="Times New Roman"/>
          <w:b/>
          <w:bCs/>
          <w:i/>
          <w:iCs/>
          <w:kern w:val="0"/>
          <w14:ligatures w14:val="none"/>
        </w:rPr>
      </w:pPr>
      <w:r w:rsidRPr="00136466">
        <w:rPr>
          <w:rFonts w:ascii="Times New Roman" w:eastAsia="Calibri" w:hAnsi="Times New Roman" w:cs="Times New Roman"/>
          <w:b/>
          <w:bCs/>
          <w:i/>
          <w:iCs/>
          <w:kern w:val="0"/>
          <w14:ligatures w14:val="none"/>
        </w:rPr>
        <w:t>Vedenie záznamov preukazujúcich rozsah použitia osobného motorového vozidla výlučne na podnikanie</w:t>
      </w:r>
    </w:p>
    <w:p w14:paraId="48450823" w14:textId="77777777" w:rsidR="00136466" w:rsidRPr="00136466" w:rsidRDefault="00136466" w:rsidP="00136466">
      <w:pPr>
        <w:spacing w:after="0" w:line="240" w:lineRule="auto"/>
        <w:jc w:val="both"/>
        <w:rPr>
          <w:rFonts w:ascii="Times New Roman" w:eastAsia="Calibri" w:hAnsi="Times New Roman" w:cs="Times New Roman"/>
          <w:b/>
          <w:bCs/>
          <w:kern w:val="0"/>
          <w14:ligatures w14:val="none"/>
        </w:rPr>
      </w:pPr>
    </w:p>
    <w:p w14:paraId="1B55F6BE"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shd w:val="clear" w:color="auto" w:fill="FFFFFF"/>
          <w14:ligatures w14:val="none"/>
        </w:rPr>
        <w:t xml:space="preserve">Navrhovaná regulácia dotknutým subjektom zvyšuje náklady. </w:t>
      </w:r>
      <w:r w:rsidRPr="00136466">
        <w:rPr>
          <w:rFonts w:ascii="Times New Roman" w:eastAsia="Calibri" w:hAnsi="Times New Roman" w:cs="Times New Roman"/>
          <w:kern w:val="0"/>
          <w14:ligatures w14:val="none"/>
        </w:rPr>
        <w:t>Záznamy preukazujúce rozsah použitia osobného motorového vozidla výlučne na podnikanie bude platiteľ dane povinný viesť v elektronickej podobe osobitne za každé nadobudnuté alebo užívané osobné motorové vozidlo. Záznamy budú obsahovať najmä údaje podľa § 85n ods. 6.</w:t>
      </w:r>
    </w:p>
    <w:p w14:paraId="4BE78A33"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p>
    <w:p w14:paraId="0CADA2B1"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color w:val="000000"/>
          <w:kern w:val="0"/>
          <w14:ligatures w14:val="none"/>
        </w:rPr>
        <w:t xml:space="preserve">Predmetná regulácia pre dotknuté subjekty predstavuje administratívny vplyv. </w:t>
      </w:r>
      <w:r w:rsidRPr="00136466">
        <w:rPr>
          <w:rFonts w:ascii="Times New Roman" w:eastAsia="Calibri" w:hAnsi="Times New Roman" w:cs="Times New Roman"/>
          <w:kern w:val="0"/>
          <w14:ligatures w14:val="none"/>
        </w:rPr>
        <w:t>Počet dotknutých subjektov bol určený na základe celkového počtu platiteľov dane z pridanej hodnoty registrovaných k 1.1.2025, t.j. 225 206 subjektov. Z analýzy dát predložených MFSR vyplynulo, že 63,08 % platiteľov dane používa vozidlá aj na súkromné účely, nie len na podnikanie, t.j. 37 % platiteľov dane používa osobné motorové vozidlá výlučne na podnikanie.</w:t>
      </w:r>
    </w:p>
    <w:p w14:paraId="7C4723CF"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Ďalšie podrobnosti k výpočtu regulácie sú uvedené v rámci regulácie č. 4, tretí odsek.</w:t>
      </w:r>
    </w:p>
    <w:p w14:paraId="5035AF4A"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Počet dotknutých subjektov teda predstavuje skupinu 83 326 subjektov (37 % z celkového počtu platiteľov dane). Pri kvantifikácii bol zvolený postup na základe alternatívy č. 2. Frekvencia plnenia bola určená mesačne.</w:t>
      </w:r>
    </w:p>
    <w:p w14:paraId="369283B9" w14:textId="77777777" w:rsidR="00136466" w:rsidRPr="00136466" w:rsidRDefault="00136466" w:rsidP="00136466">
      <w:pPr>
        <w:spacing w:after="0" w:line="240" w:lineRule="auto"/>
        <w:jc w:val="both"/>
        <w:rPr>
          <w:rFonts w:ascii="Times New Roman" w:eastAsia="Calibri" w:hAnsi="Times New Roman" w:cs="Times New Roman"/>
          <w:color w:val="000000"/>
          <w:kern w:val="0"/>
          <w:highlight w:val="yellow"/>
          <w14:ligatures w14:val="none"/>
        </w:rPr>
      </w:pPr>
    </w:p>
    <w:p w14:paraId="2DD421E1" w14:textId="77777777" w:rsidR="00136466" w:rsidRPr="00136466" w:rsidRDefault="00136466" w:rsidP="00136466">
      <w:pPr>
        <w:numPr>
          <w:ilvl w:val="0"/>
          <w:numId w:val="61"/>
        </w:numPr>
        <w:spacing w:after="0" w:line="240" w:lineRule="auto"/>
        <w:contextualSpacing/>
        <w:jc w:val="both"/>
        <w:rPr>
          <w:rFonts w:ascii="Times New Roman" w:eastAsia="Calibri" w:hAnsi="Times New Roman" w:cs="Times New Roman"/>
          <w:b/>
          <w:bCs/>
          <w:i/>
          <w:iCs/>
          <w:kern w:val="0"/>
          <w14:ligatures w14:val="none"/>
        </w:rPr>
      </w:pPr>
      <w:r w:rsidRPr="00136466">
        <w:rPr>
          <w:rFonts w:ascii="Times New Roman" w:eastAsia="Calibri" w:hAnsi="Times New Roman" w:cs="Times New Roman"/>
          <w:b/>
          <w:bCs/>
          <w:i/>
          <w:iCs/>
          <w:kern w:val="0"/>
          <w14:ligatures w14:val="none"/>
        </w:rPr>
        <w:t>Oznámenie o použití osobného motorového vozidla</w:t>
      </w:r>
    </w:p>
    <w:p w14:paraId="3E248E21" w14:textId="77777777" w:rsidR="00136466" w:rsidRPr="00136466" w:rsidRDefault="00136466" w:rsidP="00136466">
      <w:pPr>
        <w:spacing w:after="0" w:line="240" w:lineRule="auto"/>
        <w:jc w:val="both"/>
        <w:rPr>
          <w:rFonts w:ascii="Times New Roman" w:eastAsia="Calibri" w:hAnsi="Times New Roman" w:cs="Times New Roman"/>
          <w:bCs/>
          <w:i/>
          <w:iCs/>
          <w:color w:val="000000"/>
          <w:kern w:val="0"/>
          <w14:ligatures w14:val="none"/>
        </w:rPr>
      </w:pPr>
    </w:p>
    <w:p w14:paraId="1B6D5637"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shd w:val="clear" w:color="auto" w:fill="FFFFFF"/>
          <w14:ligatures w14:val="none"/>
        </w:rPr>
        <w:t xml:space="preserve">Navrhovaná regulácia dotknutým subjektom zvyšuje náklady. </w:t>
      </w:r>
      <w:r w:rsidRPr="00136466">
        <w:rPr>
          <w:rFonts w:ascii="Times New Roman" w:eastAsia="Calibri" w:hAnsi="Times New Roman" w:cs="Times New Roman"/>
          <w:kern w:val="0"/>
          <w14:ligatures w14:val="none"/>
        </w:rPr>
        <w:t>Použitie osobného motorového vozidla podľa odsekov 4 alebo 5 návrhu zákona bude platiteľ povinný oznámiť daňovému úradu v lehote na podanie daňového priznania za zdaňovacie obdobie, v ktorom uplatnil odpočítanie dane, na tlačive, ktorého vzor určí a uverejní finančné riaditeľstvo na webovom sídle finančného riaditeľstva. Pri osobnom motorovom vozidle používanom na základe nájomnej zmluvy inej ako krátkodobej nájomnej zmluvy alebo na základe obdobnej zmluvy je platiteľ povinný oznámiť použitie osobného motorového vozidla podľa odsekov 4 alebo 5 v lehote na podanie daňového priznania za zdaňovacie obdobie, v ktorom uplatnil odpočítanie dane prvýkrát. Ak dôjde k zmene použitia osobného motorového vozidla podľa odseku 4 na použitie podľa odseku 5 alebo naopak, platiteľ túto skutočnosť oznámi daňovému úradu v lehote na podanie daňového priznania za zdaňovacie obdobie, v ktorom táto skutočnosť nastala.</w:t>
      </w:r>
    </w:p>
    <w:p w14:paraId="4C9147BC"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p>
    <w:p w14:paraId="7C79C345"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color w:val="000000"/>
          <w:kern w:val="0"/>
          <w14:ligatures w14:val="none"/>
        </w:rPr>
        <w:t xml:space="preserve">Predmetná regulácia pre dotknuté subjekty predstavuje administratívny vplyv. </w:t>
      </w:r>
      <w:r w:rsidRPr="00136466">
        <w:rPr>
          <w:rFonts w:ascii="Times New Roman" w:eastAsia="Calibri" w:hAnsi="Times New Roman" w:cs="Times New Roman"/>
          <w:kern w:val="0"/>
          <w14:ligatures w14:val="none"/>
        </w:rPr>
        <w:t>Počet dotknutých subjektov bol určený na základe celkového počtu platiteľov dane z pridanej hodnoty registrovaných k 1.1.2025, t.j. 225 206 subjektov. Z analýzy dát predložených MFSR vyplynulo, že 63,08 % platiteľov dane používa vozidlá aj na súkromné účely, nie len na podnikanie, t.j. 37 % platiteľov dane používa osobné motorové vozidlá výlučne na podnikanie.</w:t>
      </w:r>
    </w:p>
    <w:p w14:paraId="6645354F"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Ďalšie podrobnosti k výpočtu regulácie sú uvedené v rámci regulácie č. 4, tretí odsek.</w:t>
      </w:r>
    </w:p>
    <w:p w14:paraId="081B12A9"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Počet dotknutých subjektov teda predstavuje skupinu 83 326 subjektov (37 % z celkového počtu platiteľov dane). Pri kvantifikácii bol zvolený postup na základe alternatívy č. 2. Frekvencia plnenia bola určená jednorazovo.</w:t>
      </w:r>
    </w:p>
    <w:p w14:paraId="11A793A5"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64D7E7E6" w14:textId="77777777" w:rsidR="00136466" w:rsidRPr="00136466" w:rsidRDefault="00136466" w:rsidP="00136466">
      <w:pPr>
        <w:numPr>
          <w:ilvl w:val="0"/>
          <w:numId w:val="61"/>
        </w:numPr>
        <w:spacing w:after="0" w:line="240" w:lineRule="auto"/>
        <w:contextualSpacing/>
        <w:jc w:val="both"/>
        <w:rPr>
          <w:rFonts w:ascii="Times New Roman" w:eastAsia="Calibri" w:hAnsi="Times New Roman" w:cs="Times New Roman"/>
          <w:b/>
          <w:i/>
          <w:iCs/>
          <w:color w:val="000000"/>
          <w:kern w:val="0"/>
          <w14:ligatures w14:val="none"/>
        </w:rPr>
      </w:pPr>
      <w:r w:rsidRPr="00136466">
        <w:rPr>
          <w:rFonts w:ascii="Times New Roman" w:eastAsia="Calibri" w:hAnsi="Times New Roman" w:cs="Times New Roman"/>
          <w:b/>
          <w:i/>
          <w:iCs/>
          <w:color w:val="000000"/>
          <w:kern w:val="0"/>
          <w14:ligatures w14:val="none"/>
        </w:rPr>
        <w:t>Úprava výšky sadzby dane z poistenia z 8 % na 10 % zo základu dane</w:t>
      </w:r>
    </w:p>
    <w:p w14:paraId="49E83CEB"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p>
    <w:p w14:paraId="6D75DF75"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r w:rsidRPr="00136466">
        <w:rPr>
          <w:rFonts w:ascii="Times New Roman" w:eastAsia="Calibri" w:hAnsi="Times New Roman" w:cs="Times New Roman"/>
          <w:bCs/>
          <w:color w:val="000000"/>
          <w:kern w:val="0"/>
          <w14:ligatures w14:val="none"/>
        </w:rPr>
        <w:t xml:space="preserve">Zmena regulácie dotknutým subjektom zvyšuje náklady. Poisťovniam vzniknú administratívne náklady v súvislosti so zmenou informačných systémov, prekalkulovaním cien poistných produktov, úpravou poistných zmlúv ako aj s vedením a uchovávaním záznamov potrebných pre správne určenie dane. </w:t>
      </w:r>
    </w:p>
    <w:p w14:paraId="5E0A6E68"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r w:rsidRPr="00136466">
        <w:rPr>
          <w:rFonts w:ascii="Times New Roman" w:eastAsia="Calibri" w:hAnsi="Times New Roman" w:cs="Times New Roman"/>
          <w:bCs/>
          <w:color w:val="000000"/>
          <w:kern w:val="0"/>
          <w14:ligatures w14:val="none"/>
        </w:rPr>
        <w:t>Predmetná regulácia pre dotknuté subjekty predstavuje administratívny vplyv. Počet dotknutých subjektov bol určený na základe celkového počtu platiteľov dane z poistenia registrovaných k 1.1.2025, t.j. 463 subjektov. Pri kvantifikácii bol zvolený postup na základe alternatívy č. 2. Frekvencia plnenia bola určená jednorazovo.</w:t>
      </w:r>
    </w:p>
    <w:p w14:paraId="513A82FE" w14:textId="77777777" w:rsidR="00136466" w:rsidRPr="00136466" w:rsidRDefault="00136466" w:rsidP="00136466">
      <w:pPr>
        <w:spacing w:after="0" w:line="240" w:lineRule="auto"/>
        <w:ind w:left="284"/>
        <w:contextualSpacing/>
        <w:jc w:val="both"/>
        <w:rPr>
          <w:rFonts w:ascii="Times New Roman" w:eastAsia="Calibri" w:hAnsi="Times New Roman" w:cs="Times New Roman"/>
          <w:bCs/>
          <w:color w:val="000000"/>
          <w:kern w:val="0"/>
          <w14:ligatures w14:val="none"/>
        </w:rPr>
      </w:pPr>
    </w:p>
    <w:p w14:paraId="4CC023BD" w14:textId="77777777" w:rsidR="00136466" w:rsidRPr="00136466" w:rsidRDefault="00136466" w:rsidP="00136466">
      <w:pPr>
        <w:numPr>
          <w:ilvl w:val="0"/>
          <w:numId w:val="61"/>
        </w:numPr>
        <w:spacing w:after="0" w:line="240" w:lineRule="auto"/>
        <w:contextualSpacing/>
        <w:jc w:val="both"/>
        <w:rPr>
          <w:rFonts w:ascii="Times New Roman" w:eastAsia="Calibri" w:hAnsi="Times New Roman" w:cs="Times New Roman"/>
          <w:b/>
          <w:i/>
          <w:iCs/>
          <w:color w:val="000000"/>
          <w:kern w:val="0"/>
          <w14:ligatures w14:val="none"/>
        </w:rPr>
      </w:pPr>
      <w:r w:rsidRPr="00136466">
        <w:rPr>
          <w:rFonts w:ascii="Times New Roman" w:eastAsia="Calibri" w:hAnsi="Times New Roman" w:cs="Times New Roman"/>
          <w:b/>
          <w:i/>
          <w:iCs/>
          <w:color w:val="000000"/>
          <w:kern w:val="0"/>
          <w14:ligatures w14:val="none"/>
        </w:rPr>
        <w:t>Úprava osobitného odvodu z PZP z 8% na 10 %</w:t>
      </w:r>
    </w:p>
    <w:p w14:paraId="0227DEDC"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p>
    <w:p w14:paraId="4E9D3F31"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r w:rsidRPr="00136466">
        <w:rPr>
          <w:rFonts w:ascii="Times New Roman" w:eastAsia="Calibri" w:hAnsi="Times New Roman" w:cs="Times New Roman"/>
          <w:bCs/>
          <w:color w:val="000000"/>
          <w:kern w:val="0"/>
          <w14:ligatures w14:val="none"/>
        </w:rPr>
        <w:t xml:space="preserve">Zmena regulácie dotknutým subjektom zvyšuje náklady. Poisťovniam vzniknú administratívne náklady v súvislosti so zmenou informačných systémov, prekalkulovaním cien PZP, úpravou poistných zmlúv ako aj s vedením a uchovávaním záznamov. </w:t>
      </w:r>
    </w:p>
    <w:p w14:paraId="018E0729"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r w:rsidRPr="00136466">
        <w:rPr>
          <w:rFonts w:ascii="Times New Roman" w:eastAsia="Calibri" w:hAnsi="Times New Roman" w:cs="Times New Roman"/>
          <w:bCs/>
          <w:color w:val="000000"/>
          <w:kern w:val="0"/>
          <w14:ligatures w14:val="none"/>
        </w:rPr>
        <w:t>Predmetná regulácia pre dotknuté subjekty predstavuje administratívny vplyv. Počet dotknutých subjektov bol určený na základe počtu poisťovní poskytujúcich PZP k 1.1.2025, t.j. 10 subjektov. Pri kvantifikácii bol zvolený postup na základe alternatívy č. 2. Frekvencia plnenia bola určená jednorazovo.</w:t>
      </w:r>
    </w:p>
    <w:p w14:paraId="40B55788"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p>
    <w:p w14:paraId="07EBD99F" w14:textId="77777777" w:rsidR="00136466" w:rsidRPr="00136466" w:rsidRDefault="00136466" w:rsidP="00136466">
      <w:pPr>
        <w:numPr>
          <w:ilvl w:val="0"/>
          <w:numId w:val="61"/>
        </w:numPr>
        <w:spacing w:after="0" w:line="240" w:lineRule="auto"/>
        <w:jc w:val="both"/>
        <w:rPr>
          <w:rFonts w:ascii="Times New Roman" w:eastAsia="Times New Roman" w:hAnsi="Times New Roman" w:cs="Times New Roman"/>
          <w:b/>
          <w:i/>
          <w:iCs/>
          <w:kern w:val="0"/>
          <w:lang w:eastAsia="sk-SK"/>
          <w14:ligatures w14:val="none"/>
        </w:rPr>
      </w:pPr>
      <w:r w:rsidRPr="00136466">
        <w:rPr>
          <w:rFonts w:ascii="Times New Roman" w:eastAsia="Times New Roman" w:hAnsi="Times New Roman" w:cs="Times New Roman"/>
          <w:b/>
          <w:i/>
          <w:iCs/>
          <w:kern w:val="0"/>
          <w:lang w:eastAsia="sk-SK"/>
          <w14:ligatures w14:val="none"/>
        </w:rPr>
        <w:t>Osobitná sadzba – subjekty podľa § 3 ods. 1 písm. a) druhý bod</w:t>
      </w:r>
    </w:p>
    <w:p w14:paraId="7E086633" w14:textId="77777777" w:rsidR="00136466" w:rsidRPr="00136466" w:rsidRDefault="00136466" w:rsidP="00136466">
      <w:pPr>
        <w:spacing w:after="0" w:line="240" w:lineRule="auto"/>
        <w:jc w:val="both"/>
        <w:rPr>
          <w:rFonts w:ascii="Times New Roman" w:eastAsia="Times New Roman" w:hAnsi="Times New Roman" w:cs="Times New Roman"/>
          <w:bCs/>
          <w:kern w:val="0"/>
          <w:lang w:eastAsia="sk-SK"/>
          <w14:ligatures w14:val="none"/>
        </w:rPr>
      </w:pPr>
    </w:p>
    <w:p w14:paraId="2345B0A2" w14:textId="77777777" w:rsidR="00136466" w:rsidRPr="00136466" w:rsidRDefault="00136466" w:rsidP="00136466">
      <w:pPr>
        <w:spacing w:after="0" w:line="240" w:lineRule="auto"/>
        <w:jc w:val="both"/>
        <w:rPr>
          <w:rFonts w:ascii="Times New Roman" w:eastAsia="Times New Roman" w:hAnsi="Times New Roman" w:cs="Times New Roman"/>
          <w:bCs/>
          <w:kern w:val="0"/>
          <w:lang w:eastAsia="sk-SK"/>
          <w14:ligatures w14:val="none"/>
        </w:rPr>
      </w:pPr>
      <w:r w:rsidRPr="00136466">
        <w:rPr>
          <w:rFonts w:ascii="Times New Roman" w:eastAsia="Times New Roman" w:hAnsi="Times New Roman" w:cs="Times New Roman"/>
          <w:bCs/>
          <w:kern w:val="0"/>
          <w:lang w:eastAsia="sk-SK"/>
          <w14:ligatures w14:val="none"/>
        </w:rPr>
        <w:t xml:space="preserve">Opatrenie by sa malo negatívne dotknúť cca 9 subjektov, čo predstavuje regulované osoby, ktorých  predmetom činnosti je vytváranie a správa dôchodkových fondov na vykonávanie starobného dôchodkového sporenia, vytváranie a správa doplnkových dôchodkových fondov alebo ktoré podnikajú v oblasti kolektívneho investovania a zároveň v poslednej účtovnej závierke vykázali výsledok hospodárenia presahujúci 3 mil. eur. </w:t>
      </w:r>
    </w:p>
    <w:p w14:paraId="4396054D" w14:textId="77777777" w:rsidR="00136466" w:rsidRPr="00136466" w:rsidRDefault="00136466" w:rsidP="00136466">
      <w:pPr>
        <w:spacing w:after="0" w:line="240" w:lineRule="auto"/>
        <w:jc w:val="both"/>
        <w:rPr>
          <w:rFonts w:ascii="Times New Roman" w:eastAsia="Times New Roman" w:hAnsi="Times New Roman" w:cs="Times New Roman"/>
          <w:bCs/>
          <w:kern w:val="0"/>
          <w:lang w:eastAsia="sk-SK"/>
          <w14:ligatures w14:val="none"/>
        </w:rPr>
      </w:pPr>
    </w:p>
    <w:p w14:paraId="6D563BA1" w14:textId="77777777" w:rsidR="00136466" w:rsidRPr="00136466" w:rsidRDefault="00136466" w:rsidP="00136466">
      <w:pPr>
        <w:spacing w:after="0" w:line="240" w:lineRule="auto"/>
        <w:jc w:val="both"/>
        <w:rPr>
          <w:rFonts w:ascii="Times New Roman" w:eastAsia="Times New Roman" w:hAnsi="Times New Roman" w:cs="Times New Roman"/>
          <w:bCs/>
          <w:kern w:val="0"/>
          <w:lang w:eastAsia="sk-SK"/>
          <w14:ligatures w14:val="none"/>
        </w:rPr>
      </w:pPr>
      <w:r w:rsidRPr="00136466">
        <w:rPr>
          <w:rFonts w:ascii="Times New Roman" w:eastAsia="Times New Roman" w:hAnsi="Times New Roman" w:cs="Times New Roman"/>
          <w:bCs/>
          <w:kern w:val="0"/>
          <w:lang w:eastAsia="sk-SK"/>
          <w14:ligatures w14:val="none"/>
        </w:rPr>
        <w:t>Predmetná regulácia pre dotknuté subjekty predstavuje priamy finančný náklad. Frekvencia plnenia bola určená raz ročne. Výpočet vplyvov výberu odvodu bol získaný od Inštitútu finančnej politiky a ide o čistý vplyv odvodu v prvom roku účinnosti zákona.</w:t>
      </w:r>
    </w:p>
    <w:p w14:paraId="203A7578" w14:textId="77777777" w:rsidR="00136466" w:rsidRPr="00136466" w:rsidRDefault="00136466" w:rsidP="00136466">
      <w:pPr>
        <w:spacing w:after="0" w:line="240" w:lineRule="auto"/>
        <w:jc w:val="both"/>
        <w:rPr>
          <w:rFonts w:ascii="Times New Roman" w:eastAsia="Calibri" w:hAnsi="Times New Roman" w:cs="Times New Roman"/>
          <w:bCs/>
          <w:i/>
          <w:iCs/>
          <w:color w:val="000000"/>
          <w:kern w:val="0"/>
          <w14:ligatures w14:val="none"/>
        </w:rPr>
      </w:pPr>
    </w:p>
    <w:p w14:paraId="7DB9384F" w14:textId="77777777" w:rsidR="00136466" w:rsidRPr="00136466" w:rsidRDefault="00136466" w:rsidP="00136466">
      <w:pPr>
        <w:numPr>
          <w:ilvl w:val="0"/>
          <w:numId w:val="61"/>
        </w:numPr>
        <w:spacing w:after="0" w:line="240" w:lineRule="auto"/>
        <w:contextualSpacing/>
        <w:jc w:val="both"/>
        <w:rPr>
          <w:rFonts w:ascii="Times New Roman" w:eastAsia="Calibri" w:hAnsi="Times New Roman" w:cs="Times New Roman"/>
          <w:b/>
          <w:i/>
          <w:iCs/>
          <w:color w:val="000000"/>
          <w:kern w:val="0"/>
          <w14:ligatures w14:val="none"/>
        </w:rPr>
      </w:pPr>
      <w:r w:rsidRPr="00136466">
        <w:rPr>
          <w:rFonts w:ascii="Times New Roman" w:eastAsia="Calibri" w:hAnsi="Times New Roman" w:cs="Times New Roman"/>
          <w:b/>
          <w:i/>
          <w:iCs/>
          <w:color w:val="000000"/>
          <w:kern w:val="0"/>
          <w14:ligatures w14:val="none"/>
        </w:rPr>
        <w:t>Doručenie písomného oznámenia správcovi odvodu</w:t>
      </w:r>
    </w:p>
    <w:p w14:paraId="45B225FC" w14:textId="77777777" w:rsidR="00136466" w:rsidRPr="00136466" w:rsidRDefault="00136466" w:rsidP="00136466">
      <w:pPr>
        <w:spacing w:after="0" w:line="240" w:lineRule="auto"/>
        <w:jc w:val="both"/>
        <w:rPr>
          <w:rFonts w:ascii="Times New Roman" w:eastAsia="Times New Roman" w:hAnsi="Times New Roman" w:cs="Times New Roman"/>
          <w:color w:val="000000"/>
          <w:kern w:val="0"/>
          <w:lang w:eastAsia="sk-SK"/>
          <w14:ligatures w14:val="none"/>
        </w:rPr>
      </w:pPr>
    </w:p>
    <w:p w14:paraId="5E6814FA" w14:textId="77777777" w:rsidR="00136466" w:rsidRPr="00136466" w:rsidRDefault="00136466" w:rsidP="00136466">
      <w:pPr>
        <w:spacing w:after="0" w:line="240" w:lineRule="auto"/>
        <w:jc w:val="both"/>
        <w:rPr>
          <w:rFonts w:ascii="Times New Roman" w:eastAsia="Times New Roman" w:hAnsi="Times New Roman" w:cs="Times New Roman"/>
          <w:color w:val="000000"/>
          <w:kern w:val="0"/>
          <w:lang w:eastAsia="sk-SK"/>
          <w14:ligatures w14:val="none"/>
        </w:rPr>
      </w:pPr>
      <w:r w:rsidRPr="00136466">
        <w:rPr>
          <w:rFonts w:ascii="Times New Roman" w:eastAsia="Times New Roman" w:hAnsi="Times New Roman" w:cs="Times New Roman"/>
          <w:color w:val="000000"/>
          <w:kern w:val="0"/>
          <w:lang w:eastAsia="sk-SK"/>
          <w14:ligatures w14:val="none"/>
        </w:rPr>
        <w:t>Opatrenie</w:t>
      </w:r>
      <w:r w:rsidRPr="00136466">
        <w:rPr>
          <w:rFonts w:ascii="Times New Roman" w:eastAsia="Times New Roman" w:hAnsi="Times New Roman" w:cs="Times New Roman"/>
          <w:color w:val="000000"/>
          <w:spacing w:val="57"/>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by</w:t>
      </w:r>
      <w:r w:rsidRPr="00136466">
        <w:rPr>
          <w:rFonts w:ascii="Times New Roman" w:eastAsia="Times New Roman" w:hAnsi="Times New Roman" w:cs="Times New Roman"/>
          <w:color w:val="000000"/>
          <w:spacing w:val="57"/>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sa</w:t>
      </w:r>
      <w:r w:rsidRPr="00136466">
        <w:rPr>
          <w:rFonts w:ascii="Times New Roman" w:eastAsia="Times New Roman" w:hAnsi="Times New Roman" w:cs="Times New Roman"/>
          <w:color w:val="000000"/>
          <w:spacing w:val="57"/>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malo</w:t>
      </w:r>
      <w:r w:rsidRPr="00136466">
        <w:rPr>
          <w:rFonts w:ascii="Times New Roman" w:eastAsia="Times New Roman" w:hAnsi="Times New Roman" w:cs="Times New Roman"/>
          <w:color w:val="000000"/>
          <w:spacing w:val="57"/>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negatívne</w:t>
      </w:r>
      <w:r w:rsidRPr="00136466">
        <w:rPr>
          <w:rFonts w:ascii="Times New Roman" w:eastAsia="Times New Roman" w:hAnsi="Times New Roman" w:cs="Times New Roman"/>
          <w:color w:val="000000"/>
          <w:spacing w:val="57"/>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dotknúť</w:t>
      </w:r>
      <w:r w:rsidRPr="00136466">
        <w:rPr>
          <w:rFonts w:ascii="Times New Roman" w:eastAsia="Times New Roman" w:hAnsi="Times New Roman" w:cs="Times New Roman"/>
          <w:color w:val="000000"/>
          <w:spacing w:val="57"/>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cca</w:t>
      </w:r>
      <w:r w:rsidRPr="00136466">
        <w:rPr>
          <w:rFonts w:ascii="Times New Roman" w:eastAsia="Times New Roman" w:hAnsi="Times New Roman" w:cs="Times New Roman"/>
          <w:color w:val="000000"/>
          <w:spacing w:val="57"/>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9</w:t>
      </w:r>
      <w:r w:rsidRPr="00136466">
        <w:rPr>
          <w:rFonts w:ascii="Times New Roman" w:eastAsia="Times New Roman" w:hAnsi="Times New Roman" w:cs="Times New Roman"/>
          <w:color w:val="000000"/>
          <w:spacing w:val="57"/>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subjektov,</w:t>
      </w:r>
      <w:r w:rsidRPr="00136466">
        <w:rPr>
          <w:rFonts w:ascii="Times New Roman" w:eastAsia="Times New Roman" w:hAnsi="Times New Roman" w:cs="Times New Roman"/>
          <w:color w:val="000000"/>
          <w:spacing w:val="57"/>
          <w:kern w:val="0"/>
          <w:lang w:eastAsia="sk-SK"/>
          <w14:ligatures w14:val="none"/>
        </w:rPr>
        <w:t xml:space="preserve"> u </w:t>
      </w:r>
      <w:r w:rsidRPr="00136466">
        <w:rPr>
          <w:rFonts w:ascii="Times New Roman" w:eastAsia="Times New Roman" w:hAnsi="Times New Roman" w:cs="Times New Roman"/>
          <w:color w:val="000000"/>
          <w:kern w:val="0"/>
          <w:lang w:eastAsia="sk-SK"/>
          <w14:ligatures w14:val="none"/>
        </w:rPr>
        <w:t>ktorých dôjde k zmene sadzby odvodu.</w:t>
      </w:r>
      <w:r w:rsidRPr="00136466">
        <w:rPr>
          <w:rFonts w:ascii="Times New Roman" w:eastAsia="Times New Roman" w:hAnsi="Times New Roman" w:cs="Times New Roman"/>
          <w:color w:val="000000"/>
          <w:spacing w:val="63"/>
          <w:kern w:val="0"/>
          <w:lang w:eastAsia="sk-SK"/>
          <w14:ligatures w14:val="none"/>
        </w:rPr>
        <w:t xml:space="preserve"> </w:t>
      </w:r>
    </w:p>
    <w:p w14:paraId="59F9B241" w14:textId="77777777" w:rsidR="00136466" w:rsidRPr="00136466" w:rsidRDefault="00136466" w:rsidP="00136466">
      <w:pPr>
        <w:spacing w:after="0" w:line="240" w:lineRule="auto"/>
        <w:jc w:val="both"/>
        <w:rPr>
          <w:rFonts w:ascii="Times New Roman" w:eastAsia="Times New Roman" w:hAnsi="Times New Roman" w:cs="Times New Roman"/>
          <w:color w:val="000000"/>
          <w:kern w:val="0"/>
          <w:lang w:eastAsia="sk-SK"/>
          <w14:ligatures w14:val="none"/>
        </w:rPr>
      </w:pPr>
    </w:p>
    <w:p w14:paraId="5B3855FB" w14:textId="77777777" w:rsidR="00136466" w:rsidRPr="00136466" w:rsidRDefault="00136466" w:rsidP="00136466">
      <w:pPr>
        <w:spacing w:after="0" w:line="240" w:lineRule="auto"/>
        <w:jc w:val="both"/>
        <w:rPr>
          <w:rFonts w:ascii="Times New Roman" w:eastAsia="Times New Roman" w:hAnsi="Times New Roman" w:cs="Times New Roman"/>
          <w:color w:val="000000"/>
          <w:kern w:val="0"/>
          <w:lang w:eastAsia="sk-SK"/>
          <w14:ligatures w14:val="none"/>
        </w:rPr>
      </w:pPr>
      <w:r w:rsidRPr="00136466">
        <w:rPr>
          <w:rFonts w:ascii="Times New Roman" w:eastAsia="Times New Roman" w:hAnsi="Times New Roman" w:cs="Times New Roman"/>
          <w:color w:val="000000"/>
          <w:kern w:val="0"/>
          <w:lang w:eastAsia="sk-SK"/>
          <w14:ligatures w14:val="none"/>
        </w:rPr>
        <w:t>Predmetná</w:t>
      </w:r>
      <w:r w:rsidRPr="00136466">
        <w:rPr>
          <w:rFonts w:ascii="Times New Roman" w:eastAsia="Times New Roman" w:hAnsi="Times New Roman" w:cs="Times New Roman"/>
          <w:color w:val="000000"/>
          <w:spacing w:val="-5"/>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regulácia</w:t>
      </w:r>
      <w:r w:rsidRPr="00136466">
        <w:rPr>
          <w:rFonts w:ascii="Times New Roman" w:eastAsia="Times New Roman" w:hAnsi="Times New Roman" w:cs="Times New Roman"/>
          <w:color w:val="000000"/>
          <w:spacing w:val="-5"/>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pre</w:t>
      </w:r>
      <w:r w:rsidRPr="00136466">
        <w:rPr>
          <w:rFonts w:ascii="Times New Roman" w:eastAsia="Times New Roman" w:hAnsi="Times New Roman" w:cs="Times New Roman"/>
          <w:color w:val="000000"/>
          <w:spacing w:val="-5"/>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dotknuté</w:t>
      </w:r>
      <w:r w:rsidRPr="00136466">
        <w:rPr>
          <w:rFonts w:ascii="Times New Roman" w:eastAsia="Times New Roman" w:hAnsi="Times New Roman" w:cs="Times New Roman"/>
          <w:color w:val="000000"/>
          <w:spacing w:val="-5"/>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subjekty</w:t>
      </w:r>
      <w:r w:rsidRPr="00136466">
        <w:rPr>
          <w:rFonts w:ascii="Times New Roman" w:eastAsia="Times New Roman" w:hAnsi="Times New Roman" w:cs="Times New Roman"/>
          <w:color w:val="000000"/>
          <w:spacing w:val="-5"/>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predstavuje</w:t>
      </w:r>
      <w:r w:rsidRPr="00136466">
        <w:rPr>
          <w:rFonts w:ascii="Times New Roman" w:eastAsia="Times New Roman" w:hAnsi="Times New Roman" w:cs="Times New Roman"/>
          <w:color w:val="000000"/>
          <w:spacing w:val="-5"/>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administratívny</w:t>
      </w:r>
      <w:r w:rsidRPr="00136466">
        <w:rPr>
          <w:rFonts w:ascii="Times New Roman" w:eastAsia="Times New Roman" w:hAnsi="Times New Roman" w:cs="Times New Roman"/>
          <w:color w:val="000000"/>
          <w:spacing w:val="-5"/>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vplyv.</w:t>
      </w:r>
      <w:r w:rsidRPr="00136466">
        <w:rPr>
          <w:rFonts w:ascii="Times New Roman" w:eastAsia="Times New Roman" w:hAnsi="Times New Roman" w:cs="Times New Roman"/>
          <w:color w:val="000000"/>
          <w:spacing w:val="-5"/>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Frekvencia</w:t>
      </w:r>
      <w:r w:rsidRPr="00136466">
        <w:rPr>
          <w:rFonts w:ascii="Times New Roman" w:eastAsia="Times New Roman" w:hAnsi="Times New Roman" w:cs="Times New Roman"/>
          <w:color w:val="000000"/>
          <w:spacing w:val="20"/>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plnenia</w:t>
      </w:r>
      <w:r w:rsidRPr="00136466">
        <w:rPr>
          <w:rFonts w:ascii="Times New Roman" w:eastAsia="Times New Roman" w:hAnsi="Times New Roman" w:cs="Times New Roman"/>
          <w:color w:val="000000"/>
          <w:spacing w:val="20"/>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bola</w:t>
      </w:r>
      <w:r w:rsidRPr="00136466">
        <w:rPr>
          <w:rFonts w:ascii="Times New Roman" w:eastAsia="Times New Roman" w:hAnsi="Times New Roman" w:cs="Times New Roman"/>
          <w:color w:val="000000"/>
          <w:spacing w:val="20"/>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určená</w:t>
      </w:r>
      <w:r w:rsidRPr="00136466">
        <w:rPr>
          <w:rFonts w:ascii="Times New Roman" w:eastAsia="Times New Roman" w:hAnsi="Times New Roman" w:cs="Times New Roman"/>
          <w:color w:val="000000"/>
          <w:spacing w:val="20"/>
          <w:kern w:val="0"/>
          <w:lang w:eastAsia="sk-SK"/>
          <w14:ligatures w14:val="none"/>
        </w:rPr>
        <w:t xml:space="preserve"> </w:t>
      </w:r>
      <w:r w:rsidRPr="00136466">
        <w:rPr>
          <w:rFonts w:ascii="Times New Roman" w:eastAsia="Times New Roman" w:hAnsi="Times New Roman" w:cs="Times New Roman"/>
          <w:color w:val="000000"/>
          <w:kern w:val="0"/>
          <w:lang w:eastAsia="sk-SK"/>
          <w14:ligatures w14:val="none"/>
        </w:rPr>
        <w:t>jednorazovo.</w:t>
      </w:r>
    </w:p>
    <w:p w14:paraId="1B476D61"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p>
    <w:p w14:paraId="1E3BEAFF" w14:textId="77777777" w:rsidR="00136466" w:rsidRPr="00136466" w:rsidRDefault="00136466" w:rsidP="00136466">
      <w:pPr>
        <w:spacing w:after="0" w:line="240" w:lineRule="auto"/>
        <w:jc w:val="both"/>
        <w:rPr>
          <w:rFonts w:ascii="Times New Roman" w:eastAsia="Calibri" w:hAnsi="Times New Roman" w:cs="Times New Roman"/>
          <w:b/>
          <w:i/>
          <w:iCs/>
          <w:color w:val="000000"/>
          <w:kern w:val="0"/>
          <w14:ligatures w14:val="none"/>
        </w:rPr>
      </w:pPr>
      <w:r w:rsidRPr="00136466">
        <w:rPr>
          <w:rFonts w:ascii="Times New Roman" w:eastAsia="Calibri" w:hAnsi="Times New Roman" w:cs="Times New Roman"/>
          <w:b/>
          <w:i/>
          <w:iCs/>
          <w:color w:val="000000"/>
          <w:kern w:val="0"/>
          <w14:ligatures w14:val="none"/>
        </w:rPr>
        <w:t>K reguláciám č. 14 až 18 – úpravy v zákone o dani z príjmu</w:t>
      </w:r>
    </w:p>
    <w:p w14:paraId="7BB2FA6C"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p>
    <w:p w14:paraId="1C3DED82"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r w:rsidRPr="00136466">
        <w:rPr>
          <w:rFonts w:ascii="Times New Roman" w:eastAsia="Calibri" w:hAnsi="Times New Roman" w:cs="Times New Roman"/>
          <w:color w:val="000000"/>
          <w:kern w:val="0"/>
          <w14:ligatures w14:val="none"/>
        </w:rPr>
        <w:t>Pri vypracovaní analýzy vplyvov na podnikateľské prostredie vychádzalo MF SR z dostupných zdrojov ministerstva a analýz Inštitútu finančnej politiky.</w:t>
      </w:r>
    </w:p>
    <w:p w14:paraId="0ECD59D7"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r w:rsidRPr="00136466">
        <w:rPr>
          <w:rFonts w:ascii="Times New Roman" w:eastAsia="Calibri" w:hAnsi="Times New Roman" w:cs="Times New Roman"/>
          <w:color w:val="000000"/>
          <w:kern w:val="0"/>
          <w14:ligatures w14:val="none"/>
        </w:rPr>
        <w:t>Regulácia úpravy odpočtu na investície uvádza v nasledujúcom roku 2026 nulový vplyv na podnikateľské prostredie, regulácia bude mať vplyv na podnikateľské prostredie až v roku 2028, 2029 a 2030.</w:t>
      </w:r>
    </w:p>
    <w:p w14:paraId="76FC36C3" w14:textId="77777777" w:rsidR="00136466" w:rsidRPr="00136466" w:rsidRDefault="00136466" w:rsidP="00136466">
      <w:pPr>
        <w:spacing w:after="0" w:line="240" w:lineRule="auto"/>
        <w:jc w:val="both"/>
        <w:rPr>
          <w:rFonts w:ascii="Times New Roman" w:eastAsia="Calibri" w:hAnsi="Times New Roman" w:cs="Times New Roman"/>
          <w:color w:val="000000"/>
          <w:kern w:val="0"/>
          <w14:ligatures w14:val="none"/>
        </w:rPr>
      </w:pPr>
    </w:p>
    <w:p w14:paraId="44CDD6BE" w14:textId="77777777" w:rsidR="00136466" w:rsidRPr="00136466" w:rsidRDefault="00136466" w:rsidP="00136466">
      <w:pPr>
        <w:spacing w:after="0" w:line="240" w:lineRule="auto"/>
        <w:jc w:val="both"/>
        <w:rPr>
          <w:rFonts w:ascii="Times New Roman" w:eastAsia="Calibri" w:hAnsi="Times New Roman" w:cs="Times New Roman"/>
          <w:b/>
          <w:i/>
          <w:iCs/>
          <w:color w:val="000000"/>
          <w:kern w:val="0"/>
          <w14:ligatures w14:val="none"/>
        </w:rPr>
      </w:pPr>
      <w:r w:rsidRPr="00136466">
        <w:rPr>
          <w:rFonts w:ascii="Times New Roman" w:eastAsia="Calibri" w:hAnsi="Times New Roman" w:cs="Times New Roman"/>
          <w:b/>
          <w:bCs/>
          <w:i/>
          <w:iCs/>
          <w:color w:val="000000"/>
          <w:kern w:val="0"/>
          <w14:ligatures w14:val="none"/>
        </w:rPr>
        <w:t>K reguláciám č. 19 až 21 - Poplatky, úhrady</w:t>
      </w:r>
      <w:r w:rsidRPr="00136466">
        <w:rPr>
          <w:rFonts w:ascii="Times New Roman" w:eastAsia="Calibri" w:hAnsi="Times New Roman" w:cs="Times New Roman"/>
          <w:b/>
          <w:i/>
          <w:iCs/>
          <w:color w:val="000000"/>
          <w:kern w:val="0"/>
          <w14:ligatures w14:val="none"/>
        </w:rPr>
        <w:t xml:space="preserve"> za skladovanie ropy a plynu, za dobývací priestor a primárne suroviny, a to stavebný kameň, štrkopiesky a piesky</w:t>
      </w:r>
    </w:p>
    <w:p w14:paraId="27B41343"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4253BBD2"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r w:rsidRPr="00136466">
        <w:rPr>
          <w:rFonts w:ascii="Times New Roman" w:eastAsia="Calibri" w:hAnsi="Times New Roman" w:cs="Times New Roman"/>
          <w:bCs/>
          <w:iCs/>
          <w:color w:val="000000"/>
          <w:kern w:val="0"/>
          <w14:ligatures w14:val="none"/>
        </w:rPr>
        <w:t>Zákonom sa upravuje výška úhrad za využívanie nerastného bohatstva, ktoré neboli dlhodobo revidované a nezohľadňovali aktuálne ekonomické a trhové podmienky.</w:t>
      </w:r>
    </w:p>
    <w:p w14:paraId="21592FE6"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758F3E67"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r w:rsidRPr="00136466">
        <w:rPr>
          <w:rFonts w:ascii="Times New Roman" w:eastAsia="Calibri" w:hAnsi="Times New Roman" w:cs="Times New Roman"/>
          <w:bCs/>
          <w:iCs/>
          <w:color w:val="000000"/>
          <w:kern w:val="0"/>
          <w14:ligatures w14:val="none"/>
        </w:rPr>
        <w:t>Z dôvodu dlhoročnej neaktualizácie sadzieb sa zavádzajú nové úhrady, ktoré reagujú na vývoj cien a infláciu.  Nová ročná sadzba úhrad za dobývací priestor sa stanovuje vo výške 1 000 eur za každý aj začatý km² plošného obsahu dobývacieho priestoru. V súčasnosti je  úhrada za dobývací priestor stanovená vo výške 20 000 Sk za každý aj začatý km² plošného obsahu dobývacieho priestoru. Úhrady za uskladňovanie plynov alebo kvapalín sa stanovujú vo výške 0,001 eur za každý 1 m³ uskladneného (zatlačeného) plynu alebo za každú 1 tonu kvapaliny. V súčasnosti je úhrada za uskladňovanie plynov alebo kvapalín vo výške 0,02 Sk za každý 1 m³ uskladneného (zatlačeného) plynu alebo za každú 1 tonu kvapaliny.</w:t>
      </w:r>
    </w:p>
    <w:p w14:paraId="1359E9EF"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7B703AAE"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r w:rsidRPr="00136466">
        <w:rPr>
          <w:rFonts w:ascii="Times New Roman" w:eastAsia="Calibri" w:hAnsi="Times New Roman" w:cs="Times New Roman"/>
          <w:bCs/>
          <w:iCs/>
          <w:color w:val="000000"/>
          <w:kern w:val="0"/>
          <w14:ligatures w14:val="none"/>
        </w:rPr>
        <w:t>Dopĺňa sa a mení systém platenia úhrad za vydobyté primárne suroviny, konkrétne za štrkopiesky, piesky a stavebný kameň, ktoré sa nachádzajú na ložiskách nevyhradených nerastov, ako aj na výhradných ložiskách nevyhradených nerastov.</w:t>
      </w:r>
    </w:p>
    <w:p w14:paraId="1B8822A5"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50A5CA1D"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r w:rsidRPr="00136466">
        <w:rPr>
          <w:rFonts w:ascii="Times New Roman" w:eastAsia="Calibri" w:hAnsi="Times New Roman" w:cs="Times New Roman"/>
          <w:bCs/>
          <w:iCs/>
          <w:color w:val="000000"/>
          <w:kern w:val="0"/>
          <w14:ligatures w14:val="none"/>
        </w:rPr>
        <w:t>Navrhuje sa pri výpočte úhrady za vydobyté primárne suroviny vychádzať zo súčinu skutočného  množstva vydobytých primárnych surovín v tonách a stanovenej jednotkovej sadzby úhrady. Sadzba úhrady za vydobyté primárne suroviny sa navrhuje vo výške 1,35 eur za tonu.</w:t>
      </w:r>
    </w:p>
    <w:p w14:paraId="0347A0E4"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6DF402F2" w14:textId="77777777" w:rsidR="00136466" w:rsidRPr="00136466" w:rsidRDefault="00136466" w:rsidP="00136466">
      <w:pPr>
        <w:numPr>
          <w:ilvl w:val="0"/>
          <w:numId w:val="63"/>
        </w:numPr>
        <w:spacing w:after="0" w:line="240" w:lineRule="auto"/>
        <w:contextualSpacing/>
        <w:jc w:val="both"/>
        <w:rPr>
          <w:rFonts w:ascii="Times New Roman" w:eastAsia="Calibri" w:hAnsi="Times New Roman" w:cs="Times New Roman"/>
          <w:b/>
          <w:i/>
          <w:iCs/>
          <w:color w:val="000000"/>
          <w:kern w:val="0"/>
          <w14:ligatures w14:val="none"/>
        </w:rPr>
      </w:pPr>
      <w:r w:rsidRPr="00136466">
        <w:rPr>
          <w:rFonts w:ascii="Times New Roman" w:eastAsia="Calibri" w:hAnsi="Times New Roman" w:cs="Times New Roman"/>
          <w:b/>
          <w:i/>
          <w:iCs/>
          <w:color w:val="000000"/>
          <w:kern w:val="0"/>
          <w14:ligatures w14:val="none"/>
        </w:rPr>
        <w:t>Zvýšenie odvodov na verejné zdravotné poistenie o 1 perc. bod</w:t>
      </w:r>
    </w:p>
    <w:p w14:paraId="4521FFFE"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p>
    <w:p w14:paraId="44668A6A"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r w:rsidRPr="00136466">
        <w:rPr>
          <w:rFonts w:ascii="Times New Roman" w:eastAsia="Calibri" w:hAnsi="Times New Roman" w:cs="Times New Roman"/>
          <w:bCs/>
          <w:color w:val="000000"/>
          <w:kern w:val="0"/>
          <w14:ligatures w14:val="none"/>
        </w:rPr>
        <w:t>Údaj o počte samostatne zárobkovo činných osôb bol prevzatý z verejne dostupných publikovaných údajov Štatistického úradu SR o počte živnostníkov v SR za rok 2024 (377 324 aktívnych živností).</w:t>
      </w:r>
    </w:p>
    <w:p w14:paraId="2CD8E7DD"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r w:rsidRPr="00136466">
        <w:rPr>
          <w:rFonts w:ascii="Times New Roman" w:eastAsia="Calibri" w:hAnsi="Times New Roman" w:cs="Times New Roman"/>
          <w:bCs/>
          <w:color w:val="000000"/>
          <w:kern w:val="0"/>
          <w14:ligatures w14:val="none"/>
        </w:rPr>
        <w:t>Finančný dopad zvýšenia odvodu o 1 percentuálny bod na samostatne zárobkovo činné osoby (28 810 000 eur) bol prevzatý z odhadovaného zvýšenia príjmu zdravotných poisťovní od skupiny samostatne zárobkovo činných osôb (zdroj: analýza MF SR).</w:t>
      </w:r>
    </w:p>
    <w:p w14:paraId="1843DD95"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p>
    <w:p w14:paraId="7E985DDD" w14:textId="77777777" w:rsidR="00136466" w:rsidRPr="00136466" w:rsidRDefault="00136466" w:rsidP="00136466">
      <w:pPr>
        <w:numPr>
          <w:ilvl w:val="0"/>
          <w:numId w:val="63"/>
        </w:numPr>
        <w:spacing w:after="0" w:line="240" w:lineRule="auto"/>
        <w:contextualSpacing/>
        <w:jc w:val="both"/>
        <w:rPr>
          <w:rFonts w:ascii="Times New Roman" w:eastAsia="Calibri" w:hAnsi="Times New Roman" w:cs="Times New Roman"/>
          <w:b/>
          <w:bCs/>
          <w:i/>
          <w:iCs/>
          <w:color w:val="000000"/>
          <w:kern w:val="0"/>
          <w14:ligatures w14:val="none"/>
        </w:rPr>
      </w:pPr>
      <w:r w:rsidRPr="00136466">
        <w:rPr>
          <w:rFonts w:ascii="Times New Roman" w:eastAsia="Calibri" w:hAnsi="Times New Roman" w:cs="Times New Roman"/>
          <w:b/>
          <w:i/>
          <w:iCs/>
          <w:color w:val="000000"/>
          <w:kern w:val="0"/>
          <w14:ligatures w14:val="none"/>
        </w:rPr>
        <w:t>Platenie poistného na nemocenské, dôchodkové a garančné poistenie, poistenie v nezamestnanosti a do rezervného fondu solidarity z príjmu vyplatenom pri vylúčení povinnosti platiť poistné (napr. PN-ke, materskom). Vplyv vyššej platby na sociálne poistenie. Opatrenie</w:t>
      </w:r>
      <w:r w:rsidRPr="00136466">
        <w:rPr>
          <w:rFonts w:ascii="Times New Roman" w:eastAsia="Calibri" w:hAnsi="Times New Roman" w:cs="Times New Roman"/>
          <w:b/>
          <w:bCs/>
          <w:i/>
          <w:iCs/>
          <w:color w:val="000000"/>
          <w:kern w:val="0"/>
          <w14:ligatures w14:val="none"/>
        </w:rPr>
        <w:t xml:space="preserve"> 1A (IN) </w:t>
      </w:r>
      <w:r w:rsidRPr="00136466">
        <w:rPr>
          <w:rFonts w:ascii="Times New Roman" w:eastAsia="Calibri" w:hAnsi="Times New Roman" w:cs="Times New Roman"/>
          <w:i/>
          <w:iCs/>
          <w:color w:val="000000"/>
          <w:kern w:val="0"/>
          <w14:ligatures w14:val="none"/>
        </w:rPr>
        <w:t>-</w:t>
      </w:r>
      <w:r w:rsidRPr="00136466">
        <w:rPr>
          <w:rFonts w:ascii="Times New Roman" w:eastAsia="Calibri" w:hAnsi="Times New Roman" w:cs="Times New Roman"/>
          <w:iCs/>
          <w:color w:val="000000"/>
          <w:kern w:val="0"/>
          <w14:ligatures w14:val="none"/>
        </w:rPr>
        <w:t xml:space="preserve"> </w:t>
      </w:r>
      <w:r w:rsidRPr="00136466">
        <w:rPr>
          <w:rFonts w:ascii="Times New Roman" w:eastAsia="Calibri" w:hAnsi="Times New Roman" w:cs="Times New Roman"/>
          <w:bCs/>
          <w:iCs/>
          <w:color w:val="000000"/>
          <w:kern w:val="0"/>
          <w14:ligatures w14:val="none"/>
        </w:rPr>
        <w:t xml:space="preserve">počet dotknutých zamestnávateľov očakávame na úrovni cca 11,4 tis. (iba zamestnávatelia v súkromnom sektore).    </w:t>
      </w:r>
    </w:p>
    <w:p w14:paraId="3655E517"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18427C4C"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r w:rsidRPr="00136466">
        <w:rPr>
          <w:rFonts w:ascii="Times New Roman" w:eastAsia="Calibri" w:hAnsi="Times New Roman" w:cs="Times New Roman"/>
          <w:bCs/>
          <w:iCs/>
          <w:color w:val="000000"/>
          <w:kern w:val="0"/>
          <w14:ligatures w14:val="none"/>
        </w:rPr>
        <w:t xml:space="preserve">A) Dane, odvody a clá – v súlade s kvantifikáciami a metodikou výpočtu uvedenou v analýze vplyvov na rozpočet verejnej správy sa predpokladá negatívny vplyv na zamestnávateľov z dôvodu vyššej platby poistného na nemocenské, dôchodkové, garančné poistenie, poistenie v nezamestnanosti a poistného do rezervného fondu solidarity na úrovni cca 18,3 mil. eur ročne (bez subjektov verejnej správy), čo na jedného dotknutého zamestnávateľa predstavuje v priemere cca 1 609 eur. Navrhovaná účinnosť je od 1. januára 2026. </w:t>
      </w:r>
    </w:p>
    <w:p w14:paraId="49A73A63"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2F77CC72" w14:textId="77777777" w:rsidR="00136466" w:rsidRPr="00136466" w:rsidRDefault="00136466" w:rsidP="00136466">
      <w:pPr>
        <w:numPr>
          <w:ilvl w:val="0"/>
          <w:numId w:val="63"/>
        </w:numPr>
        <w:spacing w:after="0" w:line="240" w:lineRule="auto"/>
        <w:contextualSpacing/>
        <w:jc w:val="both"/>
        <w:rPr>
          <w:rFonts w:ascii="Times New Roman" w:eastAsia="Calibri" w:hAnsi="Times New Roman" w:cs="Times New Roman"/>
          <w:b/>
          <w:bCs/>
          <w:i/>
          <w:iCs/>
          <w:color w:val="000000"/>
          <w:kern w:val="0"/>
          <w14:ligatures w14:val="none"/>
        </w:rPr>
      </w:pPr>
      <w:r w:rsidRPr="00136466">
        <w:rPr>
          <w:rFonts w:ascii="Times New Roman" w:eastAsia="Calibri" w:hAnsi="Times New Roman" w:cs="Times New Roman"/>
          <w:b/>
          <w:i/>
          <w:iCs/>
          <w:color w:val="000000"/>
          <w:kern w:val="0"/>
          <w14:ligatures w14:val="none"/>
        </w:rPr>
        <w:t>Platenie poistného na nemocenské, dôchodkové a garančné poistenie, poistenie v nezamestnanosti a do rezervného fondu solidarity z príjmu vyplatenom pri vylúčení povinnosti platiť poistné (napr. PN-ke, materskom). Vplyv nižšej platby na daň z príjmu právnických osôb (prejaví sa až v roku 2027). Opatrenie</w:t>
      </w:r>
      <w:r w:rsidRPr="00136466">
        <w:rPr>
          <w:rFonts w:ascii="Times New Roman" w:eastAsia="Calibri" w:hAnsi="Times New Roman" w:cs="Times New Roman"/>
          <w:b/>
          <w:bCs/>
          <w:i/>
          <w:iCs/>
          <w:color w:val="000000"/>
          <w:kern w:val="0"/>
          <w14:ligatures w14:val="none"/>
        </w:rPr>
        <w:t xml:space="preserve"> 1B (OUT) </w:t>
      </w:r>
      <w:r w:rsidRPr="00136466">
        <w:rPr>
          <w:rFonts w:ascii="Times New Roman" w:eastAsia="Calibri" w:hAnsi="Times New Roman" w:cs="Times New Roman"/>
          <w:i/>
          <w:iCs/>
          <w:color w:val="000000"/>
          <w:kern w:val="0"/>
          <w14:ligatures w14:val="none"/>
        </w:rPr>
        <w:t>-</w:t>
      </w:r>
      <w:r w:rsidRPr="00136466">
        <w:rPr>
          <w:rFonts w:ascii="Times New Roman" w:eastAsia="Calibri" w:hAnsi="Times New Roman" w:cs="Times New Roman"/>
          <w:bCs/>
          <w:iCs/>
          <w:color w:val="000000"/>
          <w:kern w:val="0"/>
          <w14:ligatures w14:val="none"/>
        </w:rPr>
        <w:t xml:space="preserve"> počet dotknutých zamestnávateľov očakávame na úrovni cca 11,4 tis. (iba zamestnávatelia v súkromnom sektore).    </w:t>
      </w:r>
    </w:p>
    <w:p w14:paraId="21EAFB25"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4EB18A17"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r w:rsidRPr="00136466">
        <w:rPr>
          <w:rFonts w:ascii="Times New Roman" w:eastAsia="Calibri" w:hAnsi="Times New Roman" w:cs="Times New Roman"/>
          <w:bCs/>
          <w:iCs/>
          <w:color w:val="000000"/>
          <w:kern w:val="0"/>
          <w14:ligatures w14:val="none"/>
        </w:rPr>
        <w:t xml:space="preserve">A) Dane, odvody a clá – v súlade s kvantifikáciami a metodikou výpočtu uvedenou v analýze vplyvov na rozpočet verejnej správy sa predpokladá pozitívny vplyv na zamestnávateľov z dôvodu nižšej platby na daň z príjmu právnických osôb na úrovni cca 3,3 mil. eur ročne (bez subjektov verejnej správy), čo na jedného dotknutého zamestnávateľa predstavuje úsporu v priemere cca 287 eur. Navrhovaná účinnosť je od 1. januára 2026, avšak úspora na dani z príjmu právnických osôb sa prejaví až v roku 2027. </w:t>
      </w:r>
    </w:p>
    <w:p w14:paraId="0C0B716B" w14:textId="77777777" w:rsidR="00136466" w:rsidRPr="00136466" w:rsidRDefault="00136466" w:rsidP="00136466">
      <w:pPr>
        <w:spacing w:after="0" w:line="240" w:lineRule="auto"/>
        <w:jc w:val="both"/>
        <w:rPr>
          <w:rFonts w:ascii="Times New Roman" w:eastAsia="Calibri" w:hAnsi="Times New Roman" w:cs="Times New Roman"/>
          <w:b/>
          <w:bCs/>
          <w:i/>
          <w:iCs/>
          <w:color w:val="000000"/>
          <w:kern w:val="0"/>
          <w:u w:val="single"/>
          <w14:ligatures w14:val="none"/>
        </w:rPr>
      </w:pPr>
    </w:p>
    <w:p w14:paraId="2E0AE047" w14:textId="77777777" w:rsidR="00136466" w:rsidRPr="00136466" w:rsidRDefault="00136466" w:rsidP="00136466">
      <w:pPr>
        <w:numPr>
          <w:ilvl w:val="0"/>
          <w:numId w:val="63"/>
        </w:numPr>
        <w:spacing w:after="0" w:line="240" w:lineRule="auto"/>
        <w:contextualSpacing/>
        <w:jc w:val="both"/>
        <w:rPr>
          <w:rFonts w:ascii="Times New Roman" w:eastAsia="Calibri" w:hAnsi="Times New Roman" w:cs="Times New Roman"/>
          <w:bCs/>
          <w:i/>
          <w:iCs/>
          <w:color w:val="000000"/>
          <w:kern w:val="0"/>
          <w14:ligatures w14:val="none"/>
        </w:rPr>
      </w:pPr>
      <w:r w:rsidRPr="00136466">
        <w:rPr>
          <w:rFonts w:ascii="Times New Roman" w:eastAsia="Calibri" w:hAnsi="Times New Roman" w:cs="Times New Roman"/>
          <w:b/>
          <w:i/>
          <w:iCs/>
          <w:color w:val="000000"/>
          <w:kern w:val="0"/>
          <w14:ligatures w14:val="none"/>
        </w:rPr>
        <w:t xml:space="preserve">Zvýšenie minimálneho vymeriavacieho základu na platenie poistného na sociálne poistenie z 50 % na 60 % priemernej mzdy v národnom hospodárstve spred dvoch rokov (SZČO). Vplyv vyššej platby na sociálne poistenie. Opatrenie 2A (IN) </w:t>
      </w:r>
      <w:r w:rsidRPr="00136466">
        <w:rPr>
          <w:rFonts w:ascii="Times New Roman" w:eastAsia="Calibri" w:hAnsi="Times New Roman" w:cs="Times New Roman"/>
          <w:bCs/>
          <w:i/>
          <w:iCs/>
          <w:color w:val="000000"/>
          <w:kern w:val="0"/>
          <w14:ligatures w14:val="none"/>
        </w:rPr>
        <w:t>- počet dotknutých SZČO</w:t>
      </w:r>
      <w:r w:rsidRPr="00136466">
        <w:rPr>
          <w:rFonts w:ascii="Times New Roman" w:eastAsia="Calibri" w:hAnsi="Times New Roman" w:cs="Times New Roman"/>
          <w:bCs/>
          <w:iCs/>
          <w:color w:val="000000"/>
          <w:kern w:val="0"/>
          <w14:ligatures w14:val="none"/>
        </w:rPr>
        <w:t xml:space="preserve"> očakávame na úrovni cca 200 tis..    </w:t>
      </w:r>
    </w:p>
    <w:p w14:paraId="724AC56D"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3984EB4C"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r w:rsidRPr="00136466">
        <w:rPr>
          <w:rFonts w:ascii="Times New Roman" w:eastAsia="Calibri" w:hAnsi="Times New Roman" w:cs="Times New Roman"/>
          <w:bCs/>
          <w:iCs/>
          <w:color w:val="000000"/>
          <w:kern w:val="0"/>
          <w14:ligatures w14:val="none"/>
        </w:rPr>
        <w:t xml:space="preserve">A) Dane, odvody a clá – v súlade s kvantifikáciami a metodikou výpočtu uvedenou v analýze vplyvov na rozpočet verejnej správy sa predpokladá negatívny vplyv na SZČO z dôvodu vyššej platby poistného na nemocenské poistenie,  dôchodkové poistenie a poistného do rezervného fondu solidarity na úrovni cca 98,4 mil. eur ročne, čo na jedného dotknutého SZČO predstavuje v priemere cca 500 eur. Navrhovaná účinnosť je od 1. januára 2026. </w:t>
      </w:r>
    </w:p>
    <w:p w14:paraId="3B439076"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2A09CE25" w14:textId="77777777" w:rsidR="00136466" w:rsidRPr="00136466" w:rsidRDefault="00136466" w:rsidP="00136466">
      <w:pPr>
        <w:numPr>
          <w:ilvl w:val="0"/>
          <w:numId w:val="63"/>
        </w:numPr>
        <w:spacing w:after="0" w:line="240" w:lineRule="auto"/>
        <w:contextualSpacing/>
        <w:jc w:val="both"/>
        <w:rPr>
          <w:rFonts w:ascii="Times New Roman" w:eastAsia="Calibri" w:hAnsi="Times New Roman" w:cs="Times New Roman"/>
          <w:b/>
          <w:bCs/>
          <w:i/>
          <w:iCs/>
          <w:color w:val="000000"/>
          <w:kern w:val="0"/>
          <w14:ligatures w14:val="none"/>
        </w:rPr>
      </w:pPr>
      <w:r w:rsidRPr="00136466">
        <w:rPr>
          <w:rFonts w:ascii="Times New Roman" w:eastAsia="Calibri" w:hAnsi="Times New Roman" w:cs="Times New Roman"/>
          <w:b/>
          <w:i/>
          <w:iCs/>
          <w:color w:val="000000"/>
          <w:kern w:val="0"/>
          <w14:ligatures w14:val="none"/>
        </w:rPr>
        <w:t>Zvýšenie minimálneho vymeriavacieho základu na platenie poistného na sociálne poistenie z 50 % na 60 % priemernej mzdy v národnom hospodárstve spred dvoch rokov (SZČO). Vplyv nižšej platby na daň z príjmu fyzických osôb (prejaví sa až v roku 2027).  Opatrenie</w:t>
      </w:r>
      <w:r w:rsidRPr="00136466">
        <w:rPr>
          <w:rFonts w:ascii="Times New Roman" w:eastAsia="Calibri" w:hAnsi="Times New Roman" w:cs="Times New Roman"/>
          <w:b/>
          <w:bCs/>
          <w:i/>
          <w:iCs/>
          <w:color w:val="000000"/>
          <w:kern w:val="0"/>
          <w14:ligatures w14:val="none"/>
        </w:rPr>
        <w:t xml:space="preserve"> 2B (OUT) </w:t>
      </w:r>
      <w:r w:rsidRPr="00136466">
        <w:rPr>
          <w:rFonts w:ascii="Times New Roman" w:eastAsia="Calibri" w:hAnsi="Times New Roman" w:cs="Times New Roman"/>
          <w:i/>
          <w:iCs/>
          <w:color w:val="000000"/>
          <w:kern w:val="0"/>
          <w14:ligatures w14:val="none"/>
        </w:rPr>
        <w:t>-</w:t>
      </w:r>
      <w:r w:rsidRPr="00136466">
        <w:rPr>
          <w:rFonts w:ascii="Times New Roman" w:eastAsia="Calibri" w:hAnsi="Times New Roman" w:cs="Times New Roman"/>
          <w:iCs/>
          <w:color w:val="000000"/>
          <w:kern w:val="0"/>
          <w14:ligatures w14:val="none"/>
        </w:rPr>
        <w:t xml:space="preserve"> </w:t>
      </w:r>
      <w:r w:rsidRPr="00136466">
        <w:rPr>
          <w:rFonts w:ascii="Times New Roman" w:eastAsia="Calibri" w:hAnsi="Times New Roman" w:cs="Times New Roman"/>
          <w:bCs/>
          <w:iCs/>
          <w:color w:val="000000"/>
          <w:kern w:val="0"/>
          <w14:ligatures w14:val="none"/>
        </w:rPr>
        <w:t xml:space="preserve">počet dotknutých SZČO očakávame na úrovni cca 200 tis..  </w:t>
      </w:r>
    </w:p>
    <w:p w14:paraId="55361BA9"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17D00168"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r w:rsidRPr="00136466">
        <w:rPr>
          <w:rFonts w:ascii="Times New Roman" w:eastAsia="Calibri" w:hAnsi="Times New Roman" w:cs="Times New Roman"/>
          <w:bCs/>
          <w:iCs/>
          <w:color w:val="000000"/>
          <w:kern w:val="0"/>
          <w14:ligatures w14:val="none"/>
        </w:rPr>
        <w:t xml:space="preserve">A) Dane, odvody a clá – v súlade s kvantifikáciami a metodikou výpočtu uvedenou v analýze vplyvov na rozpočet verejnej správy sa predpokladá pozitívny vplyv na SZČO z dôvodu nižšej platby na daň z príjmu fyzických osôb na úrovni cca 5,3 mil. eur ročne, čo na jedného dotknutého SZČO predstavuje úsporu v priemere cca 26 eur. Navrhovaná účinnosť je od 1. januára 2026, avšak úspora na dani z príjmu fyzických osôb sa prejaví až v roku 2027. </w:t>
      </w:r>
    </w:p>
    <w:p w14:paraId="21D2B28C"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2B186E71" w14:textId="77777777" w:rsidR="00136466" w:rsidRPr="00136466" w:rsidRDefault="00136466" w:rsidP="00136466">
      <w:pPr>
        <w:numPr>
          <w:ilvl w:val="0"/>
          <w:numId w:val="63"/>
        </w:numPr>
        <w:spacing w:after="0" w:line="240" w:lineRule="auto"/>
        <w:contextualSpacing/>
        <w:jc w:val="both"/>
        <w:rPr>
          <w:rFonts w:ascii="Times New Roman" w:eastAsia="Calibri" w:hAnsi="Times New Roman" w:cs="Times New Roman"/>
          <w:b/>
          <w:bCs/>
          <w:i/>
          <w:iCs/>
          <w:color w:val="000000"/>
          <w:kern w:val="0"/>
          <w14:ligatures w14:val="none"/>
        </w:rPr>
      </w:pPr>
      <w:r w:rsidRPr="00136466">
        <w:rPr>
          <w:rFonts w:ascii="Times New Roman" w:eastAsia="Calibri" w:hAnsi="Times New Roman" w:cs="Times New Roman"/>
          <w:b/>
          <w:i/>
          <w:iCs/>
          <w:color w:val="000000"/>
          <w:kern w:val="0"/>
          <w14:ligatures w14:val="none"/>
        </w:rPr>
        <w:t>Úprava vzniku a zániku povinného nemocenského a dôchodkového poistenia SZČO, ktorá už nebude podmienená dosiahnutím určitej hranice príjmu z podnikania a z inej samostatnej zárobkovej činnosti. Vplyv vyššej platby na sociálne poistenie. Opatrenie</w:t>
      </w:r>
      <w:r w:rsidRPr="00136466">
        <w:rPr>
          <w:rFonts w:ascii="Times New Roman" w:eastAsia="Calibri" w:hAnsi="Times New Roman" w:cs="Times New Roman"/>
          <w:b/>
          <w:bCs/>
          <w:i/>
          <w:iCs/>
          <w:color w:val="000000"/>
          <w:kern w:val="0"/>
          <w14:ligatures w14:val="none"/>
        </w:rPr>
        <w:t xml:space="preserve"> 3A (IN) </w:t>
      </w:r>
      <w:r w:rsidRPr="00136466">
        <w:rPr>
          <w:rFonts w:ascii="Times New Roman" w:eastAsia="Calibri" w:hAnsi="Times New Roman" w:cs="Times New Roman"/>
          <w:i/>
          <w:iCs/>
          <w:color w:val="000000"/>
          <w:kern w:val="0"/>
          <w14:ligatures w14:val="none"/>
        </w:rPr>
        <w:t>-</w:t>
      </w:r>
      <w:r w:rsidRPr="00136466">
        <w:rPr>
          <w:rFonts w:ascii="Times New Roman" w:eastAsia="Calibri" w:hAnsi="Times New Roman" w:cs="Times New Roman"/>
          <w:bCs/>
          <w:iCs/>
          <w:color w:val="000000"/>
          <w:kern w:val="0"/>
          <w14:ligatures w14:val="none"/>
        </w:rPr>
        <w:t xml:space="preserve"> počet dotknutých SZČO očakávame na úrovni cca 196 tis..    </w:t>
      </w:r>
    </w:p>
    <w:p w14:paraId="6351A6C3"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4E776C24"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r w:rsidRPr="00136466">
        <w:rPr>
          <w:rFonts w:ascii="Times New Roman" w:eastAsia="Calibri" w:hAnsi="Times New Roman" w:cs="Times New Roman"/>
          <w:bCs/>
          <w:iCs/>
          <w:color w:val="000000"/>
          <w:kern w:val="0"/>
          <w14:ligatures w14:val="none"/>
        </w:rPr>
        <w:t xml:space="preserve">A) Dane, odvody a clá – v súlade s kvantifikáciami a metodikou výpočtu uvedenou v analýze vplyvov na rozpočet verejnej správy sa predpokladá negatívny vplyv na SZČO z dôvodu vyššej platby poistného na nemocenské,  dôchodkové poistenie a poistného do rezervného fondu solidarity na úrovni cca 118,3 mil. eur ročne, čo na jedného dotknutého SZČO predstavuje v priemere cca 603 eur. Navrhovaná účinnosť je od 1. januára 2026 (vzhľadom na legislatívne nastavenie začnú platiť poistné najskôr od 1. júla 2026). </w:t>
      </w:r>
    </w:p>
    <w:p w14:paraId="567C9118"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03D734C4" w14:textId="77777777" w:rsidR="00136466" w:rsidRPr="00136466" w:rsidRDefault="00136466" w:rsidP="00136466">
      <w:pPr>
        <w:numPr>
          <w:ilvl w:val="0"/>
          <w:numId w:val="63"/>
        </w:numPr>
        <w:spacing w:after="0" w:line="240" w:lineRule="auto"/>
        <w:contextualSpacing/>
        <w:jc w:val="both"/>
        <w:rPr>
          <w:rFonts w:ascii="Times New Roman" w:eastAsia="Calibri" w:hAnsi="Times New Roman" w:cs="Times New Roman"/>
          <w:b/>
          <w:bCs/>
          <w:i/>
          <w:iCs/>
          <w:color w:val="000000"/>
          <w:kern w:val="0"/>
          <w14:ligatures w14:val="none"/>
        </w:rPr>
      </w:pPr>
      <w:r w:rsidRPr="00136466">
        <w:rPr>
          <w:rFonts w:ascii="Times New Roman" w:eastAsia="Calibri" w:hAnsi="Times New Roman" w:cs="Times New Roman"/>
          <w:b/>
          <w:i/>
          <w:iCs/>
          <w:color w:val="000000"/>
          <w:kern w:val="0"/>
          <w14:ligatures w14:val="none"/>
        </w:rPr>
        <w:t>Úprava vzniku a zániku povinného nemocenského a dôchodkového poistenia, ktorá už nebude podmienená dosiahnutím určitej hranice príjmu z podnikania a z inej samostatnej zárobkovej činnosti. Vplyv nižšej platby na daň z príjmu fyzických osôb. Opatrenie</w:t>
      </w:r>
      <w:r w:rsidRPr="00136466">
        <w:rPr>
          <w:rFonts w:ascii="Times New Roman" w:eastAsia="Calibri" w:hAnsi="Times New Roman" w:cs="Times New Roman"/>
          <w:b/>
          <w:bCs/>
          <w:i/>
          <w:iCs/>
          <w:color w:val="000000"/>
          <w:kern w:val="0"/>
          <w14:ligatures w14:val="none"/>
        </w:rPr>
        <w:t xml:space="preserve"> 3B (OUT) </w:t>
      </w:r>
      <w:r w:rsidRPr="00136466">
        <w:rPr>
          <w:rFonts w:ascii="Times New Roman" w:eastAsia="Calibri" w:hAnsi="Times New Roman" w:cs="Times New Roman"/>
          <w:i/>
          <w:iCs/>
          <w:color w:val="000000"/>
          <w:kern w:val="0"/>
          <w14:ligatures w14:val="none"/>
        </w:rPr>
        <w:t>-</w:t>
      </w:r>
      <w:r w:rsidRPr="00136466">
        <w:rPr>
          <w:rFonts w:ascii="Times New Roman" w:eastAsia="Calibri" w:hAnsi="Times New Roman" w:cs="Times New Roman"/>
          <w:bCs/>
          <w:iCs/>
          <w:color w:val="000000"/>
          <w:kern w:val="0"/>
          <w14:ligatures w14:val="none"/>
        </w:rPr>
        <w:t xml:space="preserve"> počet dotknutých SZČO očakávame na úrovni cca 196 tis..    </w:t>
      </w:r>
    </w:p>
    <w:p w14:paraId="720FFE05"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6A90F635"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r w:rsidRPr="00136466">
        <w:rPr>
          <w:rFonts w:ascii="Times New Roman" w:eastAsia="Calibri" w:hAnsi="Times New Roman" w:cs="Times New Roman"/>
          <w:bCs/>
          <w:iCs/>
          <w:color w:val="000000"/>
          <w:kern w:val="0"/>
          <w14:ligatures w14:val="none"/>
        </w:rPr>
        <w:t xml:space="preserve">A) Dane, odvody a clá – v súlade s kvantifikáciami a metodikou výpočtu uvedenou v analýze vplyvov na rozpočet verejnej správy sa predpokladá pozitívny vplyv na SZČO z dôvodu nižšej platby na daň z príjmu fyzických osôb na úrovni cca 5,4 mil. eur ročne, čo na jedného dotknutého SZČO predstavuje úsporu v priemere cca 28 eur. Navrhovaná účinnosť je od 1. januára 2026 (vzhľadom na legislatívne nastavenie začnú platiť poistné najskôr od 1. júla 2026), avšak úspora na dani z príjmu fyzických osôb sa prejaví až v roku 2027. </w:t>
      </w:r>
    </w:p>
    <w:p w14:paraId="56423AC6"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45D5B0DF" w14:textId="77777777" w:rsidR="00136466" w:rsidRPr="00136466" w:rsidRDefault="00136466" w:rsidP="00136466">
      <w:pPr>
        <w:numPr>
          <w:ilvl w:val="0"/>
          <w:numId w:val="63"/>
        </w:numPr>
        <w:spacing w:after="0" w:line="240" w:lineRule="auto"/>
        <w:contextualSpacing/>
        <w:jc w:val="both"/>
        <w:rPr>
          <w:rFonts w:ascii="Times New Roman" w:eastAsia="Calibri" w:hAnsi="Times New Roman" w:cs="Times New Roman"/>
          <w:b/>
          <w:bCs/>
          <w:i/>
          <w:iCs/>
          <w:color w:val="000000"/>
          <w:kern w:val="0"/>
          <w14:ligatures w14:val="none"/>
        </w:rPr>
      </w:pPr>
      <w:r w:rsidRPr="00136466">
        <w:rPr>
          <w:rFonts w:ascii="Times New Roman" w:eastAsia="Calibri" w:hAnsi="Times New Roman" w:cs="Times New Roman"/>
          <w:b/>
          <w:i/>
          <w:iCs/>
          <w:color w:val="000000"/>
          <w:kern w:val="0"/>
          <w14:ligatures w14:val="none"/>
        </w:rPr>
        <w:t>Predĺženie obdobia vyplácania náhrady príjmu zamestnávateľom pri dočasnej práceneschopnosti z 10 na 14 dní. Opatrenie</w:t>
      </w:r>
      <w:r w:rsidRPr="00136466">
        <w:rPr>
          <w:rFonts w:ascii="Times New Roman" w:eastAsia="Calibri" w:hAnsi="Times New Roman" w:cs="Times New Roman"/>
          <w:b/>
          <w:bCs/>
          <w:i/>
          <w:iCs/>
          <w:color w:val="000000"/>
          <w:kern w:val="0"/>
          <w14:ligatures w14:val="none"/>
        </w:rPr>
        <w:t xml:space="preserve"> 4 (IN) </w:t>
      </w:r>
      <w:r w:rsidRPr="00136466">
        <w:rPr>
          <w:rFonts w:ascii="Times New Roman" w:eastAsia="Calibri" w:hAnsi="Times New Roman" w:cs="Times New Roman"/>
          <w:i/>
          <w:iCs/>
          <w:color w:val="000000"/>
          <w:kern w:val="0"/>
          <w14:ligatures w14:val="none"/>
        </w:rPr>
        <w:t>-</w:t>
      </w:r>
      <w:r w:rsidRPr="00136466">
        <w:rPr>
          <w:rFonts w:ascii="Times New Roman" w:eastAsia="Calibri" w:hAnsi="Times New Roman" w:cs="Times New Roman"/>
          <w:iCs/>
          <w:color w:val="000000"/>
          <w:kern w:val="0"/>
          <w14:ligatures w14:val="none"/>
        </w:rPr>
        <w:t xml:space="preserve"> </w:t>
      </w:r>
      <w:r w:rsidRPr="00136466">
        <w:rPr>
          <w:rFonts w:ascii="Times New Roman" w:eastAsia="Calibri" w:hAnsi="Times New Roman" w:cs="Times New Roman"/>
          <w:bCs/>
          <w:iCs/>
          <w:color w:val="000000"/>
          <w:kern w:val="0"/>
          <w14:ligatures w14:val="none"/>
        </w:rPr>
        <w:t>počet dotknutých zamestnávateľov očakávame na úrovni cca 46,8 tis. (iba zamestnávatelia v súkromnom sektore).</w:t>
      </w:r>
    </w:p>
    <w:p w14:paraId="31EF26EA" w14:textId="77777777" w:rsidR="00136466" w:rsidRPr="00136466" w:rsidRDefault="00136466" w:rsidP="00136466">
      <w:pPr>
        <w:spacing w:after="0" w:line="240" w:lineRule="auto"/>
        <w:jc w:val="both"/>
        <w:rPr>
          <w:rFonts w:ascii="Times New Roman" w:eastAsia="Calibri" w:hAnsi="Times New Roman" w:cs="Times New Roman"/>
          <w:bCs/>
          <w:iCs/>
          <w:color w:val="000000"/>
          <w:kern w:val="0"/>
          <w14:ligatures w14:val="none"/>
        </w:rPr>
      </w:pPr>
    </w:p>
    <w:p w14:paraId="3EB4B8EC" w14:textId="77777777" w:rsidR="00136466" w:rsidRPr="00136466" w:rsidRDefault="00136466" w:rsidP="00136466">
      <w:pPr>
        <w:spacing w:after="0" w:line="240" w:lineRule="auto"/>
        <w:jc w:val="both"/>
        <w:rPr>
          <w:rFonts w:ascii="Times New Roman" w:eastAsia="Calibri" w:hAnsi="Times New Roman" w:cs="Times New Roman"/>
          <w:bCs/>
          <w:iCs/>
          <w:kern w:val="0"/>
          <w14:ligatures w14:val="none"/>
        </w:rPr>
      </w:pPr>
      <w:r w:rsidRPr="00136466">
        <w:rPr>
          <w:rFonts w:ascii="Times New Roman" w:eastAsia="Calibri" w:hAnsi="Times New Roman" w:cs="Times New Roman"/>
          <w:bCs/>
          <w:iCs/>
          <w:color w:val="000000"/>
          <w:kern w:val="0"/>
          <w14:ligatures w14:val="none"/>
        </w:rPr>
        <w:t xml:space="preserve">D) </w:t>
      </w:r>
      <w:r w:rsidRPr="00136466">
        <w:rPr>
          <w:rFonts w:ascii="Times New Roman" w:eastAsia="Calibri" w:hAnsi="Times New Roman" w:cs="Times New Roman"/>
          <w:bCs/>
          <w:i/>
          <w:iCs/>
          <w:color w:val="000000"/>
          <w:kern w:val="0"/>
          <w14:ligatures w14:val="none"/>
        </w:rPr>
        <w:t>Iné</w:t>
      </w:r>
      <w:r w:rsidRPr="00136466">
        <w:rPr>
          <w:rFonts w:ascii="Times New Roman" w:eastAsia="Calibri" w:hAnsi="Times New Roman" w:cs="Times New Roman"/>
          <w:bCs/>
          <w:iCs/>
          <w:color w:val="000000"/>
          <w:kern w:val="0"/>
          <w14:ligatures w14:val="none"/>
        </w:rPr>
        <w:t xml:space="preserve"> nepriame náklady – v súlade s kvantifikáciami a metodikou výpočtu uvedenou v analýze vplyvov na rozpočet verejnej správy sa predpokladá negatívny vplyv na zamestnávateľov z dôvodu dlhšieho vyplácania náhrady príjmu zamestnancom pri dočasnej pracovnej neschopnosti na úrovni cca 25,0 mil. eur ročne (bez subjektov verejnej správy), čo na jedného dotknutého </w:t>
      </w:r>
      <w:r w:rsidRPr="00136466">
        <w:rPr>
          <w:rFonts w:ascii="Times New Roman" w:eastAsia="Calibri" w:hAnsi="Times New Roman" w:cs="Times New Roman"/>
          <w:bCs/>
          <w:iCs/>
          <w:kern w:val="0"/>
          <w14:ligatures w14:val="none"/>
        </w:rPr>
        <w:t>zamestnávateľa predstavuje v priemere cca 534 eur. Navrhovaná účinnosť je od 1. januára 2026.</w:t>
      </w:r>
    </w:p>
    <w:p w14:paraId="36270E60" w14:textId="77777777" w:rsidR="00136466" w:rsidRPr="00136466" w:rsidRDefault="00136466" w:rsidP="00136466">
      <w:pPr>
        <w:spacing w:after="0" w:line="240" w:lineRule="auto"/>
        <w:jc w:val="both"/>
        <w:rPr>
          <w:rFonts w:ascii="Times New Roman" w:eastAsia="Calibri" w:hAnsi="Times New Roman" w:cs="Times New Roman"/>
          <w:bCs/>
          <w:iCs/>
          <w:kern w:val="0"/>
          <w14:ligatures w14:val="none"/>
        </w:rPr>
      </w:pPr>
    </w:p>
    <w:p w14:paraId="135F4E25" w14:textId="77777777" w:rsidR="00136466" w:rsidRPr="00136466" w:rsidRDefault="00136466" w:rsidP="00136466">
      <w:pPr>
        <w:numPr>
          <w:ilvl w:val="0"/>
          <w:numId w:val="63"/>
        </w:numPr>
        <w:spacing w:after="0" w:line="240" w:lineRule="auto"/>
        <w:contextualSpacing/>
        <w:jc w:val="both"/>
        <w:rPr>
          <w:rFonts w:ascii="Times New Roman" w:eastAsia="Calibri" w:hAnsi="Times New Roman" w:cs="Times New Roman"/>
          <w:b/>
          <w:bCs/>
          <w:i/>
          <w:kern w:val="0"/>
          <w14:ligatures w14:val="none"/>
        </w:rPr>
      </w:pPr>
      <w:r w:rsidRPr="00136466">
        <w:rPr>
          <w:rFonts w:ascii="Times New Roman" w:eastAsia="Calibri" w:hAnsi="Times New Roman" w:cs="Times New Roman"/>
          <w:b/>
          <w:bCs/>
          <w:i/>
          <w:kern w:val="0"/>
          <w14:ligatures w14:val="none"/>
        </w:rPr>
        <w:t>Zvýšenie dolnej hranice výšky pokuty za správny delikt nelegálneho zamestnávania z 2 000 eur na 4 000 eur, a ak ide o nelegálne zamestnávanie dvoch a viac fyzických osôb súčasne z 5 000 eur na 8 000 eur</w:t>
      </w:r>
    </w:p>
    <w:p w14:paraId="4A45B00A"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6E7F5E39"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 xml:space="preserve">Zmena regulácie sa dotýka zamestnávateľov alebo fyzických osôb, ktoré porušili zákaz nelegálneho zamestnávania. Nakoľko ide o zvýšenie dolnej hranice výšky pokuty za správny delikt nelegálneho zamestnávania bola táto regulácia identifikovaná ako zvyšujúca náklady. Podkladom pre výpočet boli údaje obsiahnuté v Informatívnej správe o vyhľadávaní a potieraní nelegálnej práce a nelegálneho zamestnávania za rok 2024 (konkrétne v prílohe k materiálu – dostupné na: </w:t>
      </w:r>
      <w:hyperlink r:id="rId47" w:history="1">
        <w:r w:rsidRPr="00136466">
          <w:rPr>
            <w:rFonts w:ascii="Times New Roman" w:eastAsia="Calibri" w:hAnsi="Times New Roman" w:cs="Times New Roman"/>
            <w:kern w:val="0"/>
            <w:u w:val="single"/>
            <w14:ligatures w14:val="none"/>
          </w:rPr>
          <w:t>Detail materiálu | Portal OV</w:t>
        </w:r>
      </w:hyperlink>
      <w:r w:rsidRPr="00136466">
        <w:rPr>
          <w:rFonts w:ascii="Times New Roman" w:eastAsia="Calibri" w:hAnsi="Times New Roman" w:cs="Times New Roman"/>
          <w:kern w:val="0"/>
          <w14:ligatures w14:val="none"/>
        </w:rPr>
        <w:t>). Počet dotknutých subjektov bol určený ako priemerný počet subjektov za posledné 3 roky (2022-2024), ktorým bola uložená pokuta za správny delikt nelegálneho zamestnávania (viď tabuľka č. 9 prílohy k materiálu). Danou reguláciu sa zvyšuje dolná hranica výšky pokuty za správny delikt nelegálneho zamestnávania o 2 000 eur a taktiež sa zvyšuje dolná hranica výšky pokuty o 3 000 eur v prípade, ak ide o nelegálne zamestnávanie dvoch a viac fyzických osôb súčasne. Kvantifikácia zvýšenia nákladov sa tak vypočíta ako súčin priemerného počtu subjektov za posledné 3 roky, ktorým bola uložená pokuta za nelegálne zamestnávanie a sumy zvýšenia dolnej hranice pokuty (tzn. 713 subjektov x 2 000 eur).</w:t>
      </w:r>
    </w:p>
    <w:p w14:paraId="274EB4CF"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117B25AB" w14:textId="77777777" w:rsidR="00136466" w:rsidRPr="00136466" w:rsidRDefault="00136466" w:rsidP="00136466">
      <w:pPr>
        <w:numPr>
          <w:ilvl w:val="0"/>
          <w:numId w:val="63"/>
        </w:numPr>
        <w:spacing w:after="0" w:line="240" w:lineRule="auto"/>
        <w:contextualSpacing/>
        <w:jc w:val="both"/>
        <w:rPr>
          <w:rFonts w:ascii="Times New Roman" w:eastAsia="Calibri" w:hAnsi="Times New Roman" w:cs="Times New Roman"/>
          <w:b/>
          <w:bCs/>
          <w:i/>
          <w:kern w:val="0"/>
          <w14:ligatures w14:val="none"/>
        </w:rPr>
      </w:pPr>
      <w:r w:rsidRPr="00136466">
        <w:rPr>
          <w:rFonts w:ascii="Times New Roman" w:eastAsia="Calibri" w:hAnsi="Times New Roman" w:cs="Times New Roman"/>
          <w:b/>
          <w:bCs/>
          <w:i/>
          <w:kern w:val="0"/>
          <w14:ligatures w14:val="none"/>
        </w:rPr>
        <w:t>Zníženie výšky pokuty za správny delikt nelegálneho zamestnávania v prípade jej včasného uhradenia o 1/3</w:t>
      </w:r>
    </w:p>
    <w:p w14:paraId="3C60DB00"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6ABE6C95"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 xml:space="preserve">Tak ako pri regulácii v bode 1. sa zmena regulácie sa dotýka zamestnávateľov alebo fyzických osôb, ktoré porušili zákaz nelegálneho zamestnávania. Nakoľko ide o odpustenie časti pokuty za správny delikt nelegálneho zamestnávania bola táto regulácia identifikovaná ako znižujúca náklady. Podkladom pre výpočet boli údaje obsiahnuté v Informatívnej správe o vyhľadávaní a potieraní nelegálnej práce a nelegálneho zamestnávania za rok 2024 (konkrétne v prílohe k materiálu – dostupné na: </w:t>
      </w:r>
      <w:hyperlink r:id="rId48" w:history="1">
        <w:r w:rsidRPr="00136466">
          <w:rPr>
            <w:rFonts w:ascii="Times New Roman" w:eastAsia="Calibri" w:hAnsi="Times New Roman" w:cs="Times New Roman"/>
            <w:kern w:val="0"/>
            <w:u w:val="single"/>
            <w14:ligatures w14:val="none"/>
          </w:rPr>
          <w:t>Detail materiálu | Portal OV</w:t>
        </w:r>
      </w:hyperlink>
      <w:r w:rsidRPr="00136466">
        <w:rPr>
          <w:rFonts w:ascii="Times New Roman" w:eastAsia="Calibri" w:hAnsi="Times New Roman" w:cs="Times New Roman"/>
          <w:kern w:val="0"/>
          <w14:ligatures w14:val="none"/>
        </w:rPr>
        <w:t xml:space="preserve">). Počet dotknutých subjektov bol určený ako priemerný počet subjektov za posledné 3 roky (2022-2024), ktorým bola uložená pokuta za správny delikt nelegálneho zamestnávania (viď tabuľka č. 9 prílohy k materiálu). Danou reguláciu sa znižuje výška pokuty za správny delikt nelegálneho zamestnávania v prípade jej včasného uhradenia (do 15 dní od právoplatnosti </w:t>
      </w:r>
      <w:r w:rsidRPr="00136466">
        <w:rPr>
          <w:rFonts w:ascii="Times New Roman" w:eastAsia="SimSun" w:hAnsi="Times New Roman" w:cs="Times New Roman"/>
          <w:kern w:val="3"/>
          <w14:ligatures w14:val="none"/>
        </w:rPr>
        <w:t xml:space="preserve">rozhodnutia o uložení pokuty podľa ods. § 19 ods. 2, písm. a) bod 1 zákona č. 125/2006 Z. z.), a to o 1/3 zo sumy uloženej pokuty. Pri kvantifikácii zníženia nákladov bola zohľadnená aj zmena regulácie uvedená v bode 1 (a teda zvýšenie dolnej hranice výšky pokuty za správny delikt nelegálneho zamestnávania o 2 000 eur, resp. o 3 000 eur </w:t>
      </w:r>
      <w:r w:rsidRPr="00136466">
        <w:rPr>
          <w:rFonts w:ascii="Times New Roman" w:eastAsia="Calibri" w:hAnsi="Times New Roman" w:cs="Times New Roman"/>
          <w:kern w:val="0"/>
          <w14:ligatures w14:val="none"/>
        </w:rPr>
        <w:t>v prípade, ak ide o nelegálne zamestnávanie dvoch a viac fyzických osôb súčasne</w:t>
      </w:r>
      <w:r w:rsidRPr="00136466">
        <w:rPr>
          <w:rFonts w:ascii="Times New Roman" w:eastAsia="SimSun" w:hAnsi="Times New Roman" w:cs="Times New Roman"/>
          <w:kern w:val="3"/>
          <w14:ligatures w14:val="none"/>
        </w:rPr>
        <w:t>). K priemernej výške vybraných pokút za posledné 3 roky (2 663 933 eur) bola prirátaná aj suma 1 426 000 eur (odhadovaná výška zvýšenia nákladov podľa bodu 1). Kvantifikácia zníženia nákladov bola následne vypočítaná ako podiel predpokladanej výšky vybraných pokút (4 089 933 eur) a priemerného</w:t>
      </w:r>
      <w:r w:rsidRPr="00136466">
        <w:rPr>
          <w:rFonts w:ascii="Times New Roman" w:eastAsia="Calibri" w:hAnsi="Times New Roman" w:cs="Times New Roman"/>
          <w:kern w:val="0"/>
          <w14:ligatures w14:val="none"/>
        </w:rPr>
        <w:t xml:space="preserve"> počtu subjektov za posledné 3 roky, ktorým bola uložená pokuta za nelegálne zamestnávanie (713). V takomto prípade by priemerná výška pokuty pre 1 subjekt predstavovala 5 736 eur, pričom cieľom regulácie je odpustenie 1/3 z uloženej pokuty, čo by zo sumy 5 736 eur predstavovalo 1 912 eur (priemerná výška novej pokuty by predstavovala sumu 3 824 eur). V prípade ideálnej situácie, kedy by všetky subjekty uhradili pokutu v zmysle navrhovanej regulácie by zníženie nákladov pre podnikateľské prostredie predstavovalo sumu 1 363 256 eur (1 912 eur x 713 subjektov).</w:t>
      </w:r>
    </w:p>
    <w:p w14:paraId="26588B50" w14:textId="77777777" w:rsidR="00136466" w:rsidRPr="00136466" w:rsidRDefault="00136466" w:rsidP="00136466">
      <w:pPr>
        <w:spacing w:after="0" w:line="240" w:lineRule="auto"/>
        <w:jc w:val="both"/>
        <w:rPr>
          <w:rFonts w:ascii="Times New Roman" w:eastAsia="Calibri" w:hAnsi="Times New Roman" w:cs="Times New Roman"/>
          <w:bCs/>
          <w:i/>
          <w:iCs/>
          <w:color w:val="000000"/>
          <w:kern w:val="0"/>
          <w14:ligatures w14:val="none"/>
        </w:rPr>
      </w:pPr>
    </w:p>
    <w:p w14:paraId="2DE54738" w14:textId="77777777" w:rsidR="00136466" w:rsidRPr="00136466" w:rsidRDefault="00136466" w:rsidP="00136466">
      <w:pPr>
        <w:spacing w:line="259" w:lineRule="auto"/>
        <w:jc w:val="both"/>
        <w:rPr>
          <w:rFonts w:ascii="Times New Roman" w:eastAsia="Calibri" w:hAnsi="Times New Roman" w:cs="Times New Roman"/>
          <w:b/>
          <w:bCs/>
          <w:i/>
          <w:kern w:val="0"/>
          <w14:ligatures w14:val="none"/>
        </w:rPr>
      </w:pPr>
      <w:r w:rsidRPr="00136466">
        <w:rPr>
          <w:rFonts w:ascii="Times New Roman" w:eastAsia="Calibri" w:hAnsi="Times New Roman" w:cs="Times New Roman"/>
          <w:b/>
          <w:bCs/>
          <w:i/>
          <w:kern w:val="0"/>
          <w14:ligatures w14:val="none"/>
        </w:rPr>
        <w:t>K reguláciám č. 32 až 33 - Zmena výšky zdanenia vybraných druhov hazardných hier</w:t>
      </w:r>
    </w:p>
    <w:p w14:paraId="4FE9E9F0" w14:textId="77777777" w:rsidR="00136466" w:rsidRPr="00136466" w:rsidRDefault="00136466" w:rsidP="00136466">
      <w:pPr>
        <w:spacing w:line="259" w:lineRule="auto"/>
        <w:jc w:val="both"/>
        <w:rPr>
          <w:rFonts w:ascii="Times New Roman" w:eastAsia="Calibri" w:hAnsi="Times New Roman" w:cs="Times New Roman"/>
          <w:iCs/>
          <w:kern w:val="0"/>
          <w14:ligatures w14:val="none"/>
        </w:rPr>
      </w:pPr>
      <w:r w:rsidRPr="00136466">
        <w:rPr>
          <w:rFonts w:ascii="Times New Roman" w:eastAsia="Calibri" w:hAnsi="Times New Roman" w:cs="Times New Roman"/>
          <w:iCs/>
          <w:kern w:val="0"/>
          <w14:ligatures w14:val="none"/>
        </w:rPr>
        <w:t>Opatrenie týkajúce sa zmeny sadzby pre určenie odvodov bude mať negatívny vplyv na podnikateľské prostredie, pretože zvýši odvodové zaťaženie pre vybraný segment prevádzkovateľov hazardných hier, a to internetových hier v internetovom kasíne a kurzových stávok v internetovej herni a prevádzkach, ako aj hazardných hier na výherných prístrojoch, na termináloch videohier, na technických zariadeniach obsluhovaných priamo hráčmi a na iných technických zariadeniach.</w:t>
      </w:r>
    </w:p>
    <w:p w14:paraId="5BC077AC" w14:textId="77777777" w:rsidR="00136466" w:rsidRPr="00136466" w:rsidRDefault="00136466" w:rsidP="00136466">
      <w:pPr>
        <w:spacing w:line="259" w:lineRule="auto"/>
        <w:jc w:val="both"/>
        <w:rPr>
          <w:rFonts w:ascii="Times New Roman" w:eastAsia="Calibri" w:hAnsi="Times New Roman" w:cs="Times New Roman"/>
          <w:iCs/>
          <w:kern w:val="0"/>
          <w14:ligatures w14:val="none"/>
        </w:rPr>
      </w:pPr>
      <w:r w:rsidRPr="00136466">
        <w:rPr>
          <w:rFonts w:ascii="Times New Roman" w:eastAsia="Calibri" w:hAnsi="Times New Roman" w:cs="Times New Roman"/>
          <w:iCs/>
          <w:kern w:val="0"/>
          <w14:ligatures w14:val="none"/>
        </w:rPr>
        <w:t xml:space="preserve">Úhrada odvodu z hazardných hier je priamym finančným nákladom daňovníka, pričom platí, že uhradený odvod z hazardných hier je daňovým výdavkom pre daň z príjmov. Z uvedeného dôvodu dochádza k zvýšeniu priamych finančných nákladov daňovníka (zníženiu priamych finančných nákladov pri dani z príjmov). Návrh na zmenu zdanenia (úpravy sadzby dane) si nevyžaduje nepriame finančné náklady ani dodatočné administratívne náklady resp. prípadné nevyhnutné úpravy účtovných systémov by mali byť naplnené v rámci existujúcich administratívnych kapacít daňovníka. </w:t>
      </w:r>
    </w:p>
    <w:p w14:paraId="01BBF960" w14:textId="77777777" w:rsidR="00136466" w:rsidRPr="00136466" w:rsidRDefault="00136466" w:rsidP="00136466">
      <w:pPr>
        <w:spacing w:line="259" w:lineRule="auto"/>
        <w:rPr>
          <w:rFonts w:ascii="Times New Roman" w:eastAsia="Calibri" w:hAnsi="Times New Roman" w:cs="Times New Roman"/>
          <w:kern w:val="0"/>
          <w14:ligatures w14:val="none"/>
        </w:rPr>
      </w:pPr>
      <w:r w:rsidRPr="00136466">
        <w:rPr>
          <w:rFonts w:ascii="Times New Roman" w:eastAsia="Times New Roman" w:hAnsi="Times New Roman" w:cs="Times New Roman"/>
          <w:kern w:val="0"/>
          <w:lang w:eastAsia="sk-SK"/>
          <w14:ligatures w14:val="none"/>
        </w:rPr>
        <w:t xml:space="preserve">Pri vypracovaní doložky vplyvov a analýzy vplyvov na rozpočet verejnej správy vychádzalo Ministerstvo financií SR </w:t>
      </w:r>
      <w:r w:rsidRPr="00136466">
        <w:rPr>
          <w:rFonts w:ascii="Times New Roman" w:eastAsia="Calibri" w:hAnsi="Times New Roman" w:cs="Times New Roman"/>
          <w:kern w:val="0"/>
          <w14:ligatures w14:val="none"/>
        </w:rPr>
        <w:t>z údajov:</w:t>
      </w:r>
    </w:p>
    <w:p w14:paraId="235A7CF7" w14:textId="77777777" w:rsidR="00136466" w:rsidRPr="00136466" w:rsidRDefault="00136466" w:rsidP="00136466">
      <w:pPr>
        <w:numPr>
          <w:ilvl w:val="0"/>
          <w:numId w:val="69"/>
        </w:numPr>
        <w:spacing w:line="259" w:lineRule="auto"/>
        <w:contextualSpacing/>
        <w:rPr>
          <w:rFonts w:ascii="Times New Roman" w:eastAsia="Times New Roman" w:hAnsi="Times New Roman" w:cs="Times New Roman"/>
          <w:kern w:val="0"/>
          <w:lang w:eastAsia="sk-SK"/>
          <w14:ligatures w14:val="none"/>
        </w:rPr>
      </w:pPr>
      <w:r w:rsidRPr="00136466">
        <w:rPr>
          <w:rFonts w:ascii="Times New Roman" w:eastAsia="Calibri" w:hAnsi="Times New Roman" w:cs="Times New Roman"/>
          <w:kern w:val="0"/>
          <w14:ligatures w14:val="none"/>
        </w:rPr>
        <w:t xml:space="preserve">Registra účtovných závierok </w:t>
      </w:r>
      <w:hyperlink r:id="rId49" w:history="1">
        <w:r w:rsidRPr="00136466">
          <w:rPr>
            <w:rFonts w:ascii="Times New Roman" w:eastAsia="Calibri" w:hAnsi="Times New Roman" w:cs="Times New Roman"/>
            <w:kern w:val="0"/>
            <w:u w:val="single"/>
            <w14:ligatures w14:val="none"/>
          </w:rPr>
          <w:t>https://registeruz.sk/cruz-public/domain/accountingentity/simplesearch</w:t>
        </w:r>
      </w:hyperlink>
      <w:r w:rsidRPr="00136466">
        <w:rPr>
          <w:rFonts w:ascii="Times New Roman" w:eastAsia="Calibri" w:hAnsi="Times New Roman" w:cs="Times New Roman"/>
          <w:kern w:val="0"/>
          <w14:ligatures w14:val="none"/>
        </w:rPr>
        <w:t xml:space="preserve">, </w:t>
      </w:r>
    </w:p>
    <w:p w14:paraId="6178E633" w14:textId="77777777" w:rsidR="00136466" w:rsidRPr="00136466" w:rsidRDefault="00136466" w:rsidP="00136466">
      <w:pPr>
        <w:numPr>
          <w:ilvl w:val="0"/>
          <w:numId w:val="69"/>
        </w:numPr>
        <w:spacing w:line="259" w:lineRule="auto"/>
        <w:contextualSpacing/>
        <w:rPr>
          <w:rFonts w:ascii="Times New Roman" w:eastAsia="Times New Roman" w:hAnsi="Times New Roman" w:cs="Times New Roman"/>
          <w:kern w:val="0"/>
          <w:lang w:eastAsia="sk-SK"/>
          <w14:ligatures w14:val="none"/>
        </w:rPr>
      </w:pPr>
      <w:r w:rsidRPr="00136466">
        <w:rPr>
          <w:rFonts w:ascii="Times New Roman" w:eastAsia="Calibri" w:hAnsi="Times New Roman" w:cs="Times New Roman"/>
          <w:kern w:val="0"/>
          <w14:ligatures w14:val="none"/>
        </w:rPr>
        <w:t>Úradu pre reguláciu hazardných hier  (</w:t>
      </w:r>
      <w:hyperlink r:id="rId50" w:history="1">
        <w:r w:rsidRPr="00136466">
          <w:rPr>
            <w:rFonts w:ascii="Times New Roman" w:eastAsia="Calibri" w:hAnsi="Times New Roman" w:cs="Times New Roman"/>
            <w:kern w:val="0"/>
            <w:u w:val="single"/>
            <w14:ligatures w14:val="none"/>
          </w:rPr>
          <w:t>https://www.urhh.sk/web/guest/registre_licencii_hh</w:t>
        </w:r>
      </w:hyperlink>
      <w:r w:rsidRPr="00136466">
        <w:rPr>
          <w:rFonts w:ascii="Times New Roman" w:eastAsia="Calibri" w:hAnsi="Times New Roman" w:cs="Times New Roman"/>
          <w:kern w:val="0"/>
          <w14:ligatures w14:val="none"/>
        </w:rPr>
        <w:t>), vrátane individuálnych údajov o objemoch hazardných hier podľa jednotlivých druhov hazardných hier a prevádzkovateľov hazardných hier, ktoré sa vzhľadom na ich citlivú povahu nezverejňujú</w:t>
      </w:r>
    </w:p>
    <w:p w14:paraId="76241488" w14:textId="77777777" w:rsidR="00136466" w:rsidRPr="00136466" w:rsidRDefault="00136466" w:rsidP="00136466">
      <w:pPr>
        <w:numPr>
          <w:ilvl w:val="0"/>
          <w:numId w:val="69"/>
        </w:numPr>
        <w:spacing w:line="259" w:lineRule="auto"/>
        <w:contextualSpacing/>
        <w:rPr>
          <w:rFonts w:ascii="Times New Roman" w:eastAsia="Times New Roman" w:hAnsi="Times New Roman" w:cs="Times New Roman"/>
          <w:kern w:val="0"/>
          <w:lang w:eastAsia="sk-SK"/>
          <w14:ligatures w14:val="none"/>
        </w:rPr>
      </w:pPr>
      <w:r w:rsidRPr="00136466">
        <w:rPr>
          <w:rFonts w:ascii="Times New Roman" w:eastAsia="Times New Roman" w:hAnsi="Times New Roman" w:cs="Times New Roman"/>
          <w:kern w:val="0"/>
          <w:lang w:eastAsia="sk-SK"/>
          <w14:ligatures w14:val="none"/>
        </w:rPr>
        <w:t xml:space="preserve">z dostupných zdrojov Ministerstva </w:t>
      </w:r>
      <w:r w:rsidRPr="00136466">
        <w:rPr>
          <w:rFonts w:ascii="Times New Roman" w:eastAsia="Calibri" w:hAnsi="Times New Roman" w:cs="Times New Roman"/>
          <w:kern w:val="0"/>
          <w14:ligatures w14:val="none"/>
        </w:rPr>
        <w:t xml:space="preserve">financií Slovenskej republiky </w:t>
      </w:r>
      <w:r w:rsidRPr="00136466">
        <w:rPr>
          <w:rFonts w:ascii="Times New Roman" w:eastAsia="Times New Roman" w:hAnsi="Times New Roman" w:cs="Times New Roman"/>
          <w:kern w:val="0"/>
          <w:lang w:eastAsia="sk-SK"/>
          <w14:ligatures w14:val="none"/>
        </w:rPr>
        <w:t>a </w:t>
      </w:r>
    </w:p>
    <w:p w14:paraId="613495B9" w14:textId="77777777" w:rsidR="00136466" w:rsidRPr="00136466" w:rsidRDefault="00136466" w:rsidP="00136466">
      <w:pPr>
        <w:numPr>
          <w:ilvl w:val="0"/>
          <w:numId w:val="69"/>
        </w:numPr>
        <w:spacing w:line="259" w:lineRule="auto"/>
        <w:contextualSpacing/>
        <w:rPr>
          <w:rFonts w:ascii="Times New Roman" w:eastAsia="Times New Roman" w:hAnsi="Times New Roman" w:cs="Times New Roman"/>
          <w:kern w:val="0"/>
          <w:lang w:eastAsia="sk-SK"/>
          <w14:ligatures w14:val="none"/>
        </w:rPr>
      </w:pPr>
      <w:r w:rsidRPr="00136466">
        <w:rPr>
          <w:rFonts w:ascii="Times New Roman" w:eastAsia="Times New Roman" w:hAnsi="Times New Roman" w:cs="Times New Roman"/>
          <w:kern w:val="0"/>
          <w:lang w:eastAsia="sk-SK"/>
          <w14:ligatures w14:val="none"/>
        </w:rPr>
        <w:t xml:space="preserve">analýz </w:t>
      </w:r>
      <w:r w:rsidRPr="00136466">
        <w:rPr>
          <w:rFonts w:ascii="Times New Roman" w:eastAsia="Calibri" w:hAnsi="Times New Roman" w:cs="Times New Roman"/>
          <w:kern w:val="0"/>
          <w14:ligatures w14:val="none"/>
        </w:rPr>
        <w:t xml:space="preserve">a prognóz </w:t>
      </w:r>
      <w:r w:rsidRPr="00136466">
        <w:rPr>
          <w:rFonts w:ascii="Times New Roman" w:eastAsia="Times New Roman" w:hAnsi="Times New Roman" w:cs="Times New Roman"/>
          <w:kern w:val="0"/>
          <w:lang w:eastAsia="sk-SK"/>
          <w14:ligatures w14:val="none"/>
        </w:rPr>
        <w:t>Inštitútu finančnej politiky. (</w:t>
      </w:r>
      <w:hyperlink r:id="rId51" w:history="1">
        <w:r w:rsidRPr="00136466">
          <w:rPr>
            <w:rFonts w:ascii="Times New Roman" w:eastAsia="Calibri" w:hAnsi="Times New Roman" w:cs="Times New Roman"/>
            <w:kern w:val="0"/>
            <w:u w:val="single"/>
            <w14:ligatures w14:val="none"/>
          </w:rPr>
          <w:t>https://www.mfsr.sk/sk/financie/institut-financnej-politiky/ekonomicke-prognozy/makroekonomicke-prognozy/makroekonomicke-prognozy.html</w:t>
        </w:r>
      </w:hyperlink>
      <w:r w:rsidRPr="00136466">
        <w:rPr>
          <w:rFonts w:ascii="Times New Roman" w:eastAsia="Calibri" w:hAnsi="Times New Roman" w:cs="Times New Roman"/>
          <w:kern w:val="0"/>
          <w14:ligatures w14:val="none"/>
        </w:rPr>
        <w:t>)</w:t>
      </w:r>
    </w:p>
    <w:p w14:paraId="3960BED6" w14:textId="77777777" w:rsidR="00136466" w:rsidRPr="00136466" w:rsidRDefault="00136466" w:rsidP="00136466">
      <w:pPr>
        <w:spacing w:after="0" w:line="240" w:lineRule="auto"/>
        <w:jc w:val="both"/>
        <w:rPr>
          <w:rFonts w:ascii="Times New Roman" w:eastAsia="Calibri" w:hAnsi="Times New Roman" w:cs="Times New Roman"/>
          <w:bCs/>
          <w:i/>
          <w:iCs/>
          <w:color w:val="000000"/>
          <w:kern w:val="0"/>
          <w14:ligatures w14:val="none"/>
        </w:rPr>
      </w:pPr>
    </w:p>
    <w:p w14:paraId="4F85EF68" w14:textId="77777777" w:rsidR="00136466" w:rsidRPr="00136466" w:rsidRDefault="00136466" w:rsidP="00136466">
      <w:pPr>
        <w:spacing w:after="0" w:line="240" w:lineRule="auto"/>
        <w:jc w:val="both"/>
        <w:rPr>
          <w:rFonts w:ascii="Times New Roman" w:eastAsia="Calibri" w:hAnsi="Times New Roman" w:cs="Times New Roman"/>
          <w:bCs/>
          <w:i/>
          <w:iCs/>
          <w:color w:val="000000"/>
          <w:kern w:val="0"/>
          <w14:ligatures w14:val="none"/>
        </w:rPr>
      </w:pPr>
    </w:p>
    <w:p w14:paraId="603E568D" w14:textId="77777777" w:rsidR="00136466" w:rsidRPr="00136466" w:rsidRDefault="00136466" w:rsidP="00136466">
      <w:pPr>
        <w:spacing w:line="259" w:lineRule="auto"/>
        <w:jc w:val="both"/>
        <w:rPr>
          <w:rFonts w:ascii="Times New Roman" w:eastAsia="Calibri" w:hAnsi="Times New Roman" w:cs="Times New Roman"/>
          <w:b/>
          <w:bCs/>
          <w:i/>
          <w:kern w:val="0"/>
          <w:u w:val="single"/>
          <w14:ligatures w14:val="none"/>
        </w:rPr>
      </w:pPr>
      <w:r w:rsidRPr="00136466">
        <w:rPr>
          <w:rFonts w:ascii="Times New Roman" w:eastAsia="Calibri" w:hAnsi="Times New Roman" w:cs="Times New Roman"/>
          <w:b/>
          <w:bCs/>
          <w:i/>
          <w:kern w:val="0"/>
          <w:u w:val="single"/>
          <w14:ligatures w14:val="none"/>
        </w:rPr>
        <w:t>3.1.4 Odôvodnenie goldplatingu podľa bodu 4 časti III jednotnej metodiky a ďalšie doplňujúce informácie</w:t>
      </w:r>
      <w:r w:rsidRPr="00136466">
        <w:rPr>
          <w:rFonts w:ascii="Times New Roman" w:eastAsia="Calibri" w:hAnsi="Times New Roman" w:cs="Times New Roman"/>
          <w:b/>
          <w:bCs/>
          <w:i/>
          <w:kern w:val="0"/>
          <w:u w:val="single"/>
          <w:vertAlign w:val="superscript"/>
          <w14:ligatures w14:val="none"/>
        </w:rPr>
        <w:footnoteReference w:id="2"/>
      </w:r>
      <w:r w:rsidRPr="00136466">
        <w:rPr>
          <w:rFonts w:ascii="Times New Roman" w:eastAsia="Calibri" w:hAnsi="Times New Roman" w:cs="Times New Roman"/>
          <w:b/>
          <w:bCs/>
          <w:i/>
          <w:kern w:val="0"/>
          <w:u w:val="single"/>
          <w14:ligatures w14:val="none"/>
        </w:rPr>
        <w:t xml:space="preserve"> </w:t>
      </w:r>
    </w:p>
    <w:p w14:paraId="528B3D08" w14:textId="77777777" w:rsidR="00136466" w:rsidRPr="00136466" w:rsidRDefault="00136466" w:rsidP="00136466">
      <w:pPr>
        <w:spacing w:line="259" w:lineRule="auto"/>
        <w:jc w:val="both"/>
        <w:rPr>
          <w:rFonts w:ascii="Times New Roman" w:eastAsia="Calibri" w:hAnsi="Times New Roman" w:cs="Times New Roman"/>
          <w:bCs/>
          <w:kern w:val="0"/>
          <w14:ligatures w14:val="none"/>
        </w:rPr>
      </w:pPr>
      <w:r w:rsidRPr="00136466">
        <w:rPr>
          <w:rFonts w:ascii="Times New Roman" w:eastAsia="Calibri" w:hAnsi="Times New Roman" w:cs="Times New Roman"/>
          <w:bCs/>
          <w:color w:val="000000"/>
          <w:kern w:val="0"/>
          <w14:ligatures w14:val="none"/>
        </w:rPr>
        <w:t>Bez vplyvov.</w:t>
      </w:r>
    </w:p>
    <w:p w14:paraId="42B145A1" w14:textId="77777777" w:rsidR="00136466" w:rsidRPr="00136466" w:rsidRDefault="00136466" w:rsidP="00136466">
      <w:pPr>
        <w:spacing w:line="259" w:lineRule="auto"/>
        <w:rPr>
          <w:rFonts w:ascii="Times New Roman" w:eastAsia="Calibri" w:hAnsi="Times New Roman" w:cs="Times New Roman"/>
          <w:i/>
          <w:kern w:val="0"/>
          <w14:ligatures w14:val="none"/>
        </w:rPr>
      </w:pPr>
    </w:p>
    <w:p w14:paraId="25C916A5" w14:textId="77777777" w:rsidR="00136466" w:rsidRPr="00136466" w:rsidRDefault="00136466" w:rsidP="00136466">
      <w:pPr>
        <w:spacing w:line="259" w:lineRule="auto"/>
        <w:jc w:val="both"/>
        <w:rPr>
          <w:rFonts w:ascii="Times New Roman" w:eastAsia="Calibri" w:hAnsi="Times New Roman" w:cs="Times New Roman"/>
          <w:b/>
          <w:kern w:val="0"/>
          <w14:ligatures w14:val="none"/>
        </w:rPr>
      </w:pPr>
      <w:r w:rsidRPr="00136466">
        <w:rPr>
          <w:rFonts w:ascii="Times New Roman" w:eastAsia="Calibri" w:hAnsi="Times New Roman" w:cs="Times New Roman"/>
          <w:b/>
          <w:kern w:val="0"/>
          <w14:ligatures w14:val="none"/>
        </w:rPr>
        <w:t>3.2 Vyhodnotenie konzultácií s podnikateľskými subjektmi pred predbežným pripomienkovým konaním</w:t>
      </w:r>
    </w:p>
    <w:p w14:paraId="2E7673A9"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113FEB52"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 xml:space="preserve">Uveďte hlavné body konzultácií a ich závery. </w:t>
      </w:r>
    </w:p>
    <w:p w14:paraId="5C3362DB"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3A6462FF"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 xml:space="preserve">Alternatívne namiesto vypĺňania bodu 3.2 môžete uviesť ako samostatnú prílohu tejto analýzy Záznam z konzultácií obsahujúci požadované informácie. </w:t>
      </w:r>
    </w:p>
    <w:p w14:paraId="383698A5"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p>
    <w:p w14:paraId="218ABAC6" w14:textId="77777777" w:rsidR="00136466" w:rsidRPr="00136466" w:rsidRDefault="00136466" w:rsidP="00136466">
      <w:pPr>
        <w:spacing w:after="0" w:line="259" w:lineRule="auto"/>
        <w:jc w:val="both"/>
        <w:rPr>
          <w:rFonts w:ascii="Times New Roman" w:eastAsia="Calibri" w:hAnsi="Times New Roman" w:cs="Times New Roman"/>
          <w:b/>
          <w:bCs/>
          <w:i/>
          <w:kern w:val="0"/>
          <w14:ligatures w14:val="none"/>
        </w:rPr>
      </w:pPr>
      <w:r w:rsidRPr="00136466">
        <w:rPr>
          <w:rFonts w:ascii="Times New Roman" w:eastAsia="Calibri" w:hAnsi="Times New Roman" w:cs="Times New Roman"/>
          <w:b/>
          <w:bCs/>
          <w:i/>
          <w:kern w:val="0"/>
          <w14:ligatures w14:val="none"/>
        </w:rPr>
        <w:t>Banský zákon</w:t>
      </w:r>
    </w:p>
    <w:p w14:paraId="622C06AF" w14:textId="77777777" w:rsidR="00136466" w:rsidRPr="00136466" w:rsidRDefault="00136466" w:rsidP="00136466">
      <w:pPr>
        <w:spacing w:after="0" w:line="254"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kern w:val="0"/>
          <w14:ligatures w14:val="none"/>
        </w:rPr>
        <w:t xml:space="preserve">K zvyšovaniu úhrad za dobývací priestor a uskladňovanie plynu a kvapalín boli vykonané konzultácie so Slovenskou banskou komorou, ktorá združuje dotknuté ťažobné spoločnosti a ktorým bol predstavený návrh úprav týchto sadzieb spolu s jeho odôvodnením, predovšetkým potreby súladu s aktuálnym ekonomickým rámcom. </w:t>
      </w:r>
    </w:p>
    <w:p w14:paraId="4E094FB9"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p>
    <w:p w14:paraId="5644587A" w14:textId="77777777" w:rsidR="00136466" w:rsidRPr="00136466" w:rsidRDefault="00136466" w:rsidP="00136466">
      <w:pPr>
        <w:spacing w:line="259" w:lineRule="auto"/>
        <w:jc w:val="both"/>
        <w:rPr>
          <w:rFonts w:ascii="Times New Roman" w:eastAsia="Calibri" w:hAnsi="Times New Roman" w:cs="Times New Roman"/>
          <w:b/>
          <w:kern w:val="0"/>
          <w14:ligatures w14:val="none"/>
        </w:rPr>
      </w:pPr>
      <w:bookmarkStart w:id="9" w:name="_Hlk47698091"/>
      <w:r w:rsidRPr="00136466">
        <w:rPr>
          <w:rFonts w:ascii="Times New Roman" w:eastAsia="Calibri" w:hAnsi="Times New Roman" w:cs="Times New Roman"/>
          <w:b/>
          <w:kern w:val="0"/>
          <w14:ligatures w14:val="none"/>
        </w:rPr>
        <w:t>3.3 Vplyvy na konkurencieschopnosť a produktivitu</w:t>
      </w:r>
    </w:p>
    <w:bookmarkEnd w:id="9"/>
    <w:p w14:paraId="17032C38"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 xml:space="preserve">Dochádza k vytvoreniu resp. k zmene bariér na trhu? </w:t>
      </w:r>
    </w:p>
    <w:p w14:paraId="6FC42965"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 xml:space="preserve">Bude sa s niektorými podnikmi alebo produktmi zaobchádzať v porovnateľnej situácii rôzne (napr. špeciálne režimy pre mikro, malé a stredné podniky tzv. MSP)? </w:t>
      </w:r>
    </w:p>
    <w:p w14:paraId="53750BB7"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 xml:space="preserve">Ovplyvňuje zmena regulácie cezhraničné investície (príliv/odliv zahraničných investícií resp. uplatnenie slovenských podnikov na zahraničných trhoch)? </w:t>
      </w:r>
    </w:p>
    <w:p w14:paraId="4C4F476B"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 xml:space="preserve">Ovplyvní dostupnosť základných zdrojov (financie, pracovná sila, suroviny, mechanizmy, energie atď.)? </w:t>
      </w:r>
    </w:p>
    <w:p w14:paraId="1873A8D8"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Ovplyvňuje zmena regulácie inovácie, vedu a výskum?</w:t>
      </w:r>
    </w:p>
    <w:p w14:paraId="28211932"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Ak bol identifikovaný goldplating, prispieva k zníženiu konkurencieschopnosti a produktivity? Akým spôsobom?</w:t>
      </w:r>
    </w:p>
    <w:p w14:paraId="18D06BE2"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iCs/>
          <w:kern w:val="0"/>
          <w14:ligatures w14:val="none"/>
        </w:rPr>
        <w:t>Ako prispieva zmena regulácie k cieľu Slovenska mať najlepšie podnikateľské prostredie spomedzi susediacich krajín EÚ?</w:t>
      </w:r>
    </w:p>
    <w:p w14:paraId="0EC772FA"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p>
    <w:p w14:paraId="1492AB4D" w14:textId="77777777" w:rsidR="00136466" w:rsidRPr="00136466" w:rsidRDefault="00136466" w:rsidP="00136466">
      <w:pPr>
        <w:keepNext/>
        <w:spacing w:after="0" w:line="259" w:lineRule="auto"/>
        <w:jc w:val="both"/>
        <w:rPr>
          <w:rFonts w:ascii="Times New Roman" w:eastAsia="Calibri" w:hAnsi="Times New Roman" w:cs="Arial"/>
          <w:bCs/>
          <w:i/>
          <w:iCs/>
          <w:kern w:val="0"/>
          <w14:ligatures w14:val="none"/>
        </w:rPr>
      </w:pPr>
      <w:r w:rsidRPr="00136466">
        <w:rPr>
          <w:rFonts w:ascii="Times New Roman" w:eastAsia="Calibri" w:hAnsi="Times New Roman" w:cs="Arial"/>
          <w:b/>
          <w:i/>
          <w:iCs/>
          <w:kern w:val="0"/>
          <w14:ligatures w14:val="none"/>
        </w:rPr>
        <w:t xml:space="preserve">Zákon o DPH </w:t>
      </w:r>
      <w:r w:rsidRPr="00136466">
        <w:rPr>
          <w:rFonts w:ascii="Times New Roman" w:eastAsia="Calibri" w:hAnsi="Times New Roman" w:cs="Arial"/>
          <w:bCs/>
          <w:i/>
          <w:iCs/>
          <w:kern w:val="0"/>
          <w14:ligatures w14:val="none"/>
        </w:rPr>
        <w:t>- nemení</w:t>
      </w:r>
    </w:p>
    <w:p w14:paraId="59C27194" w14:textId="77777777" w:rsidR="00136466" w:rsidRPr="00136466" w:rsidRDefault="00136466" w:rsidP="00136466">
      <w:pPr>
        <w:spacing w:after="0" w:line="240" w:lineRule="auto"/>
        <w:jc w:val="both"/>
        <w:rPr>
          <w:rFonts w:ascii="Times New Roman" w:eastAsia="Calibri" w:hAnsi="Times New Roman" w:cs="Arial"/>
          <w:kern w:val="0"/>
          <w14:ligatures w14:val="none"/>
        </w:rPr>
      </w:pPr>
      <w:r w:rsidRPr="00136466">
        <w:rPr>
          <w:rFonts w:ascii="Times New Roman" w:eastAsia="Calibri" w:hAnsi="Times New Roman" w:cs="Arial"/>
          <w:kern w:val="0"/>
          <w14:ligatures w14:val="none"/>
        </w:rPr>
        <w:t>Navrhovanými úpravami v zákone o DPH nedochádza k vytvoreniu bariér pre vstup na trh pre nové zdaniteľné osoby. Návrhom zákona zavádzané povinností nijakým spôsobom nezasahujú do oblastí upravujúcich podmienky, ktoré musia byť splnené, aby mohla tuzemská zdaniteľná osoba v tuzemsku podnikať. Návrh zákona nepredpokladá ani vplyv na vyvolanie cezhraničných investícií.</w:t>
      </w:r>
    </w:p>
    <w:p w14:paraId="138C14FB" w14:textId="77777777" w:rsidR="00136466" w:rsidRPr="00136466" w:rsidRDefault="00136466" w:rsidP="00136466">
      <w:pPr>
        <w:spacing w:after="0" w:line="240" w:lineRule="auto"/>
        <w:jc w:val="both"/>
        <w:rPr>
          <w:rFonts w:ascii="Times New Roman" w:eastAsia="Calibri" w:hAnsi="Times New Roman" w:cs="Arial"/>
          <w:kern w:val="0"/>
          <w14:ligatures w14:val="none"/>
        </w:rPr>
      </w:pPr>
    </w:p>
    <w:p w14:paraId="000DAF57" w14:textId="77777777" w:rsidR="00136466" w:rsidRPr="00136466" w:rsidRDefault="00136466" w:rsidP="00136466">
      <w:pPr>
        <w:spacing w:after="0" w:line="240" w:lineRule="auto"/>
        <w:jc w:val="both"/>
        <w:rPr>
          <w:rFonts w:ascii="Times New Roman" w:eastAsia="Calibri" w:hAnsi="Times New Roman" w:cs="Arial"/>
          <w:i/>
          <w:iCs/>
          <w:kern w:val="0"/>
          <w14:ligatures w14:val="none"/>
        </w:rPr>
      </w:pPr>
      <w:r w:rsidRPr="00136466">
        <w:rPr>
          <w:rFonts w:ascii="Times New Roman" w:eastAsia="Calibri" w:hAnsi="Times New Roman" w:cs="Arial"/>
          <w:b/>
          <w:bCs/>
          <w:i/>
          <w:iCs/>
          <w:kern w:val="0"/>
          <w14:ligatures w14:val="none"/>
        </w:rPr>
        <w:t>Zákon o dani z poistenia</w:t>
      </w:r>
      <w:r w:rsidRPr="00136466">
        <w:rPr>
          <w:rFonts w:ascii="Times New Roman" w:eastAsia="Calibri" w:hAnsi="Times New Roman" w:cs="Arial"/>
          <w:i/>
          <w:iCs/>
          <w:kern w:val="0"/>
          <w14:ligatures w14:val="none"/>
        </w:rPr>
        <w:t xml:space="preserve"> - nemení</w:t>
      </w:r>
    </w:p>
    <w:p w14:paraId="280C3B07" w14:textId="77777777" w:rsidR="00136466" w:rsidRPr="00136466" w:rsidRDefault="00136466" w:rsidP="00136466">
      <w:pPr>
        <w:spacing w:after="0" w:line="240" w:lineRule="auto"/>
        <w:jc w:val="both"/>
        <w:rPr>
          <w:rFonts w:ascii="Times New Roman" w:eastAsia="Calibri" w:hAnsi="Times New Roman" w:cs="Arial"/>
          <w:kern w:val="0"/>
          <w14:ligatures w14:val="none"/>
        </w:rPr>
      </w:pPr>
      <w:r w:rsidRPr="00136466">
        <w:rPr>
          <w:rFonts w:ascii="Times New Roman" w:eastAsia="Calibri" w:hAnsi="Times New Roman" w:cs="Arial"/>
          <w:kern w:val="0"/>
          <w14:ligatures w14:val="none"/>
        </w:rPr>
        <w:t>Úprava výšky sadzby dane z poistenia z 8 % na 10 % zo základu dane. Navrhované zmeny v zákone o dani z poistenia nebudú mať vplyv na konkurencieschopnosť a správanie sa podnikov na trhu z pohľadu vytvárania bariér. Navrhovaná zmena nebude mať za následok prísnejšiu reguláciu správania sa niektorých podnikov, nebude sa s niektorými podnikmi alebo produktmi zaobchádzať v porovnateľnej situácii rôzne, nebude mať vplyv na vyvolanie cezhraničných investícií, neovplyvní cenu alebo dostupnosť základných zdrojov, neovplyvní prístup k financiám a nebude mať vplyv na inovácie, vedu a výskum.</w:t>
      </w:r>
    </w:p>
    <w:p w14:paraId="78414BA4"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7BFFC0B8" w14:textId="77777777" w:rsidR="00136466" w:rsidRPr="00136466" w:rsidRDefault="00136466" w:rsidP="00136466">
      <w:pPr>
        <w:spacing w:after="0" w:line="240" w:lineRule="auto"/>
        <w:jc w:val="both"/>
        <w:rPr>
          <w:rFonts w:ascii="Times New Roman" w:eastAsia="Calibri" w:hAnsi="Times New Roman" w:cs="Arial"/>
          <w:kern w:val="0"/>
          <w14:ligatures w14:val="none"/>
        </w:rPr>
      </w:pPr>
      <w:r w:rsidRPr="00136466">
        <w:rPr>
          <w:rFonts w:ascii="Times New Roman" w:eastAsia="Calibri" w:hAnsi="Times New Roman" w:cs="Arial"/>
          <w:b/>
          <w:bCs/>
          <w:kern w:val="0"/>
          <w14:ligatures w14:val="none"/>
        </w:rPr>
        <w:t xml:space="preserve">Zákon o poisťovníctve </w:t>
      </w:r>
      <w:r w:rsidRPr="00136466">
        <w:rPr>
          <w:rFonts w:ascii="Times New Roman" w:eastAsia="Calibri" w:hAnsi="Times New Roman" w:cs="Arial"/>
          <w:kern w:val="0"/>
          <w14:ligatures w14:val="none"/>
        </w:rPr>
        <w:t>- nemení</w:t>
      </w:r>
    </w:p>
    <w:p w14:paraId="1D9153A6" w14:textId="77777777" w:rsidR="00136466" w:rsidRPr="00136466" w:rsidRDefault="00136466" w:rsidP="00136466">
      <w:pPr>
        <w:spacing w:after="0" w:line="240" w:lineRule="auto"/>
        <w:jc w:val="both"/>
        <w:rPr>
          <w:rFonts w:ascii="Times New Roman" w:eastAsia="Calibri" w:hAnsi="Times New Roman" w:cs="Arial"/>
          <w:kern w:val="0"/>
          <w14:ligatures w14:val="none"/>
        </w:rPr>
      </w:pPr>
      <w:r w:rsidRPr="00136466">
        <w:rPr>
          <w:rFonts w:ascii="Times New Roman" w:eastAsia="Calibri" w:hAnsi="Times New Roman" w:cs="Arial"/>
          <w:kern w:val="0"/>
          <w14:ligatures w14:val="none"/>
        </w:rPr>
        <w:t xml:space="preserve">Úprava výšky osobitného odvodu z 8 % na 10 % z prijatého poistného z PZP. Navrhované zmeny v zákone o poisťovníctve nebudú mať vplyv na konkurencieschopnosť a správanie sa podnikov na trhu z pohľadu vytvárania bariér. Navrhovaná zmena nebude mať za následok prísnejšiu reguláciu správania sa niektorých podnikov, nebude mať vplyv na vyvolanie cezhraničných investícií, neovplyvní cenu alebo dostupnosť základných zdrojov, neovplyvní prístup k financiám a nebude mať vplyv na inovácie, vedu a výskum. </w:t>
      </w:r>
    </w:p>
    <w:p w14:paraId="6B42C412"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p>
    <w:p w14:paraId="7B68CC4A" w14:textId="77777777" w:rsidR="00136466" w:rsidRPr="00136466" w:rsidRDefault="00136466" w:rsidP="00136466">
      <w:pPr>
        <w:spacing w:after="0" w:line="240" w:lineRule="auto"/>
        <w:jc w:val="both"/>
        <w:rPr>
          <w:rFonts w:ascii="Times New Roman" w:eastAsia="Calibri" w:hAnsi="Times New Roman" w:cs="Times New Roman"/>
          <w:kern w:val="0"/>
          <w14:ligatures w14:val="none"/>
        </w:rPr>
      </w:pPr>
      <w:r w:rsidRPr="00136466">
        <w:rPr>
          <w:rFonts w:ascii="Times New Roman" w:eastAsia="Calibri" w:hAnsi="Times New Roman" w:cs="Times New Roman"/>
          <w:b/>
          <w:bCs/>
          <w:kern w:val="0"/>
          <w14:ligatures w14:val="none"/>
        </w:rPr>
        <w:t>Zákon o dani z príjmov</w:t>
      </w:r>
      <w:r w:rsidRPr="00136466">
        <w:rPr>
          <w:rFonts w:ascii="Times New Roman" w:eastAsia="Calibri" w:hAnsi="Times New Roman" w:cs="Times New Roman"/>
          <w:kern w:val="0"/>
          <w14:ligatures w14:val="none"/>
        </w:rPr>
        <w:t xml:space="preserve"> - nemení</w:t>
      </w:r>
    </w:p>
    <w:p w14:paraId="7E72267E" w14:textId="77777777" w:rsidR="00136466" w:rsidRPr="00136466" w:rsidRDefault="00136466" w:rsidP="00136466">
      <w:pPr>
        <w:spacing w:after="0" w:line="240" w:lineRule="auto"/>
        <w:jc w:val="both"/>
        <w:rPr>
          <w:rFonts w:ascii="Times New Roman" w:eastAsia="Calibri" w:hAnsi="Times New Roman" w:cs="Times New Roman"/>
          <w:b/>
          <w:bCs/>
          <w:kern w:val="0"/>
          <w14:ligatures w14:val="none"/>
        </w:rPr>
      </w:pPr>
    </w:p>
    <w:p w14:paraId="7C3BBA76" w14:textId="77777777" w:rsidR="00136466" w:rsidRPr="00136466" w:rsidRDefault="00136466" w:rsidP="00136466">
      <w:pPr>
        <w:spacing w:after="0" w:line="240" w:lineRule="auto"/>
        <w:jc w:val="both"/>
        <w:rPr>
          <w:rFonts w:ascii="Times New Roman" w:eastAsia="Calibri" w:hAnsi="Times New Roman" w:cs="Times New Roman"/>
          <w:i/>
          <w:iCs/>
          <w:kern w:val="0"/>
          <w14:ligatures w14:val="none"/>
        </w:rPr>
      </w:pPr>
      <w:r w:rsidRPr="00136466">
        <w:rPr>
          <w:rFonts w:ascii="Times New Roman" w:eastAsia="Calibri" w:hAnsi="Times New Roman" w:cs="Times New Roman"/>
          <w:b/>
          <w:bCs/>
          <w:i/>
          <w:iCs/>
          <w:kern w:val="0"/>
          <w14:ligatures w14:val="none"/>
        </w:rPr>
        <w:t xml:space="preserve">Banský zákon </w:t>
      </w:r>
      <w:r w:rsidRPr="00136466">
        <w:rPr>
          <w:rFonts w:ascii="Times New Roman" w:eastAsia="Calibri" w:hAnsi="Times New Roman" w:cs="Times New Roman"/>
          <w:i/>
          <w:iCs/>
          <w:kern w:val="0"/>
          <w14:ligatures w14:val="none"/>
        </w:rPr>
        <w:t>- nemení</w:t>
      </w:r>
    </w:p>
    <w:p w14:paraId="1A6D4977" w14:textId="77777777" w:rsidR="00136466" w:rsidRPr="00136466" w:rsidRDefault="00136466" w:rsidP="00136466">
      <w:pPr>
        <w:spacing w:after="0" w:line="240" w:lineRule="auto"/>
        <w:jc w:val="both"/>
        <w:rPr>
          <w:rFonts w:ascii="Times New Roman" w:eastAsia="Calibri" w:hAnsi="Times New Roman" w:cs="Arial"/>
          <w:b/>
          <w:bCs/>
          <w:kern w:val="0"/>
          <w14:ligatures w14:val="none"/>
        </w:rPr>
      </w:pPr>
      <w:r w:rsidRPr="00136466">
        <w:rPr>
          <w:rFonts w:ascii="Times New Roman" w:eastAsia="Calibri" w:hAnsi="Times New Roman" w:cs="Times New Roman"/>
          <w:kern w:val="0"/>
          <w14:ligatures w14:val="none"/>
        </w:rPr>
        <w:t>Zvýšenie úhrad za dobývací priestor a uskladňovanie plynu a kvapalín sa vzťahuje plošne na všetky podnikateľské subjekty v danej oblasti bez zavedenia osobitných režimov. Nedochádza preto k diskriminácii medzi porovnateľnými podnikmi a zároveň sa uplatňuje jednotne na všetky podniky bez ohľadu na veľkosť. Takisto neprichádza k vplyvom na cezhraničné investície ani dostupnosť zdrojov, keďže kľúčovým faktorom je dostupnosť ložísk. Vplyvy na inovácie, vedu a výskum a  ani prípad goldplatingu neboli identifikované.</w:t>
      </w:r>
    </w:p>
    <w:p w14:paraId="6DA812CD" w14:textId="77777777" w:rsidR="00136466" w:rsidRPr="00136466" w:rsidRDefault="00136466" w:rsidP="00136466">
      <w:pPr>
        <w:spacing w:after="0" w:line="240" w:lineRule="auto"/>
        <w:jc w:val="both"/>
        <w:rPr>
          <w:rFonts w:ascii="Times New Roman" w:eastAsia="Calibri" w:hAnsi="Times New Roman" w:cs="Arial"/>
          <w:b/>
          <w:bCs/>
          <w:kern w:val="0"/>
          <w14:ligatures w14:val="none"/>
        </w:rPr>
      </w:pPr>
    </w:p>
    <w:p w14:paraId="63E621A1"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b/>
          <w:bCs/>
          <w:i/>
          <w:kern w:val="0"/>
          <w14:ligatures w14:val="none"/>
        </w:rPr>
        <w:t>Zákon o zdravotnom poistení</w:t>
      </w:r>
      <w:r w:rsidRPr="00136466">
        <w:rPr>
          <w:rFonts w:ascii="Times New Roman" w:eastAsia="Calibri" w:hAnsi="Times New Roman" w:cs="Times New Roman"/>
          <w:i/>
          <w:kern w:val="0"/>
          <w14:ligatures w14:val="none"/>
        </w:rPr>
        <w:t xml:space="preserve"> - znižuje</w:t>
      </w:r>
    </w:p>
    <w:p w14:paraId="0EA511B5" w14:textId="77777777" w:rsidR="00136466" w:rsidRPr="00136466" w:rsidRDefault="00136466" w:rsidP="00136466">
      <w:pPr>
        <w:spacing w:after="0" w:line="240" w:lineRule="auto"/>
        <w:jc w:val="both"/>
        <w:rPr>
          <w:rFonts w:ascii="Times New Roman" w:eastAsia="Calibri" w:hAnsi="Times New Roman" w:cs="Arial"/>
          <w:b/>
          <w:bCs/>
          <w:kern w:val="0"/>
          <w14:ligatures w14:val="none"/>
        </w:rPr>
      </w:pPr>
    </w:p>
    <w:p w14:paraId="6DA4F5AA" w14:textId="77777777" w:rsidR="00136466" w:rsidRPr="00136466" w:rsidRDefault="00136466" w:rsidP="00136466">
      <w:pPr>
        <w:spacing w:after="0" w:line="240" w:lineRule="auto"/>
        <w:jc w:val="both"/>
        <w:rPr>
          <w:rFonts w:ascii="Times New Roman" w:eastAsia="Calibri" w:hAnsi="Times New Roman" w:cs="Arial"/>
          <w:kern w:val="0"/>
          <w14:ligatures w14:val="none"/>
        </w:rPr>
      </w:pPr>
      <w:r w:rsidRPr="00136466">
        <w:rPr>
          <w:rFonts w:ascii="Times New Roman" w:eastAsia="Calibri" w:hAnsi="Times New Roman" w:cs="Arial"/>
          <w:b/>
          <w:bCs/>
          <w:kern w:val="0"/>
          <w14:ligatures w14:val="none"/>
        </w:rPr>
        <w:t>Zákon o inšpekcii práce</w:t>
      </w:r>
      <w:r w:rsidRPr="00136466">
        <w:rPr>
          <w:rFonts w:ascii="Times New Roman" w:eastAsia="Calibri" w:hAnsi="Times New Roman" w:cs="Arial"/>
          <w:kern w:val="0"/>
          <w14:ligatures w14:val="none"/>
        </w:rPr>
        <w:t xml:space="preserve"> - nemení</w:t>
      </w:r>
    </w:p>
    <w:p w14:paraId="6C715B57" w14:textId="77777777" w:rsidR="00136466" w:rsidRPr="00136466" w:rsidRDefault="00136466" w:rsidP="00136466">
      <w:pPr>
        <w:spacing w:after="0" w:line="240" w:lineRule="auto"/>
        <w:jc w:val="both"/>
        <w:rPr>
          <w:rFonts w:ascii="Times New Roman" w:eastAsia="Calibri" w:hAnsi="Times New Roman" w:cs="Arial"/>
          <w:kern w:val="0"/>
          <w14:ligatures w14:val="none"/>
        </w:rPr>
      </w:pPr>
    </w:p>
    <w:p w14:paraId="53C9F7B0" w14:textId="77777777" w:rsidR="00136466" w:rsidRPr="00136466" w:rsidRDefault="00136466" w:rsidP="00136466">
      <w:pPr>
        <w:spacing w:after="0" w:line="240" w:lineRule="auto"/>
        <w:jc w:val="both"/>
        <w:rPr>
          <w:rFonts w:ascii="Times New Roman" w:eastAsia="Calibri" w:hAnsi="Times New Roman" w:cs="Arial"/>
          <w:kern w:val="0"/>
          <w14:ligatures w14:val="none"/>
        </w:rPr>
      </w:pPr>
      <w:r w:rsidRPr="00136466">
        <w:rPr>
          <w:rFonts w:ascii="Times New Roman" w:eastAsia="Calibri" w:hAnsi="Times New Roman" w:cs="Arial"/>
          <w:b/>
          <w:bCs/>
          <w:kern w:val="0"/>
          <w14:ligatures w14:val="none"/>
        </w:rPr>
        <w:t>Zákon o hazardných hrách</w:t>
      </w:r>
      <w:r w:rsidRPr="00136466">
        <w:rPr>
          <w:rFonts w:ascii="Times New Roman" w:eastAsia="Calibri" w:hAnsi="Times New Roman" w:cs="Arial"/>
          <w:kern w:val="0"/>
          <w14:ligatures w14:val="none"/>
        </w:rPr>
        <w:t xml:space="preserve"> – znižuje</w:t>
      </w:r>
    </w:p>
    <w:p w14:paraId="0630081D" w14:textId="77777777" w:rsidR="00136466" w:rsidRPr="00136466" w:rsidRDefault="00136466" w:rsidP="00136466">
      <w:pPr>
        <w:spacing w:after="0" w:line="240" w:lineRule="auto"/>
        <w:jc w:val="both"/>
        <w:rPr>
          <w:rFonts w:ascii="Times New Roman" w:eastAsia="Calibri" w:hAnsi="Times New Roman" w:cs="Arial"/>
          <w:kern w:val="0"/>
          <w14:ligatures w14:val="none"/>
        </w:rPr>
      </w:pPr>
      <w:r w:rsidRPr="00136466">
        <w:rPr>
          <w:rFonts w:ascii="Times New Roman" w:eastAsia="Calibri" w:hAnsi="Times New Roman" w:cs="Arial"/>
          <w:kern w:val="0"/>
          <w14:ligatures w14:val="none"/>
        </w:rPr>
        <w:t>Oblasť hazardných hier je regulovaným trhom, ktorých prevádzkovanie závisí od udelenia individuálnej licencie. Držitelia licencií podliehajú na regulovanom trhu rovnakým podmienkam, ktoré platia pre všetkých identicky. Zmena zdanenia zasiahne podnikateľské subjekty prevádzkujúce hazardné hry v dotknutých segmentoch hazardných hier rovnakým spôsobom, bez vplyvu na vzájomné konkurenčné postavenie dotknutých subjektov. Zvýšenie zdanenia regulovaného licencovaného trhu sa však premietne do nižšej konkurencieschopnosti domácich licencovaných subjektov voči nelicencovaným zahraničným subjektom, ktoré nemôžu prevádzkovať činnosť na našom území. To sa pravdepodobne odrazí na zmene podielu hazardných hier, ktoré spotrebitelia budú realizovať cez domáce licencované kanály.</w:t>
      </w:r>
    </w:p>
    <w:p w14:paraId="7BB3E698" w14:textId="77777777" w:rsidR="00136466" w:rsidRPr="00136466" w:rsidRDefault="00136466" w:rsidP="00136466">
      <w:pPr>
        <w:spacing w:after="0" w:line="240" w:lineRule="auto"/>
        <w:jc w:val="both"/>
        <w:rPr>
          <w:rFonts w:ascii="Times New Roman" w:eastAsia="Calibri" w:hAnsi="Times New Roman" w:cs="Arial"/>
          <w:kern w:val="0"/>
          <w14:ligatures w14:val="none"/>
        </w:rPr>
      </w:pPr>
    </w:p>
    <w:p w14:paraId="3FA25FE9" w14:textId="77777777" w:rsidR="00136466" w:rsidRPr="00136466" w:rsidRDefault="00136466" w:rsidP="00136466">
      <w:pPr>
        <w:spacing w:after="0" w:line="259" w:lineRule="auto"/>
        <w:jc w:val="both"/>
        <w:rPr>
          <w:rFonts w:ascii="Times New Roman" w:eastAsia="Calibri" w:hAnsi="Times New Roman" w:cs="Times New Roman"/>
          <w:b/>
          <w:i/>
          <w:kern w:val="0"/>
          <w14:ligatures w14:val="none"/>
        </w:rPr>
      </w:pPr>
      <w:r w:rsidRPr="00136466">
        <w:rPr>
          <w:rFonts w:ascii="Times New Roman" w:eastAsia="Calibri" w:hAnsi="Times New Roman" w:cs="Times New Roman"/>
          <w:b/>
          <w:i/>
          <w:kern w:val="0"/>
          <w14:ligatures w14:val="none"/>
        </w:rPr>
        <w:t>Konkurencieschopnosť:</w:t>
      </w:r>
    </w:p>
    <w:p w14:paraId="53464FE0"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Na základe uvedených odpovedí zaškrtnite a popíšte, či materiál konkurencieschopnosť:</w:t>
      </w:r>
    </w:p>
    <w:p w14:paraId="4B73233C" w14:textId="77777777" w:rsidR="00136466" w:rsidRPr="00136466" w:rsidRDefault="00000000" w:rsidP="00136466">
      <w:pPr>
        <w:spacing w:after="0" w:line="259" w:lineRule="auto"/>
        <w:jc w:val="both"/>
        <w:rPr>
          <w:rFonts w:ascii="Times New Roman" w:eastAsia="Calibri" w:hAnsi="Times New Roman" w:cs="Times New Roman"/>
          <w:i/>
          <w:kern w:val="0"/>
          <w14:ligatures w14:val="none"/>
        </w:rPr>
      </w:pPr>
      <w:sdt>
        <w:sdtPr>
          <w:rPr>
            <w:rFonts w:ascii="Times New Roman" w:eastAsia="Calibri" w:hAnsi="Times New Roman" w:cs="Times New Roman"/>
            <w:i/>
            <w:kern w:val="0"/>
            <w14:ligatures w14:val="none"/>
          </w:rPr>
          <w:id w:val="798576880"/>
        </w:sdtPr>
        <w:sdtContent>
          <w:sdt>
            <w:sdtPr>
              <w:rPr>
                <w:rFonts w:ascii="Times New Roman" w:eastAsia="Calibri" w:hAnsi="Times New Roman" w:cs="Times New Roman"/>
                <w:i/>
                <w:kern w:val="0"/>
                <w14:ligatures w14:val="none"/>
              </w:rPr>
              <w:id w:val="1729873660"/>
            </w:sdtPr>
            <w:sdtContent>
              <w:r w:rsidR="00136466" w:rsidRPr="00136466">
                <w:rPr>
                  <w:rFonts w:ascii="Segoe UI Symbol" w:eastAsia="Calibri" w:hAnsi="Segoe UI Symbol" w:cs="Segoe UI Symbol"/>
                  <w:i/>
                  <w:kern w:val="0"/>
                  <w14:ligatures w14:val="none"/>
                </w:rPr>
                <w:t>☐</w:t>
              </w:r>
            </w:sdtContent>
          </w:sdt>
        </w:sdtContent>
      </w:sdt>
      <w:r w:rsidR="00136466" w:rsidRPr="00136466">
        <w:rPr>
          <w:rFonts w:ascii="Times New Roman" w:eastAsia="Calibri" w:hAnsi="Times New Roman" w:cs="Times New Roman"/>
          <w:i/>
          <w:kern w:val="0"/>
          <w14:ligatures w14:val="none"/>
        </w:rPr>
        <w:t xml:space="preserve"> zvyšuje </w:t>
      </w:r>
      <w:r w:rsidR="00136466" w:rsidRPr="00136466">
        <w:rPr>
          <w:rFonts w:ascii="Times New Roman" w:eastAsia="Calibri" w:hAnsi="Times New Roman" w:cs="Times New Roman"/>
          <w:i/>
          <w:kern w:val="0"/>
          <w14:ligatures w14:val="none"/>
        </w:rPr>
        <w:tab/>
      </w:r>
      <w:sdt>
        <w:sdtPr>
          <w:rPr>
            <w:rFonts w:ascii="Times New Roman" w:eastAsia="Calibri" w:hAnsi="Times New Roman" w:cs="Times New Roman"/>
            <w:i/>
            <w:kern w:val="0"/>
            <w14:ligatures w14:val="none"/>
          </w:rPr>
          <w:id w:val="410579887"/>
        </w:sdtPr>
        <w:sdtContent>
          <w:sdt>
            <w:sdtPr>
              <w:rPr>
                <w:rFonts w:ascii="Times New Roman" w:eastAsia="Calibri" w:hAnsi="Times New Roman" w:cs="Times New Roman"/>
                <w:i/>
                <w:kern w:val="0"/>
                <w14:ligatures w14:val="none"/>
              </w:rPr>
              <w:id w:val="-80300261"/>
            </w:sdtPr>
            <w:sdtContent>
              <w:sdt>
                <w:sdtPr>
                  <w:rPr>
                    <w:rFonts w:ascii="Times New Roman" w:eastAsia="Calibri" w:hAnsi="Times New Roman" w:cs="Arial"/>
                    <w:i/>
                    <w:kern w:val="0"/>
                    <w14:ligatures w14:val="none"/>
                  </w:rPr>
                  <w:id w:val="-1930501924"/>
                  <w14:checkbox>
                    <w14:checked w14:val="1"/>
                    <w14:checkedState w14:val="2612" w14:font="MS Gothic"/>
                    <w14:uncheckedState w14:val="2610" w14:font="MS Gothic"/>
                  </w14:checkbox>
                </w:sdtPr>
                <w:sdtContent>
                  <w:r w:rsidR="00136466" w:rsidRPr="00136466">
                    <w:rPr>
                      <w:rFonts w:ascii="Segoe UI Symbol" w:eastAsia="Calibri" w:hAnsi="Segoe UI Symbol" w:cs="Segoe UI Symbol"/>
                      <w:i/>
                      <w:kern w:val="0"/>
                      <w14:ligatures w14:val="none"/>
                    </w:rPr>
                    <w:t>☒</w:t>
                  </w:r>
                </w:sdtContent>
              </w:sdt>
            </w:sdtContent>
          </w:sdt>
        </w:sdtContent>
      </w:sdt>
      <w:r w:rsidR="00136466" w:rsidRPr="00136466">
        <w:rPr>
          <w:rFonts w:ascii="Times New Roman" w:eastAsia="Calibri" w:hAnsi="Times New Roman" w:cs="Times New Roman"/>
          <w:i/>
          <w:kern w:val="0"/>
          <w14:ligatures w14:val="none"/>
        </w:rPr>
        <w:t xml:space="preserve"> nemení</w:t>
      </w:r>
      <w:r w:rsidR="00136466" w:rsidRPr="00136466">
        <w:rPr>
          <w:rFonts w:ascii="Times New Roman" w:eastAsia="Calibri" w:hAnsi="Times New Roman" w:cs="Times New Roman"/>
          <w:i/>
          <w:kern w:val="0"/>
          <w14:ligatures w14:val="none"/>
        </w:rPr>
        <w:tab/>
      </w:r>
      <w:sdt>
        <w:sdtPr>
          <w:rPr>
            <w:rFonts w:ascii="Times New Roman" w:eastAsia="Calibri" w:hAnsi="Times New Roman" w:cs="Times New Roman"/>
            <w:i/>
            <w:kern w:val="0"/>
            <w14:ligatures w14:val="none"/>
          </w:rPr>
          <w:id w:val="-474604883"/>
        </w:sdtPr>
        <w:sdtContent>
          <w:sdt>
            <w:sdtPr>
              <w:rPr>
                <w:rFonts w:ascii="Times New Roman" w:eastAsia="Calibri" w:hAnsi="Times New Roman" w:cs="Times New Roman"/>
                <w:i/>
                <w:kern w:val="0"/>
                <w14:ligatures w14:val="none"/>
              </w:rPr>
              <w:id w:val="-1706551548"/>
            </w:sdtPr>
            <w:sdtContent>
              <w:sdt>
                <w:sdtPr>
                  <w:rPr>
                    <w:rFonts w:ascii="Times New Roman" w:eastAsia="Calibri" w:hAnsi="Times New Roman" w:cs="Times New Roman"/>
                    <w:i/>
                    <w:kern w:val="0"/>
                    <w14:ligatures w14:val="none"/>
                  </w:rPr>
                  <w:id w:val="-544985637"/>
                </w:sdtPr>
                <w:sdtContent>
                  <w:sdt>
                    <w:sdtPr>
                      <w:rPr>
                        <w:rFonts w:ascii="Times New Roman" w:eastAsia="Calibri" w:hAnsi="Times New Roman" w:cs="Arial"/>
                        <w:i/>
                        <w:kern w:val="0"/>
                        <w14:ligatures w14:val="none"/>
                      </w:rPr>
                      <w:id w:val="-2012831334"/>
                      <w14:checkbox>
                        <w14:checked w14:val="1"/>
                        <w14:checkedState w14:val="2612" w14:font="MS Gothic"/>
                        <w14:uncheckedState w14:val="2610" w14:font="MS Gothic"/>
                      </w14:checkbox>
                    </w:sdtPr>
                    <w:sdtContent>
                      <w:r w:rsidR="00136466" w:rsidRPr="00136466">
                        <w:rPr>
                          <w:rFonts w:ascii="Segoe UI Symbol" w:eastAsia="Calibri" w:hAnsi="Segoe UI Symbol" w:cs="Segoe UI Symbol"/>
                          <w:i/>
                          <w:kern w:val="0"/>
                          <w14:ligatures w14:val="none"/>
                        </w:rPr>
                        <w:t>☒</w:t>
                      </w:r>
                    </w:sdtContent>
                  </w:sdt>
                </w:sdtContent>
              </w:sdt>
            </w:sdtContent>
          </w:sdt>
        </w:sdtContent>
      </w:sdt>
      <w:r w:rsidR="00136466" w:rsidRPr="00136466">
        <w:rPr>
          <w:rFonts w:ascii="Times New Roman" w:eastAsia="Calibri" w:hAnsi="Times New Roman" w:cs="Times New Roman"/>
          <w:i/>
          <w:kern w:val="0"/>
          <w14:ligatures w14:val="none"/>
        </w:rPr>
        <w:t xml:space="preserve"> znižuje</w:t>
      </w:r>
    </w:p>
    <w:p w14:paraId="1B1B8CFD"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p>
    <w:p w14:paraId="0AFC97BC" w14:textId="77777777" w:rsidR="00136466" w:rsidRPr="00136466" w:rsidRDefault="00136466" w:rsidP="00136466">
      <w:pPr>
        <w:spacing w:after="0" w:line="259" w:lineRule="auto"/>
        <w:jc w:val="both"/>
        <w:rPr>
          <w:rFonts w:ascii="Times New Roman" w:eastAsia="Calibri" w:hAnsi="Times New Roman" w:cs="Times New Roman"/>
          <w:b/>
          <w:i/>
          <w:kern w:val="0"/>
          <w14:ligatures w14:val="none"/>
        </w:rPr>
      </w:pPr>
      <w:r w:rsidRPr="00136466">
        <w:rPr>
          <w:rFonts w:ascii="Times New Roman" w:eastAsia="Calibri" w:hAnsi="Times New Roman" w:cs="Times New Roman"/>
          <w:b/>
          <w:i/>
          <w:kern w:val="0"/>
          <w14:ligatures w14:val="none"/>
        </w:rPr>
        <w:t>Produktivita:</w:t>
      </w:r>
    </w:p>
    <w:p w14:paraId="1755C843"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 xml:space="preserve">Aký má materiál vplyv na zmenu pomeru medzi produkciou podnikov a ich nákladmi? </w:t>
      </w:r>
    </w:p>
    <w:p w14:paraId="50F07852"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p>
    <w:p w14:paraId="3444D4A8"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b/>
          <w:bCs/>
          <w:i/>
          <w:kern w:val="0"/>
          <w14:ligatures w14:val="none"/>
        </w:rPr>
        <w:t>Zákon o DPH</w:t>
      </w:r>
      <w:r w:rsidRPr="00136466">
        <w:rPr>
          <w:rFonts w:ascii="Times New Roman" w:eastAsia="Calibri" w:hAnsi="Times New Roman" w:cs="Times New Roman"/>
          <w:i/>
          <w:kern w:val="0"/>
          <w14:ligatures w14:val="none"/>
        </w:rPr>
        <w:t xml:space="preserve"> - nemení</w:t>
      </w:r>
    </w:p>
    <w:p w14:paraId="4F9EF5F7"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Návrh zákona nemá vplyv na zmenu pomeru medzi produkciou podnikov a ich nákladmi.</w:t>
      </w:r>
    </w:p>
    <w:p w14:paraId="204EE2C5"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p>
    <w:p w14:paraId="0D5E5179"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b/>
          <w:bCs/>
          <w:i/>
          <w:kern w:val="0"/>
          <w14:ligatures w14:val="none"/>
        </w:rPr>
        <w:t>Zákon o zdravotnom poistení</w:t>
      </w:r>
      <w:r w:rsidRPr="00136466">
        <w:rPr>
          <w:rFonts w:ascii="Times New Roman" w:eastAsia="Calibri" w:hAnsi="Times New Roman" w:cs="Times New Roman"/>
          <w:i/>
          <w:kern w:val="0"/>
          <w14:ligatures w14:val="none"/>
        </w:rPr>
        <w:t xml:space="preserve"> – znižuje</w:t>
      </w:r>
    </w:p>
    <w:p w14:paraId="76684161"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p>
    <w:p w14:paraId="18A12FCF" w14:textId="77777777" w:rsidR="00136466" w:rsidRPr="00136466" w:rsidRDefault="00136466" w:rsidP="00136466">
      <w:pPr>
        <w:spacing w:after="0" w:line="240" w:lineRule="auto"/>
        <w:jc w:val="both"/>
        <w:rPr>
          <w:rFonts w:ascii="Times New Roman" w:eastAsia="Calibri" w:hAnsi="Times New Roman" w:cs="Arial"/>
          <w:kern w:val="0"/>
          <w14:ligatures w14:val="none"/>
        </w:rPr>
      </w:pPr>
      <w:r w:rsidRPr="00136466">
        <w:rPr>
          <w:rFonts w:ascii="Times New Roman" w:eastAsia="Calibri" w:hAnsi="Times New Roman" w:cs="Arial"/>
          <w:b/>
          <w:bCs/>
          <w:kern w:val="0"/>
          <w14:ligatures w14:val="none"/>
        </w:rPr>
        <w:t>Zákon o hazardných hrách</w:t>
      </w:r>
      <w:r w:rsidRPr="00136466">
        <w:rPr>
          <w:rFonts w:ascii="Times New Roman" w:eastAsia="Calibri" w:hAnsi="Times New Roman" w:cs="Arial"/>
          <w:kern w:val="0"/>
          <w14:ligatures w14:val="none"/>
        </w:rPr>
        <w:t xml:space="preserve"> – nemení</w:t>
      </w:r>
    </w:p>
    <w:p w14:paraId="7AB3DE8E"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p>
    <w:p w14:paraId="616DDCED"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Na základe uvedenej odpovede zaškrtnite a popíšte, či materiál produktivitu:</w:t>
      </w:r>
    </w:p>
    <w:p w14:paraId="4EC16D4D" w14:textId="77777777" w:rsidR="00136466" w:rsidRPr="00136466" w:rsidRDefault="00000000" w:rsidP="00136466">
      <w:pPr>
        <w:spacing w:after="0" w:line="259" w:lineRule="auto"/>
        <w:jc w:val="both"/>
        <w:rPr>
          <w:rFonts w:ascii="Times New Roman" w:eastAsia="Calibri" w:hAnsi="Times New Roman" w:cs="Times New Roman"/>
          <w:i/>
          <w:kern w:val="0"/>
          <w14:ligatures w14:val="none"/>
        </w:rPr>
      </w:pPr>
      <w:sdt>
        <w:sdtPr>
          <w:rPr>
            <w:rFonts w:ascii="Times New Roman" w:eastAsia="Calibri" w:hAnsi="Times New Roman" w:cs="Times New Roman"/>
            <w:i/>
            <w:kern w:val="0"/>
            <w14:ligatures w14:val="none"/>
          </w:rPr>
          <w:id w:val="-1545903528"/>
        </w:sdtPr>
        <w:sdtContent>
          <w:sdt>
            <w:sdtPr>
              <w:rPr>
                <w:rFonts w:ascii="Times New Roman" w:eastAsia="Calibri" w:hAnsi="Times New Roman" w:cs="Times New Roman"/>
                <w:i/>
                <w:kern w:val="0"/>
                <w14:ligatures w14:val="none"/>
              </w:rPr>
              <w:id w:val="825715010"/>
            </w:sdtPr>
            <w:sdtContent>
              <w:r w:rsidR="00136466" w:rsidRPr="00136466">
                <w:rPr>
                  <w:rFonts w:ascii="Segoe UI Symbol" w:eastAsia="Calibri" w:hAnsi="Segoe UI Symbol" w:cs="Segoe UI Symbol"/>
                  <w:i/>
                  <w:kern w:val="0"/>
                  <w14:ligatures w14:val="none"/>
                </w:rPr>
                <w:t>☐</w:t>
              </w:r>
            </w:sdtContent>
          </w:sdt>
        </w:sdtContent>
      </w:sdt>
      <w:r w:rsidR="00136466" w:rsidRPr="00136466">
        <w:rPr>
          <w:rFonts w:ascii="Times New Roman" w:eastAsia="Calibri" w:hAnsi="Times New Roman" w:cs="Times New Roman"/>
          <w:i/>
          <w:kern w:val="0"/>
          <w14:ligatures w14:val="none"/>
        </w:rPr>
        <w:t xml:space="preserve"> zvyšuje </w:t>
      </w:r>
      <w:r w:rsidR="00136466" w:rsidRPr="00136466">
        <w:rPr>
          <w:rFonts w:ascii="Times New Roman" w:eastAsia="Calibri" w:hAnsi="Times New Roman" w:cs="Times New Roman"/>
          <w:i/>
          <w:kern w:val="0"/>
          <w14:ligatures w14:val="none"/>
        </w:rPr>
        <w:tab/>
      </w:r>
      <w:sdt>
        <w:sdtPr>
          <w:rPr>
            <w:rFonts w:ascii="Times New Roman" w:eastAsia="Calibri" w:hAnsi="Times New Roman" w:cs="Times New Roman"/>
            <w:i/>
            <w:kern w:val="0"/>
            <w14:ligatures w14:val="none"/>
          </w:rPr>
          <w:id w:val="-353966921"/>
        </w:sdtPr>
        <w:sdtContent>
          <w:sdt>
            <w:sdtPr>
              <w:rPr>
                <w:rFonts w:ascii="Times New Roman" w:eastAsia="Calibri" w:hAnsi="Times New Roman" w:cs="Times New Roman"/>
                <w:i/>
                <w:kern w:val="0"/>
                <w14:ligatures w14:val="none"/>
              </w:rPr>
              <w:id w:val="-1222205104"/>
            </w:sdtPr>
            <w:sdtContent>
              <w:sdt>
                <w:sdtPr>
                  <w:rPr>
                    <w:rFonts w:ascii="Times New Roman" w:eastAsia="Calibri" w:hAnsi="Times New Roman" w:cs="Arial"/>
                    <w:i/>
                    <w:kern w:val="0"/>
                    <w14:ligatures w14:val="none"/>
                  </w:rPr>
                  <w:id w:val="612646134"/>
                  <w14:checkbox>
                    <w14:checked w14:val="1"/>
                    <w14:checkedState w14:val="2612" w14:font="MS Gothic"/>
                    <w14:uncheckedState w14:val="2610" w14:font="MS Gothic"/>
                  </w14:checkbox>
                </w:sdtPr>
                <w:sdtContent>
                  <w:r w:rsidR="00136466" w:rsidRPr="00136466">
                    <w:rPr>
                      <w:rFonts w:ascii="Segoe UI Symbol" w:eastAsia="Calibri" w:hAnsi="Segoe UI Symbol" w:cs="Segoe UI Symbol"/>
                      <w:i/>
                      <w:kern w:val="0"/>
                      <w14:ligatures w14:val="none"/>
                    </w:rPr>
                    <w:t>☒</w:t>
                  </w:r>
                </w:sdtContent>
              </w:sdt>
            </w:sdtContent>
          </w:sdt>
        </w:sdtContent>
      </w:sdt>
      <w:r w:rsidR="00136466" w:rsidRPr="00136466">
        <w:rPr>
          <w:rFonts w:ascii="Times New Roman" w:eastAsia="Calibri" w:hAnsi="Times New Roman" w:cs="Times New Roman"/>
          <w:i/>
          <w:kern w:val="0"/>
          <w14:ligatures w14:val="none"/>
        </w:rPr>
        <w:t xml:space="preserve"> nemení</w:t>
      </w:r>
      <w:r w:rsidR="00136466" w:rsidRPr="00136466">
        <w:rPr>
          <w:rFonts w:ascii="Times New Roman" w:eastAsia="Calibri" w:hAnsi="Times New Roman" w:cs="Times New Roman"/>
          <w:i/>
          <w:kern w:val="0"/>
          <w14:ligatures w14:val="none"/>
        </w:rPr>
        <w:tab/>
      </w:r>
      <w:sdt>
        <w:sdtPr>
          <w:rPr>
            <w:rFonts w:ascii="Times New Roman" w:eastAsia="Calibri" w:hAnsi="Times New Roman" w:cs="Times New Roman"/>
            <w:i/>
            <w:kern w:val="0"/>
            <w14:ligatures w14:val="none"/>
          </w:rPr>
          <w:id w:val="-1457723544"/>
        </w:sdtPr>
        <w:sdtContent>
          <w:sdt>
            <w:sdtPr>
              <w:rPr>
                <w:rFonts w:ascii="Times New Roman" w:eastAsia="Calibri" w:hAnsi="Times New Roman" w:cs="Times New Roman"/>
                <w:i/>
                <w:kern w:val="0"/>
                <w14:ligatures w14:val="none"/>
              </w:rPr>
              <w:id w:val="-623767955"/>
            </w:sdtPr>
            <w:sdtContent>
              <w:sdt>
                <w:sdtPr>
                  <w:rPr>
                    <w:rFonts w:ascii="Times New Roman" w:eastAsia="Calibri" w:hAnsi="Times New Roman" w:cs="Times New Roman"/>
                    <w:i/>
                    <w:kern w:val="0"/>
                    <w14:ligatures w14:val="none"/>
                  </w:rPr>
                  <w:id w:val="-1751192181"/>
                </w:sdtPr>
                <w:sdtContent>
                  <w:sdt>
                    <w:sdtPr>
                      <w:rPr>
                        <w:rFonts w:ascii="Times New Roman" w:eastAsia="Calibri" w:hAnsi="Times New Roman" w:cs="Arial"/>
                        <w:i/>
                        <w:kern w:val="0"/>
                        <w14:ligatures w14:val="none"/>
                      </w:rPr>
                      <w:id w:val="1499458031"/>
                      <w14:checkbox>
                        <w14:checked w14:val="1"/>
                        <w14:checkedState w14:val="2612" w14:font="MS Gothic"/>
                        <w14:uncheckedState w14:val="2610" w14:font="MS Gothic"/>
                      </w14:checkbox>
                    </w:sdtPr>
                    <w:sdtContent>
                      <w:r w:rsidR="00136466" w:rsidRPr="00136466">
                        <w:rPr>
                          <w:rFonts w:ascii="Segoe UI Symbol" w:eastAsia="Calibri" w:hAnsi="Segoe UI Symbol" w:cs="Segoe UI Symbol"/>
                          <w:i/>
                          <w:kern w:val="0"/>
                          <w14:ligatures w14:val="none"/>
                        </w:rPr>
                        <w:t>☒</w:t>
                      </w:r>
                    </w:sdtContent>
                  </w:sdt>
                </w:sdtContent>
              </w:sdt>
            </w:sdtContent>
          </w:sdt>
        </w:sdtContent>
      </w:sdt>
      <w:r w:rsidR="00136466" w:rsidRPr="00136466">
        <w:rPr>
          <w:rFonts w:ascii="Times New Roman" w:eastAsia="Calibri" w:hAnsi="Times New Roman" w:cs="Times New Roman"/>
          <w:i/>
          <w:kern w:val="0"/>
          <w14:ligatures w14:val="none"/>
        </w:rPr>
        <w:t xml:space="preserve"> znižuje</w:t>
      </w:r>
    </w:p>
    <w:p w14:paraId="6D8B10D1"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p>
    <w:p w14:paraId="0B1106B5"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p>
    <w:p w14:paraId="273B0D12" w14:textId="77777777" w:rsidR="00136466" w:rsidRPr="00136466" w:rsidRDefault="00136466" w:rsidP="00136466">
      <w:pPr>
        <w:spacing w:line="259" w:lineRule="auto"/>
        <w:jc w:val="both"/>
        <w:rPr>
          <w:rFonts w:ascii="Times New Roman" w:eastAsia="Calibri" w:hAnsi="Times New Roman" w:cs="Times New Roman"/>
          <w:b/>
          <w:kern w:val="0"/>
          <w14:ligatures w14:val="none"/>
        </w:rPr>
      </w:pPr>
      <w:r w:rsidRPr="00136466">
        <w:rPr>
          <w:rFonts w:ascii="Times New Roman" w:eastAsia="Calibri" w:hAnsi="Times New Roman" w:cs="Times New Roman"/>
          <w:b/>
          <w:kern w:val="0"/>
          <w14:ligatures w14:val="none"/>
        </w:rPr>
        <w:t xml:space="preserve">3.4 Iné vplyvy na podnikateľské prostredie </w:t>
      </w:r>
    </w:p>
    <w:p w14:paraId="1F7131AD" w14:textId="77777777" w:rsidR="00136466" w:rsidRPr="00136466" w:rsidRDefault="00136466" w:rsidP="00136466">
      <w:pPr>
        <w:spacing w:after="0" w:line="259"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 xml:space="preserve">Ak má materiál vplyvy na PP, ktoré nemožno zaradiť do predchádzajúcich častí, či už pozitívne alebo negatívne, tu ich uveďte. Patria sem: </w:t>
      </w:r>
    </w:p>
    <w:p w14:paraId="548B6DEC" w14:textId="77777777" w:rsidR="00136466" w:rsidRPr="00136466" w:rsidRDefault="00136466" w:rsidP="00136466">
      <w:pPr>
        <w:numPr>
          <w:ilvl w:val="0"/>
          <w:numId w:val="49"/>
        </w:numPr>
        <w:spacing w:after="0" w:line="254" w:lineRule="auto"/>
        <w:contextualSpacing/>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0404D9CB" w14:textId="77777777" w:rsidR="00136466" w:rsidRPr="00136466" w:rsidRDefault="00136466" w:rsidP="00136466">
      <w:pPr>
        <w:numPr>
          <w:ilvl w:val="0"/>
          <w:numId w:val="49"/>
        </w:numPr>
        <w:spacing w:after="0" w:line="254" w:lineRule="auto"/>
        <w:contextualSpacing/>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regulované ceny podľa zákona č. 18/1996 Z. z. o cenách;</w:t>
      </w:r>
    </w:p>
    <w:p w14:paraId="4923F92B" w14:textId="77777777" w:rsidR="00136466" w:rsidRPr="00136466" w:rsidRDefault="00136466" w:rsidP="00136466">
      <w:pPr>
        <w:numPr>
          <w:ilvl w:val="0"/>
          <w:numId w:val="49"/>
        </w:numPr>
        <w:spacing w:after="0" w:line="254" w:lineRule="auto"/>
        <w:contextualSpacing/>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iné vplyvy, ktoré predpokladá materiál, ale nemožno ich zaradiť do častí 3.1 a 3.3.,</w:t>
      </w:r>
    </w:p>
    <w:p w14:paraId="041AB7D9" w14:textId="77777777" w:rsidR="00136466" w:rsidRPr="00136466" w:rsidRDefault="00136466" w:rsidP="00136466">
      <w:pPr>
        <w:numPr>
          <w:ilvl w:val="0"/>
          <w:numId w:val="49"/>
        </w:numPr>
        <w:spacing w:after="0" w:line="254" w:lineRule="auto"/>
        <w:contextualSpacing/>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14:ligatures w14:val="none"/>
        </w:rPr>
        <w:t>iné vplyvy podľa písm. a) až c), ktoré sú goldplatingom.</w:t>
      </w:r>
    </w:p>
    <w:p w14:paraId="100BAF6A" w14:textId="77777777" w:rsidR="00136466" w:rsidRPr="00136466" w:rsidRDefault="00136466" w:rsidP="00136466">
      <w:pPr>
        <w:spacing w:after="0" w:line="240" w:lineRule="auto"/>
        <w:rPr>
          <w:rFonts w:ascii="Times New Roman" w:eastAsia="Times New Roman" w:hAnsi="Times New Roman" w:cs="Times New Roman"/>
          <w:b/>
          <w:kern w:val="0"/>
          <w:sz w:val="28"/>
          <w:szCs w:val="28"/>
          <w:lang w:eastAsia="sk-SK"/>
          <w14:ligatures w14:val="none"/>
        </w:rPr>
      </w:pPr>
    </w:p>
    <w:p w14:paraId="2B553619" w14:textId="77777777" w:rsidR="00136466" w:rsidRPr="00136466" w:rsidRDefault="00136466" w:rsidP="00136466">
      <w:pPr>
        <w:numPr>
          <w:ilvl w:val="0"/>
          <w:numId w:val="70"/>
        </w:numPr>
        <w:spacing w:after="0" w:line="240" w:lineRule="auto"/>
        <w:contextualSpacing/>
        <w:jc w:val="both"/>
        <w:rPr>
          <w:rFonts w:ascii="Times New Roman" w:eastAsia="Calibri" w:hAnsi="Times New Roman" w:cs="Arial"/>
          <w:b/>
          <w:bCs/>
          <w:i/>
          <w:iCs/>
          <w:kern w:val="0"/>
          <w14:ligatures w14:val="none"/>
        </w:rPr>
      </w:pPr>
      <w:r w:rsidRPr="00136466">
        <w:rPr>
          <w:rFonts w:ascii="Times New Roman" w:eastAsia="Calibri" w:hAnsi="Times New Roman" w:cs="Arial"/>
          <w:b/>
          <w:bCs/>
          <w:i/>
          <w:iCs/>
          <w:kern w:val="0"/>
          <w14:ligatures w14:val="none"/>
        </w:rPr>
        <w:t>Sprístupnenie záznamov preukazujúcich rozsah použitia osobného motorového vozidla výlučne na podnikanie (§ 85n ods. 7)</w:t>
      </w:r>
    </w:p>
    <w:p w14:paraId="7F092695" w14:textId="77777777" w:rsidR="00136466" w:rsidRPr="00136466" w:rsidRDefault="00136466" w:rsidP="00136466">
      <w:pPr>
        <w:spacing w:after="0" w:line="240" w:lineRule="auto"/>
        <w:jc w:val="both"/>
        <w:rPr>
          <w:rFonts w:ascii="Times New Roman" w:eastAsia="Calibri" w:hAnsi="Times New Roman" w:cs="Arial"/>
          <w:b/>
          <w:bCs/>
          <w:kern w:val="0"/>
          <w14:ligatures w14:val="none"/>
        </w:rPr>
      </w:pPr>
    </w:p>
    <w:p w14:paraId="1D1A299A" w14:textId="77777777" w:rsidR="00136466" w:rsidRPr="00136466" w:rsidRDefault="00136466" w:rsidP="00136466">
      <w:pPr>
        <w:spacing w:after="0" w:line="240" w:lineRule="auto"/>
        <w:jc w:val="both"/>
        <w:rPr>
          <w:rFonts w:ascii="Times New Roman" w:eastAsia="Calibri" w:hAnsi="Times New Roman" w:cs="Arial"/>
          <w:kern w:val="0"/>
          <w14:ligatures w14:val="none"/>
        </w:rPr>
      </w:pPr>
      <w:r w:rsidRPr="00136466">
        <w:rPr>
          <w:rFonts w:ascii="Times New Roman" w:eastAsia="Calibri" w:hAnsi="Times New Roman" w:cs="Arial"/>
          <w:kern w:val="0"/>
          <w:shd w:val="clear" w:color="auto" w:fill="FFFFFF"/>
          <w14:ligatures w14:val="none"/>
        </w:rPr>
        <w:t xml:space="preserve">Navrhovaná regulácia dotknutým subjektom zvyšuje náklady. </w:t>
      </w:r>
      <w:r w:rsidRPr="00136466">
        <w:rPr>
          <w:rFonts w:ascii="Times New Roman" w:eastAsia="Calibri" w:hAnsi="Times New Roman" w:cs="Arial"/>
          <w:kern w:val="0"/>
          <w14:ligatures w14:val="none"/>
        </w:rPr>
        <w:t>Platiteľ dane bude povinný na výzvu daňového úradu, v lehote určenej vo výzve, sprístupniť elektronickými prostriedkami záznamy podľa odseku 6.</w:t>
      </w:r>
    </w:p>
    <w:p w14:paraId="0FBABC02" w14:textId="77777777" w:rsidR="00136466" w:rsidRPr="00136466" w:rsidRDefault="00136466" w:rsidP="00136466">
      <w:pPr>
        <w:spacing w:after="0" w:line="240" w:lineRule="auto"/>
        <w:jc w:val="both"/>
        <w:rPr>
          <w:rFonts w:ascii="Times New Roman" w:eastAsia="Calibri" w:hAnsi="Times New Roman" w:cs="Arial"/>
          <w:color w:val="000000"/>
          <w:kern w:val="0"/>
          <w14:ligatures w14:val="none"/>
        </w:rPr>
      </w:pPr>
    </w:p>
    <w:p w14:paraId="09CB6203" w14:textId="77777777" w:rsidR="00136466" w:rsidRPr="00136466" w:rsidRDefault="00136466" w:rsidP="00136466">
      <w:pPr>
        <w:spacing w:after="0" w:line="240" w:lineRule="auto"/>
        <w:jc w:val="both"/>
        <w:rPr>
          <w:rFonts w:ascii="Times New Roman" w:eastAsia="Times New Roman" w:hAnsi="Times New Roman" w:cs="Times New Roman"/>
          <w:bCs/>
          <w:kern w:val="0"/>
          <w:lang w:eastAsia="sk-SK"/>
          <w14:ligatures w14:val="none"/>
        </w:rPr>
      </w:pPr>
      <w:r w:rsidRPr="00136466">
        <w:rPr>
          <w:rFonts w:ascii="Times New Roman" w:eastAsia="Calibri" w:hAnsi="Times New Roman" w:cs="Arial"/>
          <w:color w:val="000000"/>
          <w:kern w:val="0"/>
          <w14:ligatures w14:val="none"/>
        </w:rPr>
        <w:t xml:space="preserve">Predmetná regulácia pre dotknuté subjekty predstavuje administratívny vplyv. </w:t>
      </w:r>
      <w:r w:rsidRPr="00136466">
        <w:rPr>
          <w:rFonts w:ascii="Times New Roman" w:eastAsia="Times New Roman" w:hAnsi="Times New Roman" w:cs="Times New Roman"/>
          <w:bCs/>
          <w:kern w:val="0"/>
          <w:lang w:eastAsia="sk-SK"/>
          <w14:ligatures w14:val="none"/>
        </w:rPr>
        <w:t>Vzhľadom na skutočnosť, že ide o novo zavádzané ustanovenia, nie je možné negatívny dopad tohto ustanovenia na podnikateľské prostredie kvantifikovať. Záznamy budú vedené elektronicky a sprístupňované elektronickými prostriedkami.</w:t>
      </w:r>
    </w:p>
    <w:p w14:paraId="5A7BB2ED" w14:textId="77777777" w:rsidR="00136466" w:rsidRPr="00136466" w:rsidRDefault="00136466" w:rsidP="00136466">
      <w:pPr>
        <w:spacing w:after="0" w:line="240" w:lineRule="auto"/>
        <w:jc w:val="both"/>
        <w:rPr>
          <w:rFonts w:ascii="Times New Roman" w:eastAsia="Times New Roman" w:hAnsi="Times New Roman" w:cs="Times New Roman"/>
          <w:bCs/>
          <w:kern w:val="0"/>
          <w:lang w:eastAsia="sk-SK"/>
          <w14:ligatures w14:val="none"/>
        </w:rPr>
      </w:pPr>
    </w:p>
    <w:p w14:paraId="568C23E2" w14:textId="77777777" w:rsidR="00136466" w:rsidRPr="00136466" w:rsidRDefault="00136466" w:rsidP="00136466">
      <w:pPr>
        <w:numPr>
          <w:ilvl w:val="0"/>
          <w:numId w:val="70"/>
        </w:numPr>
        <w:spacing w:after="0" w:line="240" w:lineRule="auto"/>
        <w:contextualSpacing/>
        <w:jc w:val="both"/>
        <w:rPr>
          <w:rFonts w:ascii="Times New Roman" w:eastAsia="Calibri" w:hAnsi="Times New Roman" w:cs="Times New Roman"/>
          <w:b/>
          <w:i/>
          <w:iCs/>
          <w:color w:val="000000"/>
          <w:kern w:val="0"/>
          <w14:ligatures w14:val="none"/>
        </w:rPr>
      </w:pPr>
      <w:r w:rsidRPr="00136466">
        <w:rPr>
          <w:rFonts w:ascii="Times New Roman" w:eastAsia="Calibri" w:hAnsi="Times New Roman" w:cs="Times New Roman"/>
          <w:b/>
          <w:i/>
          <w:iCs/>
          <w:color w:val="000000"/>
          <w:kern w:val="0"/>
          <w14:ligatures w14:val="none"/>
        </w:rPr>
        <w:t>Úprava výšky sadzby dane z poistenia z 8 % na 10 % zo základu dane – podnikateľské subjekty</w:t>
      </w:r>
    </w:p>
    <w:p w14:paraId="5949839F"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p>
    <w:p w14:paraId="744B4187"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r w:rsidRPr="00136466">
        <w:rPr>
          <w:rFonts w:ascii="Times New Roman" w:eastAsia="Calibri" w:hAnsi="Times New Roman" w:cs="Times New Roman"/>
          <w:bCs/>
          <w:color w:val="000000"/>
          <w:kern w:val="0"/>
          <w14:ligatures w14:val="none"/>
        </w:rPr>
        <w:t>Zvýšenie sadzby dane z poistenia môže zvýšiť finančné náklady podnikateľským subjektom poisteným v odvetviach neživotného poistenia v prípade, ak poistné riziko bude umiestnené na území Slovenskej republiky. Zvýšené finančné náklady budú závisieť od spôsobu, akým poisťovne premietnu 2 % zvýšenie sadzby dane z poistenia do cien poistného.</w:t>
      </w:r>
    </w:p>
    <w:p w14:paraId="061DBEEC" w14:textId="77777777" w:rsidR="00136466" w:rsidRPr="00136466" w:rsidRDefault="00136466" w:rsidP="00136466">
      <w:pPr>
        <w:spacing w:after="0" w:line="240" w:lineRule="auto"/>
        <w:jc w:val="both"/>
        <w:rPr>
          <w:rFonts w:ascii="Times New Roman" w:eastAsia="Calibri" w:hAnsi="Times New Roman" w:cs="Arial"/>
          <w:color w:val="000000"/>
          <w:kern w:val="0"/>
          <w14:ligatures w14:val="none"/>
        </w:rPr>
      </w:pPr>
      <w:r w:rsidRPr="00136466">
        <w:rPr>
          <w:rFonts w:ascii="Times New Roman" w:eastAsia="Calibri" w:hAnsi="Times New Roman" w:cs="Arial"/>
          <w:color w:val="000000"/>
          <w:kern w:val="0"/>
          <w14:ligatures w14:val="none"/>
        </w:rPr>
        <w:t>Zmena regulácie dotknutým subjektom môže zvýšiť náklady. Predpokladaný výnos v súvislosti s touto reguláciou je uvedený v rámci Analýzy vplyvov na rozpočet verejnej správy. Zvýšené finančné náklady na podnikateľské subjekty však nie je možné jednoznačne kvantifikovať, keďže nie je možné určiť koľko z klientov sú podnikateľské subjekty, občania a orgány verejnej správy. MF SR nedisponuje detailnými informáciami o výške upísaného poistného, o poistnom odvetví a segmente klienta.</w:t>
      </w:r>
    </w:p>
    <w:p w14:paraId="3E322659" w14:textId="77777777" w:rsidR="00136466" w:rsidRPr="00136466" w:rsidRDefault="00136466" w:rsidP="00136466">
      <w:pPr>
        <w:spacing w:after="0" w:line="240" w:lineRule="auto"/>
        <w:jc w:val="both"/>
        <w:rPr>
          <w:rFonts w:ascii="Times New Roman" w:eastAsia="Calibri" w:hAnsi="Times New Roman" w:cs="Arial"/>
          <w:color w:val="000000"/>
          <w:kern w:val="0"/>
          <w14:ligatures w14:val="none"/>
        </w:rPr>
      </w:pPr>
    </w:p>
    <w:p w14:paraId="24F5EA2B" w14:textId="77777777" w:rsidR="00136466" w:rsidRPr="00136466" w:rsidRDefault="00136466" w:rsidP="00136466">
      <w:pPr>
        <w:numPr>
          <w:ilvl w:val="0"/>
          <w:numId w:val="70"/>
        </w:numPr>
        <w:spacing w:after="0" w:line="240" w:lineRule="auto"/>
        <w:contextualSpacing/>
        <w:jc w:val="both"/>
        <w:rPr>
          <w:rFonts w:ascii="Times New Roman" w:eastAsia="Calibri" w:hAnsi="Times New Roman" w:cs="Times New Roman"/>
          <w:b/>
          <w:i/>
          <w:iCs/>
          <w:color w:val="000000"/>
          <w:kern w:val="0"/>
          <w14:ligatures w14:val="none"/>
        </w:rPr>
      </w:pPr>
      <w:r w:rsidRPr="00136466">
        <w:rPr>
          <w:rFonts w:ascii="Times New Roman" w:eastAsia="Calibri" w:hAnsi="Times New Roman" w:cs="Times New Roman"/>
          <w:b/>
          <w:i/>
          <w:iCs/>
          <w:color w:val="000000"/>
          <w:kern w:val="0"/>
          <w14:ligatures w14:val="none"/>
        </w:rPr>
        <w:t>Zvýšenie osobitného odvodu z PZP z 8 % na 10 % - podnikateľské subjekty</w:t>
      </w:r>
    </w:p>
    <w:p w14:paraId="09253231" w14:textId="77777777" w:rsidR="00136466" w:rsidRPr="00136466" w:rsidRDefault="00136466" w:rsidP="00136466">
      <w:pPr>
        <w:spacing w:after="0" w:line="240" w:lineRule="auto"/>
        <w:ind w:left="360"/>
        <w:contextualSpacing/>
        <w:jc w:val="both"/>
        <w:rPr>
          <w:rFonts w:ascii="Times New Roman" w:eastAsia="Calibri" w:hAnsi="Times New Roman" w:cs="Times New Roman"/>
          <w:b/>
          <w:i/>
          <w:iCs/>
          <w:color w:val="000000"/>
          <w:kern w:val="0"/>
          <w14:ligatures w14:val="none"/>
        </w:rPr>
      </w:pPr>
    </w:p>
    <w:p w14:paraId="7303289C" w14:textId="77777777" w:rsidR="00136466" w:rsidRPr="00136466" w:rsidRDefault="00136466" w:rsidP="00136466">
      <w:pPr>
        <w:spacing w:after="0" w:line="240" w:lineRule="auto"/>
        <w:jc w:val="both"/>
        <w:rPr>
          <w:rFonts w:ascii="Times New Roman" w:eastAsia="Calibri" w:hAnsi="Times New Roman" w:cs="Times New Roman"/>
          <w:bCs/>
          <w:color w:val="000000"/>
          <w:kern w:val="0"/>
          <w14:ligatures w14:val="none"/>
        </w:rPr>
      </w:pPr>
      <w:r w:rsidRPr="00136466">
        <w:rPr>
          <w:rFonts w:ascii="Times New Roman" w:eastAsia="Calibri" w:hAnsi="Times New Roman" w:cs="Times New Roman"/>
          <w:bCs/>
          <w:color w:val="000000"/>
          <w:kern w:val="0"/>
          <w14:ligatures w14:val="none"/>
        </w:rPr>
        <w:t>Zvýšenie osobitného odvodu z PZP môže zvýšiť finančné náklady podnikateľským subjektom poisťujúcim si motorové vozidlá. Zvýšené finančné náklady budú závisieť od spôsobu, akým poisťovne premietnu 2 % zvýšenie osobitného odvodu do cien PZP.</w:t>
      </w:r>
    </w:p>
    <w:p w14:paraId="5B39EC52" w14:textId="77777777" w:rsidR="00136466" w:rsidRPr="00136466" w:rsidRDefault="00136466" w:rsidP="00136466">
      <w:pPr>
        <w:spacing w:after="0" w:line="240" w:lineRule="auto"/>
        <w:jc w:val="both"/>
        <w:rPr>
          <w:rFonts w:ascii="Times New Roman" w:eastAsia="Calibri" w:hAnsi="Times New Roman" w:cs="Arial"/>
          <w:color w:val="000000"/>
          <w:kern w:val="0"/>
          <w14:ligatures w14:val="none"/>
        </w:rPr>
      </w:pPr>
      <w:r w:rsidRPr="00136466">
        <w:rPr>
          <w:rFonts w:ascii="Times New Roman" w:eastAsia="Calibri" w:hAnsi="Times New Roman" w:cs="Arial"/>
          <w:color w:val="000000"/>
          <w:kern w:val="0"/>
          <w14:ligatures w14:val="none"/>
        </w:rPr>
        <w:t>Zmena regulácie dotknutým subjektom môže zvýšiť náklady. Predpokladaný výnos v súvislosti s touto reguláciou je uvedený v rámci Analýzy vplyvov na rozpočet verejnej správy. Zvýšené finančné náklady na podnikateľské subjekty však nie je možné jednoznačne kvantifikovať, keďže nie je možné určiť koľko z klientov sú podnikateľské subjekty, občania a orgány verejnej správy.</w:t>
      </w:r>
    </w:p>
    <w:p w14:paraId="582BE52C" w14:textId="77777777" w:rsidR="00136466" w:rsidRPr="00136466" w:rsidRDefault="00136466" w:rsidP="00136466">
      <w:pPr>
        <w:spacing w:after="0" w:line="240" w:lineRule="auto"/>
        <w:jc w:val="both"/>
        <w:rPr>
          <w:rFonts w:ascii="Times New Roman" w:eastAsia="Calibri" w:hAnsi="Times New Roman" w:cs="Arial"/>
          <w:color w:val="000000"/>
          <w:kern w:val="0"/>
          <w14:ligatures w14:val="none"/>
        </w:rPr>
      </w:pPr>
    </w:p>
    <w:p w14:paraId="2703AB98" w14:textId="77777777" w:rsidR="00136466" w:rsidRPr="00136466" w:rsidRDefault="00136466" w:rsidP="00136466">
      <w:pPr>
        <w:numPr>
          <w:ilvl w:val="0"/>
          <w:numId w:val="70"/>
        </w:numPr>
        <w:spacing w:after="0" w:line="240" w:lineRule="auto"/>
        <w:contextualSpacing/>
        <w:jc w:val="both"/>
        <w:rPr>
          <w:rFonts w:ascii="Times New Roman" w:eastAsia="Calibri" w:hAnsi="Times New Roman" w:cs="Times New Roman"/>
          <w:b/>
          <w:bCs/>
          <w:i/>
          <w:iCs/>
          <w:color w:val="000000"/>
          <w:kern w:val="0"/>
          <w14:ligatures w14:val="none"/>
        </w:rPr>
      </w:pPr>
      <w:r w:rsidRPr="00136466">
        <w:rPr>
          <w:rFonts w:ascii="Times New Roman" w:eastAsia="Calibri" w:hAnsi="Times New Roman" w:cs="Times New Roman"/>
          <w:b/>
          <w:bCs/>
          <w:i/>
          <w:iCs/>
          <w:color w:val="000000"/>
          <w:kern w:val="0"/>
          <w14:ligatures w14:val="none"/>
        </w:rPr>
        <w:t>Banský zákon</w:t>
      </w:r>
    </w:p>
    <w:p w14:paraId="52DA9B31" w14:textId="77777777" w:rsidR="00136466" w:rsidRPr="00136466" w:rsidRDefault="00136466" w:rsidP="00136466">
      <w:pPr>
        <w:spacing w:after="0" w:line="240" w:lineRule="auto"/>
        <w:ind w:left="360"/>
        <w:contextualSpacing/>
        <w:jc w:val="both"/>
        <w:rPr>
          <w:rFonts w:ascii="Times New Roman" w:eastAsia="Calibri" w:hAnsi="Times New Roman" w:cs="Times New Roman"/>
          <w:b/>
          <w:bCs/>
          <w:i/>
          <w:iCs/>
          <w:color w:val="000000"/>
          <w:kern w:val="0"/>
          <w14:ligatures w14:val="none"/>
        </w:rPr>
      </w:pPr>
    </w:p>
    <w:p w14:paraId="278090C0" w14:textId="77777777" w:rsidR="00136466" w:rsidRPr="00136466" w:rsidRDefault="00136466" w:rsidP="00136466">
      <w:pPr>
        <w:spacing w:after="0" w:line="240" w:lineRule="auto"/>
        <w:jc w:val="both"/>
        <w:rPr>
          <w:rFonts w:ascii="Times New Roman" w:eastAsia="Times New Roman" w:hAnsi="Times New Roman" w:cs="Times New Roman"/>
          <w:bCs/>
          <w:kern w:val="0"/>
          <w:lang w:eastAsia="sk-SK"/>
          <w14:ligatures w14:val="none"/>
        </w:rPr>
      </w:pPr>
      <w:r w:rsidRPr="00136466">
        <w:rPr>
          <w:rFonts w:ascii="Times New Roman" w:eastAsia="Calibri" w:hAnsi="Times New Roman" w:cs="Times New Roman"/>
          <w:iCs/>
          <w:kern w:val="0"/>
          <w14:ligatures w14:val="none"/>
        </w:rPr>
        <w:t>Napriek zvýšeniu poplatkov stanovením úhrad za vydobyté primárne suroviny, úhrad za uskladňovanie plynov alebo kvapalín a za dobývací priestor predložený návrh novely zákona má aj pozitívny vplyv na podnikateľské prostredie, pretože spolu so zvýšením úhrady za dobývací priestor sa zvyšuje aj podiel príjmu pre obec, na ktorej území sa dobývací priestor nachádza, a to až na 100 % zo sumy úhrady. Cieľom je posilniť kompenzačný mechanizmus pre miestnu samosprávu, ktorá je priamo dotknutá banskou činnosťou na svojom území. Navrhovaná úprava vytvára priame finančné stimuly pre obce, čím sa posilní ich záujem na umožňovaní a podpore ťažobnej činnosti.</w:t>
      </w:r>
    </w:p>
    <w:p w14:paraId="030B349B" w14:textId="77777777" w:rsidR="00482185" w:rsidRDefault="00482185">
      <w:pPr>
        <w:rPr>
          <w:rFonts w:ascii="Times New Roman" w:eastAsia="Calibri" w:hAnsi="Times New Roman" w:cs="Times New Roman"/>
          <w:kern w:val="0"/>
          <w14:ligatures w14:val="none"/>
        </w:rPr>
      </w:pPr>
    </w:p>
    <w:p w14:paraId="0902E89F" w14:textId="77777777" w:rsidR="00AA643C" w:rsidRDefault="00AA643C">
      <w:pPr>
        <w:rPr>
          <w:rFonts w:ascii="Times New Roman" w:eastAsia="Calibri" w:hAnsi="Times New Roman" w:cs="Times New Roman"/>
          <w:kern w:val="0"/>
          <w14:ligatures w14:val="none"/>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136466" w:rsidRPr="00136466" w14:paraId="3176128B" w14:textId="77777777" w:rsidTr="00136466">
        <w:trPr>
          <w:trHeight w:val="534"/>
          <w:jc w:val="center"/>
        </w:trPr>
        <w:tc>
          <w:tcPr>
            <w:tcW w:w="5000" w:type="pct"/>
            <w:gridSpan w:val="3"/>
            <w:tcBorders>
              <w:bottom w:val="single" w:sz="4" w:space="0" w:color="auto"/>
            </w:tcBorders>
            <w:shd w:val="clear" w:color="auto" w:fill="808080"/>
          </w:tcPr>
          <w:p w14:paraId="1BE6C5F8" w14:textId="0CF54AF3" w:rsidR="00136466" w:rsidRPr="00136466" w:rsidRDefault="00AA643C" w:rsidP="00136466">
            <w:pPr>
              <w:spacing w:after="0" w:line="240" w:lineRule="auto"/>
              <w:ind w:left="-284" w:firstLine="284"/>
              <w:jc w:val="center"/>
              <w:rPr>
                <w:rFonts w:ascii="Times New Roman" w:eastAsia="Calibri" w:hAnsi="Times New Roman" w:cs="Times New Roman"/>
                <w:b/>
                <w:kern w:val="0"/>
                <w:sz w:val="22"/>
                <w:szCs w:val="22"/>
                <w:lang w:eastAsia="sk-SK"/>
                <w14:ligatures w14:val="none"/>
              </w:rPr>
            </w:pPr>
            <w:r>
              <w:rPr>
                <w:rFonts w:ascii="Times New Roman" w:hAnsi="Times New Roman" w:cs="Times New Roman"/>
                <w:b/>
                <w:bCs/>
                <w:lang w:eastAsia="sk-SK"/>
              </w:rPr>
              <w:br w:type="page"/>
            </w:r>
            <w:r w:rsidR="00136466" w:rsidRPr="00136466">
              <w:rPr>
                <w:rFonts w:ascii="Times New Roman" w:eastAsia="Calibri" w:hAnsi="Times New Roman" w:cs="Times New Roman"/>
                <w:b/>
                <w:kern w:val="0"/>
                <w:sz w:val="28"/>
                <w:szCs w:val="22"/>
                <w:lang w:eastAsia="sk-SK"/>
                <w14:ligatures w14:val="none"/>
              </w:rPr>
              <w:t>Analýza sociálnych vplyvov</w:t>
            </w:r>
          </w:p>
          <w:p w14:paraId="7F4574B6" w14:textId="77777777" w:rsidR="00136466" w:rsidRPr="00136466" w:rsidRDefault="00136466" w:rsidP="00136466">
            <w:pPr>
              <w:spacing w:after="0" w:line="240" w:lineRule="auto"/>
              <w:jc w:val="center"/>
              <w:rPr>
                <w:rFonts w:ascii="Times New Roman" w:eastAsia="Calibri" w:hAnsi="Times New Roman" w:cs="Times New Roman"/>
                <w:b/>
                <w:kern w:val="0"/>
                <w:szCs w:val="22"/>
                <w:lang w:eastAsia="sk-SK"/>
                <w14:ligatures w14:val="none"/>
              </w:rPr>
            </w:pPr>
            <w:r w:rsidRPr="00136466">
              <w:rPr>
                <w:rFonts w:ascii="Times New Roman" w:eastAsia="Calibri" w:hAnsi="Times New Roman" w:cs="Times New Roman"/>
                <w:b/>
                <w:kern w:val="0"/>
                <w:szCs w:val="22"/>
                <w:lang w:eastAsia="sk-SK"/>
                <w14:ligatures w14:val="none"/>
              </w:rPr>
              <w:t>Vplyvy na hospodárenie domácností, prístup k zdrojom, právam, tovarom a službám, sociálnu inklúziu, rovnosť príležitostí a rovnosť žien a mužov a vplyvy na zamestnanosť</w:t>
            </w:r>
          </w:p>
          <w:p w14:paraId="269B5E1C" w14:textId="77777777" w:rsidR="00136466" w:rsidRPr="00136466" w:rsidRDefault="00136466" w:rsidP="00136466">
            <w:pPr>
              <w:spacing w:after="0" w:line="240" w:lineRule="auto"/>
              <w:jc w:val="both"/>
              <w:rPr>
                <w:rFonts w:ascii="Times New Roman" w:eastAsia="Calibri" w:hAnsi="Times New Roman" w:cs="Times New Roman"/>
                <w:b/>
                <w:kern w:val="0"/>
                <w:sz w:val="22"/>
                <w:szCs w:val="22"/>
                <w:lang w:eastAsia="sk-SK"/>
                <w14:ligatures w14:val="none"/>
              </w:rPr>
            </w:pPr>
            <w:r w:rsidRPr="00136466">
              <w:rPr>
                <w:rFonts w:ascii="Times New Roman" w:eastAsia="Calibri" w:hAnsi="Times New Roman" w:cs="Times New Roman"/>
                <w:b/>
                <w:kern w:val="0"/>
                <w:sz w:val="18"/>
                <w:szCs w:val="22"/>
                <w:lang w:eastAsia="sk-SK"/>
                <w14:ligatures w14:val="none"/>
              </w:rPr>
              <w:t>(</w:t>
            </w:r>
            <w:r w:rsidRPr="00136466">
              <w:rPr>
                <w:rFonts w:ascii="Times New Roman" w:eastAsia="Calibri" w:hAnsi="Times New Roman" w:cs="Times New Roman"/>
                <w:kern w:val="0"/>
                <w:sz w:val="18"/>
                <w:szCs w:val="22"/>
                <w:lang w:eastAsia="sk-SK"/>
                <w14:ligatures w14:val="none"/>
              </w:rPr>
              <w:t>Ak v niektorej z hodnotených oblastí sociálnych vplyvov (bodov 4.1 až 4.4) nebol identifikovaný vplyv, uveďte v príslušnom riadku analýzy poznámku „Bez vplyvu.“.)</w:t>
            </w:r>
          </w:p>
        </w:tc>
      </w:tr>
      <w:tr w:rsidR="00136466" w:rsidRPr="00136466" w14:paraId="62454E26" w14:textId="77777777" w:rsidTr="00136466">
        <w:trPr>
          <w:jc w:val="center"/>
        </w:trPr>
        <w:tc>
          <w:tcPr>
            <w:tcW w:w="5000" w:type="pct"/>
            <w:gridSpan w:val="3"/>
            <w:tcBorders>
              <w:bottom w:val="single" w:sz="4" w:space="0" w:color="auto"/>
            </w:tcBorders>
            <w:shd w:val="clear" w:color="auto" w:fill="A6A6A6"/>
          </w:tcPr>
          <w:p w14:paraId="19B22515" w14:textId="77777777" w:rsidR="00136466" w:rsidRPr="00136466" w:rsidRDefault="00136466" w:rsidP="00136466">
            <w:pPr>
              <w:spacing w:after="0" w:line="240" w:lineRule="auto"/>
              <w:rPr>
                <w:rFonts w:ascii="Times New Roman" w:eastAsia="Calibri" w:hAnsi="Times New Roman" w:cs="Times New Roman"/>
                <w:b/>
                <w:kern w:val="0"/>
                <w:szCs w:val="22"/>
                <w:lang w:eastAsia="sk-SK"/>
                <w14:ligatures w14:val="none"/>
              </w:rPr>
            </w:pPr>
            <w:r w:rsidRPr="00136466">
              <w:rPr>
                <w:rFonts w:ascii="Times New Roman" w:eastAsia="Calibri" w:hAnsi="Times New Roman" w:cs="Times New Roman"/>
                <w:b/>
                <w:kern w:val="0"/>
                <w:sz w:val="22"/>
                <w:szCs w:val="22"/>
                <w:lang w:eastAsia="sk-SK"/>
                <w14:ligatures w14:val="none"/>
              </w:rPr>
              <w:t xml:space="preserve">4.1 </w:t>
            </w:r>
            <w:r w:rsidRPr="00136466">
              <w:rPr>
                <w:rFonts w:ascii="Times New Roman" w:eastAsia="Calibri" w:hAnsi="Times New Roman" w:cs="Times New Roman"/>
                <w:b/>
                <w:kern w:val="0"/>
                <w:szCs w:val="22"/>
                <w:lang w:eastAsia="sk-SK"/>
                <w14:ligatures w14:val="none"/>
              </w:rPr>
              <w:t>Identifikujte, popíšte a kvantifikujte vplyv na hospodárenie domácností a špecifikujte ovplyvnené skupiny domácností, ktoré budú pozitívne/negatívne ovplyvnené.</w:t>
            </w:r>
          </w:p>
        </w:tc>
      </w:tr>
      <w:tr w:rsidR="00136466" w:rsidRPr="00136466" w14:paraId="5B34CB08" w14:textId="77777777" w:rsidTr="003627DF">
        <w:trPr>
          <w:jc w:val="center"/>
        </w:trPr>
        <w:tc>
          <w:tcPr>
            <w:tcW w:w="5000" w:type="pct"/>
            <w:gridSpan w:val="3"/>
            <w:tcBorders>
              <w:bottom w:val="single" w:sz="4" w:space="0" w:color="auto"/>
            </w:tcBorders>
            <w:shd w:val="clear" w:color="auto" w:fill="F2F2F2"/>
          </w:tcPr>
          <w:p w14:paraId="17D3F880" w14:textId="77777777" w:rsidR="00136466" w:rsidRPr="00136466" w:rsidRDefault="00136466" w:rsidP="00136466">
            <w:pPr>
              <w:spacing w:after="0" w:line="240" w:lineRule="auto"/>
              <w:rPr>
                <w:rFonts w:ascii="Times New Roman" w:eastAsia="Calibri" w:hAnsi="Times New Roman" w:cs="Times New Roman"/>
                <w:i/>
                <w:kern w:val="0"/>
                <w:sz w:val="20"/>
                <w:szCs w:val="22"/>
                <w:lang w:eastAsia="sk-SK"/>
                <w14:ligatures w14:val="none"/>
              </w:rPr>
            </w:pPr>
            <w:r w:rsidRPr="00136466">
              <w:rPr>
                <w:rFonts w:ascii="Times New Roman" w:eastAsia="Calibri" w:hAnsi="Times New Roman" w:cs="Times New Roman"/>
                <w:i/>
                <w:kern w:val="0"/>
                <w:sz w:val="20"/>
                <w:szCs w:val="22"/>
                <w:lang w:eastAsia="sk-SK"/>
                <w14:ligatures w14:val="none"/>
              </w:rPr>
              <w:t>Vedie návrh k zvýšeniu alebo zníženiu príjmov alebo výdavkov domácností?</w:t>
            </w:r>
          </w:p>
          <w:p w14:paraId="39F1012B" w14:textId="77777777" w:rsidR="00136466" w:rsidRPr="00136466" w:rsidRDefault="00136466" w:rsidP="00136466">
            <w:pPr>
              <w:numPr>
                <w:ilvl w:val="0"/>
                <w:numId w:val="72"/>
              </w:numPr>
              <w:spacing w:after="0" w:line="240" w:lineRule="auto"/>
              <w:contextualSpacing/>
              <w:rPr>
                <w:rFonts w:ascii="Times New Roman" w:eastAsia="Calibri" w:hAnsi="Times New Roman" w:cs="Times New Roman"/>
                <w:b/>
                <w:bCs/>
                <w:iCs/>
                <w:kern w:val="0"/>
                <w:sz w:val="20"/>
                <w:szCs w:val="22"/>
                <w:u w:val="single"/>
                <w:lang w:eastAsia="sk-SK"/>
                <w14:ligatures w14:val="none"/>
              </w:rPr>
            </w:pPr>
            <w:r w:rsidRPr="00136466">
              <w:rPr>
                <w:rFonts w:ascii="Calibri" w:eastAsia="Calibri" w:hAnsi="Calibri" w:cs="Calibri"/>
                <w:b/>
                <w:bCs/>
                <w:kern w:val="0"/>
                <w:sz w:val="20"/>
                <w:szCs w:val="20"/>
                <w14:ligatures w14:val="none"/>
              </w:rPr>
              <w:t>Úprava daňových sadzieb pre fyzické osoby</w:t>
            </w:r>
            <w:r w:rsidRPr="00136466">
              <w:rPr>
                <w:rFonts w:ascii="Times New Roman" w:eastAsia="Calibri" w:hAnsi="Times New Roman" w:cs="Times New Roman"/>
                <w:iCs/>
                <w:kern w:val="0"/>
                <w:sz w:val="20"/>
                <w:szCs w:val="22"/>
                <w:lang w:eastAsia="sk-SK"/>
                <w14:ligatures w14:val="none"/>
              </w:rPr>
              <w:t>- negatívne vplyv</w:t>
            </w:r>
          </w:p>
          <w:p w14:paraId="6DC6B113" w14:textId="77777777" w:rsidR="00136466" w:rsidRPr="00136466" w:rsidRDefault="00136466" w:rsidP="00136466">
            <w:pPr>
              <w:spacing w:after="0" w:line="240" w:lineRule="auto"/>
              <w:ind w:left="720"/>
              <w:contextualSpacing/>
              <w:rPr>
                <w:rFonts w:ascii="Times New Roman" w:eastAsia="Calibri" w:hAnsi="Times New Roman" w:cs="Times New Roman"/>
                <w:b/>
                <w:bCs/>
                <w:iCs/>
                <w:kern w:val="0"/>
                <w:sz w:val="20"/>
                <w:szCs w:val="22"/>
                <w:u w:val="single"/>
                <w:lang w:eastAsia="sk-SK"/>
                <w14:ligatures w14:val="none"/>
              </w:rPr>
            </w:pPr>
            <w:r w:rsidRPr="00136466">
              <w:rPr>
                <w:rFonts w:ascii="Calibri" w:eastAsia="Calibri" w:hAnsi="Calibri" w:cs="Calibri"/>
                <w:b/>
                <w:bCs/>
                <w:kern w:val="0"/>
                <w:sz w:val="20"/>
                <w:szCs w:val="20"/>
                <w14:ligatures w14:val="none"/>
              </w:rPr>
              <w:t xml:space="preserve">Úprava daňových sadzieb pre vybraných ústavných </w:t>
            </w:r>
            <w:r w:rsidRPr="00136466">
              <w:rPr>
                <w:rFonts w:ascii="Calibri" w:eastAsia="Calibri" w:hAnsi="Calibri" w:cs="Calibri"/>
                <w:b/>
                <w:bCs/>
                <w:kern w:val="0"/>
                <w:sz w:val="22"/>
                <w:szCs w:val="20"/>
                <w14:ligatures w14:val="none"/>
              </w:rPr>
              <w:t>činiteľov</w:t>
            </w:r>
            <w:r w:rsidRPr="00136466">
              <w:rPr>
                <w:rFonts w:ascii="Times New Roman" w:eastAsia="Calibri" w:hAnsi="Times New Roman" w:cs="Times New Roman"/>
                <w:iCs/>
                <w:kern w:val="0"/>
                <w:sz w:val="20"/>
                <w:szCs w:val="22"/>
                <w:lang w:eastAsia="sk-SK"/>
                <w14:ligatures w14:val="none"/>
              </w:rPr>
              <w:t xml:space="preserve"> - negatívne vplyv</w:t>
            </w:r>
          </w:p>
          <w:p w14:paraId="7A8419AA" w14:textId="77777777" w:rsidR="00136466" w:rsidRPr="00136466" w:rsidRDefault="00136466" w:rsidP="00136466">
            <w:pPr>
              <w:numPr>
                <w:ilvl w:val="0"/>
                <w:numId w:val="74"/>
              </w:numPr>
              <w:spacing w:after="0" w:line="240" w:lineRule="auto"/>
              <w:contextualSpacing/>
              <w:rPr>
                <w:rFonts w:ascii="Calibri" w:eastAsia="Calibri" w:hAnsi="Calibri" w:cs="Calibri"/>
                <w:kern w:val="0"/>
                <w:sz w:val="20"/>
                <w:szCs w:val="20"/>
                <w14:ligatures w14:val="none"/>
              </w:rPr>
            </w:pPr>
            <w:r w:rsidRPr="00136466">
              <w:rPr>
                <w:rFonts w:ascii="Calibri" w:eastAsia="Calibri" w:hAnsi="Calibri" w:cs="Calibri"/>
                <w:b/>
                <w:bCs/>
                <w:kern w:val="0"/>
                <w:sz w:val="20"/>
                <w:szCs w:val="20"/>
                <w14:ligatures w14:val="none"/>
              </w:rPr>
              <w:t>Úprava sadzieb pre odvod poistného na verejné zdravotné poistenie</w:t>
            </w:r>
          </w:p>
          <w:p w14:paraId="38D98106" w14:textId="77777777" w:rsidR="00136466" w:rsidRPr="00136466" w:rsidRDefault="00136466" w:rsidP="00136466">
            <w:pPr>
              <w:spacing w:after="0" w:line="240" w:lineRule="auto"/>
              <w:ind w:left="815"/>
              <w:rPr>
                <w:rFonts w:ascii="Times New Roman" w:eastAsia="Calibri" w:hAnsi="Times New Roman" w:cs="Times New Roman"/>
                <w:kern w:val="0"/>
                <w:sz w:val="20"/>
                <w:szCs w:val="22"/>
                <w:lang w:eastAsia="sk-SK"/>
                <w14:ligatures w14:val="none"/>
              </w:rPr>
            </w:pPr>
            <w:r w:rsidRPr="00136466">
              <w:rPr>
                <w:rFonts w:ascii="Times New Roman" w:eastAsia="Calibri" w:hAnsi="Times New Roman" w:cs="Times New Roman"/>
                <w:kern w:val="0"/>
                <w:sz w:val="20"/>
                <w:szCs w:val="22"/>
                <w:lang w:eastAsia="sk-SK"/>
                <w14:ligatures w14:val="none"/>
              </w:rPr>
              <w:t>Návrh vedie k zníženiu disponibilných príjmov domácností. Dochádza k zvýšeniu sadzby odvodu poistného na verejné zdravotné poistenie, čo má za následok zníženie čistého príjmu.</w:t>
            </w:r>
          </w:p>
          <w:p w14:paraId="0B379D2C" w14:textId="77777777" w:rsidR="00136466" w:rsidRPr="00136466" w:rsidRDefault="00136466" w:rsidP="00136466">
            <w:pPr>
              <w:spacing w:after="0" w:line="240" w:lineRule="auto"/>
              <w:rPr>
                <w:rFonts w:ascii="Times New Roman" w:eastAsia="Calibri" w:hAnsi="Times New Roman" w:cs="Times New Roman"/>
                <w:i/>
                <w:kern w:val="0"/>
                <w:sz w:val="20"/>
                <w:szCs w:val="22"/>
                <w:lang w:eastAsia="sk-SK"/>
                <w14:ligatures w14:val="none"/>
              </w:rPr>
            </w:pPr>
            <w:r w:rsidRPr="00136466">
              <w:rPr>
                <w:rFonts w:ascii="Times New Roman" w:eastAsia="Calibri" w:hAnsi="Times New Roman" w:cs="Times New Roman"/>
                <w:i/>
                <w:kern w:val="0"/>
                <w:sz w:val="20"/>
                <w:szCs w:val="22"/>
                <w:lang w:eastAsia="sk-SK"/>
                <w14:ligatures w14:val="none"/>
              </w:rPr>
              <w:t xml:space="preserve">Ktoré skupiny domácností/obyvateľstva sú takto ovplyvnené a akým spôsobom? </w:t>
            </w:r>
          </w:p>
          <w:p w14:paraId="6F955A3A" w14:textId="77777777" w:rsidR="00136466" w:rsidRPr="00136466" w:rsidRDefault="00136466" w:rsidP="00136466">
            <w:pPr>
              <w:numPr>
                <w:ilvl w:val="0"/>
                <w:numId w:val="75"/>
              </w:numPr>
              <w:spacing w:after="0" w:line="240" w:lineRule="auto"/>
              <w:contextualSpacing/>
              <w:rPr>
                <w:rFonts w:ascii="Calibri" w:eastAsia="Calibri" w:hAnsi="Calibri" w:cs="Calibri"/>
                <w:kern w:val="0"/>
                <w:sz w:val="20"/>
                <w:szCs w:val="20"/>
                <w14:ligatures w14:val="none"/>
              </w:rPr>
            </w:pPr>
            <w:r w:rsidRPr="00136466">
              <w:rPr>
                <w:rFonts w:ascii="Calibri" w:eastAsia="Calibri" w:hAnsi="Calibri" w:cs="Calibri"/>
                <w:b/>
                <w:bCs/>
                <w:kern w:val="0"/>
                <w:sz w:val="20"/>
                <w:szCs w:val="20"/>
                <w14:ligatures w14:val="none"/>
              </w:rPr>
              <w:t>Úprava sadzieb pre odvod poistného na verejné zdravotné poistenie</w:t>
            </w:r>
          </w:p>
          <w:p w14:paraId="4FB35A95" w14:textId="77777777" w:rsidR="00136466" w:rsidRPr="00136466" w:rsidRDefault="00136466" w:rsidP="00136466">
            <w:pPr>
              <w:spacing w:after="0" w:line="240" w:lineRule="auto"/>
              <w:ind w:left="815"/>
              <w:rPr>
                <w:rFonts w:ascii="Times New Roman" w:eastAsia="Calibri" w:hAnsi="Times New Roman" w:cs="Times New Roman"/>
                <w:kern w:val="0"/>
                <w:sz w:val="20"/>
                <w:szCs w:val="22"/>
                <w:lang w:eastAsia="sk-SK"/>
                <w14:ligatures w14:val="none"/>
              </w:rPr>
            </w:pPr>
            <w:r w:rsidRPr="00136466">
              <w:rPr>
                <w:rFonts w:ascii="Times New Roman" w:eastAsia="Calibri" w:hAnsi="Times New Roman" w:cs="Times New Roman"/>
                <w:kern w:val="0"/>
                <w:sz w:val="20"/>
                <w:szCs w:val="22"/>
                <w:lang w:eastAsia="sk-SK"/>
                <w14:ligatures w14:val="none"/>
              </w:rPr>
              <w:t>Opatrenie sa týka všetkých domácností, ktoré majú príjem, ktorý podlieha odvodu poistného na verejné zdravotné poistenie (zamestnanci, samostatne zárobkovo činné osoby a ekonomicky neaktívne osoby, za ktoré neplatí poistné štát).</w:t>
            </w:r>
          </w:p>
          <w:p w14:paraId="2EA6D52E" w14:textId="77777777" w:rsidR="00136466" w:rsidRPr="00136466" w:rsidRDefault="00136466" w:rsidP="00136466">
            <w:pPr>
              <w:spacing w:after="0" w:line="240" w:lineRule="auto"/>
              <w:rPr>
                <w:rFonts w:ascii="Times New Roman" w:eastAsia="Calibri" w:hAnsi="Times New Roman" w:cs="Times New Roman"/>
                <w:i/>
                <w:kern w:val="0"/>
                <w:sz w:val="20"/>
                <w:szCs w:val="22"/>
                <w:lang w:eastAsia="sk-SK"/>
                <w14:ligatures w14:val="none"/>
              </w:rPr>
            </w:pPr>
            <w:r w:rsidRPr="00136466">
              <w:rPr>
                <w:rFonts w:ascii="Times New Roman" w:eastAsia="Calibri" w:hAnsi="Times New Roman" w:cs="Times New Roman"/>
                <w:i/>
                <w:kern w:val="0"/>
                <w:sz w:val="20"/>
                <w:szCs w:val="22"/>
                <w:lang w:eastAsia="sk-SK"/>
                <w14:ligatures w14:val="none"/>
              </w:rPr>
              <w:t>Sú medzi potenciálne ovplyvnenými skupinami skupiny v riziku chudoby alebo sociálneho vylúčenia?</w:t>
            </w:r>
          </w:p>
          <w:p w14:paraId="514D1163" w14:textId="77777777" w:rsidR="00136466" w:rsidRPr="00136466" w:rsidRDefault="00136466" w:rsidP="00136466">
            <w:pPr>
              <w:numPr>
                <w:ilvl w:val="0"/>
                <w:numId w:val="76"/>
              </w:numPr>
              <w:spacing w:after="0" w:line="240" w:lineRule="auto"/>
              <w:contextualSpacing/>
              <w:rPr>
                <w:rFonts w:ascii="Calibri" w:eastAsia="Calibri" w:hAnsi="Calibri" w:cs="Calibri"/>
                <w:kern w:val="0"/>
                <w:sz w:val="20"/>
                <w:szCs w:val="20"/>
                <w14:ligatures w14:val="none"/>
              </w:rPr>
            </w:pPr>
            <w:r w:rsidRPr="00136466">
              <w:rPr>
                <w:rFonts w:ascii="Calibri" w:eastAsia="Calibri" w:hAnsi="Calibri" w:cs="Calibri"/>
                <w:b/>
                <w:bCs/>
                <w:kern w:val="0"/>
                <w:sz w:val="20"/>
                <w:szCs w:val="20"/>
                <w14:ligatures w14:val="none"/>
              </w:rPr>
              <w:t>Úprava sadzieb pre odvod poistného na verejné zdravotné poistenie</w:t>
            </w:r>
          </w:p>
          <w:p w14:paraId="14A0EE57" w14:textId="77777777" w:rsidR="00136466" w:rsidRPr="00136466" w:rsidRDefault="00136466" w:rsidP="00136466">
            <w:pPr>
              <w:spacing w:after="0" w:line="240" w:lineRule="auto"/>
              <w:ind w:left="815"/>
              <w:rPr>
                <w:rFonts w:ascii="Times New Roman" w:eastAsia="Calibri" w:hAnsi="Times New Roman" w:cs="Times New Roman"/>
                <w:kern w:val="0"/>
                <w:sz w:val="20"/>
                <w:szCs w:val="22"/>
                <w:lang w:eastAsia="sk-SK"/>
                <w14:ligatures w14:val="none"/>
              </w:rPr>
            </w:pPr>
            <w:r w:rsidRPr="00136466">
              <w:rPr>
                <w:rFonts w:ascii="Times New Roman" w:eastAsia="Calibri" w:hAnsi="Times New Roman" w:cs="Times New Roman"/>
                <w:kern w:val="0"/>
                <w:sz w:val="20"/>
                <w:szCs w:val="22"/>
                <w:lang w:eastAsia="sk-SK"/>
                <w14:ligatures w14:val="none"/>
              </w:rPr>
              <w:t>Áno, opatrenie sa týka všetkých ekonomicky aktívnych osôb, vrátane osôb v riziku chudoby alebo sociálneho vylúčenia.</w:t>
            </w:r>
          </w:p>
          <w:p w14:paraId="7CE43E3E" w14:textId="77777777" w:rsidR="00136466" w:rsidRPr="00136466" w:rsidRDefault="00136466" w:rsidP="00136466">
            <w:pPr>
              <w:spacing w:after="0" w:line="240" w:lineRule="auto"/>
              <w:rPr>
                <w:rFonts w:ascii="Times New Roman" w:eastAsia="Calibri" w:hAnsi="Times New Roman" w:cs="Times New Roman"/>
                <w:b/>
                <w:kern w:val="0"/>
                <w:sz w:val="18"/>
                <w:szCs w:val="22"/>
                <w:lang w:eastAsia="sk-SK"/>
                <w14:ligatures w14:val="none"/>
              </w:rPr>
            </w:pPr>
            <w:r w:rsidRPr="00136466">
              <w:rPr>
                <w:rFonts w:ascii="Times New Roman" w:eastAsia="Calibri" w:hAnsi="Times New Roman" w:cs="Times New Roman"/>
                <w:b/>
                <w:kern w:val="0"/>
                <w:sz w:val="18"/>
                <w:szCs w:val="22"/>
                <w:lang w:eastAsia="sk-SK"/>
                <w14:ligatures w14:val="none"/>
              </w:rPr>
              <w:t>(V prípade vyššieho počtu hodnotených opatrení doplňte podľa potreby do tabuľky pred bod 4.2 ďalšie sekcie - 4.1.1 Pozitívny vplyv/4.1.2 Negatívny vplyv).</w:t>
            </w:r>
          </w:p>
        </w:tc>
      </w:tr>
      <w:tr w:rsidR="00136466" w:rsidRPr="00136466" w14:paraId="163339B7" w14:textId="77777777" w:rsidTr="003627DF">
        <w:trPr>
          <w:trHeight w:val="170"/>
          <w:jc w:val="center"/>
        </w:trPr>
        <w:tc>
          <w:tcPr>
            <w:tcW w:w="129" w:type="pct"/>
            <w:tcBorders>
              <w:top w:val="single" w:sz="4" w:space="0" w:color="auto"/>
              <w:bottom w:val="single" w:sz="4" w:space="0" w:color="auto"/>
            </w:tcBorders>
            <w:shd w:val="clear" w:color="auto" w:fill="DDDDDD"/>
            <w:vAlign w:val="center"/>
          </w:tcPr>
          <w:p w14:paraId="135DCB26"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a)</w:t>
            </w:r>
          </w:p>
        </w:tc>
        <w:tc>
          <w:tcPr>
            <w:tcW w:w="4871" w:type="pct"/>
            <w:gridSpan w:val="2"/>
            <w:tcBorders>
              <w:top w:val="single" w:sz="4" w:space="0" w:color="auto"/>
              <w:bottom w:val="single" w:sz="4" w:space="0" w:color="auto"/>
            </w:tcBorders>
            <w:shd w:val="clear" w:color="auto" w:fill="DDDDDD"/>
            <w:vAlign w:val="center"/>
          </w:tcPr>
          <w:p w14:paraId="10473119" w14:textId="77777777" w:rsidR="00136466" w:rsidRPr="00136466" w:rsidRDefault="00136466" w:rsidP="00136466">
            <w:pPr>
              <w:spacing w:after="0" w:line="240" w:lineRule="auto"/>
              <w:jc w:val="center"/>
              <w:rPr>
                <w:rFonts w:ascii="Times New Roman" w:eastAsia="Calibri" w:hAnsi="Times New Roman" w:cs="Times New Roman"/>
                <w:b/>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4.1.1 Pozitívny vplyv</w:t>
            </w:r>
          </w:p>
        </w:tc>
      </w:tr>
      <w:tr w:rsidR="00136466" w:rsidRPr="00136466" w14:paraId="7370E129" w14:textId="77777777" w:rsidTr="003627DF">
        <w:trPr>
          <w:trHeight w:val="759"/>
          <w:jc w:val="center"/>
        </w:trPr>
        <w:tc>
          <w:tcPr>
            <w:tcW w:w="129" w:type="pct"/>
            <w:tcBorders>
              <w:top w:val="single" w:sz="4" w:space="0" w:color="auto"/>
              <w:bottom w:val="single" w:sz="4" w:space="0" w:color="auto"/>
            </w:tcBorders>
            <w:shd w:val="clear" w:color="auto" w:fill="auto"/>
            <w:vAlign w:val="center"/>
          </w:tcPr>
          <w:p w14:paraId="4639ECB5" w14:textId="77777777" w:rsidR="00136466" w:rsidRPr="00136466" w:rsidRDefault="00136466" w:rsidP="00136466">
            <w:pPr>
              <w:spacing w:after="0" w:line="240" w:lineRule="auto"/>
              <w:contextualSpacing/>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b)</w:t>
            </w:r>
          </w:p>
        </w:tc>
        <w:tc>
          <w:tcPr>
            <w:tcW w:w="1642" w:type="pct"/>
            <w:tcBorders>
              <w:top w:val="single" w:sz="4" w:space="0" w:color="auto"/>
              <w:bottom w:val="single" w:sz="4" w:space="0" w:color="auto"/>
            </w:tcBorders>
            <w:shd w:val="clear" w:color="auto" w:fill="auto"/>
            <w:vAlign w:val="center"/>
          </w:tcPr>
          <w:p w14:paraId="373AC3AE" w14:textId="77777777" w:rsidR="00136466" w:rsidRPr="00136466" w:rsidRDefault="00136466" w:rsidP="00136466">
            <w:pPr>
              <w:spacing w:after="0" w:line="240" w:lineRule="auto"/>
              <w:jc w:val="both"/>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 xml:space="preserve">Popíšte </w:t>
            </w:r>
            <w:r w:rsidRPr="00136466">
              <w:rPr>
                <w:rFonts w:ascii="Times New Roman" w:eastAsia="Calibri" w:hAnsi="Times New Roman" w:cs="Times New Roman"/>
                <w:i/>
                <w:kern w:val="0"/>
                <w:sz w:val="20"/>
                <w:szCs w:val="20"/>
                <w:lang w:eastAsia="sk-SK"/>
                <w14:ligatures w14:val="none"/>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471C193" w14:textId="77777777" w:rsidR="00136466" w:rsidRPr="00136466" w:rsidRDefault="00136466" w:rsidP="00136466">
            <w:pPr>
              <w:numPr>
                <w:ilvl w:val="0"/>
                <w:numId w:val="73"/>
              </w:numPr>
              <w:spacing w:after="0" w:line="240" w:lineRule="auto"/>
              <w:contextualSpacing/>
              <w:jc w:val="both"/>
              <w:rPr>
                <w:rFonts w:ascii="Times New Roman" w:eastAsia="Calibri" w:hAnsi="Times New Roman" w:cs="Times New Roman"/>
                <w:b/>
                <w:kern w:val="0"/>
                <w:sz w:val="20"/>
                <w:szCs w:val="20"/>
                <w14:ligatures w14:val="none"/>
              </w:rPr>
            </w:pPr>
            <w:r w:rsidRPr="00136466">
              <w:rPr>
                <w:rFonts w:ascii="Times New Roman" w:eastAsia="Calibri" w:hAnsi="Times New Roman" w:cs="Times New Roman"/>
                <w:b/>
                <w:kern w:val="0"/>
                <w:sz w:val="20"/>
                <w:szCs w:val="20"/>
                <w14:ligatures w14:val="none"/>
              </w:rPr>
              <w:t>Zrušenie vylúčenia povinnosti zamestnanca platiť poistné v zákonom definovaných obdobiach (§ 140 ods. 1)</w:t>
            </w:r>
          </w:p>
          <w:p w14:paraId="7B1C1CA9" w14:textId="77777777" w:rsidR="00136466" w:rsidRPr="00136466" w:rsidRDefault="00136466" w:rsidP="00136466">
            <w:pPr>
              <w:spacing w:after="0" w:line="240" w:lineRule="auto"/>
              <w:contextualSpacing/>
              <w:jc w:val="both"/>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 xml:space="preserve">Pozitívny sociálny vplyv z dôvodu, že budú novopriznané dôchodkové dávky vo vyššej sume, nakoľko do určenia osobného mzdového bodu bude započítaný aj vymeriavací základ z príjmu, z ktorého je v súčasnosti vylúčená povinnosť platiť poistné zamestnancom (napr. obdobia práceneschopnosti, materstva, poskytovania ošetrovného...). </w:t>
            </w:r>
          </w:p>
          <w:p w14:paraId="00846DB1"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14:ligatures w14:val="none"/>
              </w:rPr>
              <w:t>Uvedená zmena sa v plnej miere prejaví za horizontom doložky.</w:t>
            </w:r>
          </w:p>
        </w:tc>
      </w:tr>
      <w:tr w:rsidR="00136466" w:rsidRPr="00136466" w14:paraId="2A75A880" w14:textId="77777777" w:rsidTr="003627DF">
        <w:trPr>
          <w:trHeight w:val="397"/>
          <w:jc w:val="center"/>
        </w:trPr>
        <w:tc>
          <w:tcPr>
            <w:tcW w:w="129" w:type="pct"/>
            <w:vMerge w:val="restart"/>
            <w:tcBorders>
              <w:top w:val="single" w:sz="4" w:space="0" w:color="auto"/>
            </w:tcBorders>
            <w:shd w:val="clear" w:color="auto" w:fill="auto"/>
            <w:vAlign w:val="center"/>
          </w:tcPr>
          <w:p w14:paraId="4C7AD523"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c)</w:t>
            </w:r>
          </w:p>
        </w:tc>
        <w:tc>
          <w:tcPr>
            <w:tcW w:w="1642" w:type="pct"/>
            <w:tcBorders>
              <w:top w:val="single" w:sz="4" w:space="0" w:color="auto"/>
            </w:tcBorders>
            <w:shd w:val="clear" w:color="auto" w:fill="auto"/>
          </w:tcPr>
          <w:p w14:paraId="1F4F6CAB"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 xml:space="preserve">Špecifikujte </w:t>
            </w:r>
            <w:r w:rsidRPr="00136466">
              <w:rPr>
                <w:rFonts w:ascii="Times New Roman" w:eastAsia="Calibri" w:hAnsi="Times New Roman" w:cs="Times New Roman"/>
                <w:i/>
                <w:kern w:val="0"/>
                <w:sz w:val="20"/>
                <w:szCs w:val="20"/>
                <w:lang w:eastAsia="sk-SK"/>
                <w14:ligatures w14:val="none"/>
              </w:rPr>
              <w:t>ovplyvnené skupiny:</w:t>
            </w:r>
          </w:p>
        </w:tc>
        <w:tc>
          <w:tcPr>
            <w:tcW w:w="3229" w:type="pct"/>
            <w:tcBorders>
              <w:top w:val="single" w:sz="4" w:space="0" w:color="auto"/>
            </w:tcBorders>
            <w:shd w:val="clear" w:color="auto" w:fill="auto"/>
          </w:tcPr>
          <w:p w14:paraId="4508A480"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1</w:t>
            </w:r>
          </w:p>
          <w:p w14:paraId="779BAE2B"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kern w:val="0"/>
                <w:sz w:val="20"/>
                <w:szCs w:val="20"/>
                <w14:ligatures w14:val="none"/>
              </w:rPr>
              <w:t>Budúci dôchodcovia, ktorí si platili poistné aj počas obdobia vylúčenia.</w:t>
            </w:r>
          </w:p>
        </w:tc>
      </w:tr>
      <w:tr w:rsidR="00136466" w:rsidRPr="00136466" w14:paraId="08758907" w14:textId="77777777" w:rsidTr="003627DF">
        <w:trPr>
          <w:trHeight w:val="397"/>
          <w:jc w:val="center"/>
        </w:trPr>
        <w:tc>
          <w:tcPr>
            <w:tcW w:w="129" w:type="pct"/>
            <w:vMerge/>
            <w:shd w:val="clear" w:color="auto" w:fill="auto"/>
            <w:vAlign w:val="center"/>
          </w:tcPr>
          <w:p w14:paraId="7ECDFA28"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shd w:val="clear" w:color="auto" w:fill="auto"/>
          </w:tcPr>
          <w:p w14:paraId="3F02D18F"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3</w:t>
            </w:r>
          </w:p>
        </w:tc>
        <w:tc>
          <w:tcPr>
            <w:tcW w:w="3229" w:type="pct"/>
            <w:tcBorders>
              <w:top w:val="dotted" w:sz="4" w:space="0" w:color="auto"/>
            </w:tcBorders>
            <w:shd w:val="clear" w:color="auto" w:fill="auto"/>
          </w:tcPr>
          <w:p w14:paraId="6A2E2CB2"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2</w:t>
            </w:r>
          </w:p>
        </w:tc>
      </w:tr>
      <w:tr w:rsidR="00136466" w:rsidRPr="00136466" w14:paraId="09AFD1C4" w14:textId="77777777" w:rsidTr="003627DF">
        <w:trPr>
          <w:trHeight w:val="454"/>
          <w:jc w:val="center"/>
        </w:trPr>
        <w:tc>
          <w:tcPr>
            <w:tcW w:w="129" w:type="pct"/>
            <w:tcBorders>
              <w:top w:val="dotted" w:sz="4" w:space="0" w:color="auto"/>
            </w:tcBorders>
            <w:shd w:val="clear" w:color="auto" w:fill="F2F2F2"/>
            <w:vAlign w:val="center"/>
          </w:tcPr>
          <w:p w14:paraId="20167549"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d)</w:t>
            </w:r>
          </w:p>
        </w:tc>
        <w:tc>
          <w:tcPr>
            <w:tcW w:w="4871" w:type="pct"/>
            <w:gridSpan w:val="2"/>
            <w:tcBorders>
              <w:top w:val="dotted" w:sz="4" w:space="0" w:color="auto"/>
            </w:tcBorders>
            <w:shd w:val="clear" w:color="auto" w:fill="F2F2F2"/>
            <w:vAlign w:val="center"/>
          </w:tcPr>
          <w:p w14:paraId="189E3DA6"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Kvantifikujte</w:t>
            </w:r>
            <w:r w:rsidRPr="00136466">
              <w:rPr>
                <w:rFonts w:ascii="Times New Roman" w:eastAsia="Calibri" w:hAnsi="Times New Roman" w:cs="Times New Roman"/>
                <w:i/>
                <w:kern w:val="0"/>
                <w:sz w:val="20"/>
                <w:szCs w:val="20"/>
                <w:lang w:eastAsia="sk-SK"/>
                <w14:ligatures w14:val="none"/>
              </w:rPr>
              <w:t xml:space="preserve"> rast príjmov alebo pokles výdavkov </w:t>
            </w:r>
            <w:r w:rsidRPr="00136466">
              <w:rPr>
                <w:rFonts w:ascii="Times New Roman" w:eastAsia="Calibri" w:hAnsi="Times New Roman" w:cs="Times New Roman"/>
                <w:b/>
                <w:i/>
                <w:kern w:val="0"/>
                <w:sz w:val="20"/>
                <w:szCs w:val="20"/>
                <w:lang w:eastAsia="sk-SK"/>
                <w14:ligatures w14:val="none"/>
              </w:rPr>
              <w:t>za jednotlivé</w:t>
            </w:r>
            <w:r w:rsidRPr="00136466">
              <w:rPr>
                <w:rFonts w:ascii="Times New Roman" w:eastAsia="Calibri" w:hAnsi="Times New Roman" w:cs="Times New Roman"/>
                <w:i/>
                <w:kern w:val="0"/>
                <w:sz w:val="20"/>
                <w:szCs w:val="20"/>
                <w:lang w:eastAsia="sk-SK"/>
                <w14:ligatures w14:val="none"/>
              </w:rPr>
              <w:t xml:space="preserve"> </w:t>
            </w:r>
            <w:r w:rsidRPr="00136466">
              <w:rPr>
                <w:rFonts w:ascii="Times New Roman" w:eastAsia="Calibri" w:hAnsi="Times New Roman" w:cs="Times New Roman"/>
                <w:b/>
                <w:i/>
                <w:kern w:val="0"/>
                <w:sz w:val="20"/>
                <w:szCs w:val="20"/>
                <w:lang w:eastAsia="sk-SK"/>
                <w14:ligatures w14:val="none"/>
              </w:rPr>
              <w:t>ovplyvnené</w:t>
            </w:r>
            <w:r w:rsidRPr="00136466">
              <w:rPr>
                <w:rFonts w:ascii="Times New Roman" w:eastAsia="Calibri" w:hAnsi="Times New Roman" w:cs="Times New Roman"/>
                <w:i/>
                <w:kern w:val="0"/>
                <w:sz w:val="20"/>
                <w:szCs w:val="20"/>
                <w:lang w:eastAsia="sk-SK"/>
                <w14:ligatures w14:val="none"/>
              </w:rPr>
              <w:t xml:space="preserve"> </w:t>
            </w:r>
            <w:r w:rsidRPr="00136466">
              <w:rPr>
                <w:rFonts w:ascii="Times New Roman" w:eastAsia="Calibri" w:hAnsi="Times New Roman" w:cs="Times New Roman"/>
                <w:b/>
                <w:i/>
                <w:kern w:val="0"/>
                <w:sz w:val="20"/>
                <w:szCs w:val="20"/>
                <w:lang w:eastAsia="sk-SK"/>
                <w14:ligatures w14:val="none"/>
              </w:rPr>
              <w:t>skupiny</w:t>
            </w:r>
            <w:r w:rsidRPr="00136466">
              <w:rPr>
                <w:rFonts w:ascii="Times New Roman" w:eastAsia="Calibri" w:hAnsi="Times New Roman" w:cs="Times New Roman"/>
                <w:i/>
                <w:kern w:val="0"/>
                <w:sz w:val="20"/>
                <w:szCs w:val="20"/>
                <w:lang w:eastAsia="sk-SK"/>
                <w14:ligatures w14:val="none"/>
              </w:rPr>
              <w:t xml:space="preserve"> domácností / skupiny jednotlivcov a počet obyvateľstva/domácností ovplyvnených predkladaným návrhom.</w:t>
            </w:r>
          </w:p>
        </w:tc>
      </w:tr>
      <w:tr w:rsidR="00136466" w:rsidRPr="00136466" w14:paraId="2B79C7F7" w14:textId="77777777" w:rsidTr="003627DF">
        <w:trPr>
          <w:trHeight w:val="680"/>
          <w:jc w:val="center"/>
        </w:trPr>
        <w:tc>
          <w:tcPr>
            <w:tcW w:w="129" w:type="pct"/>
            <w:vMerge w:val="restart"/>
            <w:tcBorders>
              <w:top w:val="dotted" w:sz="4" w:space="0" w:color="auto"/>
            </w:tcBorders>
            <w:shd w:val="clear" w:color="auto" w:fill="auto"/>
            <w:vAlign w:val="center"/>
          </w:tcPr>
          <w:p w14:paraId="390EF21E"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e)</w:t>
            </w:r>
          </w:p>
        </w:tc>
        <w:tc>
          <w:tcPr>
            <w:tcW w:w="1642" w:type="pct"/>
            <w:tcBorders>
              <w:top w:val="dotted" w:sz="4" w:space="0" w:color="auto"/>
            </w:tcBorders>
            <w:shd w:val="clear" w:color="auto" w:fill="auto"/>
          </w:tcPr>
          <w:p w14:paraId="0D6B3F4B" w14:textId="77777777" w:rsidR="00136466" w:rsidRPr="00136466" w:rsidRDefault="00136466" w:rsidP="00136466">
            <w:pPr>
              <w:numPr>
                <w:ilvl w:val="0"/>
                <w:numId w:val="30"/>
              </w:numPr>
              <w:spacing w:after="0" w:line="240" w:lineRule="auto"/>
              <w:contextualSpacing/>
              <w:jc w:val="both"/>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priemerný rast príjmov/ pokles výdavkov v skupine v eurách a/alebo v % / obdobie:</w:t>
            </w:r>
          </w:p>
          <w:p w14:paraId="6667E447" w14:textId="77777777" w:rsidR="00136466" w:rsidRPr="00136466" w:rsidRDefault="00136466" w:rsidP="00136466">
            <w:pPr>
              <w:numPr>
                <w:ilvl w:val="0"/>
                <w:numId w:val="30"/>
              </w:numPr>
              <w:spacing w:after="0" w:line="240" w:lineRule="auto"/>
              <w:contextualSpacing/>
              <w:jc w:val="both"/>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veľkosť skupiny (počet obyvateľov):</w:t>
            </w:r>
          </w:p>
        </w:tc>
        <w:tc>
          <w:tcPr>
            <w:tcW w:w="3229" w:type="pct"/>
            <w:tcBorders>
              <w:top w:val="dotted" w:sz="4" w:space="0" w:color="auto"/>
            </w:tcBorders>
            <w:shd w:val="clear" w:color="auto" w:fill="auto"/>
          </w:tcPr>
          <w:p w14:paraId="3AAD754C"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1</w:t>
            </w:r>
          </w:p>
        </w:tc>
      </w:tr>
      <w:tr w:rsidR="00136466" w:rsidRPr="00136466" w14:paraId="3403E773" w14:textId="77777777" w:rsidTr="003627DF">
        <w:trPr>
          <w:trHeight w:val="680"/>
          <w:jc w:val="center"/>
        </w:trPr>
        <w:tc>
          <w:tcPr>
            <w:tcW w:w="129" w:type="pct"/>
            <w:vMerge/>
            <w:shd w:val="clear" w:color="auto" w:fill="auto"/>
            <w:vAlign w:val="center"/>
          </w:tcPr>
          <w:p w14:paraId="79F92306"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shd w:val="clear" w:color="auto" w:fill="auto"/>
          </w:tcPr>
          <w:p w14:paraId="65C18447"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3</w:t>
            </w:r>
          </w:p>
        </w:tc>
        <w:tc>
          <w:tcPr>
            <w:tcW w:w="3229" w:type="pct"/>
            <w:tcBorders>
              <w:top w:val="dotted" w:sz="4" w:space="0" w:color="auto"/>
            </w:tcBorders>
            <w:shd w:val="clear" w:color="auto" w:fill="auto"/>
          </w:tcPr>
          <w:p w14:paraId="4BFC9599"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2</w:t>
            </w:r>
          </w:p>
        </w:tc>
      </w:tr>
      <w:tr w:rsidR="00136466" w:rsidRPr="00136466" w14:paraId="375D9326" w14:textId="77777777" w:rsidTr="003627DF">
        <w:trPr>
          <w:trHeight w:val="397"/>
          <w:jc w:val="center"/>
        </w:trPr>
        <w:tc>
          <w:tcPr>
            <w:tcW w:w="129" w:type="pct"/>
            <w:tcBorders>
              <w:top w:val="dotted" w:sz="4" w:space="0" w:color="auto"/>
            </w:tcBorders>
            <w:shd w:val="clear" w:color="auto" w:fill="auto"/>
            <w:vAlign w:val="center"/>
          </w:tcPr>
          <w:p w14:paraId="14D2EA97"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f)</w:t>
            </w:r>
          </w:p>
        </w:tc>
        <w:tc>
          <w:tcPr>
            <w:tcW w:w="1642" w:type="pct"/>
            <w:tcBorders>
              <w:top w:val="dotted" w:sz="4" w:space="0" w:color="auto"/>
            </w:tcBorders>
            <w:shd w:val="clear" w:color="auto" w:fill="auto"/>
          </w:tcPr>
          <w:p w14:paraId="7A7E6517"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20"/>
                <w:szCs w:val="20"/>
                <w:lang w:eastAsia="sk-SK"/>
                <w14:ligatures w14:val="none"/>
              </w:rPr>
              <w:t>Dôvod chýbajúcej kvantifikácie:</w:t>
            </w:r>
          </w:p>
        </w:tc>
        <w:tc>
          <w:tcPr>
            <w:tcW w:w="3229" w:type="pct"/>
            <w:tcBorders>
              <w:top w:val="dotted" w:sz="4" w:space="0" w:color="auto"/>
            </w:tcBorders>
            <w:shd w:val="clear" w:color="auto" w:fill="auto"/>
          </w:tcPr>
          <w:p w14:paraId="5DF91312" w14:textId="77777777" w:rsidR="00136466" w:rsidRPr="00136466" w:rsidRDefault="00136466" w:rsidP="00136466">
            <w:pPr>
              <w:spacing w:after="0" w:line="240" w:lineRule="auto"/>
              <w:jc w:val="both"/>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 xml:space="preserve">V roku 2024 bolo identifikovaných približne </w:t>
            </w:r>
            <w:r w:rsidRPr="00136466">
              <w:rPr>
                <w:rFonts w:ascii="Times New Roman" w:eastAsia="Calibri" w:hAnsi="Times New Roman" w:cs="Times New Roman"/>
                <w:bCs/>
                <w:kern w:val="0"/>
                <w:sz w:val="20"/>
                <w:szCs w:val="20"/>
                <w:lang w:eastAsia="sk-SK"/>
                <w14:ligatures w14:val="none"/>
              </w:rPr>
              <w:t>85 000 poistencov</w:t>
            </w:r>
            <w:r w:rsidRPr="00136466">
              <w:rPr>
                <w:rFonts w:ascii="Times New Roman" w:eastAsia="Calibri" w:hAnsi="Times New Roman" w:cs="Times New Roman"/>
                <w:kern w:val="0"/>
                <w:sz w:val="20"/>
                <w:szCs w:val="20"/>
                <w:lang w:eastAsia="sk-SK"/>
                <w14:ligatures w14:val="none"/>
              </w:rPr>
              <w:t xml:space="preserve"> s  evidovaným príjmom v obdobiach, na ktoré sa podľa platnej právnej úpravy vzťahuje vylúčenie povinnosti platiť poistné. V tejto fáze nie je možné spoľahlivo kvantifikovať podiel kohorty, na ktorú opatrenie dopadne, ani odhadnúť veľkosť zmeny budúcej dôchodkovej dávky, keďže efekt bude determinovaný individuálnou poistnou históriou (rozsahom dotknutých období a výškou vymeriavacích základov).</w:t>
            </w:r>
          </w:p>
        </w:tc>
      </w:tr>
      <w:tr w:rsidR="00136466" w:rsidRPr="00136466" w14:paraId="1C103C59" w14:textId="77777777" w:rsidTr="003627DF">
        <w:trPr>
          <w:trHeight w:val="170"/>
          <w:jc w:val="center"/>
        </w:trPr>
        <w:tc>
          <w:tcPr>
            <w:tcW w:w="129" w:type="pct"/>
            <w:tcBorders>
              <w:top w:val="nil"/>
              <w:bottom w:val="single" w:sz="4" w:space="0" w:color="auto"/>
            </w:tcBorders>
            <w:shd w:val="clear" w:color="auto" w:fill="F2F2F2"/>
            <w:vAlign w:val="center"/>
          </w:tcPr>
          <w:p w14:paraId="1BE2EB14"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g)</w:t>
            </w:r>
          </w:p>
        </w:tc>
        <w:tc>
          <w:tcPr>
            <w:tcW w:w="4871" w:type="pct"/>
            <w:gridSpan w:val="2"/>
            <w:tcBorders>
              <w:top w:val="nil"/>
              <w:bottom w:val="single" w:sz="4" w:space="0" w:color="auto"/>
            </w:tcBorders>
            <w:shd w:val="clear" w:color="auto" w:fill="F2F2F2"/>
            <w:vAlign w:val="center"/>
          </w:tcPr>
          <w:p w14:paraId="6B6122AC" w14:textId="77777777" w:rsidR="00136466" w:rsidRPr="00136466" w:rsidRDefault="00136466" w:rsidP="00136466">
            <w:pPr>
              <w:spacing w:after="0" w:line="240" w:lineRule="auto"/>
              <w:rPr>
                <w:rFonts w:ascii="Times New Roman" w:eastAsia="Calibri" w:hAnsi="Times New Roman" w:cs="Times New Roman"/>
                <w:b/>
                <w:i/>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4.1.1.1</w:t>
            </w:r>
            <w:r w:rsidRPr="00136466">
              <w:rPr>
                <w:rFonts w:ascii="Times New Roman" w:eastAsia="Calibri" w:hAnsi="Times New Roman" w:cs="Times New Roman"/>
                <w:i/>
                <w:kern w:val="0"/>
                <w:sz w:val="20"/>
                <w:szCs w:val="20"/>
                <w:lang w:eastAsia="sk-SK"/>
                <w14:ligatures w14:val="none"/>
              </w:rPr>
              <w:t xml:space="preserve"> </w:t>
            </w:r>
            <w:r w:rsidRPr="00136466">
              <w:rPr>
                <w:rFonts w:ascii="Times New Roman" w:eastAsia="Calibri" w:hAnsi="Times New Roman" w:cs="Times New Roman"/>
                <w:b/>
                <w:i/>
                <w:kern w:val="0"/>
                <w:sz w:val="20"/>
                <w:szCs w:val="20"/>
                <w:lang w:eastAsia="sk-SK"/>
                <w14:ligatures w14:val="none"/>
              </w:rPr>
              <w:t>Z toho pozitívny vplyv na skupiny v riziku chudoby alebo sociálneho vylúčenia</w:t>
            </w:r>
          </w:p>
          <w:p w14:paraId="087C1A79" w14:textId="77777777" w:rsidR="00136466" w:rsidRPr="00136466" w:rsidRDefault="00136466" w:rsidP="00136466">
            <w:pPr>
              <w:spacing w:after="0" w:line="240" w:lineRule="auto"/>
              <w:rPr>
                <w:rFonts w:ascii="Times New Roman" w:eastAsia="Calibri" w:hAnsi="Times New Roman" w:cs="Times New Roman"/>
                <w:b/>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136466" w:rsidRPr="00136466" w14:paraId="4EBFC6B5" w14:textId="77777777" w:rsidTr="003627DF">
        <w:trPr>
          <w:trHeight w:val="759"/>
          <w:jc w:val="center"/>
        </w:trPr>
        <w:tc>
          <w:tcPr>
            <w:tcW w:w="129" w:type="pct"/>
            <w:tcBorders>
              <w:top w:val="single" w:sz="4" w:space="0" w:color="auto"/>
              <w:bottom w:val="single" w:sz="4" w:space="0" w:color="auto"/>
            </w:tcBorders>
            <w:shd w:val="clear" w:color="auto" w:fill="auto"/>
            <w:vAlign w:val="center"/>
          </w:tcPr>
          <w:p w14:paraId="35E7D223"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h)</w:t>
            </w:r>
          </w:p>
        </w:tc>
        <w:tc>
          <w:tcPr>
            <w:tcW w:w="1642" w:type="pct"/>
            <w:tcBorders>
              <w:top w:val="single" w:sz="4" w:space="0" w:color="auto"/>
              <w:bottom w:val="single" w:sz="4" w:space="0" w:color="auto"/>
            </w:tcBorders>
            <w:shd w:val="clear" w:color="auto" w:fill="auto"/>
          </w:tcPr>
          <w:p w14:paraId="19755E36" w14:textId="77777777" w:rsidR="00136466" w:rsidRPr="00136466" w:rsidRDefault="00136466" w:rsidP="00136466">
            <w:pPr>
              <w:spacing w:after="0" w:line="240" w:lineRule="auto"/>
              <w:jc w:val="both"/>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 xml:space="preserve">Popíšte </w:t>
            </w:r>
            <w:r w:rsidRPr="00136466">
              <w:rPr>
                <w:rFonts w:ascii="Times New Roman" w:eastAsia="Calibri" w:hAnsi="Times New Roman" w:cs="Times New Roman"/>
                <w:i/>
                <w:kern w:val="0"/>
                <w:sz w:val="20"/>
                <w:szCs w:val="20"/>
                <w:lang w:eastAsia="sk-SK"/>
                <w14:ligatures w14:val="none"/>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46ABFAC2" w14:textId="77777777" w:rsidR="00136466" w:rsidRPr="00136466" w:rsidRDefault="00136466" w:rsidP="00136466">
            <w:pPr>
              <w:numPr>
                <w:ilvl w:val="0"/>
                <w:numId w:val="77"/>
              </w:numPr>
              <w:spacing w:after="0" w:line="240" w:lineRule="auto"/>
              <w:contextualSpacing/>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Navrhovaná právna úprava nezakladá osobitný signifikantný pozitívny vplyv na skupiny osôb v riziku chudoby alebo sociálneho vylúčenia.</w:t>
            </w:r>
          </w:p>
        </w:tc>
      </w:tr>
      <w:tr w:rsidR="00136466" w:rsidRPr="00136466" w14:paraId="016F7F29" w14:textId="77777777" w:rsidTr="003627DF">
        <w:trPr>
          <w:trHeight w:val="397"/>
          <w:jc w:val="center"/>
        </w:trPr>
        <w:tc>
          <w:tcPr>
            <w:tcW w:w="129" w:type="pct"/>
            <w:vMerge w:val="restart"/>
            <w:tcBorders>
              <w:top w:val="single" w:sz="4" w:space="0" w:color="auto"/>
            </w:tcBorders>
            <w:shd w:val="clear" w:color="auto" w:fill="auto"/>
            <w:vAlign w:val="center"/>
          </w:tcPr>
          <w:p w14:paraId="2E36EC9D"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i)</w:t>
            </w:r>
          </w:p>
        </w:tc>
        <w:tc>
          <w:tcPr>
            <w:tcW w:w="1642" w:type="pct"/>
            <w:tcBorders>
              <w:top w:val="single" w:sz="4" w:space="0" w:color="auto"/>
            </w:tcBorders>
            <w:shd w:val="clear" w:color="auto" w:fill="auto"/>
          </w:tcPr>
          <w:p w14:paraId="0C201B3B"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 xml:space="preserve">Špecifikujte </w:t>
            </w:r>
            <w:r w:rsidRPr="00136466">
              <w:rPr>
                <w:rFonts w:ascii="Times New Roman" w:eastAsia="Calibri" w:hAnsi="Times New Roman" w:cs="Times New Roman"/>
                <w:i/>
                <w:kern w:val="0"/>
                <w:sz w:val="20"/>
                <w:szCs w:val="20"/>
                <w:lang w:eastAsia="sk-SK"/>
                <w14:ligatures w14:val="none"/>
              </w:rPr>
              <w:t>ovplyvnené skupiny:</w:t>
            </w:r>
          </w:p>
        </w:tc>
        <w:tc>
          <w:tcPr>
            <w:tcW w:w="3229" w:type="pct"/>
            <w:tcBorders>
              <w:top w:val="single" w:sz="4" w:space="0" w:color="auto"/>
            </w:tcBorders>
            <w:shd w:val="clear" w:color="auto" w:fill="auto"/>
          </w:tcPr>
          <w:p w14:paraId="46C151E4"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1</w:t>
            </w:r>
          </w:p>
        </w:tc>
      </w:tr>
      <w:tr w:rsidR="00136466" w:rsidRPr="00136466" w14:paraId="60BC92E8" w14:textId="77777777" w:rsidTr="003627DF">
        <w:trPr>
          <w:trHeight w:val="397"/>
          <w:jc w:val="center"/>
        </w:trPr>
        <w:tc>
          <w:tcPr>
            <w:tcW w:w="129" w:type="pct"/>
            <w:vMerge/>
            <w:shd w:val="clear" w:color="auto" w:fill="auto"/>
            <w:vAlign w:val="center"/>
          </w:tcPr>
          <w:p w14:paraId="2D6DE784"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shd w:val="clear" w:color="auto" w:fill="auto"/>
          </w:tcPr>
          <w:p w14:paraId="6C577F74"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3</w:t>
            </w:r>
          </w:p>
        </w:tc>
        <w:tc>
          <w:tcPr>
            <w:tcW w:w="3229" w:type="pct"/>
            <w:tcBorders>
              <w:top w:val="dotted" w:sz="4" w:space="0" w:color="auto"/>
            </w:tcBorders>
            <w:shd w:val="clear" w:color="auto" w:fill="auto"/>
          </w:tcPr>
          <w:p w14:paraId="73C17BF0" w14:textId="77777777" w:rsidR="00136466" w:rsidRPr="00136466" w:rsidRDefault="00136466" w:rsidP="00136466">
            <w:pPr>
              <w:spacing w:after="0" w:line="240" w:lineRule="auto"/>
              <w:ind w:left="432"/>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2</w:t>
            </w:r>
          </w:p>
        </w:tc>
      </w:tr>
      <w:tr w:rsidR="00136466" w:rsidRPr="00136466" w14:paraId="050B90BB" w14:textId="77777777" w:rsidTr="003627DF">
        <w:trPr>
          <w:trHeight w:val="397"/>
          <w:jc w:val="center"/>
        </w:trPr>
        <w:tc>
          <w:tcPr>
            <w:tcW w:w="129" w:type="pct"/>
            <w:tcBorders>
              <w:top w:val="dotted" w:sz="4" w:space="0" w:color="auto"/>
            </w:tcBorders>
            <w:shd w:val="clear" w:color="auto" w:fill="F2F2F2"/>
            <w:vAlign w:val="center"/>
          </w:tcPr>
          <w:p w14:paraId="3D5CBDB3" w14:textId="77777777" w:rsidR="00136466" w:rsidRPr="00136466" w:rsidRDefault="00136466" w:rsidP="00136466">
            <w:pPr>
              <w:spacing w:after="0" w:line="240" w:lineRule="auto"/>
              <w:jc w:val="center"/>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j</w:t>
            </w:r>
            <w:r w:rsidRPr="00136466">
              <w:rPr>
                <w:rFonts w:ascii="Times New Roman" w:eastAsia="Calibri" w:hAnsi="Times New Roman" w:cs="Times New Roman"/>
                <w:kern w:val="0"/>
                <w:sz w:val="18"/>
                <w:szCs w:val="18"/>
                <w:lang w:eastAsia="sk-SK"/>
                <w14:ligatures w14:val="none"/>
              </w:rPr>
              <w:t>)</w:t>
            </w:r>
          </w:p>
        </w:tc>
        <w:tc>
          <w:tcPr>
            <w:tcW w:w="4871" w:type="pct"/>
            <w:gridSpan w:val="2"/>
            <w:tcBorders>
              <w:top w:val="dotted" w:sz="4" w:space="0" w:color="auto"/>
            </w:tcBorders>
            <w:shd w:val="clear" w:color="auto" w:fill="F2F2F2"/>
          </w:tcPr>
          <w:p w14:paraId="29E659B0"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 xml:space="preserve">Kvantifikujte </w:t>
            </w:r>
            <w:r w:rsidRPr="00136466">
              <w:rPr>
                <w:rFonts w:ascii="Times New Roman" w:eastAsia="Calibri" w:hAnsi="Times New Roman" w:cs="Times New Roman"/>
                <w:i/>
                <w:kern w:val="0"/>
                <w:sz w:val="20"/>
                <w:szCs w:val="20"/>
                <w:lang w:eastAsia="sk-SK"/>
                <w14:ligatures w14:val="none"/>
              </w:rPr>
              <w:t xml:space="preserve">rast príjmov alebo pokles výdavkov </w:t>
            </w:r>
            <w:r w:rsidRPr="00136466">
              <w:rPr>
                <w:rFonts w:ascii="Times New Roman" w:eastAsia="Calibri" w:hAnsi="Times New Roman" w:cs="Times New Roman"/>
                <w:b/>
                <w:i/>
                <w:kern w:val="0"/>
                <w:sz w:val="20"/>
                <w:szCs w:val="20"/>
                <w:lang w:eastAsia="sk-SK"/>
                <w14:ligatures w14:val="none"/>
              </w:rPr>
              <w:t>za jednotlivé ovplyvnené skupiny</w:t>
            </w:r>
            <w:r w:rsidRPr="00136466">
              <w:rPr>
                <w:rFonts w:ascii="Times New Roman" w:eastAsia="Calibri" w:hAnsi="Times New Roman" w:cs="Times New Roman"/>
                <w:i/>
                <w:kern w:val="0"/>
                <w:sz w:val="20"/>
                <w:szCs w:val="20"/>
                <w:lang w:eastAsia="sk-SK"/>
                <w14:ligatures w14:val="none"/>
              </w:rPr>
              <w:t xml:space="preserve"> domácností / skupiny jednotlivcov a počet obyvateľstva/domácností ovplyvnených predkladaným návrhom.</w:t>
            </w:r>
          </w:p>
        </w:tc>
      </w:tr>
      <w:tr w:rsidR="00136466" w:rsidRPr="00136466" w14:paraId="7293D28B" w14:textId="77777777" w:rsidTr="003627DF">
        <w:trPr>
          <w:trHeight w:val="680"/>
          <w:jc w:val="center"/>
        </w:trPr>
        <w:tc>
          <w:tcPr>
            <w:tcW w:w="129" w:type="pct"/>
            <w:vMerge w:val="restart"/>
            <w:tcBorders>
              <w:top w:val="dotted" w:sz="4" w:space="0" w:color="auto"/>
            </w:tcBorders>
            <w:shd w:val="clear" w:color="auto" w:fill="auto"/>
            <w:vAlign w:val="center"/>
          </w:tcPr>
          <w:p w14:paraId="27BBF69B"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k)</w:t>
            </w:r>
          </w:p>
        </w:tc>
        <w:tc>
          <w:tcPr>
            <w:tcW w:w="1642" w:type="pct"/>
            <w:tcBorders>
              <w:top w:val="dotted" w:sz="4" w:space="0" w:color="auto"/>
            </w:tcBorders>
            <w:shd w:val="clear" w:color="auto" w:fill="auto"/>
          </w:tcPr>
          <w:p w14:paraId="70F05346" w14:textId="77777777" w:rsidR="00136466" w:rsidRPr="00136466" w:rsidRDefault="00136466" w:rsidP="00136466">
            <w:pPr>
              <w:numPr>
                <w:ilvl w:val="0"/>
                <w:numId w:val="30"/>
              </w:numPr>
              <w:spacing w:after="0" w:line="240" w:lineRule="auto"/>
              <w:contextualSpacing/>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priemerný rast príjmov/ pokles výdavkov v skupine v eurách a/alebo v % / obdobie:</w:t>
            </w:r>
          </w:p>
          <w:p w14:paraId="4EB7A2C2" w14:textId="77777777" w:rsidR="00136466" w:rsidRPr="00136466" w:rsidRDefault="00136466" w:rsidP="00136466">
            <w:pPr>
              <w:numPr>
                <w:ilvl w:val="0"/>
                <w:numId w:val="30"/>
              </w:numPr>
              <w:spacing w:after="0" w:line="240" w:lineRule="auto"/>
              <w:contextualSpacing/>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veľkosť skupiny (počet obyvateľov):</w:t>
            </w:r>
          </w:p>
        </w:tc>
        <w:tc>
          <w:tcPr>
            <w:tcW w:w="3229" w:type="pct"/>
            <w:tcBorders>
              <w:top w:val="dotted" w:sz="4" w:space="0" w:color="auto"/>
            </w:tcBorders>
            <w:shd w:val="clear" w:color="auto" w:fill="auto"/>
          </w:tcPr>
          <w:p w14:paraId="75EBCFE7"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1</w:t>
            </w:r>
          </w:p>
        </w:tc>
      </w:tr>
      <w:tr w:rsidR="00136466" w:rsidRPr="00136466" w14:paraId="32548851" w14:textId="77777777" w:rsidTr="003627DF">
        <w:trPr>
          <w:trHeight w:val="680"/>
          <w:jc w:val="center"/>
        </w:trPr>
        <w:tc>
          <w:tcPr>
            <w:tcW w:w="129" w:type="pct"/>
            <w:vMerge/>
            <w:shd w:val="clear" w:color="auto" w:fill="auto"/>
            <w:vAlign w:val="center"/>
          </w:tcPr>
          <w:p w14:paraId="2C0101A1"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shd w:val="clear" w:color="auto" w:fill="auto"/>
          </w:tcPr>
          <w:p w14:paraId="3DA83CF4"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3</w:t>
            </w:r>
          </w:p>
        </w:tc>
        <w:tc>
          <w:tcPr>
            <w:tcW w:w="3229" w:type="pct"/>
            <w:tcBorders>
              <w:top w:val="dotted" w:sz="4" w:space="0" w:color="auto"/>
            </w:tcBorders>
            <w:shd w:val="clear" w:color="auto" w:fill="auto"/>
          </w:tcPr>
          <w:p w14:paraId="7A3730B5"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2</w:t>
            </w:r>
          </w:p>
        </w:tc>
      </w:tr>
      <w:tr w:rsidR="00136466" w:rsidRPr="00136466" w14:paraId="0D9FE949" w14:textId="77777777" w:rsidTr="003627DF">
        <w:trPr>
          <w:trHeight w:val="350"/>
          <w:jc w:val="center"/>
        </w:trPr>
        <w:tc>
          <w:tcPr>
            <w:tcW w:w="129" w:type="pct"/>
            <w:tcBorders>
              <w:top w:val="dotted" w:sz="4" w:space="0" w:color="auto"/>
              <w:bottom w:val="single" w:sz="4" w:space="0" w:color="auto"/>
            </w:tcBorders>
            <w:shd w:val="clear" w:color="auto" w:fill="auto"/>
            <w:vAlign w:val="center"/>
          </w:tcPr>
          <w:p w14:paraId="6FFE48F0"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l)</w:t>
            </w:r>
          </w:p>
        </w:tc>
        <w:tc>
          <w:tcPr>
            <w:tcW w:w="1642" w:type="pct"/>
            <w:tcBorders>
              <w:top w:val="dotted" w:sz="4" w:space="0" w:color="auto"/>
              <w:bottom w:val="single" w:sz="4" w:space="0" w:color="auto"/>
            </w:tcBorders>
            <w:shd w:val="clear" w:color="auto" w:fill="auto"/>
          </w:tcPr>
          <w:p w14:paraId="09412444"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20"/>
                <w:szCs w:val="20"/>
                <w:lang w:eastAsia="sk-SK"/>
                <w14:ligatures w14:val="none"/>
              </w:rPr>
              <w:t>Dôvod chýbajúcej kvantifikácie:</w:t>
            </w:r>
          </w:p>
        </w:tc>
        <w:tc>
          <w:tcPr>
            <w:tcW w:w="3229" w:type="pct"/>
            <w:tcBorders>
              <w:top w:val="dotted" w:sz="4" w:space="0" w:color="auto"/>
              <w:bottom w:val="single" w:sz="4" w:space="0" w:color="auto"/>
            </w:tcBorders>
            <w:shd w:val="clear" w:color="auto" w:fill="auto"/>
          </w:tcPr>
          <w:p w14:paraId="2318E899"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p>
        </w:tc>
      </w:tr>
      <w:tr w:rsidR="00136466" w:rsidRPr="00136466" w14:paraId="5DA27180" w14:textId="77777777" w:rsidTr="003627DF">
        <w:trPr>
          <w:trHeight w:val="170"/>
          <w:jc w:val="center"/>
        </w:trPr>
        <w:tc>
          <w:tcPr>
            <w:tcW w:w="129" w:type="pct"/>
            <w:tcBorders>
              <w:top w:val="single" w:sz="4" w:space="0" w:color="auto"/>
              <w:bottom w:val="single" w:sz="4" w:space="0" w:color="auto"/>
            </w:tcBorders>
            <w:shd w:val="clear" w:color="auto" w:fill="DDDDDD"/>
            <w:vAlign w:val="center"/>
          </w:tcPr>
          <w:p w14:paraId="4AC555BC"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a)</w:t>
            </w:r>
          </w:p>
        </w:tc>
        <w:tc>
          <w:tcPr>
            <w:tcW w:w="4871" w:type="pct"/>
            <w:gridSpan w:val="2"/>
            <w:tcBorders>
              <w:top w:val="single" w:sz="4" w:space="0" w:color="auto"/>
              <w:bottom w:val="single" w:sz="4" w:space="0" w:color="auto"/>
            </w:tcBorders>
            <w:shd w:val="clear" w:color="auto" w:fill="DDDDDD"/>
            <w:vAlign w:val="center"/>
          </w:tcPr>
          <w:p w14:paraId="0F76DA54" w14:textId="77777777" w:rsidR="00136466" w:rsidRPr="00136466" w:rsidRDefault="00136466" w:rsidP="00136466">
            <w:pPr>
              <w:spacing w:after="0" w:line="240" w:lineRule="auto"/>
              <w:jc w:val="center"/>
              <w:rPr>
                <w:rFonts w:ascii="Times New Roman" w:eastAsia="Calibri" w:hAnsi="Times New Roman" w:cs="Times New Roman"/>
                <w:b/>
                <w:color w:val="0070C0"/>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4.1.2 Negatívny vplyv</w:t>
            </w:r>
          </w:p>
        </w:tc>
      </w:tr>
      <w:tr w:rsidR="00136466" w:rsidRPr="00136466" w14:paraId="14887384" w14:textId="77777777" w:rsidTr="003627DF">
        <w:trPr>
          <w:trHeight w:val="759"/>
          <w:jc w:val="center"/>
        </w:trPr>
        <w:tc>
          <w:tcPr>
            <w:tcW w:w="129" w:type="pct"/>
            <w:tcBorders>
              <w:top w:val="single" w:sz="4" w:space="0" w:color="auto"/>
              <w:bottom w:val="single" w:sz="4" w:space="0" w:color="auto"/>
            </w:tcBorders>
            <w:shd w:val="clear" w:color="auto" w:fill="auto"/>
            <w:vAlign w:val="center"/>
          </w:tcPr>
          <w:p w14:paraId="3BE9230D" w14:textId="77777777" w:rsidR="00136466" w:rsidRPr="00136466" w:rsidRDefault="00136466" w:rsidP="00136466">
            <w:pPr>
              <w:spacing w:after="0" w:line="240" w:lineRule="auto"/>
              <w:contextualSpacing/>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b)</w:t>
            </w:r>
          </w:p>
          <w:p w14:paraId="79F2849C" w14:textId="77777777" w:rsidR="00136466" w:rsidRPr="00136466" w:rsidRDefault="00136466" w:rsidP="00136466">
            <w:pPr>
              <w:spacing w:after="0" w:line="240" w:lineRule="auto"/>
              <w:ind w:left="360"/>
              <w:contextualSpacing/>
              <w:jc w:val="center"/>
              <w:rPr>
                <w:rFonts w:ascii="Times New Roman" w:eastAsia="Calibri" w:hAnsi="Times New Roman" w:cs="Times New Roman"/>
                <w:i/>
                <w:kern w:val="0"/>
                <w:sz w:val="18"/>
                <w:szCs w:val="18"/>
                <w:lang w:eastAsia="sk-SK"/>
                <w14:ligatures w14:val="none"/>
              </w:rPr>
            </w:pPr>
          </w:p>
        </w:tc>
        <w:tc>
          <w:tcPr>
            <w:tcW w:w="1642" w:type="pct"/>
            <w:tcBorders>
              <w:top w:val="single" w:sz="4" w:space="0" w:color="auto"/>
              <w:bottom w:val="single" w:sz="4" w:space="0" w:color="auto"/>
            </w:tcBorders>
            <w:shd w:val="clear" w:color="auto" w:fill="auto"/>
            <w:vAlign w:val="center"/>
          </w:tcPr>
          <w:p w14:paraId="67D63B2C" w14:textId="77777777" w:rsidR="00136466" w:rsidRPr="00136466" w:rsidRDefault="00136466" w:rsidP="00136466">
            <w:pPr>
              <w:spacing w:after="0" w:line="240" w:lineRule="auto"/>
              <w:jc w:val="both"/>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 xml:space="preserve">Popíšte </w:t>
            </w:r>
            <w:r w:rsidRPr="00136466">
              <w:rPr>
                <w:rFonts w:ascii="Times New Roman" w:eastAsia="Calibri" w:hAnsi="Times New Roman" w:cs="Times New Roman"/>
                <w:i/>
                <w:kern w:val="0"/>
                <w:sz w:val="20"/>
                <w:szCs w:val="20"/>
                <w:lang w:eastAsia="sk-SK"/>
                <w14:ligatures w14:val="none"/>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0A8F368" w14:textId="77777777" w:rsidR="00136466" w:rsidRPr="00136466" w:rsidRDefault="00136466" w:rsidP="00136466">
            <w:pPr>
              <w:numPr>
                <w:ilvl w:val="0"/>
                <w:numId w:val="71"/>
              </w:numPr>
              <w:spacing w:after="0" w:line="240" w:lineRule="auto"/>
              <w:contextualSpacing/>
              <w:jc w:val="both"/>
              <w:rPr>
                <w:rFonts w:ascii="Calibri" w:eastAsia="Calibri" w:hAnsi="Calibri" w:cs="Calibri"/>
                <w:b/>
                <w:bCs/>
                <w:kern w:val="0"/>
                <w:sz w:val="20"/>
                <w:szCs w:val="20"/>
                <w14:ligatures w14:val="none"/>
              </w:rPr>
            </w:pPr>
            <w:r w:rsidRPr="00136466">
              <w:rPr>
                <w:rFonts w:ascii="Calibri" w:eastAsia="Calibri" w:hAnsi="Calibri" w:cs="Calibri"/>
                <w:b/>
                <w:bCs/>
                <w:kern w:val="0"/>
                <w:sz w:val="20"/>
                <w:szCs w:val="20"/>
                <w14:ligatures w14:val="none"/>
              </w:rPr>
              <w:t>Zrušenie vylúčenia povinnosti zamestnanca platiť poistné v zákonom definovaných obdobiach (§ 140 ods. 1)</w:t>
            </w:r>
          </w:p>
          <w:p w14:paraId="0C8EB041" w14:textId="77777777" w:rsidR="00136466" w:rsidRPr="00136466" w:rsidRDefault="00136466" w:rsidP="00136466">
            <w:pPr>
              <w:numPr>
                <w:ilvl w:val="0"/>
                <w:numId w:val="30"/>
              </w:numPr>
              <w:spacing w:after="0" w:line="240" w:lineRule="auto"/>
              <w:ind w:left="432" w:firstLine="0"/>
              <w:contextualSpacing/>
              <w:jc w:val="both"/>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negatívny sociálny vplyv z dôvodu zaplatenia poistného na nemocenské poistenie, dôchodkové poistenie a poistenie v nezamestnanosti na strane zamestnanca počas obdobia, v ktorom je podľa súčasného právneho stavu vylúčená povinnosť platiť poistné (napr. obdobia práceneschopnosti, materstva, poskytovania ošetrovného...).</w:t>
            </w:r>
          </w:p>
          <w:p w14:paraId="590C6E6D" w14:textId="77777777" w:rsidR="00136466" w:rsidRPr="00136466" w:rsidRDefault="00136466" w:rsidP="00136466">
            <w:pPr>
              <w:spacing w:after="0" w:line="240" w:lineRule="auto"/>
              <w:ind w:left="432"/>
              <w:jc w:val="both"/>
              <w:rPr>
                <w:rFonts w:ascii="Calibri" w:eastAsia="Calibri" w:hAnsi="Calibri" w:cs="Calibri"/>
                <w:b/>
                <w:bCs/>
                <w:kern w:val="0"/>
                <w:sz w:val="20"/>
                <w:szCs w:val="20"/>
                <w14:ligatures w14:val="none"/>
              </w:rPr>
            </w:pPr>
            <w:r w:rsidRPr="00136466">
              <w:rPr>
                <w:rFonts w:ascii="Calibri" w:eastAsia="Calibri" w:hAnsi="Calibri" w:cs="Calibri"/>
                <w:b/>
                <w:bCs/>
                <w:kern w:val="0"/>
                <w:sz w:val="20"/>
                <w:szCs w:val="20"/>
                <w14:ligatures w14:val="none"/>
              </w:rPr>
              <w:t>Zachovanie sumy 13. dôchodku na úrovni sumy určenej pre rok 2025</w:t>
            </w:r>
          </w:p>
          <w:p w14:paraId="4CF52A02" w14:textId="77777777" w:rsidR="00136466" w:rsidRPr="00136466" w:rsidRDefault="00136466" w:rsidP="00136466">
            <w:pPr>
              <w:numPr>
                <w:ilvl w:val="0"/>
                <w:numId w:val="30"/>
              </w:numPr>
              <w:spacing w:after="0" w:line="240" w:lineRule="auto"/>
              <w:ind w:left="432" w:firstLine="0"/>
              <w:contextualSpacing/>
              <w:jc w:val="both"/>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v rokoch 2026 až 2028 sa navrhuje zachovať sumu 13. dôchodku na úrovni sumy 13. dôchodku určenej pre rok 2025.</w:t>
            </w:r>
          </w:p>
          <w:p w14:paraId="74596378" w14:textId="77777777" w:rsidR="00136466" w:rsidRPr="00136466" w:rsidRDefault="00136466" w:rsidP="00136466">
            <w:pPr>
              <w:spacing w:after="0" w:line="240" w:lineRule="auto"/>
              <w:ind w:left="432"/>
              <w:contextualSpacing/>
              <w:jc w:val="both"/>
              <w:rPr>
                <w:rFonts w:ascii="Calibri" w:eastAsia="Calibri" w:hAnsi="Calibri" w:cs="Calibri"/>
                <w:b/>
                <w:bCs/>
                <w:kern w:val="0"/>
                <w:sz w:val="20"/>
                <w:szCs w:val="20"/>
                <w14:ligatures w14:val="none"/>
              </w:rPr>
            </w:pPr>
            <w:r w:rsidRPr="00136466">
              <w:rPr>
                <w:rFonts w:ascii="Calibri" w:eastAsia="Calibri" w:hAnsi="Calibri" w:cs="Calibri"/>
                <w:b/>
                <w:bCs/>
                <w:kern w:val="0"/>
                <w:sz w:val="20"/>
                <w:szCs w:val="20"/>
                <w14:ligatures w14:val="none"/>
              </w:rPr>
              <w:t>Postupné zníženie dávky v nezamestnanosti od 4. mesiaca jej poberania</w:t>
            </w:r>
          </w:p>
          <w:p w14:paraId="2449DD25" w14:textId="77777777" w:rsidR="00136466" w:rsidRPr="00136466" w:rsidRDefault="00136466" w:rsidP="00136466">
            <w:pPr>
              <w:spacing w:after="0" w:line="240" w:lineRule="auto"/>
              <w:ind w:left="432"/>
              <w:jc w:val="both"/>
              <w:rPr>
                <w:rFonts w:ascii="Times New Roman" w:eastAsia="Calibri" w:hAnsi="Times New Roman" w:cs="Times New Roman"/>
                <w:b/>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 navrhuje sa degresívny model dávky v nezamestnanosti, pričom miera náhrady sa od 4. do 6. mesiaca poberania dávky znižuje o 10 percentuálnych bodov.</w:t>
            </w:r>
          </w:p>
          <w:p w14:paraId="40B5934E" w14:textId="77777777" w:rsidR="00136466" w:rsidRPr="00136466" w:rsidRDefault="00136466" w:rsidP="00136466">
            <w:pPr>
              <w:numPr>
                <w:ilvl w:val="0"/>
                <w:numId w:val="71"/>
              </w:numPr>
              <w:spacing w:after="0" w:line="240" w:lineRule="auto"/>
              <w:contextualSpacing/>
              <w:rPr>
                <w:rFonts w:ascii="Calibri" w:eastAsia="Calibri" w:hAnsi="Calibri" w:cs="Calibri"/>
                <w:b/>
                <w:bCs/>
                <w:kern w:val="0"/>
                <w:sz w:val="20"/>
                <w:szCs w:val="20"/>
                <w14:ligatures w14:val="none"/>
              </w:rPr>
            </w:pPr>
            <w:r w:rsidRPr="00136466">
              <w:rPr>
                <w:rFonts w:ascii="Calibri" w:eastAsia="Calibri" w:hAnsi="Calibri" w:cs="Calibri"/>
                <w:b/>
                <w:bCs/>
                <w:kern w:val="0"/>
                <w:sz w:val="20"/>
                <w:szCs w:val="20"/>
                <w14:ligatures w14:val="none"/>
              </w:rPr>
              <w:t>Úprava daňových sadzieb pri dani z príjmov</w:t>
            </w:r>
          </w:p>
          <w:p w14:paraId="10E10063" w14:textId="77777777" w:rsidR="00136466" w:rsidRPr="00136466" w:rsidRDefault="00136466" w:rsidP="00136466">
            <w:pPr>
              <w:spacing w:after="0" w:line="240" w:lineRule="auto"/>
              <w:ind w:left="432"/>
              <w:contextualSpacing/>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 xml:space="preserve">- zmena daňových sadzieb fyzických osôb a s tým súvisiaca zmena vyklesávania NČZD na daňovníka a NČZD na manželku/manžela, </w:t>
            </w:r>
          </w:p>
          <w:p w14:paraId="22D8A2C5" w14:textId="77777777" w:rsidR="00136466" w:rsidRPr="00136466" w:rsidRDefault="00136466" w:rsidP="00136466">
            <w:pPr>
              <w:spacing w:after="0" w:line="240" w:lineRule="auto"/>
              <w:ind w:left="360"/>
              <w:contextualSpacing/>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Zvýšenie daňovej sadzby vybraných ústavných činiteľov z 5 % na 10 %,  Tieto opatrenia budú mať za následok zníženie disponibilného príjmu domácnosti s vyššími príjmami.</w:t>
            </w:r>
          </w:p>
          <w:p w14:paraId="6BE91A02" w14:textId="77777777" w:rsidR="00136466" w:rsidRPr="00136466" w:rsidRDefault="00136466" w:rsidP="00136466">
            <w:pPr>
              <w:numPr>
                <w:ilvl w:val="0"/>
                <w:numId w:val="71"/>
              </w:numPr>
              <w:spacing w:after="0" w:line="240" w:lineRule="auto"/>
              <w:contextualSpacing/>
              <w:rPr>
                <w:rFonts w:ascii="Calibri" w:eastAsia="Calibri" w:hAnsi="Calibri" w:cs="Calibri"/>
                <w:kern w:val="0"/>
                <w:sz w:val="20"/>
                <w:szCs w:val="20"/>
                <w14:ligatures w14:val="none"/>
              </w:rPr>
            </w:pPr>
            <w:r w:rsidRPr="00136466">
              <w:rPr>
                <w:rFonts w:ascii="Calibri" w:eastAsia="Calibri" w:hAnsi="Calibri" w:cs="Calibri"/>
                <w:b/>
                <w:kern w:val="0"/>
                <w:sz w:val="20"/>
                <w:szCs w:val="20"/>
                <w:lang w:eastAsia="sk-SK"/>
                <w14:ligatures w14:val="none"/>
              </w:rPr>
              <w:t>Úprava sadzieb dane - zákon o dani z pridanej hodnoty</w:t>
            </w:r>
          </w:p>
          <w:p w14:paraId="6897B2A3" w14:textId="77777777" w:rsidR="00136466" w:rsidRPr="00136466" w:rsidRDefault="00136466" w:rsidP="00136466">
            <w:pPr>
              <w:spacing w:after="0" w:line="240" w:lineRule="auto"/>
              <w:ind w:left="360"/>
              <w:contextualSpacing/>
              <w:jc w:val="both"/>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lang w:eastAsia="sk-SK"/>
                <w14:ligatures w14:val="none"/>
              </w:rPr>
              <w:t>- zvýšenie</w:t>
            </w:r>
            <w:r w:rsidRPr="00136466">
              <w:rPr>
                <w:rFonts w:ascii="Times New Roman" w:eastAsia="Calibri" w:hAnsi="Times New Roman" w:cs="Times New Roman"/>
                <w:kern w:val="0"/>
                <w:sz w:val="20"/>
                <w:szCs w:val="20"/>
                <w14:ligatures w14:val="none"/>
              </w:rPr>
              <w:t xml:space="preserve"> základnej sadzby dane z pridanej hodnoty na tovary, na ktoré sa uplatňuje znížená sadzba dane. Vybrané potraviny budú podliehať základnej sadzbe dane vo výške 23 % zo základu dane.</w:t>
            </w:r>
          </w:p>
          <w:p w14:paraId="1EAD176B" w14:textId="77777777" w:rsidR="00136466" w:rsidRPr="00136466" w:rsidRDefault="00136466" w:rsidP="00136466">
            <w:pPr>
              <w:numPr>
                <w:ilvl w:val="0"/>
                <w:numId w:val="71"/>
              </w:numPr>
              <w:spacing w:after="0" w:line="240" w:lineRule="auto"/>
              <w:contextualSpacing/>
              <w:rPr>
                <w:rFonts w:ascii="Calibri" w:eastAsia="Calibri" w:hAnsi="Calibri" w:cs="Calibri"/>
                <w:kern w:val="0"/>
                <w:sz w:val="20"/>
                <w:szCs w:val="20"/>
                <w14:ligatures w14:val="none"/>
              </w:rPr>
            </w:pPr>
            <w:r w:rsidRPr="00136466">
              <w:rPr>
                <w:rFonts w:ascii="Calibri" w:eastAsia="Calibri" w:hAnsi="Calibri" w:cs="Calibri"/>
                <w:b/>
                <w:bCs/>
                <w:kern w:val="0"/>
                <w:sz w:val="20"/>
                <w:szCs w:val="20"/>
                <w14:ligatures w14:val="none"/>
              </w:rPr>
              <w:t>Úprava sadzieb pre odvod poistného na verejné zdravotné poistenie</w:t>
            </w:r>
          </w:p>
          <w:p w14:paraId="7168358A" w14:textId="77777777" w:rsidR="00136466" w:rsidRPr="00136466" w:rsidRDefault="00136466" w:rsidP="00136466">
            <w:pPr>
              <w:spacing w:after="0" w:line="240" w:lineRule="auto"/>
              <w:ind w:left="360"/>
              <w:contextualSpacing/>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14:ligatures w14:val="none"/>
              </w:rPr>
              <w:t>- dochádza k zvýšeniu sadzby odvodu poistného na verejné zdravotné poistenie, čo má za následok zníženie čistého príjmu.</w:t>
            </w:r>
          </w:p>
          <w:p w14:paraId="45DAEEE3" w14:textId="77777777" w:rsidR="00136466" w:rsidRPr="00136466" w:rsidRDefault="00136466" w:rsidP="00136466">
            <w:pPr>
              <w:numPr>
                <w:ilvl w:val="0"/>
                <w:numId w:val="71"/>
              </w:numPr>
              <w:spacing w:after="0" w:line="240" w:lineRule="auto"/>
              <w:contextualSpacing/>
              <w:jc w:val="both"/>
              <w:rPr>
                <w:rFonts w:ascii="Calibri" w:eastAsia="Calibri" w:hAnsi="Calibri" w:cs="Calibri"/>
                <w:b/>
                <w:bCs/>
                <w:kern w:val="0"/>
                <w:sz w:val="20"/>
                <w:szCs w:val="20"/>
                <w14:ligatures w14:val="none"/>
              </w:rPr>
            </w:pPr>
            <w:r w:rsidRPr="00136466">
              <w:rPr>
                <w:rFonts w:ascii="Calibri" w:eastAsia="Calibri" w:hAnsi="Calibri" w:cs="Calibri"/>
                <w:b/>
                <w:bCs/>
                <w:kern w:val="0"/>
                <w:sz w:val="20"/>
                <w:szCs w:val="20"/>
                <w14:ligatures w14:val="none"/>
              </w:rPr>
              <w:t>Ú</w:t>
            </w:r>
            <w:r w:rsidRPr="00136466">
              <w:rPr>
                <w:rFonts w:ascii="Calibri" w:eastAsia="Calibri" w:hAnsi="Calibri" w:cs="Calibri"/>
                <w:b/>
                <w:kern w:val="0"/>
                <w:sz w:val="20"/>
                <w:szCs w:val="20"/>
                <w14:ligatures w14:val="none"/>
              </w:rPr>
              <w:t>prava výšky</w:t>
            </w:r>
            <w:r w:rsidRPr="00136466">
              <w:rPr>
                <w:rFonts w:ascii="Calibri" w:eastAsia="Calibri" w:hAnsi="Calibri" w:cs="Calibri"/>
                <w:b/>
                <w:bCs/>
                <w:kern w:val="0"/>
                <w:sz w:val="20"/>
                <w:szCs w:val="20"/>
                <w14:ligatures w14:val="none"/>
              </w:rPr>
              <w:t xml:space="preserve"> osobitného odvodu z PZP</w:t>
            </w:r>
          </w:p>
          <w:p w14:paraId="7B0B48C3" w14:textId="77777777" w:rsidR="00136466" w:rsidRPr="00136466" w:rsidRDefault="00136466" w:rsidP="00136466">
            <w:pPr>
              <w:spacing w:after="0" w:line="240" w:lineRule="auto"/>
              <w:ind w:left="360"/>
              <w:contextualSpacing/>
              <w:jc w:val="both"/>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 zvýšenie osobitného odvodu z PZP z aktuálnych 8 % na 10 % môže mať negatívny vplyv na hospodárenie domácností,</w:t>
            </w:r>
          </w:p>
          <w:p w14:paraId="7AF359EC" w14:textId="77777777" w:rsidR="00136466" w:rsidRPr="00136466" w:rsidRDefault="00136466" w:rsidP="00136466">
            <w:pPr>
              <w:spacing w:after="0" w:line="240" w:lineRule="auto"/>
              <w:ind w:left="360"/>
              <w:contextualSpacing/>
              <w:jc w:val="both"/>
              <w:rPr>
                <w:rFonts w:ascii="Times New Roman" w:eastAsia="Calibri" w:hAnsi="Times New Roman" w:cs="Times New Roman"/>
                <w:kern w:val="0"/>
                <w:sz w:val="20"/>
                <w:szCs w:val="20"/>
                <w14:ligatures w14:val="none"/>
              </w:rPr>
            </w:pPr>
            <w:r w:rsidRPr="00136466">
              <w:rPr>
                <w:rFonts w:ascii="Times New Roman" w:eastAsia="Calibri" w:hAnsi="Times New Roman" w:cs="Times New Roman"/>
                <w:kern w:val="0"/>
                <w:sz w:val="20"/>
                <w:szCs w:val="20"/>
                <w:lang w:eastAsia="sk-SK"/>
                <w14:ligatures w14:val="none"/>
              </w:rPr>
              <w:t>- miera prípadného negatívneho vplyvu na hospodárenie domácností bude závisieť od spôsobu, akým poisťovne premietnu zvýšenie osobitného odvodu do cien PZP.</w:t>
            </w:r>
          </w:p>
          <w:p w14:paraId="64CDA0F4" w14:textId="77777777" w:rsidR="00136466" w:rsidRPr="00136466" w:rsidRDefault="00136466" w:rsidP="00136466">
            <w:pPr>
              <w:numPr>
                <w:ilvl w:val="0"/>
                <w:numId w:val="71"/>
              </w:numPr>
              <w:spacing w:after="0" w:line="240" w:lineRule="auto"/>
              <w:contextualSpacing/>
              <w:jc w:val="both"/>
              <w:rPr>
                <w:rFonts w:ascii="Calibri" w:eastAsia="Calibri" w:hAnsi="Calibri" w:cs="Calibri"/>
                <w:b/>
                <w:bCs/>
                <w:kern w:val="0"/>
                <w:sz w:val="20"/>
                <w:szCs w:val="20"/>
                <w:lang w:eastAsia="sk-SK"/>
                <w14:ligatures w14:val="none"/>
              </w:rPr>
            </w:pPr>
            <w:r w:rsidRPr="00136466">
              <w:rPr>
                <w:rFonts w:ascii="Calibri" w:eastAsia="Calibri" w:hAnsi="Calibri" w:cs="Calibri"/>
                <w:b/>
                <w:bCs/>
                <w:kern w:val="0"/>
                <w:sz w:val="20"/>
                <w:szCs w:val="20"/>
                <w:lang w:eastAsia="sk-SK"/>
                <w14:ligatures w14:val="none"/>
              </w:rPr>
              <w:t>Úprava sadzby dane z poistenia</w:t>
            </w:r>
          </w:p>
          <w:p w14:paraId="3FA491F9" w14:textId="77777777" w:rsidR="00136466" w:rsidRPr="00136466" w:rsidRDefault="00136466" w:rsidP="00136466">
            <w:pPr>
              <w:spacing w:after="0" w:line="240" w:lineRule="auto"/>
              <w:ind w:left="360"/>
              <w:contextualSpacing/>
              <w:jc w:val="both"/>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  zvýšenie sadzby dane z poistenia z aktuálnych 8 % na 10 % zo základu dane môže mať negatívny vplyv na hospodárenie domácností,</w:t>
            </w:r>
          </w:p>
          <w:p w14:paraId="2780D56D" w14:textId="77777777" w:rsidR="00136466" w:rsidRPr="00136466" w:rsidRDefault="00136466" w:rsidP="00136466">
            <w:pPr>
              <w:spacing w:after="0" w:line="240" w:lineRule="auto"/>
              <w:ind w:left="360"/>
              <w:contextualSpacing/>
              <w:jc w:val="both"/>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 miera prípadného negatívneho vplyvu na hospodárenie domácností bude závisieť od spôsobu, akým poisťovne premietnu daň do ceny poistného.</w:t>
            </w:r>
          </w:p>
        </w:tc>
      </w:tr>
      <w:tr w:rsidR="00136466" w:rsidRPr="00136466" w14:paraId="1BD0CA8D" w14:textId="77777777" w:rsidTr="003627DF">
        <w:trPr>
          <w:trHeight w:val="397"/>
          <w:jc w:val="center"/>
        </w:trPr>
        <w:tc>
          <w:tcPr>
            <w:tcW w:w="129" w:type="pct"/>
            <w:vMerge w:val="restart"/>
            <w:tcBorders>
              <w:top w:val="single" w:sz="4" w:space="0" w:color="auto"/>
            </w:tcBorders>
            <w:shd w:val="clear" w:color="auto" w:fill="auto"/>
            <w:vAlign w:val="center"/>
          </w:tcPr>
          <w:p w14:paraId="51C45C47"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c)</w:t>
            </w:r>
          </w:p>
        </w:tc>
        <w:tc>
          <w:tcPr>
            <w:tcW w:w="1642" w:type="pct"/>
            <w:tcBorders>
              <w:top w:val="single" w:sz="4" w:space="0" w:color="auto"/>
            </w:tcBorders>
            <w:shd w:val="clear" w:color="auto" w:fill="auto"/>
          </w:tcPr>
          <w:p w14:paraId="7514FB03"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Špecifikujte</w:t>
            </w:r>
            <w:r w:rsidRPr="00136466">
              <w:rPr>
                <w:rFonts w:ascii="Times New Roman" w:eastAsia="Calibri" w:hAnsi="Times New Roman" w:cs="Times New Roman"/>
                <w:i/>
                <w:kern w:val="0"/>
                <w:sz w:val="20"/>
                <w:szCs w:val="20"/>
                <w:lang w:eastAsia="sk-SK"/>
                <w14:ligatures w14:val="none"/>
              </w:rPr>
              <w:t xml:space="preserve"> ovplyvnené skupiny:</w:t>
            </w:r>
          </w:p>
        </w:tc>
        <w:tc>
          <w:tcPr>
            <w:tcW w:w="3229" w:type="pct"/>
            <w:tcBorders>
              <w:top w:val="single" w:sz="4" w:space="0" w:color="auto"/>
            </w:tcBorders>
            <w:shd w:val="clear" w:color="auto" w:fill="auto"/>
          </w:tcPr>
          <w:p w14:paraId="40EE9F85"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20"/>
                <w:szCs w:val="20"/>
                <w:lang w:eastAsia="sk-SK"/>
                <w14:ligatures w14:val="none"/>
              </w:rPr>
              <w:t xml:space="preserve">Ovplyvnená skupina č.1a </w:t>
            </w:r>
          </w:p>
          <w:p w14:paraId="1D6A8DDB" w14:textId="77777777" w:rsidR="00136466" w:rsidRPr="00136466" w:rsidRDefault="00136466" w:rsidP="00136466">
            <w:pPr>
              <w:spacing w:after="0" w:line="240" w:lineRule="auto"/>
              <w:ind w:left="-2" w:firstLine="2"/>
              <w:contextualSpacing/>
              <w:jc w:val="both"/>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Zamestnanci, ktorí budú platiť poistné aj počas období, keď je táto povinnosť v súčasnosti vylúčená (napr. PN, materská).</w:t>
            </w:r>
            <w:r w:rsidRPr="00136466">
              <w:rPr>
                <w:rFonts w:ascii="Times New Roman" w:eastAsia="Calibri" w:hAnsi="Times New Roman" w:cs="Times New Roman"/>
                <w:i/>
                <w:kern w:val="0"/>
                <w:sz w:val="20"/>
                <w:szCs w:val="20"/>
                <w:lang w:eastAsia="sk-SK"/>
                <w14:ligatures w14:val="none"/>
              </w:rPr>
              <w:t xml:space="preserve"> </w:t>
            </w:r>
          </w:p>
        </w:tc>
      </w:tr>
      <w:tr w:rsidR="00136466" w:rsidRPr="00136466" w14:paraId="42C191AB" w14:textId="77777777" w:rsidTr="003627DF">
        <w:trPr>
          <w:trHeight w:val="397"/>
          <w:jc w:val="center"/>
        </w:trPr>
        <w:tc>
          <w:tcPr>
            <w:tcW w:w="129" w:type="pct"/>
            <w:vMerge/>
            <w:tcBorders>
              <w:top w:val="single" w:sz="4" w:space="0" w:color="auto"/>
            </w:tcBorders>
            <w:shd w:val="clear" w:color="auto" w:fill="auto"/>
            <w:vAlign w:val="center"/>
          </w:tcPr>
          <w:p w14:paraId="33F73B58"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tcBorders>
              <w:top w:val="single" w:sz="4" w:space="0" w:color="auto"/>
            </w:tcBorders>
            <w:shd w:val="clear" w:color="auto" w:fill="auto"/>
          </w:tcPr>
          <w:p w14:paraId="2EAC7AAF" w14:textId="77777777" w:rsidR="00136466" w:rsidRPr="00136466" w:rsidRDefault="00136466" w:rsidP="00136466">
            <w:pPr>
              <w:spacing w:after="0" w:line="240" w:lineRule="auto"/>
              <w:ind w:left="-2" w:firstLine="2"/>
              <w:contextualSpacing/>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i/>
                <w:kern w:val="0"/>
                <w:sz w:val="20"/>
                <w:szCs w:val="20"/>
                <w14:ligatures w14:val="none"/>
              </w:rPr>
              <w:t>Ovplyvnená skupina č. 1b</w:t>
            </w:r>
            <w:r w:rsidRPr="00136466">
              <w:rPr>
                <w:rFonts w:ascii="Times New Roman" w:eastAsia="Calibri" w:hAnsi="Times New Roman" w:cs="Times New Roman"/>
                <w:i/>
                <w:kern w:val="0"/>
                <w:sz w:val="20"/>
                <w:szCs w:val="20"/>
                <w14:ligatures w14:val="none"/>
              </w:rPr>
              <w:br/>
            </w:r>
            <w:r w:rsidRPr="00136466">
              <w:rPr>
                <w:rFonts w:ascii="Times New Roman" w:eastAsia="Calibri" w:hAnsi="Times New Roman" w:cs="Times New Roman"/>
                <w:kern w:val="0"/>
                <w:sz w:val="20"/>
                <w:szCs w:val="20"/>
                <w:lang w:eastAsia="sk-SK"/>
                <w14:ligatures w14:val="none"/>
              </w:rPr>
              <w:t xml:space="preserve">Poberatelia 13. dôchodku </w:t>
            </w:r>
          </w:p>
        </w:tc>
        <w:tc>
          <w:tcPr>
            <w:tcW w:w="3229" w:type="pct"/>
            <w:tcBorders>
              <w:top w:val="single" w:sz="4" w:space="0" w:color="auto"/>
            </w:tcBorders>
            <w:shd w:val="clear" w:color="auto" w:fill="auto"/>
          </w:tcPr>
          <w:p w14:paraId="29EB4BA4"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20"/>
                <w:szCs w:val="20"/>
                <w14:ligatures w14:val="none"/>
              </w:rPr>
              <w:t>Ovplyvnená skupina č.1c</w:t>
            </w:r>
            <w:r w:rsidRPr="00136466">
              <w:rPr>
                <w:rFonts w:ascii="Times New Roman" w:eastAsia="Calibri" w:hAnsi="Times New Roman" w:cs="Times New Roman"/>
                <w:i/>
                <w:kern w:val="0"/>
                <w:sz w:val="20"/>
                <w:szCs w:val="20"/>
                <w14:ligatures w14:val="none"/>
              </w:rPr>
              <w:br/>
            </w:r>
            <w:r w:rsidRPr="00136466">
              <w:rPr>
                <w:rFonts w:ascii="Times New Roman" w:eastAsia="Calibri" w:hAnsi="Times New Roman" w:cs="Times New Roman"/>
                <w:kern w:val="0"/>
                <w:sz w:val="20"/>
                <w:szCs w:val="20"/>
                <w14:ligatures w14:val="none"/>
              </w:rPr>
              <w:t>Poberatelia dávky v nezamestnanosti</w:t>
            </w:r>
          </w:p>
        </w:tc>
      </w:tr>
      <w:tr w:rsidR="00136466" w:rsidRPr="00136466" w14:paraId="4080974C" w14:textId="77777777" w:rsidTr="003627DF">
        <w:trPr>
          <w:trHeight w:val="397"/>
          <w:jc w:val="center"/>
        </w:trPr>
        <w:tc>
          <w:tcPr>
            <w:tcW w:w="129" w:type="pct"/>
            <w:vMerge/>
            <w:tcBorders>
              <w:top w:val="single" w:sz="4" w:space="0" w:color="auto"/>
            </w:tcBorders>
            <w:shd w:val="clear" w:color="auto" w:fill="auto"/>
            <w:vAlign w:val="center"/>
          </w:tcPr>
          <w:p w14:paraId="16FE24B7"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tcBorders>
              <w:top w:val="single" w:sz="4" w:space="0" w:color="auto"/>
            </w:tcBorders>
            <w:shd w:val="clear" w:color="auto" w:fill="auto"/>
          </w:tcPr>
          <w:p w14:paraId="2ED340EC"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2a</w:t>
            </w:r>
          </w:p>
          <w:p w14:paraId="796E594D"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Daňovníci s vyššími príjmami</w:t>
            </w:r>
          </w:p>
        </w:tc>
        <w:tc>
          <w:tcPr>
            <w:tcW w:w="3229" w:type="pct"/>
            <w:tcBorders>
              <w:top w:val="single" w:sz="4" w:space="0" w:color="auto"/>
            </w:tcBorders>
            <w:shd w:val="clear" w:color="auto" w:fill="auto"/>
          </w:tcPr>
          <w:p w14:paraId="1964C853"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2b</w:t>
            </w:r>
          </w:p>
          <w:p w14:paraId="4A65DA9D"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Vybraní ústavní činitelia</w:t>
            </w:r>
          </w:p>
        </w:tc>
      </w:tr>
      <w:tr w:rsidR="00136466" w:rsidRPr="00136466" w14:paraId="1BDFA93C" w14:textId="77777777" w:rsidTr="003627DF">
        <w:trPr>
          <w:trHeight w:val="397"/>
          <w:jc w:val="center"/>
        </w:trPr>
        <w:tc>
          <w:tcPr>
            <w:tcW w:w="129" w:type="pct"/>
            <w:vMerge/>
            <w:tcBorders>
              <w:bottom w:val="single" w:sz="4" w:space="0" w:color="auto"/>
            </w:tcBorders>
            <w:shd w:val="clear" w:color="auto" w:fill="auto"/>
            <w:vAlign w:val="center"/>
          </w:tcPr>
          <w:p w14:paraId="2039056B"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tcBorders>
              <w:bottom w:val="single" w:sz="4" w:space="0" w:color="auto"/>
            </w:tcBorders>
            <w:shd w:val="clear" w:color="auto" w:fill="auto"/>
          </w:tcPr>
          <w:p w14:paraId="4691A64C"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3</w:t>
            </w:r>
          </w:p>
          <w:p w14:paraId="5CA595F0"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Fyzické osoby a domácnosti ako koneční spotrebitelia tovarov a služieb.</w:t>
            </w:r>
          </w:p>
        </w:tc>
        <w:tc>
          <w:tcPr>
            <w:tcW w:w="3229" w:type="pct"/>
            <w:tcBorders>
              <w:top w:val="dotted" w:sz="4" w:space="0" w:color="auto"/>
              <w:bottom w:val="single" w:sz="4" w:space="0" w:color="auto"/>
            </w:tcBorders>
            <w:shd w:val="clear" w:color="auto" w:fill="auto"/>
          </w:tcPr>
          <w:p w14:paraId="5775FA58"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4</w:t>
            </w:r>
          </w:p>
          <w:p w14:paraId="6411D9DC"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Ekonomicky aktívne osoby</w:t>
            </w:r>
          </w:p>
        </w:tc>
      </w:tr>
      <w:tr w:rsidR="00136466" w:rsidRPr="00136466" w14:paraId="07BD26CB" w14:textId="77777777" w:rsidTr="003627DF">
        <w:trPr>
          <w:trHeight w:val="397"/>
          <w:jc w:val="center"/>
        </w:trPr>
        <w:tc>
          <w:tcPr>
            <w:tcW w:w="129" w:type="pct"/>
            <w:tcBorders>
              <w:bottom w:val="single" w:sz="4" w:space="0" w:color="auto"/>
            </w:tcBorders>
            <w:shd w:val="clear" w:color="auto" w:fill="auto"/>
            <w:vAlign w:val="center"/>
          </w:tcPr>
          <w:p w14:paraId="6E6C343E"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tcBorders>
              <w:bottom w:val="single" w:sz="4" w:space="0" w:color="auto"/>
            </w:tcBorders>
            <w:shd w:val="clear" w:color="auto" w:fill="auto"/>
          </w:tcPr>
          <w:p w14:paraId="481D195F"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5</w:t>
            </w:r>
          </w:p>
          <w:p w14:paraId="1F632C41"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kern w:val="0"/>
                <w:sz w:val="20"/>
                <w:szCs w:val="20"/>
                <w:lang w:eastAsia="sk-SK"/>
                <w14:ligatures w14:val="none"/>
              </w:rPr>
              <w:t>Držitelia, vlastníci resp. prevádzkovatelia motorových vozidiel.</w:t>
            </w:r>
          </w:p>
        </w:tc>
        <w:tc>
          <w:tcPr>
            <w:tcW w:w="3229" w:type="pct"/>
            <w:tcBorders>
              <w:top w:val="dotted" w:sz="4" w:space="0" w:color="auto"/>
              <w:bottom w:val="single" w:sz="4" w:space="0" w:color="auto"/>
            </w:tcBorders>
            <w:shd w:val="clear" w:color="auto" w:fill="auto"/>
          </w:tcPr>
          <w:p w14:paraId="3AA56BD1"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6</w:t>
            </w:r>
          </w:p>
          <w:p w14:paraId="7725FF39" w14:textId="77777777" w:rsidR="00136466" w:rsidRPr="00136466" w:rsidRDefault="00136466" w:rsidP="00136466">
            <w:pPr>
              <w:spacing w:after="0" w:line="240" w:lineRule="auto"/>
              <w:rPr>
                <w:rFonts w:ascii="Times New Roman" w:eastAsia="Calibri" w:hAnsi="Times New Roman" w:cs="Times New Roman"/>
                <w:i/>
                <w:kern w:val="0"/>
                <w:sz w:val="18"/>
                <w:szCs w:val="20"/>
                <w:highlight w:val="yellow"/>
                <w:lang w:eastAsia="sk-SK"/>
                <w14:ligatures w14:val="none"/>
              </w:rPr>
            </w:pPr>
            <w:r w:rsidRPr="00136466">
              <w:rPr>
                <w:rFonts w:ascii="Times New Roman" w:eastAsia="Calibri" w:hAnsi="Times New Roman" w:cs="Times New Roman"/>
                <w:iCs/>
                <w:kern w:val="0"/>
                <w:sz w:val="20"/>
                <w:szCs w:val="20"/>
                <w:lang w:eastAsia="sk-SK"/>
                <w14:ligatures w14:val="none"/>
              </w:rPr>
              <w:t>Poistníci poistení v odvetviach neživotného poistenia, ak je poistné riziko umiestnené na území Slovenskej republiky.</w:t>
            </w:r>
          </w:p>
        </w:tc>
      </w:tr>
      <w:tr w:rsidR="00136466" w:rsidRPr="00136466" w14:paraId="5276660A" w14:textId="77777777" w:rsidTr="003627DF">
        <w:trPr>
          <w:trHeight w:val="397"/>
          <w:jc w:val="center"/>
        </w:trPr>
        <w:tc>
          <w:tcPr>
            <w:tcW w:w="129" w:type="pct"/>
            <w:tcBorders>
              <w:top w:val="single" w:sz="4" w:space="0" w:color="auto"/>
            </w:tcBorders>
            <w:shd w:val="clear" w:color="auto" w:fill="F2F2F2"/>
            <w:vAlign w:val="center"/>
          </w:tcPr>
          <w:p w14:paraId="7E860199"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d)</w:t>
            </w:r>
          </w:p>
        </w:tc>
        <w:tc>
          <w:tcPr>
            <w:tcW w:w="4871" w:type="pct"/>
            <w:gridSpan w:val="2"/>
            <w:tcBorders>
              <w:top w:val="single" w:sz="4" w:space="0" w:color="auto"/>
            </w:tcBorders>
            <w:shd w:val="clear" w:color="auto" w:fill="F2F2F2"/>
            <w:vAlign w:val="center"/>
          </w:tcPr>
          <w:p w14:paraId="75F85233"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Kvantifikujte</w:t>
            </w:r>
            <w:r w:rsidRPr="00136466">
              <w:rPr>
                <w:rFonts w:ascii="Times New Roman" w:eastAsia="Calibri" w:hAnsi="Times New Roman" w:cs="Times New Roman"/>
                <w:i/>
                <w:kern w:val="0"/>
                <w:sz w:val="20"/>
                <w:szCs w:val="20"/>
                <w:lang w:eastAsia="sk-SK"/>
                <w14:ligatures w14:val="none"/>
              </w:rPr>
              <w:t xml:space="preserve"> pokles príjmov alebo rast výdavkov </w:t>
            </w:r>
            <w:r w:rsidRPr="00136466">
              <w:rPr>
                <w:rFonts w:ascii="Times New Roman" w:eastAsia="Calibri" w:hAnsi="Times New Roman" w:cs="Times New Roman"/>
                <w:b/>
                <w:i/>
                <w:kern w:val="0"/>
                <w:sz w:val="20"/>
                <w:szCs w:val="20"/>
                <w:lang w:eastAsia="sk-SK"/>
                <w14:ligatures w14:val="none"/>
              </w:rPr>
              <w:t>za jednotlivé</w:t>
            </w:r>
            <w:r w:rsidRPr="00136466">
              <w:rPr>
                <w:rFonts w:ascii="Times New Roman" w:eastAsia="Calibri" w:hAnsi="Times New Roman" w:cs="Times New Roman"/>
                <w:i/>
                <w:kern w:val="0"/>
                <w:sz w:val="20"/>
                <w:szCs w:val="20"/>
                <w:lang w:eastAsia="sk-SK"/>
                <w14:ligatures w14:val="none"/>
              </w:rPr>
              <w:t xml:space="preserve"> </w:t>
            </w:r>
            <w:r w:rsidRPr="00136466">
              <w:rPr>
                <w:rFonts w:ascii="Times New Roman" w:eastAsia="Calibri" w:hAnsi="Times New Roman" w:cs="Times New Roman"/>
                <w:b/>
                <w:i/>
                <w:kern w:val="0"/>
                <w:sz w:val="20"/>
                <w:szCs w:val="20"/>
                <w:lang w:eastAsia="sk-SK"/>
                <w14:ligatures w14:val="none"/>
              </w:rPr>
              <w:t>ovplyvnené</w:t>
            </w:r>
            <w:r w:rsidRPr="00136466">
              <w:rPr>
                <w:rFonts w:ascii="Times New Roman" w:eastAsia="Calibri" w:hAnsi="Times New Roman" w:cs="Times New Roman"/>
                <w:i/>
                <w:kern w:val="0"/>
                <w:sz w:val="20"/>
                <w:szCs w:val="20"/>
                <w:lang w:eastAsia="sk-SK"/>
                <w14:ligatures w14:val="none"/>
              </w:rPr>
              <w:t xml:space="preserve"> </w:t>
            </w:r>
            <w:r w:rsidRPr="00136466">
              <w:rPr>
                <w:rFonts w:ascii="Times New Roman" w:eastAsia="Calibri" w:hAnsi="Times New Roman" w:cs="Times New Roman"/>
                <w:b/>
                <w:i/>
                <w:kern w:val="0"/>
                <w:sz w:val="20"/>
                <w:szCs w:val="20"/>
                <w:lang w:eastAsia="sk-SK"/>
                <w14:ligatures w14:val="none"/>
              </w:rPr>
              <w:t>skupiny</w:t>
            </w:r>
            <w:r w:rsidRPr="00136466">
              <w:rPr>
                <w:rFonts w:ascii="Times New Roman" w:eastAsia="Calibri" w:hAnsi="Times New Roman" w:cs="Times New Roman"/>
                <w:i/>
                <w:kern w:val="0"/>
                <w:sz w:val="20"/>
                <w:szCs w:val="20"/>
                <w:lang w:eastAsia="sk-SK"/>
                <w14:ligatures w14:val="none"/>
              </w:rPr>
              <w:t xml:space="preserve"> domácností / skupiny jednotlivcov a počet obyvateľstva/domácností ovplyvnených predkladaným návrhom.</w:t>
            </w:r>
          </w:p>
        </w:tc>
      </w:tr>
      <w:tr w:rsidR="00136466" w:rsidRPr="00136466" w14:paraId="724D5CD1" w14:textId="77777777" w:rsidTr="003627DF">
        <w:trPr>
          <w:trHeight w:val="680"/>
          <w:jc w:val="center"/>
        </w:trPr>
        <w:tc>
          <w:tcPr>
            <w:tcW w:w="129" w:type="pct"/>
            <w:vMerge w:val="restart"/>
            <w:tcBorders>
              <w:top w:val="dotted" w:sz="4" w:space="0" w:color="auto"/>
            </w:tcBorders>
            <w:shd w:val="clear" w:color="auto" w:fill="auto"/>
            <w:vAlign w:val="center"/>
          </w:tcPr>
          <w:p w14:paraId="23355CAF"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e)</w:t>
            </w:r>
          </w:p>
        </w:tc>
        <w:tc>
          <w:tcPr>
            <w:tcW w:w="1642" w:type="pct"/>
            <w:tcBorders>
              <w:top w:val="dotted" w:sz="4" w:space="0" w:color="auto"/>
            </w:tcBorders>
            <w:shd w:val="clear" w:color="auto" w:fill="auto"/>
          </w:tcPr>
          <w:p w14:paraId="51317140" w14:textId="77777777" w:rsidR="00136466" w:rsidRPr="00136466" w:rsidRDefault="00136466" w:rsidP="00136466">
            <w:pPr>
              <w:numPr>
                <w:ilvl w:val="0"/>
                <w:numId w:val="30"/>
              </w:numPr>
              <w:spacing w:after="0" w:line="240" w:lineRule="auto"/>
              <w:contextualSpacing/>
              <w:jc w:val="both"/>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priemerný pokles príjmov/ rast výdavkov v skupine v eurách a/alebo v % / obdobie:</w:t>
            </w:r>
          </w:p>
          <w:p w14:paraId="70D28F9F" w14:textId="77777777" w:rsidR="00136466" w:rsidRPr="00136466" w:rsidRDefault="00136466" w:rsidP="00136466">
            <w:pPr>
              <w:numPr>
                <w:ilvl w:val="0"/>
                <w:numId w:val="30"/>
              </w:numPr>
              <w:spacing w:after="0" w:line="240" w:lineRule="auto"/>
              <w:contextualSpacing/>
              <w:jc w:val="both"/>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veľkosť skupiny (počet obyvateľov):</w:t>
            </w:r>
          </w:p>
        </w:tc>
        <w:tc>
          <w:tcPr>
            <w:tcW w:w="3229" w:type="pct"/>
            <w:tcBorders>
              <w:top w:val="dotted" w:sz="4" w:space="0" w:color="auto"/>
            </w:tcBorders>
            <w:shd w:val="clear" w:color="auto" w:fill="auto"/>
          </w:tcPr>
          <w:p w14:paraId="58DCABC4"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20"/>
                <w:szCs w:val="20"/>
                <w:lang w:eastAsia="sk-SK"/>
                <w14:ligatures w14:val="none"/>
              </w:rPr>
              <w:t xml:space="preserve">Ovplyvnená skupina č.1a </w:t>
            </w:r>
          </w:p>
          <w:p w14:paraId="24B65259" w14:textId="77777777" w:rsidR="00136466" w:rsidRPr="00136466" w:rsidRDefault="00136466" w:rsidP="00136466">
            <w:pPr>
              <w:spacing w:after="0" w:line="240" w:lineRule="auto"/>
              <w:contextualSpacing/>
              <w:jc w:val="both"/>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 xml:space="preserve">Priemernú ročnú sumu poistného odhadujeme na úrovni  cca 104 eur v roku 2026; cca 109 eur v roku 2027 a cca 114 eur v roku 2028. Ročný počet dotknutých poistencov očakávame na úrovni približne 85 tis. poistencov. </w:t>
            </w:r>
          </w:p>
          <w:p w14:paraId="0181F980" w14:textId="77777777" w:rsidR="00136466" w:rsidRPr="00136466" w:rsidRDefault="00136466" w:rsidP="00136466">
            <w:pPr>
              <w:spacing w:after="0" w:line="240" w:lineRule="auto"/>
              <w:jc w:val="both"/>
              <w:rPr>
                <w:rFonts w:ascii="Times New Roman" w:eastAsia="Calibri" w:hAnsi="Times New Roman" w:cs="Times New Roman"/>
                <w:iCs/>
                <w:kern w:val="0"/>
                <w:sz w:val="20"/>
                <w:szCs w:val="20"/>
                <w:lang w:eastAsia="sk-SK"/>
                <w14:ligatures w14:val="none"/>
              </w:rPr>
            </w:pPr>
          </w:p>
        </w:tc>
      </w:tr>
      <w:tr w:rsidR="00136466" w:rsidRPr="00136466" w14:paraId="0BC503AC" w14:textId="77777777" w:rsidTr="003627DF">
        <w:trPr>
          <w:trHeight w:val="680"/>
          <w:jc w:val="center"/>
        </w:trPr>
        <w:tc>
          <w:tcPr>
            <w:tcW w:w="129" w:type="pct"/>
            <w:vMerge/>
            <w:shd w:val="clear" w:color="auto" w:fill="auto"/>
            <w:vAlign w:val="center"/>
          </w:tcPr>
          <w:p w14:paraId="1CEEBC69"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shd w:val="clear" w:color="auto" w:fill="auto"/>
          </w:tcPr>
          <w:p w14:paraId="0DBEB82D"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20"/>
                <w:szCs w:val="20"/>
                <w:lang w:eastAsia="sk-SK"/>
                <w14:ligatures w14:val="none"/>
              </w:rPr>
              <w:t>Ovplyvnená skupina č.1b</w:t>
            </w:r>
          </w:p>
          <w:p w14:paraId="68AC5A61" w14:textId="77777777" w:rsidR="00136466" w:rsidRPr="00136466" w:rsidRDefault="00136466" w:rsidP="00136466">
            <w:pPr>
              <w:spacing w:after="0" w:line="240" w:lineRule="auto"/>
              <w:jc w:val="both"/>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V dôsledku zachovania sumy 13. dôchodku na úrovni roka 2025 nebude pri jeho výplate v rokoch 2026 až 2028 zohľadnený medziročný rast priemernej výšky dôchodkov.</w:t>
            </w:r>
            <w:r w:rsidRPr="00136466">
              <w:rPr>
                <w:rFonts w:ascii="Calibri" w:eastAsia="Calibri" w:hAnsi="Calibri" w:cs="Times New Roman"/>
                <w:kern w:val="0"/>
                <w:sz w:val="22"/>
                <w:szCs w:val="22"/>
                <w14:ligatures w14:val="none"/>
              </w:rPr>
              <w:t xml:space="preserve"> </w:t>
            </w:r>
            <w:r w:rsidRPr="00136466">
              <w:rPr>
                <w:rFonts w:ascii="Times New Roman" w:eastAsia="Calibri" w:hAnsi="Times New Roman" w:cs="Times New Roman"/>
                <w:kern w:val="0"/>
                <w:sz w:val="20"/>
                <w:szCs w:val="20"/>
                <w:lang w:eastAsia="sk-SK"/>
                <w14:ligatures w14:val="none"/>
              </w:rPr>
              <w:t xml:space="preserve">Odhaduje sa, že opatrenie sa v rokoch 2026 až 2028 priamo dotkne všetkých poberateľov dôchodkov, čo predstavuje </w:t>
            </w:r>
            <w:r w:rsidRPr="00136466">
              <w:rPr>
                <w:rFonts w:ascii="Times New Roman" w:eastAsia="Calibri" w:hAnsi="Times New Roman" w:cs="Times New Roman"/>
                <w:bCs/>
                <w:kern w:val="0"/>
                <w:sz w:val="20"/>
                <w:szCs w:val="20"/>
                <w:lang w:eastAsia="sk-SK"/>
                <w14:ligatures w14:val="none"/>
              </w:rPr>
              <w:t>približne 1,5 milióna osôb</w:t>
            </w:r>
            <w:r w:rsidRPr="00136466">
              <w:rPr>
                <w:rFonts w:ascii="Times New Roman" w:eastAsia="Calibri" w:hAnsi="Times New Roman" w:cs="Times New Roman"/>
                <w:kern w:val="0"/>
                <w:sz w:val="20"/>
                <w:szCs w:val="20"/>
                <w:lang w:eastAsia="sk-SK"/>
                <w14:ligatures w14:val="none"/>
              </w:rPr>
              <w:t xml:space="preserve">. </w:t>
            </w:r>
          </w:p>
          <w:p w14:paraId="371438BE" w14:textId="77777777" w:rsidR="00136466" w:rsidRPr="00136466" w:rsidRDefault="00136466" w:rsidP="00136466">
            <w:pPr>
              <w:spacing w:after="0" w:line="240" w:lineRule="auto"/>
              <w:jc w:val="both"/>
              <w:rPr>
                <w:rFonts w:ascii="Times New Roman" w:eastAsia="Calibri" w:hAnsi="Times New Roman" w:cs="Times New Roman"/>
                <w:i/>
                <w:kern w:val="0"/>
                <w:sz w:val="18"/>
                <w:szCs w:val="18"/>
                <w:lang w:eastAsia="sk-SK"/>
                <w14:ligatures w14:val="none"/>
              </w:rPr>
            </w:pPr>
          </w:p>
        </w:tc>
        <w:tc>
          <w:tcPr>
            <w:tcW w:w="3229" w:type="pct"/>
            <w:tcBorders>
              <w:top w:val="dotted" w:sz="4" w:space="0" w:color="auto"/>
            </w:tcBorders>
            <w:shd w:val="clear" w:color="auto" w:fill="auto"/>
          </w:tcPr>
          <w:p w14:paraId="1DD1B461"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20"/>
                <w:szCs w:val="20"/>
                <w:lang w:eastAsia="sk-SK"/>
                <w14:ligatures w14:val="none"/>
              </w:rPr>
              <w:t>Ovplyvnená skupina č. 1c</w:t>
            </w:r>
          </w:p>
          <w:p w14:paraId="1101C189" w14:textId="77777777" w:rsidR="00136466" w:rsidRPr="00136466" w:rsidRDefault="00136466" w:rsidP="00136466">
            <w:pPr>
              <w:spacing w:after="0" w:line="240" w:lineRule="auto"/>
              <w:contextualSpacing/>
              <w:jc w:val="both"/>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20"/>
                <w:szCs w:val="20"/>
                <w:lang w:eastAsia="sk-SK"/>
                <w14:ligatures w14:val="none"/>
              </w:rPr>
              <w:t xml:space="preserve">Ak uchádzač o zamestnanie poberá podporu v nezamestnanosti počas šiestich mesiacov, celková suma dávky sa zníži približne o </w:t>
            </w:r>
            <w:r w:rsidRPr="00136466">
              <w:rPr>
                <w:rFonts w:ascii="Times New Roman" w:eastAsia="Calibri" w:hAnsi="Times New Roman" w:cs="Times New Roman"/>
                <w:bCs/>
                <w:kern w:val="0"/>
                <w:sz w:val="20"/>
                <w:szCs w:val="20"/>
                <w:lang w:eastAsia="sk-SK"/>
                <w14:ligatures w14:val="none"/>
              </w:rPr>
              <w:t>20 %</w:t>
            </w:r>
            <w:r w:rsidRPr="00136466">
              <w:rPr>
                <w:rFonts w:ascii="Times New Roman" w:eastAsia="Calibri" w:hAnsi="Times New Roman" w:cs="Times New Roman"/>
                <w:kern w:val="0"/>
                <w:sz w:val="20"/>
                <w:szCs w:val="20"/>
                <w:lang w:eastAsia="sk-SK"/>
                <w14:ligatures w14:val="none"/>
              </w:rPr>
              <w:t xml:space="preserve">. Toto opatrenie ovplyvní odhadom </w:t>
            </w:r>
            <w:r w:rsidRPr="00136466">
              <w:rPr>
                <w:rFonts w:ascii="Times New Roman" w:eastAsia="Calibri" w:hAnsi="Times New Roman" w:cs="Times New Roman"/>
                <w:bCs/>
                <w:kern w:val="0"/>
                <w:sz w:val="20"/>
                <w:szCs w:val="20"/>
                <w:lang w:eastAsia="sk-SK"/>
                <w14:ligatures w14:val="none"/>
              </w:rPr>
              <w:t>60-tisíc</w:t>
            </w:r>
            <w:r w:rsidRPr="00136466">
              <w:rPr>
                <w:rFonts w:ascii="Times New Roman" w:eastAsia="Calibri" w:hAnsi="Times New Roman" w:cs="Times New Roman"/>
                <w:kern w:val="0"/>
                <w:sz w:val="20"/>
                <w:szCs w:val="20"/>
                <w:lang w:eastAsia="sk-SK"/>
                <w14:ligatures w14:val="none"/>
              </w:rPr>
              <w:t xml:space="preserve"> poberateľov s podporným obdobím dlhším ako tri mesiace.</w:t>
            </w:r>
          </w:p>
          <w:p w14:paraId="0B6A6583" w14:textId="77777777" w:rsidR="00136466" w:rsidRPr="00136466" w:rsidRDefault="00136466" w:rsidP="00136466">
            <w:pPr>
              <w:spacing w:after="0" w:line="240" w:lineRule="auto"/>
              <w:jc w:val="both"/>
              <w:rPr>
                <w:rFonts w:ascii="Times New Roman" w:eastAsia="Calibri" w:hAnsi="Times New Roman" w:cs="Times New Roman"/>
                <w:kern w:val="0"/>
                <w:sz w:val="20"/>
                <w:szCs w:val="20"/>
                <w:lang w:eastAsia="sk-SK"/>
                <w14:ligatures w14:val="none"/>
              </w:rPr>
            </w:pPr>
          </w:p>
        </w:tc>
      </w:tr>
      <w:tr w:rsidR="00136466" w:rsidRPr="00136466" w14:paraId="210F7132" w14:textId="77777777" w:rsidTr="003627DF">
        <w:trPr>
          <w:trHeight w:val="680"/>
          <w:jc w:val="center"/>
        </w:trPr>
        <w:tc>
          <w:tcPr>
            <w:tcW w:w="129" w:type="pct"/>
            <w:vMerge/>
            <w:shd w:val="clear" w:color="auto" w:fill="auto"/>
            <w:vAlign w:val="center"/>
          </w:tcPr>
          <w:p w14:paraId="202A8FFD"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shd w:val="clear" w:color="auto" w:fill="auto"/>
          </w:tcPr>
          <w:p w14:paraId="1BE2A0B9"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2a</w:t>
            </w:r>
          </w:p>
          <w:p w14:paraId="603C9B71" w14:textId="77777777" w:rsidR="00136466" w:rsidRPr="00136466" w:rsidRDefault="00136466" w:rsidP="00136466">
            <w:pPr>
              <w:spacing w:after="0" w:line="240" w:lineRule="auto"/>
              <w:rPr>
                <w:rFonts w:ascii="Times New Roman" w:eastAsia="Calibri" w:hAnsi="Times New Roman" w:cs="Times New Roman"/>
                <w:b/>
                <w:bCs/>
                <w:iCs/>
                <w:kern w:val="0"/>
                <w:sz w:val="18"/>
                <w:szCs w:val="18"/>
                <w:lang w:eastAsia="sk-SK"/>
                <w14:ligatures w14:val="none"/>
              </w:rPr>
            </w:pPr>
            <w:r w:rsidRPr="00136466">
              <w:rPr>
                <w:rFonts w:ascii="Times New Roman" w:eastAsia="Calibri" w:hAnsi="Times New Roman" w:cs="Times New Roman"/>
                <w:b/>
                <w:bCs/>
                <w:iCs/>
                <w:kern w:val="0"/>
                <w:sz w:val="18"/>
                <w:szCs w:val="18"/>
                <w:lang w:eastAsia="sk-SK"/>
                <w14:ligatures w14:val="none"/>
              </w:rPr>
              <w:t>Daňovníci s vyššími príjmami – progresia FO</w:t>
            </w:r>
          </w:p>
          <w:p w14:paraId="10242DC6" w14:textId="77777777" w:rsidR="00136466" w:rsidRPr="00136466" w:rsidRDefault="00136466" w:rsidP="00136466">
            <w:pPr>
              <w:spacing w:after="0" w:line="240" w:lineRule="auto"/>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Celkový počet daňovníkov - 348 000</w:t>
            </w:r>
          </w:p>
          <w:p w14:paraId="56FCB1BC" w14:textId="77777777" w:rsidR="00136466" w:rsidRPr="00136466" w:rsidRDefault="00136466" w:rsidP="00136466">
            <w:pPr>
              <w:spacing w:after="0" w:line="240" w:lineRule="auto"/>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Celkový vplyv na skupinu -  205 900 000 eur za rok 2026</w:t>
            </w:r>
          </w:p>
          <w:p w14:paraId="373B6AF7" w14:textId="77777777" w:rsidR="00136466" w:rsidRPr="00136466" w:rsidRDefault="00136466" w:rsidP="00136466">
            <w:pPr>
              <w:spacing w:after="0" w:line="240" w:lineRule="auto"/>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Priemerný vplyv na 1 daňovníka – 592 eur v roku 2026</w:t>
            </w:r>
          </w:p>
        </w:tc>
        <w:tc>
          <w:tcPr>
            <w:tcW w:w="3229" w:type="pct"/>
            <w:tcBorders>
              <w:top w:val="dotted" w:sz="4" w:space="0" w:color="auto"/>
            </w:tcBorders>
            <w:shd w:val="clear" w:color="auto" w:fill="auto"/>
          </w:tcPr>
          <w:p w14:paraId="7D834E42"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2b</w:t>
            </w:r>
          </w:p>
          <w:p w14:paraId="315E3396" w14:textId="77777777" w:rsidR="00136466" w:rsidRPr="00136466" w:rsidRDefault="00136466" w:rsidP="00136466">
            <w:pPr>
              <w:spacing w:after="0" w:line="240" w:lineRule="auto"/>
              <w:rPr>
                <w:rFonts w:ascii="Times New Roman" w:eastAsia="Calibri" w:hAnsi="Times New Roman" w:cs="Times New Roman"/>
                <w:b/>
                <w:bCs/>
                <w:iCs/>
                <w:kern w:val="0"/>
                <w:sz w:val="18"/>
                <w:szCs w:val="18"/>
                <w:lang w:eastAsia="sk-SK"/>
                <w14:ligatures w14:val="none"/>
              </w:rPr>
            </w:pPr>
            <w:r w:rsidRPr="00136466">
              <w:rPr>
                <w:rFonts w:ascii="Times New Roman" w:eastAsia="Calibri" w:hAnsi="Times New Roman" w:cs="Times New Roman"/>
                <w:b/>
                <w:bCs/>
                <w:iCs/>
                <w:kern w:val="0"/>
                <w:sz w:val="18"/>
                <w:szCs w:val="18"/>
                <w:lang w:eastAsia="sk-SK"/>
                <w14:ligatures w14:val="none"/>
              </w:rPr>
              <w:t>Vybraní ústavní činitelia – zvýšenie sadzby</w:t>
            </w:r>
          </w:p>
          <w:p w14:paraId="05EDD3D8" w14:textId="77777777" w:rsidR="00136466" w:rsidRPr="00136466" w:rsidRDefault="00136466" w:rsidP="00136466">
            <w:pPr>
              <w:spacing w:after="0" w:line="240" w:lineRule="auto"/>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Celkový počet daňovníkov - 171</w:t>
            </w:r>
          </w:p>
          <w:p w14:paraId="0FE4AA7D" w14:textId="77777777" w:rsidR="00136466" w:rsidRPr="00136466" w:rsidRDefault="00136466" w:rsidP="00136466">
            <w:pPr>
              <w:spacing w:after="0" w:line="240" w:lineRule="auto"/>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Celkový vplyv na skupinu – 392 700 eur za rok 2026</w:t>
            </w:r>
          </w:p>
          <w:p w14:paraId="526D268C" w14:textId="77777777" w:rsidR="00136466" w:rsidRPr="00136466" w:rsidRDefault="00136466" w:rsidP="00136466">
            <w:pPr>
              <w:spacing w:after="0" w:line="240" w:lineRule="auto"/>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Priemerný vplyv na 1 daňovníka – 2 297 eur v roku 2026</w:t>
            </w:r>
          </w:p>
          <w:p w14:paraId="406C97FC" w14:textId="77777777" w:rsidR="00136466" w:rsidRPr="00136466" w:rsidRDefault="00136466" w:rsidP="00136466">
            <w:pPr>
              <w:spacing w:after="0" w:line="240" w:lineRule="auto"/>
              <w:rPr>
                <w:rFonts w:ascii="Times New Roman" w:eastAsia="Calibri" w:hAnsi="Times New Roman" w:cs="Times New Roman"/>
                <w:kern w:val="0"/>
                <w:sz w:val="18"/>
                <w:szCs w:val="18"/>
                <w14:ligatures w14:val="none"/>
              </w:rPr>
            </w:pPr>
            <w:r w:rsidRPr="00136466">
              <w:rPr>
                <w:rFonts w:ascii="Times New Roman" w:eastAsia="Calibri" w:hAnsi="Times New Roman" w:cs="Times New Roman"/>
                <w:kern w:val="0"/>
                <w:sz w:val="18"/>
                <w:szCs w:val="18"/>
                <w:lang w:eastAsia="sk-SK"/>
                <w14:ligatures w14:val="none"/>
              </w:rPr>
              <w:t>tento negatívny vplyv sa pripočíta k negatívnemu vplyvu zo zvýšenia daňovej sadzby FO</w:t>
            </w:r>
          </w:p>
        </w:tc>
      </w:tr>
      <w:tr w:rsidR="00136466" w:rsidRPr="00136466" w14:paraId="27C84401" w14:textId="77777777" w:rsidTr="003627DF">
        <w:trPr>
          <w:trHeight w:val="680"/>
          <w:jc w:val="center"/>
        </w:trPr>
        <w:tc>
          <w:tcPr>
            <w:tcW w:w="129" w:type="pct"/>
            <w:vMerge/>
            <w:shd w:val="clear" w:color="auto" w:fill="auto"/>
            <w:vAlign w:val="center"/>
          </w:tcPr>
          <w:p w14:paraId="68764C0D"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shd w:val="clear" w:color="auto" w:fill="auto"/>
          </w:tcPr>
          <w:p w14:paraId="1D50741A"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3</w:t>
            </w:r>
          </w:p>
          <w:p w14:paraId="3282DA12" w14:textId="77777777" w:rsidR="00136466" w:rsidRPr="00136466" w:rsidRDefault="00136466" w:rsidP="00136466">
            <w:pPr>
              <w:spacing w:after="0" w:line="240" w:lineRule="auto"/>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Zvýšenie sadzieb dane z pridanej hodnoty môže mať negatívny vplyv na ceny dotknutých tovarov a služieb. Nemožno jednoznačne kvantifikovať, akým spôsobom dodávatelia tovarov a služieb premietnu zvýšenie základnej sadzby dane z pridanej hodnoty do predajných cien.</w:t>
            </w:r>
          </w:p>
        </w:tc>
        <w:tc>
          <w:tcPr>
            <w:tcW w:w="3229" w:type="pct"/>
            <w:tcBorders>
              <w:top w:val="dotted" w:sz="4" w:space="0" w:color="auto"/>
            </w:tcBorders>
            <w:shd w:val="clear" w:color="auto" w:fill="auto"/>
          </w:tcPr>
          <w:p w14:paraId="60F4A919"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4</w:t>
            </w:r>
          </w:p>
          <w:p w14:paraId="250805A4" w14:textId="77777777" w:rsidR="00136466" w:rsidRPr="00136466" w:rsidRDefault="00136466" w:rsidP="00136466">
            <w:pPr>
              <w:spacing w:after="0" w:line="240" w:lineRule="auto"/>
              <w:rPr>
                <w:rFonts w:ascii="Times New Roman" w:eastAsia="Calibri" w:hAnsi="Times New Roman" w:cs="Times New Roman"/>
                <w:kern w:val="0"/>
                <w:sz w:val="18"/>
                <w:szCs w:val="18"/>
                <w14:ligatures w14:val="none"/>
              </w:rPr>
            </w:pPr>
            <w:r w:rsidRPr="00136466">
              <w:rPr>
                <w:rFonts w:ascii="Times New Roman" w:eastAsia="Calibri" w:hAnsi="Times New Roman" w:cs="Times New Roman"/>
                <w:kern w:val="0"/>
                <w:sz w:val="18"/>
                <w:szCs w:val="18"/>
                <w14:ligatures w14:val="none"/>
              </w:rPr>
              <w:t>Pre výpočet použitý odhad priemernej mesačnej mzdy na rok 2026 z aktuálnej makroprognózy MF SR: 1678 eur.</w:t>
            </w:r>
          </w:p>
          <w:p w14:paraId="3FCD2B16" w14:textId="77777777" w:rsidR="00136466" w:rsidRPr="00136466" w:rsidRDefault="00136466" w:rsidP="00136466">
            <w:pPr>
              <w:spacing w:after="0" w:line="240" w:lineRule="auto"/>
              <w:rPr>
                <w:rFonts w:ascii="Times New Roman" w:eastAsia="Calibri" w:hAnsi="Times New Roman" w:cs="Times New Roman"/>
                <w:kern w:val="0"/>
                <w:sz w:val="18"/>
                <w:szCs w:val="18"/>
                <w14:ligatures w14:val="none"/>
              </w:rPr>
            </w:pPr>
          </w:p>
          <w:p w14:paraId="3CFAC1E9" w14:textId="77777777" w:rsidR="00136466" w:rsidRPr="00136466" w:rsidRDefault="00136466" w:rsidP="00136466">
            <w:pPr>
              <w:spacing w:after="0" w:line="240" w:lineRule="auto"/>
              <w:rPr>
                <w:rFonts w:ascii="Times New Roman" w:eastAsia="Calibri" w:hAnsi="Times New Roman" w:cs="Times New Roman"/>
                <w:kern w:val="0"/>
                <w:sz w:val="18"/>
                <w:szCs w:val="18"/>
                <w14:ligatures w14:val="none"/>
              </w:rPr>
            </w:pPr>
            <w:r w:rsidRPr="00136466">
              <w:rPr>
                <w:rFonts w:ascii="Times New Roman" w:eastAsia="Calibri" w:hAnsi="Times New Roman" w:cs="Times New Roman"/>
                <w:kern w:val="0"/>
                <w:sz w:val="18"/>
                <w:szCs w:val="18"/>
                <w14:ligatures w14:val="none"/>
              </w:rPr>
              <w:t>osoba s priemernou mzdou: pokles disponibilných príjmov o 1% z priemernej mzdy, t. j. o 16,78 eur mesačne.</w:t>
            </w:r>
          </w:p>
          <w:p w14:paraId="7AEDD617" w14:textId="77777777" w:rsidR="00136466" w:rsidRPr="00136466" w:rsidRDefault="00136466" w:rsidP="00136466">
            <w:pPr>
              <w:spacing w:after="0" w:line="240" w:lineRule="auto"/>
              <w:rPr>
                <w:rFonts w:ascii="Times New Roman" w:eastAsia="Calibri" w:hAnsi="Times New Roman" w:cs="Times New Roman"/>
                <w:kern w:val="0"/>
                <w:sz w:val="18"/>
                <w:szCs w:val="18"/>
                <w14:ligatures w14:val="none"/>
              </w:rPr>
            </w:pPr>
          </w:p>
          <w:p w14:paraId="113B3761"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kern w:val="0"/>
                <w:sz w:val="18"/>
                <w:szCs w:val="18"/>
                <w14:ligatures w14:val="none"/>
              </w:rPr>
              <w:t>veľkosť skupiny: počet ekonomicky aktívnych osôb:2 388 000 osôb (Údaj o počte ekonomicky aktívnych osôb prevzatý z aktuálnej makroekonomickej prognózy IFP - odhad – trh práce 2026).</w:t>
            </w:r>
          </w:p>
        </w:tc>
      </w:tr>
      <w:tr w:rsidR="00136466" w:rsidRPr="00136466" w14:paraId="2718FFE2" w14:textId="77777777" w:rsidTr="003627DF">
        <w:trPr>
          <w:trHeight w:val="680"/>
          <w:jc w:val="center"/>
        </w:trPr>
        <w:tc>
          <w:tcPr>
            <w:tcW w:w="129" w:type="pct"/>
            <w:vMerge/>
            <w:shd w:val="clear" w:color="auto" w:fill="auto"/>
            <w:vAlign w:val="center"/>
          </w:tcPr>
          <w:p w14:paraId="48E5A3F1"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shd w:val="clear" w:color="auto" w:fill="auto"/>
          </w:tcPr>
          <w:p w14:paraId="2CCF3CA1"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5</w:t>
            </w:r>
          </w:p>
          <w:p w14:paraId="2555AB6E"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kern w:val="0"/>
                <w:sz w:val="18"/>
                <w:szCs w:val="18"/>
                <w14:ligatures w14:val="none"/>
              </w:rPr>
              <w:t xml:space="preserve">Zvýšené finančné náklady na FO a na domácnosti nie je možné </w:t>
            </w:r>
            <w:r w:rsidRPr="00136466">
              <w:rPr>
                <w:rFonts w:ascii="Times New Roman" w:eastAsia="Calibri" w:hAnsi="Times New Roman" w:cs="Times New Roman"/>
                <w:color w:val="000000"/>
                <w:kern w:val="0"/>
                <w:sz w:val="18"/>
                <w:szCs w:val="18"/>
                <w14:ligatures w14:val="none"/>
              </w:rPr>
              <w:t>jednoznačne kvantifikovať, keďže nie je možné určiť koľko z klientov sú podnikateľské subjekty, občania a orgány verejnej správy.</w:t>
            </w:r>
          </w:p>
        </w:tc>
        <w:tc>
          <w:tcPr>
            <w:tcW w:w="3229" w:type="pct"/>
            <w:tcBorders>
              <w:top w:val="dotted" w:sz="4" w:space="0" w:color="auto"/>
            </w:tcBorders>
            <w:shd w:val="clear" w:color="auto" w:fill="auto"/>
          </w:tcPr>
          <w:p w14:paraId="629E649D"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6</w:t>
            </w:r>
          </w:p>
          <w:p w14:paraId="7186CA14" w14:textId="77777777" w:rsidR="00136466" w:rsidRPr="00136466" w:rsidRDefault="00136466" w:rsidP="00136466">
            <w:pPr>
              <w:spacing w:after="0" w:line="240" w:lineRule="auto"/>
              <w:jc w:val="both"/>
              <w:rPr>
                <w:rFonts w:ascii="Times New Roman" w:eastAsia="Calibri" w:hAnsi="Times New Roman" w:cs="Times New Roman"/>
                <w:kern w:val="0"/>
                <w:sz w:val="18"/>
                <w:szCs w:val="18"/>
                <w14:ligatures w14:val="none"/>
              </w:rPr>
            </w:pPr>
            <w:r w:rsidRPr="00136466">
              <w:rPr>
                <w:rFonts w:ascii="Times New Roman" w:eastAsia="Calibri" w:hAnsi="Times New Roman" w:cs="Times New Roman"/>
                <w:kern w:val="0"/>
                <w:sz w:val="18"/>
                <w:szCs w:val="18"/>
                <w14:ligatures w14:val="none"/>
              </w:rPr>
              <w:t>Poistníci poistení v odvetviach neživotného poistenia – negatívny vplyv nie je možné kvantifikovať.</w:t>
            </w:r>
          </w:p>
          <w:p w14:paraId="5B034272" w14:textId="77777777" w:rsidR="00136466" w:rsidRPr="00136466" w:rsidRDefault="00136466" w:rsidP="00136466">
            <w:pPr>
              <w:spacing w:after="0" w:line="240" w:lineRule="auto"/>
              <w:jc w:val="both"/>
              <w:rPr>
                <w:rFonts w:ascii="Times New Roman" w:eastAsia="Calibri" w:hAnsi="Times New Roman" w:cs="Times New Roman"/>
                <w:i/>
                <w:kern w:val="0"/>
                <w:sz w:val="18"/>
                <w:szCs w:val="20"/>
                <w:highlight w:val="yellow"/>
                <w:lang w:eastAsia="sk-SK"/>
                <w14:ligatures w14:val="none"/>
              </w:rPr>
            </w:pPr>
            <w:r w:rsidRPr="00136466">
              <w:rPr>
                <w:rFonts w:ascii="Times New Roman" w:eastAsia="Calibri" w:hAnsi="Times New Roman" w:cs="Times New Roman"/>
                <w:kern w:val="0"/>
                <w:sz w:val="18"/>
                <w:szCs w:val="18"/>
                <w14:ligatures w14:val="none"/>
              </w:rPr>
              <w:t xml:space="preserve">Zvýšené finančné náklady na FO a na domácnosti nie je možné </w:t>
            </w:r>
            <w:r w:rsidRPr="00136466">
              <w:rPr>
                <w:rFonts w:ascii="Times New Roman" w:eastAsia="Calibri" w:hAnsi="Times New Roman" w:cs="Times New Roman"/>
                <w:color w:val="000000"/>
                <w:kern w:val="0"/>
                <w:sz w:val="18"/>
                <w:szCs w:val="18"/>
                <w14:ligatures w14:val="none"/>
              </w:rPr>
              <w:t>jednoznačne kvantifikovať, keďže nie je možné určiť koľko z klientov sú podnikateľské subjekty, občania a orgány verejnej správy.</w:t>
            </w:r>
            <w:r w:rsidRPr="00136466">
              <w:rPr>
                <w:rFonts w:ascii="Times New Roman" w:eastAsia="Calibri" w:hAnsi="Times New Roman" w:cs="Times New Roman"/>
                <w:kern w:val="0"/>
                <w:sz w:val="18"/>
                <w:szCs w:val="18"/>
                <w14:ligatures w14:val="none"/>
              </w:rPr>
              <w:t xml:space="preserve"> MF SR nedisponuje detailnými informáciami o výške upísaného poistného, o poistnom odvetví a segmente klienta.</w:t>
            </w:r>
          </w:p>
        </w:tc>
      </w:tr>
      <w:tr w:rsidR="00136466" w:rsidRPr="00136466" w14:paraId="43E1F533" w14:textId="77777777" w:rsidTr="003627DF">
        <w:trPr>
          <w:trHeight w:val="397"/>
          <w:jc w:val="center"/>
        </w:trPr>
        <w:tc>
          <w:tcPr>
            <w:tcW w:w="129" w:type="pct"/>
            <w:tcBorders>
              <w:top w:val="dotted" w:sz="4" w:space="0" w:color="auto"/>
            </w:tcBorders>
            <w:shd w:val="clear" w:color="auto" w:fill="auto"/>
            <w:vAlign w:val="center"/>
          </w:tcPr>
          <w:p w14:paraId="051D4D3C"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f)</w:t>
            </w:r>
          </w:p>
        </w:tc>
        <w:tc>
          <w:tcPr>
            <w:tcW w:w="1642" w:type="pct"/>
            <w:tcBorders>
              <w:top w:val="dotted" w:sz="4" w:space="0" w:color="auto"/>
            </w:tcBorders>
            <w:shd w:val="clear" w:color="auto" w:fill="auto"/>
          </w:tcPr>
          <w:p w14:paraId="502898E3"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20"/>
                <w:szCs w:val="20"/>
                <w:lang w:eastAsia="sk-SK"/>
                <w14:ligatures w14:val="none"/>
              </w:rPr>
              <w:t>Dôvod chýbajúcej kvantifikácie:</w:t>
            </w:r>
          </w:p>
        </w:tc>
        <w:tc>
          <w:tcPr>
            <w:tcW w:w="3229" w:type="pct"/>
            <w:tcBorders>
              <w:top w:val="dotted" w:sz="4" w:space="0" w:color="auto"/>
            </w:tcBorders>
            <w:shd w:val="clear" w:color="auto" w:fill="auto"/>
          </w:tcPr>
          <w:p w14:paraId="407E2F1B" w14:textId="77777777" w:rsidR="00136466" w:rsidRPr="00136466" w:rsidRDefault="00136466" w:rsidP="00136466">
            <w:pPr>
              <w:spacing w:after="0" w:line="240" w:lineRule="auto"/>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uvádza sa v tabuľke</w:t>
            </w:r>
          </w:p>
        </w:tc>
      </w:tr>
      <w:tr w:rsidR="00136466" w:rsidRPr="00136466" w14:paraId="3DB4653F" w14:textId="77777777" w:rsidTr="003627DF">
        <w:trPr>
          <w:trHeight w:val="227"/>
          <w:jc w:val="center"/>
        </w:trPr>
        <w:tc>
          <w:tcPr>
            <w:tcW w:w="129" w:type="pct"/>
            <w:tcBorders>
              <w:top w:val="nil"/>
              <w:bottom w:val="single" w:sz="4" w:space="0" w:color="auto"/>
            </w:tcBorders>
            <w:shd w:val="clear" w:color="auto" w:fill="F2F2F2"/>
            <w:vAlign w:val="center"/>
          </w:tcPr>
          <w:p w14:paraId="4E888FED"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g)</w:t>
            </w:r>
          </w:p>
        </w:tc>
        <w:tc>
          <w:tcPr>
            <w:tcW w:w="4871" w:type="pct"/>
            <w:gridSpan w:val="2"/>
            <w:tcBorders>
              <w:top w:val="nil"/>
              <w:bottom w:val="single" w:sz="4" w:space="0" w:color="auto"/>
            </w:tcBorders>
            <w:shd w:val="clear" w:color="auto" w:fill="F2F2F2"/>
          </w:tcPr>
          <w:p w14:paraId="68064E3D"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4.1.2.1</w:t>
            </w:r>
            <w:r w:rsidRPr="00136466">
              <w:rPr>
                <w:rFonts w:ascii="Times New Roman" w:eastAsia="Calibri" w:hAnsi="Times New Roman" w:cs="Times New Roman"/>
                <w:i/>
                <w:kern w:val="0"/>
                <w:sz w:val="20"/>
                <w:szCs w:val="20"/>
                <w:lang w:eastAsia="sk-SK"/>
                <w14:ligatures w14:val="none"/>
              </w:rPr>
              <w:t xml:space="preserve"> </w:t>
            </w:r>
            <w:r w:rsidRPr="00136466">
              <w:rPr>
                <w:rFonts w:ascii="Times New Roman" w:eastAsia="Calibri" w:hAnsi="Times New Roman" w:cs="Times New Roman"/>
                <w:b/>
                <w:i/>
                <w:kern w:val="0"/>
                <w:sz w:val="20"/>
                <w:szCs w:val="20"/>
                <w:lang w:eastAsia="sk-SK"/>
                <w14:ligatures w14:val="none"/>
              </w:rPr>
              <w:t>Z toho negatívny vplyv na skupiny v riziku chudoby alebo sociálneho vylúčenia</w:t>
            </w:r>
          </w:p>
          <w:p w14:paraId="54F45D84" w14:textId="77777777" w:rsidR="00136466" w:rsidRPr="00136466" w:rsidRDefault="00136466" w:rsidP="00136466">
            <w:pPr>
              <w:spacing w:after="0" w:line="240" w:lineRule="auto"/>
              <w:rPr>
                <w:rFonts w:ascii="Times New Roman" w:eastAsia="Calibri" w:hAnsi="Times New Roman" w:cs="Times New Roman"/>
                <w:b/>
                <w:kern w:val="0"/>
                <w:sz w:val="20"/>
                <w:szCs w:val="20"/>
                <w:lang w:eastAsia="sk-SK"/>
                <w14:ligatures w14:val="none"/>
              </w:rPr>
            </w:pPr>
            <w:r w:rsidRPr="00136466">
              <w:rPr>
                <w:rFonts w:ascii="Times New Roman" w:eastAsia="Calibri" w:hAnsi="Times New Roman" w:cs="Times New Roman"/>
                <w:i/>
                <w:kern w:val="0"/>
                <w:sz w:val="20"/>
                <w:szCs w:val="20"/>
                <w:lang w:eastAsia="sk-SK"/>
                <w14:ligatures w14:val="none"/>
              </w:rPr>
              <w:t>(</w:t>
            </w:r>
            <w:r w:rsidRPr="00136466">
              <w:rPr>
                <w:rFonts w:ascii="Times New Roman" w:eastAsia="Calibri" w:hAnsi="Times New Roman" w:cs="Times New Roman"/>
                <w:i/>
                <w:kern w:val="0"/>
                <w:sz w:val="18"/>
                <w:szCs w:val="20"/>
                <w:lang w:eastAsia="sk-SK"/>
                <w14:ligatures w14:val="none"/>
              </w:rPr>
              <w:t>V prípade významných vplyvov na príjmy alebo výdavky domácností v riziku chudoby, identifikujte a kvantifikujte  negatívny vplyv na chudobu obyvateľstva (napr. zvyšovanie miery rizika chudoby, priemerný pokles príjmov/ rast výdavkov v skupine</w:t>
            </w:r>
            <w:r w:rsidRPr="00136466">
              <w:rPr>
                <w:rFonts w:ascii="Times New Roman" w:eastAsia="Calibri" w:hAnsi="Times New Roman" w:cs="Times New Roman"/>
                <w:i/>
                <w:kern w:val="0"/>
                <w:sz w:val="20"/>
                <w:szCs w:val="20"/>
                <w:lang w:eastAsia="sk-SK"/>
                <w14:ligatures w14:val="none"/>
              </w:rPr>
              <w:t>)</w:t>
            </w:r>
          </w:p>
        </w:tc>
      </w:tr>
      <w:tr w:rsidR="00136466" w:rsidRPr="00136466" w14:paraId="2F3A8FDD" w14:textId="77777777" w:rsidTr="003627DF">
        <w:trPr>
          <w:trHeight w:val="759"/>
          <w:jc w:val="center"/>
        </w:trPr>
        <w:tc>
          <w:tcPr>
            <w:tcW w:w="129" w:type="pct"/>
            <w:tcBorders>
              <w:top w:val="single" w:sz="4" w:space="0" w:color="auto"/>
              <w:bottom w:val="single" w:sz="4" w:space="0" w:color="auto"/>
            </w:tcBorders>
            <w:shd w:val="clear" w:color="auto" w:fill="auto"/>
            <w:vAlign w:val="center"/>
          </w:tcPr>
          <w:p w14:paraId="4C9D08FD"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h)</w:t>
            </w:r>
          </w:p>
        </w:tc>
        <w:tc>
          <w:tcPr>
            <w:tcW w:w="1642" w:type="pct"/>
            <w:tcBorders>
              <w:top w:val="single" w:sz="4" w:space="0" w:color="auto"/>
              <w:bottom w:val="single" w:sz="4" w:space="0" w:color="auto"/>
            </w:tcBorders>
            <w:shd w:val="clear" w:color="auto" w:fill="auto"/>
          </w:tcPr>
          <w:p w14:paraId="3F6EA95A" w14:textId="77777777" w:rsidR="00136466" w:rsidRPr="00136466" w:rsidRDefault="00136466" w:rsidP="00136466">
            <w:pPr>
              <w:spacing w:after="0" w:line="240" w:lineRule="auto"/>
              <w:jc w:val="both"/>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Popíšte</w:t>
            </w:r>
            <w:r w:rsidRPr="00136466">
              <w:rPr>
                <w:rFonts w:ascii="Times New Roman" w:eastAsia="Calibri" w:hAnsi="Times New Roman" w:cs="Times New Roman"/>
                <w:i/>
                <w:kern w:val="0"/>
                <w:sz w:val="20"/>
                <w:szCs w:val="20"/>
                <w:lang w:eastAsia="sk-SK"/>
                <w14:ligatures w14:val="none"/>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363BA90" w14:textId="77777777" w:rsidR="00136466" w:rsidRPr="00136466" w:rsidRDefault="00136466" w:rsidP="00136466">
            <w:pPr>
              <w:numPr>
                <w:ilvl w:val="0"/>
                <w:numId w:val="79"/>
              </w:numPr>
              <w:spacing w:after="0" w:line="240" w:lineRule="auto"/>
              <w:contextualSpacing/>
              <w:jc w:val="both"/>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Navrhovaná právna úprava nezakladá osobitný signifikantný negatívny vplyv na skupiny osôb v riziku chudoby alebo sociálneho vylúčenia.</w:t>
            </w:r>
          </w:p>
          <w:p w14:paraId="73F8EA1F" w14:textId="77777777" w:rsidR="00136466" w:rsidRPr="00136466" w:rsidRDefault="00136466" w:rsidP="00136466">
            <w:pPr>
              <w:numPr>
                <w:ilvl w:val="0"/>
                <w:numId w:val="78"/>
              </w:numPr>
              <w:spacing w:after="0" w:line="240" w:lineRule="auto"/>
              <w:contextualSpacing/>
              <w:jc w:val="both"/>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Dochádza k zvýšeniu sadzby odvodu poistného na verejné zdravotné poistenie, čo má za následok zníženie čistého príjmu.</w:t>
            </w:r>
          </w:p>
        </w:tc>
      </w:tr>
      <w:tr w:rsidR="00136466" w:rsidRPr="00136466" w14:paraId="7314A65B" w14:textId="77777777" w:rsidTr="003627DF">
        <w:trPr>
          <w:trHeight w:val="397"/>
          <w:jc w:val="center"/>
        </w:trPr>
        <w:tc>
          <w:tcPr>
            <w:tcW w:w="129" w:type="pct"/>
            <w:vMerge w:val="restart"/>
            <w:tcBorders>
              <w:top w:val="single" w:sz="4" w:space="0" w:color="auto"/>
            </w:tcBorders>
            <w:shd w:val="clear" w:color="auto" w:fill="auto"/>
            <w:vAlign w:val="center"/>
          </w:tcPr>
          <w:p w14:paraId="74ADDAA3"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i)</w:t>
            </w:r>
          </w:p>
        </w:tc>
        <w:tc>
          <w:tcPr>
            <w:tcW w:w="1642" w:type="pct"/>
            <w:tcBorders>
              <w:top w:val="single" w:sz="4" w:space="0" w:color="auto"/>
            </w:tcBorders>
            <w:shd w:val="clear" w:color="auto" w:fill="auto"/>
          </w:tcPr>
          <w:p w14:paraId="4CA998C0"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 xml:space="preserve">Špecifikujte </w:t>
            </w:r>
            <w:r w:rsidRPr="00136466">
              <w:rPr>
                <w:rFonts w:ascii="Times New Roman" w:eastAsia="Calibri" w:hAnsi="Times New Roman" w:cs="Times New Roman"/>
                <w:i/>
                <w:kern w:val="0"/>
                <w:sz w:val="20"/>
                <w:szCs w:val="20"/>
                <w:lang w:eastAsia="sk-SK"/>
                <w14:ligatures w14:val="none"/>
              </w:rPr>
              <w:t>ovplyvnené skupiny:</w:t>
            </w:r>
          </w:p>
        </w:tc>
        <w:tc>
          <w:tcPr>
            <w:tcW w:w="3229" w:type="pct"/>
            <w:tcBorders>
              <w:top w:val="single" w:sz="4" w:space="0" w:color="auto"/>
            </w:tcBorders>
            <w:shd w:val="clear" w:color="auto" w:fill="auto"/>
          </w:tcPr>
          <w:p w14:paraId="2155C934"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1</w:t>
            </w:r>
          </w:p>
        </w:tc>
      </w:tr>
      <w:tr w:rsidR="00136466" w:rsidRPr="00136466" w14:paraId="23D5626E" w14:textId="77777777" w:rsidTr="003627DF">
        <w:trPr>
          <w:trHeight w:val="397"/>
          <w:jc w:val="center"/>
        </w:trPr>
        <w:tc>
          <w:tcPr>
            <w:tcW w:w="129" w:type="pct"/>
            <w:vMerge/>
            <w:shd w:val="clear" w:color="auto" w:fill="auto"/>
            <w:vAlign w:val="center"/>
          </w:tcPr>
          <w:p w14:paraId="7A3EE26C"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shd w:val="clear" w:color="auto" w:fill="auto"/>
          </w:tcPr>
          <w:p w14:paraId="598142B1"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4</w:t>
            </w:r>
          </w:p>
          <w:p w14:paraId="4EE86B13"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kern w:val="0"/>
                <w:sz w:val="18"/>
                <w:szCs w:val="20"/>
                <w:lang w:eastAsia="sk-SK"/>
                <w14:ligatures w14:val="none"/>
              </w:rPr>
              <w:t>Ekonomicky aktívne osoby s príjmom na úrovni minimálnej mzdy.</w:t>
            </w:r>
          </w:p>
        </w:tc>
        <w:tc>
          <w:tcPr>
            <w:tcW w:w="3229" w:type="pct"/>
            <w:tcBorders>
              <w:top w:val="dotted" w:sz="4" w:space="0" w:color="auto"/>
            </w:tcBorders>
            <w:shd w:val="clear" w:color="auto" w:fill="auto"/>
          </w:tcPr>
          <w:p w14:paraId="45608B86"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2</w:t>
            </w:r>
          </w:p>
        </w:tc>
      </w:tr>
      <w:tr w:rsidR="00136466" w:rsidRPr="00136466" w14:paraId="5F68E930" w14:textId="77777777" w:rsidTr="003627DF">
        <w:trPr>
          <w:trHeight w:val="454"/>
          <w:jc w:val="center"/>
        </w:trPr>
        <w:tc>
          <w:tcPr>
            <w:tcW w:w="129" w:type="pct"/>
            <w:tcBorders>
              <w:top w:val="dotted" w:sz="4" w:space="0" w:color="auto"/>
            </w:tcBorders>
            <w:shd w:val="clear" w:color="auto" w:fill="F2F2F2"/>
            <w:vAlign w:val="center"/>
          </w:tcPr>
          <w:p w14:paraId="4C2DEC21" w14:textId="77777777" w:rsidR="00136466" w:rsidRPr="00136466" w:rsidRDefault="00136466" w:rsidP="00136466">
            <w:pPr>
              <w:spacing w:after="0" w:line="240" w:lineRule="auto"/>
              <w:jc w:val="center"/>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j</w:t>
            </w:r>
            <w:r w:rsidRPr="00136466">
              <w:rPr>
                <w:rFonts w:ascii="Times New Roman" w:eastAsia="Calibri" w:hAnsi="Times New Roman" w:cs="Times New Roman"/>
                <w:kern w:val="0"/>
                <w:sz w:val="18"/>
                <w:szCs w:val="18"/>
                <w:lang w:eastAsia="sk-SK"/>
                <w14:ligatures w14:val="none"/>
              </w:rPr>
              <w:t>)</w:t>
            </w:r>
          </w:p>
        </w:tc>
        <w:tc>
          <w:tcPr>
            <w:tcW w:w="4871" w:type="pct"/>
            <w:gridSpan w:val="2"/>
            <w:tcBorders>
              <w:top w:val="dotted" w:sz="4" w:space="0" w:color="auto"/>
            </w:tcBorders>
            <w:shd w:val="clear" w:color="auto" w:fill="F2F2F2"/>
            <w:vAlign w:val="center"/>
          </w:tcPr>
          <w:p w14:paraId="18C8837C"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b/>
                <w:i/>
                <w:kern w:val="0"/>
                <w:sz w:val="20"/>
                <w:szCs w:val="20"/>
                <w:lang w:eastAsia="sk-SK"/>
                <w14:ligatures w14:val="none"/>
              </w:rPr>
              <w:t>Kvantifikujte</w:t>
            </w:r>
            <w:r w:rsidRPr="00136466">
              <w:rPr>
                <w:rFonts w:ascii="Times New Roman" w:eastAsia="Calibri" w:hAnsi="Times New Roman" w:cs="Times New Roman"/>
                <w:i/>
                <w:kern w:val="0"/>
                <w:sz w:val="20"/>
                <w:szCs w:val="20"/>
                <w:lang w:eastAsia="sk-SK"/>
                <w14:ligatures w14:val="none"/>
              </w:rPr>
              <w:t xml:space="preserve"> pokles príjmov alebo rast výdavkov </w:t>
            </w:r>
            <w:r w:rsidRPr="00136466">
              <w:rPr>
                <w:rFonts w:ascii="Times New Roman" w:eastAsia="Calibri" w:hAnsi="Times New Roman" w:cs="Times New Roman"/>
                <w:b/>
                <w:i/>
                <w:kern w:val="0"/>
                <w:sz w:val="20"/>
                <w:szCs w:val="20"/>
                <w:lang w:eastAsia="sk-SK"/>
                <w14:ligatures w14:val="none"/>
              </w:rPr>
              <w:t>za jednotlivé ovplyvnené skupiny</w:t>
            </w:r>
            <w:r w:rsidRPr="00136466">
              <w:rPr>
                <w:rFonts w:ascii="Times New Roman" w:eastAsia="Calibri" w:hAnsi="Times New Roman" w:cs="Times New Roman"/>
                <w:i/>
                <w:kern w:val="0"/>
                <w:sz w:val="20"/>
                <w:szCs w:val="20"/>
                <w:lang w:eastAsia="sk-SK"/>
                <w14:ligatures w14:val="none"/>
              </w:rPr>
              <w:t xml:space="preserve"> domácností / skupiny jednotlivcov a počet obyvateľstva/domácností ovplyvnených predkladaným návrhom.</w:t>
            </w:r>
          </w:p>
        </w:tc>
      </w:tr>
      <w:tr w:rsidR="00136466" w:rsidRPr="00136466" w14:paraId="243502FE" w14:textId="77777777" w:rsidTr="003627DF">
        <w:trPr>
          <w:trHeight w:val="680"/>
          <w:jc w:val="center"/>
        </w:trPr>
        <w:tc>
          <w:tcPr>
            <w:tcW w:w="129" w:type="pct"/>
            <w:vMerge w:val="restart"/>
            <w:tcBorders>
              <w:top w:val="dotted" w:sz="4" w:space="0" w:color="auto"/>
            </w:tcBorders>
            <w:shd w:val="clear" w:color="auto" w:fill="auto"/>
            <w:vAlign w:val="center"/>
          </w:tcPr>
          <w:p w14:paraId="56C6B8AB"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k)</w:t>
            </w:r>
          </w:p>
        </w:tc>
        <w:tc>
          <w:tcPr>
            <w:tcW w:w="1642" w:type="pct"/>
            <w:tcBorders>
              <w:top w:val="dotted" w:sz="4" w:space="0" w:color="auto"/>
            </w:tcBorders>
            <w:shd w:val="clear" w:color="auto" w:fill="auto"/>
          </w:tcPr>
          <w:p w14:paraId="20A756FC" w14:textId="77777777" w:rsidR="00136466" w:rsidRPr="00136466" w:rsidRDefault="00136466" w:rsidP="00136466">
            <w:pPr>
              <w:numPr>
                <w:ilvl w:val="0"/>
                <w:numId w:val="30"/>
              </w:numPr>
              <w:spacing w:after="0" w:line="240" w:lineRule="auto"/>
              <w:contextualSpacing/>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priemerný pokles príjmov/ rast výdavkov v skupine v eurách a/alebo v % / obdobie:</w:t>
            </w:r>
          </w:p>
          <w:p w14:paraId="4EC0B360" w14:textId="77777777" w:rsidR="00136466" w:rsidRPr="00136466" w:rsidRDefault="00136466" w:rsidP="00136466">
            <w:pPr>
              <w:numPr>
                <w:ilvl w:val="0"/>
                <w:numId w:val="30"/>
              </w:numPr>
              <w:spacing w:after="0" w:line="240" w:lineRule="auto"/>
              <w:contextualSpacing/>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veľkosť skupiny (počet obyvateľov):</w:t>
            </w:r>
          </w:p>
        </w:tc>
        <w:tc>
          <w:tcPr>
            <w:tcW w:w="3229" w:type="pct"/>
            <w:tcBorders>
              <w:top w:val="dotted" w:sz="4" w:space="0" w:color="auto"/>
            </w:tcBorders>
            <w:shd w:val="clear" w:color="auto" w:fill="auto"/>
          </w:tcPr>
          <w:p w14:paraId="51AE3BB2"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1</w:t>
            </w:r>
          </w:p>
        </w:tc>
      </w:tr>
      <w:tr w:rsidR="00136466" w:rsidRPr="00136466" w14:paraId="6A95923C" w14:textId="77777777" w:rsidTr="003627DF">
        <w:trPr>
          <w:trHeight w:val="680"/>
          <w:jc w:val="center"/>
        </w:trPr>
        <w:tc>
          <w:tcPr>
            <w:tcW w:w="129" w:type="pct"/>
            <w:vMerge/>
            <w:shd w:val="clear" w:color="auto" w:fill="auto"/>
            <w:vAlign w:val="center"/>
          </w:tcPr>
          <w:p w14:paraId="20C09042"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p>
        </w:tc>
        <w:tc>
          <w:tcPr>
            <w:tcW w:w="1642" w:type="pct"/>
            <w:shd w:val="clear" w:color="auto" w:fill="auto"/>
          </w:tcPr>
          <w:p w14:paraId="166B007B" w14:textId="77777777" w:rsidR="00136466" w:rsidRPr="00136466" w:rsidRDefault="00136466" w:rsidP="00136466">
            <w:pPr>
              <w:spacing w:after="0" w:line="240" w:lineRule="auto"/>
              <w:rPr>
                <w:rFonts w:ascii="Times New Roman" w:eastAsia="Calibri" w:hAnsi="Times New Roman" w:cs="Times New Roman"/>
                <w:i/>
                <w:kern w:val="0"/>
                <w:sz w:val="18"/>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3</w:t>
            </w:r>
          </w:p>
          <w:p w14:paraId="21FE339F" w14:textId="77777777" w:rsidR="00136466" w:rsidRPr="00136466" w:rsidRDefault="00136466" w:rsidP="00136466">
            <w:pPr>
              <w:spacing w:after="0" w:line="240" w:lineRule="auto"/>
              <w:rPr>
                <w:rFonts w:ascii="Times New Roman" w:eastAsia="Calibri" w:hAnsi="Times New Roman" w:cs="Times New Roman"/>
                <w:iCs/>
                <w:kern w:val="0"/>
                <w:sz w:val="18"/>
                <w:szCs w:val="20"/>
                <w:lang w:eastAsia="sk-SK"/>
                <w14:ligatures w14:val="none"/>
              </w:rPr>
            </w:pPr>
            <w:r w:rsidRPr="00136466">
              <w:rPr>
                <w:rFonts w:ascii="Times New Roman" w:eastAsia="Calibri" w:hAnsi="Times New Roman" w:cs="Times New Roman"/>
                <w:iCs/>
                <w:kern w:val="0"/>
                <w:sz w:val="18"/>
                <w:szCs w:val="20"/>
                <w:lang w:eastAsia="sk-SK"/>
                <w14:ligatures w14:val="none"/>
              </w:rPr>
              <w:t>Pre výpočet použitá minimálna mzda na r. 2026: 915 eur.</w:t>
            </w:r>
          </w:p>
          <w:p w14:paraId="300F126F" w14:textId="77777777" w:rsidR="00136466" w:rsidRPr="00136466" w:rsidRDefault="00136466" w:rsidP="00136466">
            <w:pPr>
              <w:spacing w:after="0" w:line="240" w:lineRule="auto"/>
              <w:rPr>
                <w:rFonts w:ascii="Times New Roman" w:eastAsia="Calibri" w:hAnsi="Times New Roman" w:cs="Times New Roman"/>
                <w:iCs/>
                <w:kern w:val="0"/>
                <w:sz w:val="18"/>
                <w:szCs w:val="20"/>
                <w:lang w:eastAsia="sk-SK"/>
                <w14:ligatures w14:val="none"/>
              </w:rPr>
            </w:pPr>
          </w:p>
          <w:p w14:paraId="4D430497" w14:textId="77777777" w:rsidR="00136466" w:rsidRPr="00136466" w:rsidRDefault="00136466" w:rsidP="00136466">
            <w:pPr>
              <w:spacing w:after="0" w:line="240" w:lineRule="auto"/>
              <w:rPr>
                <w:rFonts w:ascii="Times New Roman" w:eastAsia="Calibri" w:hAnsi="Times New Roman" w:cs="Times New Roman"/>
                <w:iCs/>
                <w:kern w:val="0"/>
                <w:sz w:val="18"/>
                <w:szCs w:val="20"/>
                <w:lang w:eastAsia="sk-SK"/>
                <w14:ligatures w14:val="none"/>
              </w:rPr>
            </w:pPr>
            <w:r w:rsidRPr="00136466">
              <w:rPr>
                <w:rFonts w:ascii="Times New Roman" w:eastAsia="Calibri" w:hAnsi="Times New Roman" w:cs="Times New Roman"/>
                <w:iCs/>
                <w:kern w:val="0"/>
                <w:sz w:val="18"/>
                <w:szCs w:val="20"/>
                <w:lang w:eastAsia="sk-SK"/>
                <w14:ligatures w14:val="none"/>
              </w:rPr>
              <w:t xml:space="preserve">osoba s minimálnou mzdou: </w:t>
            </w:r>
            <w:r w:rsidRPr="00136466">
              <w:rPr>
                <w:rFonts w:ascii="Times New Roman" w:eastAsia="Calibri" w:hAnsi="Times New Roman" w:cs="Times New Roman"/>
                <w:b/>
                <w:iCs/>
                <w:kern w:val="0"/>
                <w:sz w:val="18"/>
                <w:szCs w:val="20"/>
                <w:lang w:eastAsia="sk-SK"/>
                <w14:ligatures w14:val="none"/>
              </w:rPr>
              <w:t>pokles disponibilných príjmov</w:t>
            </w:r>
            <w:r w:rsidRPr="00136466">
              <w:rPr>
                <w:rFonts w:ascii="Times New Roman" w:eastAsia="Calibri" w:hAnsi="Times New Roman" w:cs="Times New Roman"/>
                <w:iCs/>
                <w:kern w:val="0"/>
                <w:sz w:val="18"/>
                <w:szCs w:val="20"/>
                <w:lang w:eastAsia="sk-SK"/>
                <w14:ligatures w14:val="none"/>
              </w:rPr>
              <w:t xml:space="preserve"> o 1% z priemernej mzdy, t. j. o </w:t>
            </w:r>
            <w:r w:rsidRPr="00136466">
              <w:rPr>
                <w:rFonts w:ascii="Times New Roman" w:eastAsia="Calibri" w:hAnsi="Times New Roman" w:cs="Times New Roman"/>
                <w:b/>
                <w:iCs/>
                <w:kern w:val="0"/>
                <w:sz w:val="18"/>
                <w:szCs w:val="20"/>
                <w:lang w:eastAsia="sk-SK"/>
                <w14:ligatures w14:val="none"/>
              </w:rPr>
              <w:t>9,15 eur mesačne</w:t>
            </w:r>
            <w:r w:rsidRPr="00136466">
              <w:rPr>
                <w:rFonts w:ascii="Times New Roman" w:eastAsia="Calibri" w:hAnsi="Times New Roman" w:cs="Times New Roman"/>
                <w:iCs/>
                <w:kern w:val="0"/>
                <w:sz w:val="18"/>
                <w:szCs w:val="20"/>
                <w:lang w:eastAsia="sk-SK"/>
                <w14:ligatures w14:val="none"/>
              </w:rPr>
              <w:t>.</w:t>
            </w:r>
          </w:p>
          <w:p w14:paraId="1F13EDA6" w14:textId="77777777" w:rsidR="00136466" w:rsidRPr="00136466" w:rsidRDefault="00136466" w:rsidP="00136466">
            <w:pPr>
              <w:spacing w:after="0" w:line="240" w:lineRule="auto"/>
              <w:rPr>
                <w:rFonts w:ascii="Times New Roman" w:eastAsia="Calibri" w:hAnsi="Times New Roman" w:cs="Times New Roman"/>
                <w:iCs/>
                <w:kern w:val="0"/>
                <w:sz w:val="18"/>
                <w:szCs w:val="20"/>
                <w:lang w:eastAsia="sk-SK"/>
                <w14:ligatures w14:val="none"/>
              </w:rPr>
            </w:pPr>
          </w:p>
          <w:p w14:paraId="5A90B625"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Cs/>
                <w:kern w:val="0"/>
                <w:sz w:val="18"/>
                <w:szCs w:val="20"/>
                <w:lang w:eastAsia="sk-SK"/>
                <w14:ligatures w14:val="none"/>
              </w:rPr>
              <w:t xml:space="preserve">Odhad veľkosti skupiny (z verejne dostupných zdrojov), ktorá poberá príjem na úrovni minimálnej mzdy: cca </w:t>
            </w:r>
            <w:r w:rsidRPr="00136466">
              <w:rPr>
                <w:rFonts w:ascii="Times New Roman" w:eastAsia="Calibri" w:hAnsi="Times New Roman" w:cs="Times New Roman"/>
                <w:b/>
                <w:iCs/>
                <w:kern w:val="0"/>
                <w:sz w:val="18"/>
                <w:szCs w:val="20"/>
                <w:lang w:eastAsia="sk-SK"/>
                <w14:ligatures w14:val="none"/>
              </w:rPr>
              <w:t>140 tis. osôb</w:t>
            </w:r>
            <w:r w:rsidRPr="00136466">
              <w:rPr>
                <w:rFonts w:ascii="Times New Roman" w:eastAsia="Calibri" w:hAnsi="Times New Roman" w:cs="Times New Roman"/>
                <w:iCs/>
                <w:kern w:val="0"/>
                <w:sz w:val="18"/>
                <w:szCs w:val="20"/>
                <w:lang w:eastAsia="sk-SK"/>
                <w14:ligatures w14:val="none"/>
              </w:rPr>
              <w:t>.</w:t>
            </w:r>
          </w:p>
        </w:tc>
        <w:tc>
          <w:tcPr>
            <w:tcW w:w="3229" w:type="pct"/>
            <w:tcBorders>
              <w:top w:val="dotted" w:sz="4" w:space="0" w:color="auto"/>
            </w:tcBorders>
            <w:shd w:val="clear" w:color="auto" w:fill="auto"/>
          </w:tcPr>
          <w:p w14:paraId="7CA89629"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i/>
                <w:kern w:val="0"/>
                <w:sz w:val="18"/>
                <w:szCs w:val="20"/>
                <w:lang w:eastAsia="sk-SK"/>
                <w14:ligatures w14:val="none"/>
              </w:rPr>
              <w:t>Ovplyvnená skupina č. 2</w:t>
            </w:r>
          </w:p>
        </w:tc>
      </w:tr>
      <w:tr w:rsidR="00136466" w:rsidRPr="00136466" w14:paraId="53F8DB7D" w14:textId="77777777" w:rsidTr="003627DF">
        <w:trPr>
          <w:trHeight w:val="454"/>
          <w:jc w:val="center"/>
        </w:trPr>
        <w:tc>
          <w:tcPr>
            <w:tcW w:w="129" w:type="pct"/>
            <w:tcBorders>
              <w:top w:val="dotted" w:sz="4" w:space="0" w:color="auto"/>
              <w:bottom w:val="single" w:sz="4" w:space="0" w:color="auto"/>
            </w:tcBorders>
            <w:shd w:val="clear" w:color="auto" w:fill="auto"/>
            <w:vAlign w:val="center"/>
          </w:tcPr>
          <w:p w14:paraId="07180501"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l)</w:t>
            </w:r>
          </w:p>
        </w:tc>
        <w:tc>
          <w:tcPr>
            <w:tcW w:w="1642" w:type="pct"/>
            <w:tcBorders>
              <w:top w:val="dotted" w:sz="4" w:space="0" w:color="auto"/>
              <w:bottom w:val="single" w:sz="4" w:space="0" w:color="auto"/>
            </w:tcBorders>
            <w:shd w:val="clear" w:color="auto" w:fill="auto"/>
          </w:tcPr>
          <w:p w14:paraId="3F84BED8" w14:textId="77777777" w:rsidR="00136466" w:rsidRPr="00136466" w:rsidRDefault="00136466" w:rsidP="00136466">
            <w:pPr>
              <w:spacing w:after="0" w:line="240" w:lineRule="auto"/>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20"/>
                <w:szCs w:val="20"/>
                <w:lang w:eastAsia="sk-SK"/>
                <w14:ligatures w14:val="none"/>
              </w:rPr>
              <w:t>Dôvod chýbajúcej kvantifikácie:</w:t>
            </w:r>
          </w:p>
        </w:tc>
        <w:tc>
          <w:tcPr>
            <w:tcW w:w="3229" w:type="pct"/>
            <w:tcBorders>
              <w:top w:val="dotted" w:sz="4" w:space="0" w:color="auto"/>
              <w:bottom w:val="single" w:sz="4" w:space="0" w:color="auto"/>
            </w:tcBorders>
            <w:shd w:val="clear" w:color="auto" w:fill="auto"/>
          </w:tcPr>
          <w:p w14:paraId="629A493F" w14:textId="77777777" w:rsidR="00136466" w:rsidRPr="00136466" w:rsidRDefault="00136466" w:rsidP="00136466">
            <w:pPr>
              <w:spacing w:after="0" w:line="240" w:lineRule="auto"/>
              <w:rPr>
                <w:rFonts w:ascii="Times New Roman" w:eastAsia="Calibri" w:hAnsi="Times New Roman" w:cs="Times New Roman"/>
                <w:kern w:val="0"/>
                <w:sz w:val="20"/>
                <w:szCs w:val="20"/>
                <w:lang w:eastAsia="sk-SK"/>
                <w14:ligatures w14:val="none"/>
              </w:rPr>
            </w:pPr>
          </w:p>
        </w:tc>
      </w:tr>
    </w:tbl>
    <w:p w14:paraId="0D092FF1" w14:textId="77777777" w:rsidR="00136466" w:rsidRPr="00136466" w:rsidRDefault="00136466" w:rsidP="00136466">
      <w:pPr>
        <w:spacing w:line="259" w:lineRule="auto"/>
        <w:rPr>
          <w:rFonts w:ascii="Calibri" w:eastAsia="Calibri" w:hAnsi="Calibri" w:cs="Times New Roman"/>
          <w:kern w:val="0"/>
          <w:sz w:val="22"/>
          <w:szCs w:val="22"/>
          <w14:ligatures w14:val="none"/>
        </w:rPr>
      </w:pPr>
      <w:r w:rsidRPr="00136466">
        <w:rPr>
          <w:rFonts w:ascii="Calibri" w:eastAsia="Calibri" w:hAnsi="Calibri" w:cs="Times New Roman"/>
          <w:kern w:val="0"/>
          <w:sz w:val="22"/>
          <w:szCs w:val="22"/>
          <w14:ligatures w14:val="none"/>
        </w:rPr>
        <w:br w:type="page"/>
      </w:r>
    </w:p>
    <w:p w14:paraId="3480E8BF" w14:textId="77777777" w:rsidR="00136466" w:rsidRPr="00136466" w:rsidRDefault="00136466" w:rsidP="00136466">
      <w:pPr>
        <w:spacing w:line="259" w:lineRule="auto"/>
        <w:rPr>
          <w:rFonts w:ascii="Calibri" w:eastAsia="Calibri" w:hAnsi="Calibri" w:cs="Times New Roman"/>
          <w:kern w:val="0"/>
          <w:sz w:val="22"/>
          <w:szCs w:val="22"/>
          <w14:ligatures w14:val="none"/>
        </w:rPr>
        <w:sectPr w:rsidR="00136466" w:rsidRPr="00136466" w:rsidSect="0099636A">
          <w:headerReference w:type="default" r:id="rId52"/>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136466" w:rsidRPr="00136466" w14:paraId="1EEDD07C" w14:textId="77777777" w:rsidTr="003627DF">
        <w:trPr>
          <w:trHeight w:val="339"/>
          <w:jc w:val="center"/>
        </w:trPr>
        <w:tc>
          <w:tcPr>
            <w:tcW w:w="4998" w:type="pct"/>
            <w:gridSpan w:val="4"/>
            <w:tcBorders>
              <w:bottom w:val="single" w:sz="4" w:space="0" w:color="auto"/>
            </w:tcBorders>
            <w:shd w:val="clear" w:color="auto" w:fill="D9D9D9"/>
          </w:tcPr>
          <w:p w14:paraId="506DCA11" w14:textId="77777777" w:rsidR="00136466" w:rsidRPr="00136466" w:rsidRDefault="00136466" w:rsidP="00136466">
            <w:pPr>
              <w:spacing w:after="0" w:line="240" w:lineRule="auto"/>
              <w:rPr>
                <w:rFonts w:ascii="Times New Roman" w:eastAsia="Calibri" w:hAnsi="Times New Roman" w:cs="Times New Roman"/>
                <w:b/>
                <w:kern w:val="0"/>
                <w:lang w:eastAsia="sk-SK"/>
                <w14:ligatures w14:val="none"/>
              </w:rPr>
            </w:pPr>
            <w:r w:rsidRPr="00136466">
              <w:rPr>
                <w:rFonts w:ascii="Times New Roman" w:eastAsia="Calibri" w:hAnsi="Times New Roman" w:cs="Times New Roman"/>
                <w:b/>
                <w:kern w:val="0"/>
                <w:lang w:eastAsia="sk-SK"/>
                <w14:ligatures w14:val="none"/>
              </w:rPr>
              <w:t>4.2 Identifikujte, popíšte a kvantifikujte vplyvy na prístup k zdrojom, právam, tovarom a službám u jednotlivých ovplyvnených skupín obyvateľstva a vplyv na sociálnu inklúziu.</w:t>
            </w:r>
          </w:p>
        </w:tc>
      </w:tr>
      <w:tr w:rsidR="00136466" w:rsidRPr="00136466" w14:paraId="3510AA98" w14:textId="77777777" w:rsidTr="003627DF">
        <w:trPr>
          <w:trHeight w:val="290"/>
          <w:jc w:val="center"/>
        </w:trPr>
        <w:tc>
          <w:tcPr>
            <w:tcW w:w="4998" w:type="pct"/>
            <w:gridSpan w:val="4"/>
            <w:tcBorders>
              <w:bottom w:val="single" w:sz="4" w:space="0" w:color="auto"/>
            </w:tcBorders>
            <w:shd w:val="clear" w:color="auto" w:fill="F2F2F2"/>
            <w:vAlign w:val="center"/>
          </w:tcPr>
          <w:p w14:paraId="2463E483" w14:textId="77777777" w:rsidR="00136466" w:rsidRPr="00136466" w:rsidRDefault="00136466" w:rsidP="00136466">
            <w:pPr>
              <w:spacing w:after="0" w:line="240" w:lineRule="auto"/>
              <w:jc w:val="both"/>
              <w:rPr>
                <w:rFonts w:ascii="Times New Roman" w:eastAsia="Calibri" w:hAnsi="Times New Roman" w:cs="Times New Roman"/>
                <w:i/>
                <w:kern w:val="0"/>
                <w:sz w:val="20"/>
                <w:lang w:eastAsia="sk-SK"/>
                <w14:ligatures w14:val="none"/>
              </w:rPr>
            </w:pPr>
            <w:r w:rsidRPr="00136466">
              <w:rPr>
                <w:rFonts w:ascii="Times New Roman" w:eastAsia="Calibri" w:hAnsi="Times New Roman" w:cs="Times New Roman"/>
                <w:i/>
                <w:kern w:val="0"/>
                <w:sz w:val="20"/>
                <w:lang w:eastAsia="sk-SK"/>
                <w14:ligatures w14:val="none"/>
              </w:rPr>
              <w:t xml:space="preserve">Má návrh vplyv na prístup k zdrojom, právam, tovarom a službám? </w:t>
            </w:r>
          </w:p>
          <w:p w14:paraId="274249A9" w14:textId="77777777" w:rsidR="00136466" w:rsidRPr="00136466" w:rsidRDefault="00136466" w:rsidP="00136466">
            <w:pPr>
              <w:spacing w:after="0" w:line="240" w:lineRule="auto"/>
              <w:jc w:val="both"/>
              <w:rPr>
                <w:rFonts w:ascii="Calibri" w:eastAsia="Calibri" w:hAnsi="Calibri" w:cs="Times New Roman"/>
                <w:i/>
                <w:kern w:val="0"/>
                <w:lang w:eastAsia="sk-SK"/>
                <w14:ligatures w14:val="none"/>
              </w:rPr>
            </w:pPr>
            <w:r w:rsidRPr="00136466">
              <w:rPr>
                <w:rFonts w:ascii="Times New Roman" w:eastAsia="Calibri" w:hAnsi="Times New Roman" w:cs="Times New Roman"/>
                <w:i/>
                <w:kern w:val="0"/>
                <w:sz w:val="20"/>
                <w:lang w:eastAsia="sk-SK"/>
                <w14:ligatures w14:val="none"/>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136466" w:rsidRPr="00136466" w14:paraId="1010337E" w14:textId="77777777" w:rsidTr="003627DF">
        <w:tblPrEx>
          <w:tblBorders>
            <w:top w:val="none" w:sz="0" w:space="0" w:color="auto"/>
            <w:bottom w:val="none" w:sz="0" w:space="0" w:color="auto"/>
          </w:tblBorders>
        </w:tblPrEx>
        <w:trPr>
          <w:trHeight w:val="557"/>
          <w:jc w:val="center"/>
        </w:trPr>
        <w:tc>
          <w:tcPr>
            <w:tcW w:w="180" w:type="pct"/>
            <w:shd w:val="clear" w:color="auto" w:fill="auto"/>
            <w:vAlign w:val="center"/>
          </w:tcPr>
          <w:p w14:paraId="5B6D46A9" w14:textId="77777777" w:rsidR="00136466" w:rsidRPr="00136466" w:rsidRDefault="00136466" w:rsidP="00136466">
            <w:pPr>
              <w:spacing w:after="0" w:line="240" w:lineRule="auto"/>
              <w:jc w:val="center"/>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a)</w:t>
            </w:r>
          </w:p>
        </w:tc>
        <w:tc>
          <w:tcPr>
            <w:tcW w:w="1893" w:type="pct"/>
            <w:gridSpan w:val="2"/>
            <w:shd w:val="clear" w:color="auto" w:fill="auto"/>
          </w:tcPr>
          <w:p w14:paraId="0A3C9924" w14:textId="77777777" w:rsidR="00136466" w:rsidRPr="00136466" w:rsidRDefault="00136466" w:rsidP="00136466">
            <w:pPr>
              <w:spacing w:after="0" w:line="240" w:lineRule="auto"/>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Rozumie sa najmä na prístup k:</w:t>
            </w:r>
          </w:p>
          <w:p w14:paraId="51CBA217"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 xml:space="preserve">sociálnej ochrane, sociálno-právnej ochrane, sociálnym službám (vrátane služieb starostlivosti o deti, starších ľudí a ľudí so    zdravotným postihnutím), </w:t>
            </w:r>
          </w:p>
          <w:p w14:paraId="0C16260C"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kvalitnej práci, ochrane zdravia, dôstojnosti a bezpečnosti pri práci pre zamestnancov a existujúcim zamestnaneckým právam,</w:t>
            </w:r>
          </w:p>
          <w:p w14:paraId="48BE5E18"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 xml:space="preserve">pomoci pri úhrade výdavkov súvisiacich so zdravotným postihnutím, </w:t>
            </w:r>
          </w:p>
          <w:p w14:paraId="4A2CA05A"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zamestnaniu, na trh práce (napr. uľahčenie zosúladenia rodinných a pracovných povinností, služby zamestnanosti), k školeniam, odbornému vzdelávaniu a príprave na trh práce,</w:t>
            </w:r>
          </w:p>
          <w:p w14:paraId="2D106A2C"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 xml:space="preserve">zdravotnej starostlivosti vrátane cenovo dostupných pomôcok pre občanov so zdravotným postihnutím, </w:t>
            </w:r>
          </w:p>
          <w:p w14:paraId="69C5ECC7"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k formálnemu i neformálnemu vzdelávaniu a celo</w:t>
            </w:r>
            <w:r w:rsidRPr="00136466">
              <w:rPr>
                <w:rFonts w:ascii="Times New Roman" w:eastAsia="Calibri" w:hAnsi="Times New Roman" w:cs="Times New Roman"/>
                <w:i/>
                <w:kern w:val="0"/>
                <w:sz w:val="18"/>
                <w:szCs w:val="18"/>
                <w:lang w:eastAsia="sk-SK"/>
                <w14:ligatures w14:val="none"/>
              </w:rPr>
              <w:softHyphen/>
              <w:t xml:space="preserve">životnému vzdelávaniu, </w:t>
            </w:r>
          </w:p>
          <w:p w14:paraId="6919837B"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bývaniu a súvisiacim základným komunálnym službám,</w:t>
            </w:r>
          </w:p>
          <w:p w14:paraId="12D5E2D3"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doprave,</w:t>
            </w:r>
          </w:p>
          <w:p w14:paraId="326B63AA"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ďalším službám najmä službám všeobecného záujmu a tovarom,</w:t>
            </w:r>
          </w:p>
          <w:p w14:paraId="5CDB2E46"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spravodlivosti, právnej ochrane, právnym službám,</w:t>
            </w:r>
          </w:p>
          <w:p w14:paraId="5F8B1223"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informáciám,</w:t>
            </w:r>
          </w:p>
          <w:p w14:paraId="7543B954" w14:textId="77777777" w:rsidR="00136466" w:rsidRPr="00136466" w:rsidRDefault="00136466" w:rsidP="00136466">
            <w:pPr>
              <w:numPr>
                <w:ilvl w:val="0"/>
                <w:numId w:val="35"/>
              </w:numPr>
              <w:spacing w:after="0" w:line="240" w:lineRule="auto"/>
              <w:ind w:left="170" w:hanging="170"/>
              <w:jc w:val="both"/>
              <w:rPr>
                <w:rFonts w:ascii="Calibri" w:eastAsia="Calibri" w:hAnsi="Calibri" w:cs="Times New Roman"/>
                <w:i/>
                <w:kern w:val="0"/>
                <w:sz w:val="20"/>
                <w:szCs w:val="20"/>
                <w:lang w:eastAsia="sk-SK"/>
                <w14:ligatures w14:val="none"/>
              </w:rPr>
            </w:pPr>
            <w:r w:rsidRPr="00136466">
              <w:rPr>
                <w:rFonts w:ascii="Times New Roman" w:eastAsia="Calibri" w:hAnsi="Times New Roman" w:cs="Times New Roman"/>
                <w:i/>
                <w:kern w:val="0"/>
                <w:sz w:val="18"/>
                <w:szCs w:val="18"/>
                <w:lang w:eastAsia="sk-SK"/>
                <w14:ligatures w14:val="none"/>
              </w:rPr>
              <w:t>k iným právam (napr. politickým).</w:t>
            </w:r>
          </w:p>
        </w:tc>
        <w:tc>
          <w:tcPr>
            <w:tcW w:w="2926" w:type="pct"/>
            <w:shd w:val="clear" w:color="auto" w:fill="auto"/>
          </w:tcPr>
          <w:p w14:paraId="4229CBF1" w14:textId="77777777" w:rsidR="00136466" w:rsidRPr="00136466" w:rsidRDefault="00136466" w:rsidP="00136466">
            <w:pPr>
              <w:numPr>
                <w:ilvl w:val="0"/>
                <w:numId w:val="80"/>
              </w:numPr>
              <w:spacing w:after="0" w:line="240" w:lineRule="auto"/>
              <w:contextualSpacing/>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Bez vplyvu</w:t>
            </w:r>
          </w:p>
          <w:p w14:paraId="5881C347" w14:textId="77777777" w:rsidR="00136466" w:rsidRPr="00136466" w:rsidRDefault="00136466" w:rsidP="00136466">
            <w:pPr>
              <w:numPr>
                <w:ilvl w:val="0"/>
                <w:numId w:val="80"/>
              </w:numPr>
              <w:spacing w:after="0" w:line="240" w:lineRule="auto"/>
              <w:contextualSpacing/>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Navrhované opatrenia nebudú mať výrazný negatívny vplyv na obe dotknuté skupiny tzn. nedostanú sa do rizika chudoby alebo sociálneho vylúčenia. Avšak dané opatrenia majú za následok zníženie disponibilného príjmu domácnosti a z tohto dôvodu môže dôjsť k obmedzeniu určitých výdavkov domácnosti alebo k zníženiu úspor.</w:t>
            </w:r>
          </w:p>
          <w:p w14:paraId="052D55C3" w14:textId="77777777" w:rsidR="00136466" w:rsidRPr="00136466" w:rsidRDefault="00136466" w:rsidP="00136466">
            <w:pPr>
              <w:numPr>
                <w:ilvl w:val="0"/>
                <w:numId w:val="80"/>
              </w:numPr>
              <w:spacing w:after="0" w:line="240" w:lineRule="auto"/>
              <w:contextualSpacing/>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Bez vplyvu</w:t>
            </w:r>
          </w:p>
          <w:p w14:paraId="373FBA96" w14:textId="77777777" w:rsidR="00136466" w:rsidRPr="00136466" w:rsidRDefault="00136466" w:rsidP="00136466">
            <w:pPr>
              <w:numPr>
                <w:ilvl w:val="0"/>
                <w:numId w:val="80"/>
              </w:numPr>
              <w:spacing w:after="0" w:line="240" w:lineRule="auto"/>
              <w:contextualSpacing/>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Bez vplyvu</w:t>
            </w:r>
          </w:p>
          <w:p w14:paraId="22E5CE6E" w14:textId="77777777" w:rsidR="00136466" w:rsidRPr="00136466" w:rsidRDefault="00136466" w:rsidP="00136466">
            <w:pPr>
              <w:numPr>
                <w:ilvl w:val="0"/>
                <w:numId w:val="80"/>
              </w:numPr>
              <w:spacing w:after="0" w:line="240" w:lineRule="auto"/>
              <w:contextualSpacing/>
              <w:rPr>
                <w:rFonts w:ascii="Times New Roman" w:eastAsia="Calibri" w:hAnsi="Times New Roman" w:cs="Times New Roman"/>
                <w:kern w:val="0"/>
                <w:sz w:val="18"/>
                <w:szCs w:val="18"/>
                <w:lang w:eastAsia="sk-SK"/>
                <w14:ligatures w14:val="none"/>
              </w:rPr>
            </w:pPr>
            <w:r w:rsidRPr="00136466">
              <w:rPr>
                <w:rFonts w:ascii="Times New Roman" w:eastAsia="Calibri" w:hAnsi="Times New Roman" w:cs="Times New Roman"/>
                <w:kern w:val="0"/>
                <w:sz w:val="18"/>
                <w:szCs w:val="18"/>
                <w:lang w:eastAsia="sk-SK"/>
                <w14:ligatures w14:val="none"/>
              </w:rPr>
              <w:t>Bez vplyvu</w:t>
            </w:r>
          </w:p>
          <w:p w14:paraId="652D25CE" w14:textId="77777777" w:rsidR="00136466" w:rsidRPr="00136466" w:rsidRDefault="00136466" w:rsidP="00136466">
            <w:pPr>
              <w:numPr>
                <w:ilvl w:val="0"/>
                <w:numId w:val="80"/>
              </w:numPr>
              <w:spacing w:after="0" w:line="240" w:lineRule="auto"/>
              <w:contextualSpacing/>
              <w:rPr>
                <w:rFonts w:ascii="Times New Roman" w:eastAsia="Calibri" w:hAnsi="Times New Roman" w:cs="Times New Roman"/>
                <w:kern w:val="0"/>
                <w:sz w:val="20"/>
                <w:szCs w:val="20"/>
                <w:lang w:eastAsia="sk-SK"/>
                <w14:ligatures w14:val="none"/>
              </w:rPr>
            </w:pPr>
            <w:r w:rsidRPr="00136466">
              <w:rPr>
                <w:rFonts w:ascii="Times New Roman" w:eastAsia="Calibri" w:hAnsi="Times New Roman" w:cs="Times New Roman"/>
                <w:kern w:val="0"/>
                <w:sz w:val="18"/>
                <w:szCs w:val="18"/>
                <w:lang w:eastAsia="sk-SK"/>
                <w14:ligatures w14:val="none"/>
              </w:rPr>
              <w:t>Bez vplyvu</w:t>
            </w:r>
          </w:p>
        </w:tc>
      </w:tr>
      <w:tr w:rsidR="00136466" w:rsidRPr="00136466" w14:paraId="66B92546" w14:textId="77777777" w:rsidTr="003627DF">
        <w:trPr>
          <w:jc w:val="center"/>
        </w:trPr>
        <w:tc>
          <w:tcPr>
            <w:tcW w:w="180" w:type="pct"/>
            <w:tcBorders>
              <w:bottom w:val="single" w:sz="4" w:space="0" w:color="auto"/>
            </w:tcBorders>
            <w:shd w:val="clear" w:color="auto" w:fill="F2F2F2"/>
            <w:vAlign w:val="center"/>
          </w:tcPr>
          <w:p w14:paraId="58943294" w14:textId="77777777" w:rsidR="00136466" w:rsidRPr="00136466" w:rsidRDefault="00136466" w:rsidP="00136466">
            <w:pPr>
              <w:spacing w:after="0" w:line="240" w:lineRule="auto"/>
              <w:rPr>
                <w:rFonts w:ascii="Times New Roman" w:eastAsia="Calibri" w:hAnsi="Times New Roman" w:cs="Times New Roman"/>
                <w:i/>
                <w:kern w:val="0"/>
                <w:sz w:val="18"/>
                <w:szCs w:val="22"/>
                <w:lang w:eastAsia="sk-SK"/>
                <w14:ligatures w14:val="none"/>
              </w:rPr>
            </w:pPr>
            <w:r w:rsidRPr="00136466">
              <w:rPr>
                <w:rFonts w:ascii="Times New Roman" w:eastAsia="Calibri" w:hAnsi="Times New Roman" w:cs="Times New Roman"/>
                <w:i/>
                <w:kern w:val="0"/>
                <w:sz w:val="18"/>
                <w:szCs w:val="22"/>
                <w:lang w:eastAsia="sk-SK"/>
                <w14:ligatures w14:val="none"/>
              </w:rPr>
              <w:t>b)</w:t>
            </w:r>
          </w:p>
        </w:tc>
        <w:tc>
          <w:tcPr>
            <w:tcW w:w="4819" w:type="pct"/>
            <w:gridSpan w:val="3"/>
            <w:tcBorders>
              <w:bottom w:val="single" w:sz="4" w:space="0" w:color="auto"/>
            </w:tcBorders>
            <w:shd w:val="clear" w:color="auto" w:fill="F2F2F2"/>
          </w:tcPr>
          <w:p w14:paraId="48652E62" w14:textId="77777777" w:rsidR="00136466" w:rsidRPr="00136466" w:rsidRDefault="00136466" w:rsidP="00136466">
            <w:pPr>
              <w:spacing w:after="0" w:line="240" w:lineRule="auto"/>
              <w:jc w:val="both"/>
              <w:rPr>
                <w:rFonts w:ascii="Times New Roman" w:eastAsia="Calibri" w:hAnsi="Times New Roman" w:cs="Times New Roman"/>
                <w:i/>
                <w:kern w:val="0"/>
                <w:sz w:val="20"/>
                <w:szCs w:val="20"/>
                <w:lang w:eastAsia="sk-SK"/>
                <w14:ligatures w14:val="none"/>
              </w:rPr>
            </w:pPr>
            <w:r w:rsidRPr="00136466">
              <w:rPr>
                <w:rFonts w:ascii="Times New Roman" w:eastAsia="Calibri" w:hAnsi="Times New Roman" w:cs="Times New Roman"/>
                <w:i/>
                <w:kern w:val="0"/>
                <w:sz w:val="20"/>
                <w:szCs w:val="20"/>
                <w:lang w:eastAsia="sk-SK"/>
                <w14:ligatures w14:val="none"/>
              </w:rPr>
              <w:t xml:space="preserve">Má návrh významný vplyv na niektorú zo zraniteľných skupín obyvateľstva alebo skupín v riziku chudoby alebo sociálneho vylúčenia? </w:t>
            </w:r>
          </w:p>
          <w:p w14:paraId="6CB13E8A" w14:textId="77777777" w:rsidR="00136466" w:rsidRPr="00136466" w:rsidRDefault="00136466" w:rsidP="00136466">
            <w:pPr>
              <w:spacing w:after="0" w:line="240" w:lineRule="auto"/>
              <w:jc w:val="both"/>
              <w:rPr>
                <w:rFonts w:ascii="Calibri" w:eastAsia="Calibri" w:hAnsi="Calibri" w:cs="Times New Roman"/>
                <w:i/>
                <w:kern w:val="0"/>
                <w:sz w:val="22"/>
                <w:szCs w:val="22"/>
                <w:lang w:eastAsia="sk-SK"/>
                <w14:ligatures w14:val="none"/>
              </w:rPr>
            </w:pPr>
            <w:r w:rsidRPr="00136466">
              <w:rPr>
                <w:rFonts w:ascii="Times New Roman" w:eastAsia="Calibri" w:hAnsi="Times New Roman" w:cs="Times New Roman"/>
                <w:i/>
                <w:kern w:val="0"/>
                <w:sz w:val="20"/>
                <w:szCs w:val="20"/>
                <w:lang w:eastAsia="sk-SK"/>
                <w14:ligatures w14:val="none"/>
              </w:rPr>
              <w:t>Špecifikujte ovplyvnené skupiny v riziku chudoby a sociálneho vylúčenia a popíšte vplyv na ne. Je tento vplyv väčší ako vplyv na iné skupiny či subjekty? Uveďte veľkosť jednotlivých ovplyvnených skupín.</w:t>
            </w:r>
          </w:p>
        </w:tc>
      </w:tr>
      <w:tr w:rsidR="00136466" w:rsidRPr="00136466" w14:paraId="675BA368" w14:textId="77777777" w:rsidTr="003627DF">
        <w:tblPrEx>
          <w:tblBorders>
            <w:top w:val="none" w:sz="0" w:space="0" w:color="auto"/>
          </w:tblBorders>
        </w:tblPrEx>
        <w:trPr>
          <w:trHeight w:val="677"/>
          <w:jc w:val="center"/>
        </w:trPr>
        <w:tc>
          <w:tcPr>
            <w:tcW w:w="179" w:type="pct"/>
            <w:shd w:val="clear" w:color="auto" w:fill="auto"/>
            <w:vAlign w:val="center"/>
          </w:tcPr>
          <w:p w14:paraId="67D7D30E" w14:textId="77777777" w:rsidR="00136466" w:rsidRPr="00136466" w:rsidRDefault="00136466" w:rsidP="00136466">
            <w:pPr>
              <w:spacing w:after="0" w:line="240" w:lineRule="auto"/>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c)</w:t>
            </w:r>
          </w:p>
        </w:tc>
        <w:tc>
          <w:tcPr>
            <w:tcW w:w="1849" w:type="pct"/>
            <w:shd w:val="clear" w:color="auto" w:fill="auto"/>
          </w:tcPr>
          <w:p w14:paraId="5DC8BE1D" w14:textId="77777777" w:rsidR="00136466" w:rsidRPr="00136466" w:rsidRDefault="00136466" w:rsidP="00136466">
            <w:pPr>
              <w:spacing w:after="0" w:line="240" w:lineRule="auto"/>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Zraniteľné skupiny alebo skupiny v riziku chudoby alebo sociálneho vylúčenia sú napr.:</w:t>
            </w:r>
          </w:p>
          <w:p w14:paraId="79324C4D"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domácnosti s nízkym príjmom (napr. žijúce iba zo sociálnych príjmov, alebo z príjmov pod hranicou rizika chudoby, alebo s príjmom pod životným minimom, alebo patriace medzi 25% domácností s najnižším príjmom),</w:t>
            </w:r>
          </w:p>
          <w:p w14:paraId="19A62A26"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nezamestnaní, najmä dlhodobo nezamestnaní, mladí nezamestnaní a nezamestnaní nad 50 rokov,</w:t>
            </w:r>
          </w:p>
          <w:p w14:paraId="16ABB72B"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deti (0 – 17),</w:t>
            </w:r>
          </w:p>
          <w:p w14:paraId="549EAB69"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mladí ľudia (18 – 25 rokov),</w:t>
            </w:r>
          </w:p>
          <w:p w14:paraId="6622BD39"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starší ľudia, napr. ľudia vo veku nad 65 rokov alebo dôchodcovia,</w:t>
            </w:r>
          </w:p>
          <w:p w14:paraId="5DC22AFE"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ľudia so zdravotným postihnutím,</w:t>
            </w:r>
          </w:p>
          <w:p w14:paraId="7CF832B4"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 xml:space="preserve">marginalizované rómske komunity </w:t>
            </w:r>
          </w:p>
          <w:p w14:paraId="58BE1AD3"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domácnosti s 3 a viac deťmi,</w:t>
            </w:r>
          </w:p>
          <w:p w14:paraId="1017FF2D"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jednorodičovské domácnosti s deťmi (neúplné rodiny, ktoré tvoria najmä osamelé matky s deťmi),</w:t>
            </w:r>
          </w:p>
          <w:p w14:paraId="03A511C1"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príslušníci tretích krajín, azylanti, žiadatelia o azyl,</w:t>
            </w:r>
          </w:p>
          <w:p w14:paraId="6EA6D9A0" w14:textId="77777777" w:rsidR="00136466" w:rsidRPr="00136466" w:rsidRDefault="00136466" w:rsidP="00136466">
            <w:pPr>
              <w:numPr>
                <w:ilvl w:val="0"/>
                <w:numId w:val="35"/>
              </w:numPr>
              <w:spacing w:after="0" w:line="240" w:lineRule="auto"/>
              <w:ind w:left="170" w:hanging="170"/>
              <w:jc w:val="both"/>
              <w:rPr>
                <w:rFonts w:ascii="Times New Roman" w:eastAsia="Calibri" w:hAnsi="Times New Roman" w:cs="Times New Roman"/>
                <w:kern w:val="0"/>
                <w:sz w:val="20"/>
                <w:szCs w:val="22"/>
                <w:lang w:eastAsia="sk-SK"/>
                <w14:ligatures w14:val="none"/>
              </w:rPr>
            </w:pPr>
            <w:r w:rsidRPr="00136466">
              <w:rPr>
                <w:rFonts w:ascii="Times New Roman" w:eastAsia="Calibri" w:hAnsi="Times New Roman" w:cs="Times New Roman"/>
                <w:i/>
                <w:kern w:val="0"/>
                <w:sz w:val="18"/>
                <w:szCs w:val="18"/>
                <w:lang w:eastAsia="sk-SK"/>
                <w14:ligatures w14:val="none"/>
              </w:rPr>
              <w:t>iné zraniteľné skupiny, ako sú napr. bezdomovci, ľudia opúšťajúci detské domovy alebo iné inštitucionálne zariadenia</w:t>
            </w:r>
          </w:p>
        </w:tc>
        <w:tc>
          <w:tcPr>
            <w:tcW w:w="2972" w:type="pct"/>
            <w:gridSpan w:val="2"/>
            <w:shd w:val="clear" w:color="auto" w:fill="auto"/>
          </w:tcPr>
          <w:p w14:paraId="11F7B807" w14:textId="77777777" w:rsidR="00136466" w:rsidRPr="00136466" w:rsidRDefault="00136466" w:rsidP="00136466">
            <w:pPr>
              <w:spacing w:after="0" w:line="240" w:lineRule="auto"/>
              <w:rPr>
                <w:rFonts w:ascii="Times New Roman" w:eastAsia="Calibri" w:hAnsi="Times New Roman" w:cs="Times New Roman"/>
                <w:kern w:val="0"/>
                <w:sz w:val="20"/>
                <w:szCs w:val="22"/>
                <w:lang w:eastAsia="sk-SK"/>
                <w14:ligatures w14:val="none"/>
              </w:rPr>
            </w:pPr>
            <w:r w:rsidRPr="00136466">
              <w:rPr>
                <w:rFonts w:ascii="Times New Roman" w:eastAsia="Calibri" w:hAnsi="Times New Roman" w:cs="Times New Roman"/>
                <w:i/>
                <w:kern w:val="0"/>
                <w:sz w:val="18"/>
                <w:szCs w:val="18"/>
                <w14:ligatures w14:val="none"/>
              </w:rPr>
              <w:t>Bez vplyvu.</w:t>
            </w:r>
          </w:p>
        </w:tc>
      </w:tr>
    </w:tbl>
    <w:p w14:paraId="4198B5D5" w14:textId="77777777" w:rsidR="00136466" w:rsidRPr="00136466" w:rsidRDefault="00136466" w:rsidP="00136466">
      <w:pPr>
        <w:spacing w:line="259" w:lineRule="auto"/>
        <w:rPr>
          <w:rFonts w:ascii="Calibri" w:eastAsia="Calibri" w:hAnsi="Calibri" w:cs="Times New Roman"/>
          <w:kern w:val="0"/>
          <w:sz w:val="22"/>
          <w:szCs w:val="22"/>
          <w14:ligatures w14:val="none"/>
        </w:rPr>
        <w:sectPr w:rsidR="00136466" w:rsidRPr="00136466" w:rsidSect="00136466">
          <w:headerReference w:type="default" r:id="rId53"/>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136466" w:rsidRPr="00136466" w14:paraId="46E54DDE" w14:textId="77777777" w:rsidTr="003627DF">
        <w:trPr>
          <w:jc w:val="center"/>
        </w:trPr>
        <w:tc>
          <w:tcPr>
            <w:tcW w:w="5000" w:type="pct"/>
            <w:gridSpan w:val="3"/>
            <w:shd w:val="clear" w:color="auto" w:fill="D9D9D9"/>
          </w:tcPr>
          <w:p w14:paraId="1A84792F" w14:textId="77777777" w:rsidR="00136466" w:rsidRPr="00136466" w:rsidRDefault="00136466" w:rsidP="00136466">
            <w:pPr>
              <w:spacing w:after="0" w:line="240" w:lineRule="auto"/>
              <w:rPr>
                <w:rFonts w:ascii="Times New Roman" w:eastAsia="Calibri" w:hAnsi="Times New Roman" w:cs="Times New Roman"/>
                <w:b/>
                <w:kern w:val="0"/>
                <w14:ligatures w14:val="none"/>
              </w:rPr>
            </w:pPr>
            <w:r w:rsidRPr="00136466">
              <w:rPr>
                <w:rFonts w:ascii="Times New Roman" w:eastAsia="Calibri" w:hAnsi="Times New Roman" w:cs="Times New Roman"/>
                <w:b/>
                <w:kern w:val="0"/>
                <w14:ligatures w14:val="none"/>
              </w:rPr>
              <w:t>4.3 Identifikujte a popíšte vplyv na rovnosť príležitostí.</w:t>
            </w:r>
          </w:p>
          <w:p w14:paraId="6729BA84" w14:textId="77777777" w:rsidR="00136466" w:rsidRPr="00136466" w:rsidRDefault="00136466" w:rsidP="00136466">
            <w:pPr>
              <w:spacing w:after="0" w:line="240" w:lineRule="auto"/>
              <w:ind w:left="340"/>
              <w:jc w:val="both"/>
              <w:rPr>
                <w:rFonts w:ascii="Calibri" w:eastAsia="Calibri" w:hAnsi="Calibri" w:cs="Times New Roman"/>
                <w:kern w:val="0"/>
                <w14:ligatures w14:val="none"/>
              </w:rPr>
            </w:pPr>
            <w:r w:rsidRPr="00136466">
              <w:rPr>
                <w:rFonts w:ascii="Times New Roman" w:eastAsia="Calibri" w:hAnsi="Times New Roman" w:cs="Times New Roman"/>
                <w:b/>
                <w:kern w:val="0"/>
                <w14:ligatures w14:val="none"/>
              </w:rPr>
              <w:t>Identifikujte, popíšte a kvantifikujte vplyv na rovnosť žien a mužov.</w:t>
            </w:r>
          </w:p>
        </w:tc>
      </w:tr>
      <w:tr w:rsidR="00136466" w:rsidRPr="00136466" w14:paraId="792BDD20" w14:textId="77777777" w:rsidTr="003627DF">
        <w:trPr>
          <w:jc w:val="center"/>
        </w:trPr>
        <w:tc>
          <w:tcPr>
            <w:tcW w:w="132" w:type="pct"/>
            <w:tcBorders>
              <w:bottom w:val="single" w:sz="4" w:space="0" w:color="auto"/>
            </w:tcBorders>
            <w:shd w:val="clear" w:color="auto" w:fill="F2F2F2"/>
            <w:vAlign w:val="center"/>
          </w:tcPr>
          <w:p w14:paraId="65E91769" w14:textId="77777777" w:rsidR="00136466" w:rsidRPr="00136466" w:rsidRDefault="00136466" w:rsidP="00136466">
            <w:pPr>
              <w:spacing w:after="0" w:line="240" w:lineRule="auto"/>
              <w:rPr>
                <w:rFonts w:ascii="Times New Roman" w:eastAsia="Calibri" w:hAnsi="Times New Roman" w:cs="Times New Roman"/>
                <w:i/>
                <w:kern w:val="0"/>
                <w14:ligatures w14:val="none"/>
              </w:rPr>
            </w:pPr>
            <w:r w:rsidRPr="00136466">
              <w:rPr>
                <w:rFonts w:ascii="Times New Roman" w:eastAsia="Calibri" w:hAnsi="Times New Roman" w:cs="Times New Roman"/>
                <w:i/>
                <w:kern w:val="0"/>
                <w:sz w:val="18"/>
                <w14:ligatures w14:val="none"/>
              </w:rPr>
              <w:t>a)</w:t>
            </w:r>
          </w:p>
        </w:tc>
        <w:tc>
          <w:tcPr>
            <w:tcW w:w="4868" w:type="pct"/>
            <w:gridSpan w:val="2"/>
            <w:tcBorders>
              <w:bottom w:val="single" w:sz="4" w:space="0" w:color="auto"/>
            </w:tcBorders>
            <w:shd w:val="clear" w:color="auto" w:fill="F2F2F2"/>
          </w:tcPr>
          <w:p w14:paraId="3A340836" w14:textId="77777777" w:rsidR="00136466" w:rsidRPr="00136466" w:rsidRDefault="00136466" w:rsidP="00136466">
            <w:pPr>
              <w:spacing w:after="0" w:line="240" w:lineRule="auto"/>
              <w:jc w:val="both"/>
              <w:rPr>
                <w:rFonts w:ascii="Times New Roman" w:eastAsia="Calibri" w:hAnsi="Times New Roman" w:cs="Times New Roman"/>
                <w:i/>
                <w:kern w:val="0"/>
                <w14:ligatures w14:val="none"/>
              </w:rPr>
            </w:pPr>
            <w:r w:rsidRPr="00136466">
              <w:rPr>
                <w:rFonts w:ascii="Times New Roman" w:eastAsia="Calibri" w:hAnsi="Times New Roman" w:cs="Times New Roman"/>
                <w:i/>
                <w:kern w:val="0"/>
                <w:sz w:val="20"/>
                <w14:ligatures w14:val="none"/>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136466" w:rsidRPr="00136466" w14:paraId="7EDEDA1A" w14:textId="77777777" w:rsidTr="003627DF">
        <w:trPr>
          <w:trHeight w:val="928"/>
          <w:jc w:val="center"/>
        </w:trPr>
        <w:tc>
          <w:tcPr>
            <w:tcW w:w="132" w:type="pct"/>
            <w:tcBorders>
              <w:top w:val="nil"/>
              <w:bottom w:val="nil"/>
            </w:tcBorders>
            <w:shd w:val="clear" w:color="auto" w:fill="auto"/>
          </w:tcPr>
          <w:p w14:paraId="22CF08D7" w14:textId="77777777" w:rsidR="00136466" w:rsidRPr="00136466" w:rsidRDefault="00136466" w:rsidP="00136466">
            <w:pPr>
              <w:spacing w:after="0" w:line="240" w:lineRule="auto"/>
              <w:rPr>
                <w:rFonts w:ascii="Times New Roman" w:eastAsia="Calibri" w:hAnsi="Times New Roman" w:cs="Times New Roman"/>
                <w:kern w:val="0"/>
                <w:sz w:val="20"/>
                <w:szCs w:val="22"/>
                <w14:ligatures w14:val="none"/>
              </w:rPr>
            </w:pPr>
          </w:p>
          <w:p w14:paraId="7B92EF74" w14:textId="77777777" w:rsidR="00136466" w:rsidRPr="00136466" w:rsidRDefault="00136466" w:rsidP="00136466">
            <w:pPr>
              <w:spacing w:after="0" w:line="240" w:lineRule="auto"/>
              <w:rPr>
                <w:rFonts w:ascii="Times New Roman" w:eastAsia="Calibri" w:hAnsi="Times New Roman" w:cs="Times New Roman"/>
                <w:i/>
                <w:kern w:val="0"/>
                <w:sz w:val="20"/>
                <w:szCs w:val="22"/>
                <w14:ligatures w14:val="none"/>
              </w:rPr>
            </w:pPr>
          </w:p>
          <w:p w14:paraId="4EF91CB1" w14:textId="77777777" w:rsidR="00136466" w:rsidRPr="00136466" w:rsidRDefault="00136466" w:rsidP="00136466">
            <w:pPr>
              <w:spacing w:after="0" w:line="240" w:lineRule="auto"/>
              <w:rPr>
                <w:rFonts w:ascii="Times New Roman" w:eastAsia="Calibri" w:hAnsi="Times New Roman" w:cs="Times New Roman"/>
                <w:i/>
                <w:kern w:val="0"/>
                <w:sz w:val="20"/>
                <w:szCs w:val="22"/>
                <w14:ligatures w14:val="none"/>
              </w:rPr>
            </w:pPr>
          </w:p>
          <w:p w14:paraId="45CE8D57" w14:textId="77777777" w:rsidR="00136466" w:rsidRPr="00136466" w:rsidRDefault="00136466" w:rsidP="00136466">
            <w:pPr>
              <w:spacing w:after="0" w:line="240" w:lineRule="auto"/>
              <w:rPr>
                <w:rFonts w:ascii="Times New Roman" w:eastAsia="Calibri" w:hAnsi="Times New Roman" w:cs="Times New Roman"/>
                <w:i/>
                <w:kern w:val="0"/>
                <w:sz w:val="18"/>
                <w:szCs w:val="22"/>
                <w14:ligatures w14:val="none"/>
              </w:rPr>
            </w:pPr>
            <w:r w:rsidRPr="00136466">
              <w:rPr>
                <w:rFonts w:ascii="Times New Roman" w:eastAsia="Calibri" w:hAnsi="Times New Roman" w:cs="Times New Roman"/>
                <w:i/>
                <w:kern w:val="0"/>
                <w:sz w:val="18"/>
                <w:szCs w:val="22"/>
                <w14:ligatures w14:val="none"/>
              </w:rPr>
              <w:t>b)</w:t>
            </w:r>
          </w:p>
          <w:p w14:paraId="201110AF" w14:textId="77777777" w:rsidR="00136466" w:rsidRPr="00136466" w:rsidRDefault="00136466" w:rsidP="00136466">
            <w:pPr>
              <w:spacing w:after="0" w:line="240" w:lineRule="auto"/>
              <w:rPr>
                <w:rFonts w:ascii="Times New Roman" w:eastAsia="Calibri" w:hAnsi="Times New Roman" w:cs="Times New Roman"/>
                <w:i/>
                <w:kern w:val="0"/>
                <w:sz w:val="20"/>
                <w:szCs w:val="22"/>
                <w14:ligatures w14:val="none"/>
              </w:rPr>
            </w:pPr>
          </w:p>
          <w:p w14:paraId="49B9C764" w14:textId="77777777" w:rsidR="00136466" w:rsidRPr="00136466" w:rsidRDefault="00136466" w:rsidP="00136466">
            <w:pPr>
              <w:spacing w:after="0" w:line="240" w:lineRule="auto"/>
              <w:rPr>
                <w:rFonts w:ascii="Times New Roman" w:eastAsia="Calibri" w:hAnsi="Times New Roman" w:cs="Times New Roman"/>
                <w:i/>
                <w:kern w:val="0"/>
                <w:sz w:val="20"/>
                <w:szCs w:val="22"/>
                <w14:ligatures w14:val="none"/>
              </w:rPr>
            </w:pPr>
          </w:p>
          <w:p w14:paraId="77231B8B" w14:textId="77777777" w:rsidR="00136466" w:rsidRPr="00136466" w:rsidRDefault="00136466" w:rsidP="00136466">
            <w:pPr>
              <w:spacing w:after="0" w:line="240" w:lineRule="auto"/>
              <w:rPr>
                <w:rFonts w:ascii="Times New Roman" w:eastAsia="Calibri" w:hAnsi="Times New Roman" w:cs="Times New Roman"/>
                <w:i/>
                <w:kern w:val="0"/>
                <w:sz w:val="20"/>
                <w:szCs w:val="22"/>
                <w14:ligatures w14:val="none"/>
              </w:rPr>
            </w:pPr>
          </w:p>
        </w:tc>
        <w:tc>
          <w:tcPr>
            <w:tcW w:w="4868" w:type="pct"/>
            <w:gridSpan w:val="2"/>
            <w:tcBorders>
              <w:top w:val="nil"/>
              <w:bottom w:val="nil"/>
            </w:tcBorders>
            <w:shd w:val="clear" w:color="auto" w:fill="auto"/>
          </w:tcPr>
          <w:p w14:paraId="18E4A9FF" w14:textId="77777777" w:rsidR="00136466" w:rsidRPr="00136466" w:rsidRDefault="00136466" w:rsidP="00136466">
            <w:pPr>
              <w:spacing w:line="259" w:lineRule="auto"/>
              <w:rPr>
                <w:rFonts w:ascii="Times New Roman" w:eastAsia="Calibri" w:hAnsi="Times New Roman" w:cs="Times New Roman"/>
                <w:i/>
                <w:kern w:val="0"/>
                <w:sz w:val="20"/>
                <w:szCs w:val="22"/>
                <w14:ligatures w14:val="none"/>
              </w:rPr>
            </w:pPr>
            <w:r w:rsidRPr="00136466">
              <w:rPr>
                <w:rFonts w:ascii="Times New Roman" w:eastAsia="Calibri" w:hAnsi="Times New Roman" w:cs="Times New Roman"/>
                <w:i/>
                <w:kern w:val="0"/>
                <w:sz w:val="18"/>
                <w:szCs w:val="18"/>
                <w14:ligatures w14:val="none"/>
              </w:rPr>
              <w:t>Bez vplyvu.</w:t>
            </w:r>
          </w:p>
          <w:p w14:paraId="175A50EA" w14:textId="77777777" w:rsidR="00136466" w:rsidRPr="00136466" w:rsidRDefault="00136466" w:rsidP="00136466">
            <w:pPr>
              <w:spacing w:after="0" w:line="240" w:lineRule="auto"/>
              <w:rPr>
                <w:rFonts w:ascii="Times New Roman" w:eastAsia="Calibri" w:hAnsi="Times New Roman" w:cs="Times New Roman"/>
                <w:i/>
                <w:kern w:val="0"/>
                <w:sz w:val="20"/>
                <w:szCs w:val="22"/>
                <w14:ligatures w14:val="none"/>
              </w:rPr>
            </w:pPr>
          </w:p>
        </w:tc>
      </w:tr>
      <w:tr w:rsidR="00136466" w:rsidRPr="00136466" w14:paraId="501AA119" w14:textId="77777777" w:rsidTr="003627DF">
        <w:trPr>
          <w:trHeight w:val="345"/>
          <w:jc w:val="center"/>
        </w:trPr>
        <w:tc>
          <w:tcPr>
            <w:tcW w:w="132" w:type="pct"/>
            <w:tcBorders>
              <w:bottom w:val="single" w:sz="4" w:space="0" w:color="auto"/>
            </w:tcBorders>
            <w:shd w:val="clear" w:color="auto" w:fill="F2F2F2"/>
            <w:vAlign w:val="center"/>
          </w:tcPr>
          <w:p w14:paraId="46620105"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c)</w:t>
            </w:r>
          </w:p>
        </w:tc>
        <w:tc>
          <w:tcPr>
            <w:tcW w:w="4868" w:type="pct"/>
            <w:gridSpan w:val="2"/>
            <w:tcBorders>
              <w:bottom w:val="single" w:sz="4" w:space="0" w:color="auto"/>
            </w:tcBorders>
            <w:shd w:val="clear" w:color="auto" w:fill="F2F2F2"/>
            <w:vAlign w:val="center"/>
          </w:tcPr>
          <w:p w14:paraId="38CDF41C" w14:textId="77777777" w:rsidR="00136466" w:rsidRPr="00136466" w:rsidRDefault="00136466" w:rsidP="00136466">
            <w:pPr>
              <w:spacing w:after="0" w:line="240" w:lineRule="auto"/>
              <w:rPr>
                <w:rFonts w:ascii="Times New Roman" w:eastAsia="Calibri" w:hAnsi="Times New Roman" w:cs="Times New Roman"/>
                <w:i/>
                <w:kern w:val="0"/>
                <w:sz w:val="20"/>
                <w:szCs w:val="20"/>
                <w14:ligatures w14:val="none"/>
              </w:rPr>
            </w:pPr>
            <w:r w:rsidRPr="00136466">
              <w:rPr>
                <w:rFonts w:ascii="Times New Roman" w:eastAsia="Calibri" w:hAnsi="Times New Roman" w:cs="Times New Roman"/>
                <w:i/>
                <w:kern w:val="0"/>
                <w:sz w:val="20"/>
                <w:szCs w:val="20"/>
                <w14:ligatures w14:val="none"/>
              </w:rPr>
              <w:t xml:space="preserve">4.3.2 Môže návrh viesť k zväčšovaniu nerovností medzi ženami a mužmi? </w:t>
            </w:r>
            <w:r w:rsidRPr="00136466">
              <w:rPr>
                <w:rFonts w:ascii="Times New Roman" w:eastAsia="Calibri" w:hAnsi="Times New Roman" w:cs="Times New Roman"/>
                <w:i/>
                <w:kern w:val="0"/>
                <w:sz w:val="20"/>
                <w14:ligatures w14:val="none"/>
              </w:rPr>
              <w:t xml:space="preserve">Podporuje návrh rovnosť príležitostí? </w:t>
            </w:r>
            <w:r w:rsidRPr="00136466">
              <w:rPr>
                <w:rFonts w:ascii="Times New Roman" w:eastAsia="Calibri" w:hAnsi="Times New Roman" w:cs="Times New Roman"/>
                <w:i/>
                <w:kern w:val="0"/>
                <w:sz w:val="20"/>
                <w:szCs w:val="20"/>
                <w14:ligatures w14:val="none"/>
              </w:rPr>
              <w:t>Má návrh odlišný vplyv na ženy a mužov? Popíšte vplyvy.</w:t>
            </w:r>
          </w:p>
        </w:tc>
      </w:tr>
      <w:tr w:rsidR="00136466" w:rsidRPr="00136466" w14:paraId="65C7CBB7" w14:textId="77777777" w:rsidTr="003627DF">
        <w:tblPrEx>
          <w:tblBorders>
            <w:top w:val="none" w:sz="0" w:space="0" w:color="auto"/>
            <w:bottom w:val="none" w:sz="0" w:space="0" w:color="auto"/>
          </w:tblBorders>
        </w:tblPrEx>
        <w:trPr>
          <w:trHeight w:val="372"/>
          <w:jc w:val="center"/>
        </w:trPr>
        <w:tc>
          <w:tcPr>
            <w:tcW w:w="132" w:type="pct"/>
            <w:shd w:val="clear" w:color="auto" w:fill="auto"/>
            <w:vAlign w:val="center"/>
          </w:tcPr>
          <w:p w14:paraId="28A32E80" w14:textId="77777777" w:rsidR="00136466" w:rsidRPr="00136466" w:rsidRDefault="00136466" w:rsidP="00136466">
            <w:pPr>
              <w:spacing w:after="0" w:line="240" w:lineRule="auto"/>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d)</w:t>
            </w:r>
          </w:p>
        </w:tc>
        <w:tc>
          <w:tcPr>
            <w:tcW w:w="1880" w:type="pct"/>
            <w:shd w:val="clear" w:color="auto" w:fill="auto"/>
          </w:tcPr>
          <w:p w14:paraId="173BA5FD" w14:textId="77777777" w:rsidR="00136466" w:rsidRPr="00136466" w:rsidRDefault="00136466" w:rsidP="00136466">
            <w:pPr>
              <w:spacing w:after="0" w:line="240" w:lineRule="auto"/>
              <w:jc w:val="both"/>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Popíšte riziká návrhu, ktoré môžu viesť k zväčšovaniu nerovností:</w:t>
            </w:r>
          </w:p>
        </w:tc>
        <w:tc>
          <w:tcPr>
            <w:tcW w:w="2988" w:type="pct"/>
            <w:shd w:val="clear" w:color="auto" w:fill="auto"/>
          </w:tcPr>
          <w:p w14:paraId="665BAB4E" w14:textId="77777777" w:rsidR="00136466" w:rsidRPr="00136466" w:rsidRDefault="00136466" w:rsidP="00136466">
            <w:pPr>
              <w:spacing w:after="0" w:line="240" w:lineRule="auto"/>
              <w:jc w:val="both"/>
              <w:rPr>
                <w:rFonts w:ascii="Times New Roman" w:eastAsia="Calibri" w:hAnsi="Times New Roman" w:cs="Times New Roman"/>
                <w:kern w:val="0"/>
                <w:sz w:val="20"/>
                <w:szCs w:val="22"/>
                <w14:ligatures w14:val="none"/>
              </w:rPr>
            </w:pPr>
            <w:r w:rsidRPr="00136466">
              <w:rPr>
                <w:rFonts w:ascii="Times New Roman" w:eastAsia="Calibri" w:hAnsi="Times New Roman" w:cs="Times New Roman"/>
                <w:i/>
                <w:kern w:val="0"/>
                <w:sz w:val="18"/>
                <w:szCs w:val="18"/>
                <w14:ligatures w14:val="none"/>
              </w:rPr>
              <w:t>Bez vplyvu.</w:t>
            </w:r>
          </w:p>
        </w:tc>
      </w:tr>
      <w:tr w:rsidR="00136466" w:rsidRPr="00136466" w14:paraId="712A5C8A" w14:textId="77777777" w:rsidTr="003627DF">
        <w:tblPrEx>
          <w:tblBorders>
            <w:top w:val="none" w:sz="0" w:space="0" w:color="auto"/>
            <w:bottom w:val="none" w:sz="0" w:space="0" w:color="auto"/>
          </w:tblBorders>
        </w:tblPrEx>
        <w:trPr>
          <w:trHeight w:val="371"/>
          <w:jc w:val="center"/>
        </w:trPr>
        <w:tc>
          <w:tcPr>
            <w:tcW w:w="132" w:type="pct"/>
            <w:shd w:val="clear" w:color="auto" w:fill="auto"/>
            <w:vAlign w:val="center"/>
          </w:tcPr>
          <w:p w14:paraId="3CDF1967"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e)</w:t>
            </w:r>
          </w:p>
        </w:tc>
        <w:tc>
          <w:tcPr>
            <w:tcW w:w="1880" w:type="pct"/>
            <w:shd w:val="clear" w:color="auto" w:fill="auto"/>
          </w:tcPr>
          <w:p w14:paraId="55DE49CD" w14:textId="77777777" w:rsidR="00136466" w:rsidRPr="00136466" w:rsidRDefault="00136466" w:rsidP="00136466">
            <w:pPr>
              <w:spacing w:after="0" w:line="240" w:lineRule="auto"/>
              <w:jc w:val="both"/>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Popíšte pozitívne vplyvy návrhu na dosahovanie rovnosti žien a mužov, rovnosti príležitostí žien a mužov, prípadne vplyvy na ženy a mužov, ak sú odlišné:</w:t>
            </w:r>
          </w:p>
        </w:tc>
        <w:tc>
          <w:tcPr>
            <w:tcW w:w="2988" w:type="pct"/>
            <w:shd w:val="clear" w:color="auto" w:fill="auto"/>
          </w:tcPr>
          <w:p w14:paraId="4BC21EF4" w14:textId="77777777" w:rsidR="00136466" w:rsidRPr="00136466" w:rsidRDefault="00136466" w:rsidP="00136466">
            <w:pPr>
              <w:spacing w:after="0" w:line="240" w:lineRule="auto"/>
              <w:jc w:val="both"/>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Bez vplyvu.</w:t>
            </w:r>
          </w:p>
        </w:tc>
      </w:tr>
      <w:tr w:rsidR="00136466" w:rsidRPr="00136466" w14:paraId="788F67E0" w14:textId="77777777" w:rsidTr="003627DF">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012D1B8A"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f)</w:t>
            </w:r>
          </w:p>
        </w:tc>
        <w:tc>
          <w:tcPr>
            <w:tcW w:w="1880" w:type="pct"/>
            <w:tcBorders>
              <w:bottom w:val="single" w:sz="4" w:space="0" w:color="auto"/>
            </w:tcBorders>
            <w:shd w:val="clear" w:color="auto" w:fill="auto"/>
          </w:tcPr>
          <w:p w14:paraId="3A8624EC" w14:textId="77777777" w:rsidR="00136466" w:rsidRPr="00136466" w:rsidRDefault="00136466" w:rsidP="00136466">
            <w:pPr>
              <w:spacing w:after="0" w:line="240" w:lineRule="auto"/>
              <w:jc w:val="both"/>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47433685" w14:textId="77777777" w:rsidR="00136466" w:rsidRPr="00136466" w:rsidRDefault="00136466" w:rsidP="00136466">
            <w:pPr>
              <w:spacing w:after="0" w:line="240" w:lineRule="auto"/>
              <w:jc w:val="both"/>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Bez vplyvu.</w:t>
            </w:r>
          </w:p>
        </w:tc>
      </w:tr>
      <w:tr w:rsidR="00136466" w:rsidRPr="00136466" w14:paraId="56017B4F" w14:textId="77777777" w:rsidTr="003627DF">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3090FB3B"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g)</w:t>
            </w:r>
          </w:p>
        </w:tc>
        <w:tc>
          <w:tcPr>
            <w:tcW w:w="1880" w:type="pct"/>
            <w:tcBorders>
              <w:top w:val="single" w:sz="4" w:space="0" w:color="auto"/>
              <w:bottom w:val="single" w:sz="4" w:space="0" w:color="auto"/>
            </w:tcBorders>
            <w:shd w:val="clear" w:color="auto" w:fill="auto"/>
          </w:tcPr>
          <w:p w14:paraId="4502CDD7" w14:textId="77777777" w:rsidR="00136466" w:rsidRPr="00136466" w:rsidRDefault="00136466" w:rsidP="00136466">
            <w:pPr>
              <w:spacing w:after="0" w:line="240" w:lineRule="auto"/>
              <w:jc w:val="both"/>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179F8EEB" w14:textId="77777777" w:rsidR="00136466" w:rsidRPr="00136466" w:rsidRDefault="00136466" w:rsidP="00136466">
            <w:pPr>
              <w:spacing w:after="0" w:line="240" w:lineRule="auto"/>
              <w:jc w:val="both"/>
              <w:rPr>
                <w:rFonts w:ascii="Times New Roman" w:eastAsia="Times New Roman" w:hAnsi="Times New Roman" w:cs="Times New Roman"/>
                <w:color w:val="000000"/>
                <w:kern w:val="0"/>
                <w:sz w:val="27"/>
                <w:szCs w:val="27"/>
                <w14:ligatures w14:val="none"/>
              </w:rPr>
            </w:pPr>
            <w:r w:rsidRPr="00136466">
              <w:rPr>
                <w:rFonts w:ascii="Times New Roman" w:eastAsia="Calibri" w:hAnsi="Times New Roman" w:cs="Times New Roman"/>
                <w:i/>
                <w:kern w:val="0"/>
                <w:sz w:val="18"/>
                <w:szCs w:val="18"/>
                <w14:ligatures w14:val="none"/>
              </w:rPr>
              <w:t xml:space="preserve">V ktorých oblastiach podpory rovnosti žien a mužov návrh odstraňuje prekážky a/alebo podporuje rovnosť žien a mužov? </w:t>
            </w:r>
            <w:r w:rsidRPr="00136466">
              <w:rPr>
                <w:rFonts w:ascii="Times New Roman" w:eastAsia="Times New Roman" w:hAnsi="Times New Roman" w:cs="Times New Roman"/>
                <w:i/>
                <w:iCs/>
                <w:color w:val="000000"/>
                <w:kern w:val="0"/>
                <w:sz w:val="18"/>
                <w:szCs w:val="18"/>
                <w14:ligatures w14:val="none"/>
              </w:rPr>
              <w:t>Medzi oblasti podpory rovnosti žien a mužov okrem iného patria:</w:t>
            </w:r>
          </w:p>
          <w:p w14:paraId="5F3A90BB" w14:textId="77777777" w:rsidR="00136466" w:rsidRPr="00136466" w:rsidRDefault="00136466" w:rsidP="00136466">
            <w:pPr>
              <w:numPr>
                <w:ilvl w:val="0"/>
                <w:numId w:val="36"/>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podpora slobodného výberu povolania a ekonomickej činnosti</w:t>
            </w:r>
          </w:p>
          <w:p w14:paraId="64CF3B16" w14:textId="77777777" w:rsidR="00136466" w:rsidRPr="00136466" w:rsidRDefault="00136466" w:rsidP="00136466">
            <w:pPr>
              <w:numPr>
                <w:ilvl w:val="0"/>
                <w:numId w:val="36"/>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 xml:space="preserve">podpora vyrovnávania ekonomickej nezávislosti, </w:t>
            </w:r>
          </w:p>
          <w:p w14:paraId="7D1A9D12" w14:textId="77777777" w:rsidR="00136466" w:rsidRPr="00136466" w:rsidRDefault="00136466" w:rsidP="00136466">
            <w:pPr>
              <w:numPr>
                <w:ilvl w:val="0"/>
                <w:numId w:val="36"/>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 xml:space="preserve">zosúladenie pracovného, súkromného a rodinného života, </w:t>
            </w:r>
          </w:p>
          <w:p w14:paraId="0108B2D4" w14:textId="77777777" w:rsidR="00136466" w:rsidRPr="00136466" w:rsidRDefault="00136466" w:rsidP="00136466">
            <w:pPr>
              <w:numPr>
                <w:ilvl w:val="0"/>
                <w:numId w:val="36"/>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 xml:space="preserve">podpora rovnosti príležitostí pri participácii na rozhodovaní, </w:t>
            </w:r>
          </w:p>
          <w:p w14:paraId="45C12916" w14:textId="77777777" w:rsidR="00136466" w:rsidRPr="00136466" w:rsidRDefault="00136466" w:rsidP="00136466">
            <w:pPr>
              <w:numPr>
                <w:ilvl w:val="0"/>
                <w:numId w:val="36"/>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 xml:space="preserve">boj proti domácemu násiliu,  násiliu na ženách  a obchodovaniu s ľuďmi, </w:t>
            </w:r>
          </w:p>
          <w:p w14:paraId="1E520211" w14:textId="77777777" w:rsidR="00136466" w:rsidRPr="00136466" w:rsidRDefault="00136466" w:rsidP="00136466">
            <w:pPr>
              <w:numPr>
                <w:ilvl w:val="0"/>
                <w:numId w:val="36"/>
              </w:numPr>
              <w:spacing w:after="0" w:line="240" w:lineRule="auto"/>
              <w:ind w:left="170" w:hanging="170"/>
              <w:jc w:val="both"/>
              <w:rPr>
                <w:rFonts w:ascii="Times New Roman" w:eastAsia="Calibri" w:hAnsi="Times New Roman" w:cs="Times New Roman"/>
                <w:i/>
                <w:kern w:val="0"/>
                <w:sz w:val="18"/>
                <w:szCs w:val="18"/>
                <w:lang w:eastAsia="sk-SK"/>
                <w14:ligatures w14:val="none"/>
              </w:rPr>
            </w:pPr>
            <w:r w:rsidRPr="00136466">
              <w:rPr>
                <w:rFonts w:ascii="Times New Roman" w:eastAsia="Calibri" w:hAnsi="Times New Roman" w:cs="Times New Roman"/>
                <w:i/>
                <w:kern w:val="0"/>
                <w:sz w:val="18"/>
                <w:szCs w:val="18"/>
                <w:lang w:eastAsia="sk-SK"/>
                <w14:ligatures w14:val="none"/>
              </w:rPr>
              <w:t>podpora vnímania osobnej starostlivosti o dieťa za rovnocennú s ekonomickou činnosťou a podpora neviditeľnej práce v domácnosti ako takej,</w:t>
            </w:r>
          </w:p>
          <w:p w14:paraId="4B2619A5" w14:textId="77777777" w:rsidR="00136466" w:rsidRPr="00136466" w:rsidRDefault="00136466" w:rsidP="00136466">
            <w:pPr>
              <w:numPr>
                <w:ilvl w:val="0"/>
                <w:numId w:val="36"/>
              </w:numPr>
              <w:spacing w:after="0" w:line="240" w:lineRule="auto"/>
              <w:ind w:left="170" w:hanging="170"/>
              <w:jc w:val="both"/>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lang w:eastAsia="sk-SK"/>
                <w14:ligatures w14:val="none"/>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0FB2B61F" w14:textId="77777777" w:rsidR="00136466" w:rsidRPr="00136466" w:rsidRDefault="00136466" w:rsidP="00136466">
            <w:pPr>
              <w:spacing w:after="0" w:line="240" w:lineRule="auto"/>
              <w:rPr>
                <w:rFonts w:ascii="Times New Roman" w:eastAsia="Calibri" w:hAnsi="Times New Roman" w:cs="Times New Roman"/>
                <w:kern w:val="0"/>
                <w:sz w:val="20"/>
                <w:szCs w:val="22"/>
                <w14:ligatures w14:val="none"/>
              </w:rPr>
            </w:pPr>
            <w:r w:rsidRPr="00136466">
              <w:rPr>
                <w:rFonts w:ascii="Times New Roman" w:eastAsia="Calibri" w:hAnsi="Times New Roman" w:cs="Times New Roman"/>
                <w:i/>
                <w:kern w:val="0"/>
                <w:sz w:val="18"/>
                <w:szCs w:val="18"/>
                <w14:ligatures w14:val="none"/>
              </w:rPr>
              <w:t>Bez vplyvu.</w:t>
            </w:r>
          </w:p>
        </w:tc>
      </w:tr>
    </w:tbl>
    <w:p w14:paraId="11E45A72" w14:textId="77777777" w:rsidR="00136466" w:rsidRPr="00136466" w:rsidRDefault="00136466" w:rsidP="00136466">
      <w:pPr>
        <w:spacing w:after="0" w:line="240" w:lineRule="auto"/>
        <w:rPr>
          <w:rFonts w:ascii="Times New Roman" w:eastAsia="Calibri" w:hAnsi="Times New Roman" w:cs="Times New Roman"/>
          <w:b/>
          <w:kern w:val="0"/>
          <w:szCs w:val="22"/>
          <w:lang w:eastAsia="sk-SK"/>
          <w14:ligatures w14:val="none"/>
        </w:rPr>
        <w:sectPr w:rsidR="00136466" w:rsidRPr="00136466" w:rsidSect="00136466">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136466" w:rsidRPr="00136466" w14:paraId="70BF9B81" w14:textId="77777777" w:rsidTr="003627DF">
        <w:trPr>
          <w:jc w:val="center"/>
        </w:trPr>
        <w:tc>
          <w:tcPr>
            <w:tcW w:w="5000" w:type="pct"/>
            <w:gridSpan w:val="3"/>
            <w:shd w:val="clear" w:color="auto" w:fill="D9D9D9"/>
          </w:tcPr>
          <w:p w14:paraId="006E8B9A" w14:textId="77777777" w:rsidR="00136466" w:rsidRPr="00136466" w:rsidRDefault="00136466" w:rsidP="00136466">
            <w:pPr>
              <w:spacing w:after="0" w:line="240" w:lineRule="auto"/>
              <w:rPr>
                <w:rFonts w:ascii="Times New Roman" w:eastAsia="Calibri" w:hAnsi="Times New Roman" w:cs="Times New Roman"/>
                <w:b/>
                <w:kern w:val="0"/>
                <w:szCs w:val="22"/>
                <w:lang w:eastAsia="sk-SK"/>
                <w14:ligatures w14:val="none"/>
              </w:rPr>
            </w:pPr>
            <w:r w:rsidRPr="00136466">
              <w:rPr>
                <w:rFonts w:ascii="Times New Roman" w:eastAsia="Calibri" w:hAnsi="Times New Roman" w:cs="Times New Roman"/>
                <w:b/>
                <w:kern w:val="0"/>
                <w:szCs w:val="22"/>
                <w:lang w:eastAsia="sk-SK"/>
                <w14:ligatures w14:val="none"/>
              </w:rPr>
              <w:t>4.4 Identifikujte, popíšte a kvantifikujte vplyvy na zamestnanosť a na trh práce.</w:t>
            </w:r>
          </w:p>
          <w:p w14:paraId="2BEE51A9" w14:textId="77777777" w:rsidR="00136466" w:rsidRPr="00136466" w:rsidRDefault="00136466" w:rsidP="00136466">
            <w:pPr>
              <w:spacing w:after="0" w:line="240" w:lineRule="auto"/>
              <w:jc w:val="both"/>
              <w:rPr>
                <w:rFonts w:ascii="Times New Roman" w:eastAsia="Calibri" w:hAnsi="Times New Roman" w:cs="Times New Roman"/>
                <w:i/>
                <w:kern w:val="0"/>
                <w:sz w:val="22"/>
                <w:szCs w:val="22"/>
                <w:lang w:eastAsia="sk-SK"/>
                <w14:ligatures w14:val="none"/>
              </w:rPr>
            </w:pPr>
            <w:r w:rsidRPr="00136466">
              <w:rPr>
                <w:rFonts w:ascii="Times New Roman" w:eastAsia="Calibri" w:hAnsi="Times New Roman" w:cs="Times New Roman"/>
                <w:i/>
                <w:kern w:val="0"/>
                <w:sz w:val="22"/>
                <w:szCs w:val="22"/>
                <w:lang w:eastAsia="sk-SK"/>
                <w14:ligatures w14:val="none"/>
              </w:rPr>
              <w:t xml:space="preserve">V prípade kladnej odpovede pripojte </w:t>
            </w:r>
            <w:r w:rsidRPr="00136466">
              <w:rPr>
                <w:rFonts w:ascii="Times New Roman" w:eastAsia="Calibri" w:hAnsi="Times New Roman" w:cs="Times New Roman"/>
                <w:b/>
                <w:i/>
                <w:kern w:val="0"/>
                <w:sz w:val="22"/>
                <w:szCs w:val="22"/>
                <w:lang w:eastAsia="sk-SK"/>
                <w14:ligatures w14:val="none"/>
              </w:rPr>
              <w:t>odôvodnenie</w:t>
            </w:r>
            <w:r w:rsidRPr="00136466">
              <w:rPr>
                <w:rFonts w:ascii="Times New Roman" w:eastAsia="Calibri" w:hAnsi="Times New Roman" w:cs="Times New Roman"/>
                <w:i/>
                <w:kern w:val="0"/>
                <w:sz w:val="22"/>
                <w:szCs w:val="22"/>
                <w:lang w:eastAsia="sk-SK"/>
                <w14:ligatures w14:val="none"/>
              </w:rPr>
              <w:t xml:space="preserve"> v súlade s Metodickým postupom pre analýzu sociálnych vplyvov.</w:t>
            </w:r>
          </w:p>
        </w:tc>
      </w:tr>
      <w:tr w:rsidR="00136466" w:rsidRPr="00136466" w14:paraId="012C4040" w14:textId="77777777" w:rsidTr="003627DF">
        <w:trPr>
          <w:trHeight w:val="287"/>
          <w:jc w:val="center"/>
        </w:trPr>
        <w:tc>
          <w:tcPr>
            <w:tcW w:w="129" w:type="pct"/>
            <w:tcBorders>
              <w:top w:val="nil"/>
              <w:bottom w:val="single" w:sz="4" w:space="0" w:color="auto"/>
            </w:tcBorders>
            <w:shd w:val="clear" w:color="auto" w:fill="F2F2F2"/>
            <w:vAlign w:val="center"/>
          </w:tcPr>
          <w:p w14:paraId="01BDAAC7"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a)</w:t>
            </w:r>
          </w:p>
        </w:tc>
        <w:tc>
          <w:tcPr>
            <w:tcW w:w="4871" w:type="pct"/>
            <w:gridSpan w:val="2"/>
            <w:tcBorders>
              <w:top w:val="nil"/>
              <w:bottom w:val="single" w:sz="4" w:space="0" w:color="auto"/>
            </w:tcBorders>
            <w:shd w:val="clear" w:color="auto" w:fill="F2F2F2"/>
            <w:vAlign w:val="center"/>
          </w:tcPr>
          <w:p w14:paraId="644D3662" w14:textId="77777777" w:rsidR="00136466" w:rsidRPr="00136466" w:rsidRDefault="00136466" w:rsidP="00136466">
            <w:pPr>
              <w:spacing w:after="0" w:line="240" w:lineRule="auto"/>
              <w:rPr>
                <w:rFonts w:ascii="Times New Roman" w:eastAsia="Calibri" w:hAnsi="Times New Roman" w:cs="Times New Roman"/>
                <w:i/>
                <w:kern w:val="0"/>
                <w:sz w:val="20"/>
                <w:szCs w:val="20"/>
                <w14:ligatures w14:val="none"/>
              </w:rPr>
            </w:pPr>
            <w:r w:rsidRPr="00136466">
              <w:rPr>
                <w:rFonts w:ascii="Times New Roman" w:eastAsia="Calibri" w:hAnsi="Times New Roman" w:cs="Times New Roman"/>
                <w:i/>
                <w:kern w:val="0"/>
                <w:sz w:val="20"/>
                <w:szCs w:val="20"/>
                <w14:ligatures w14:val="none"/>
              </w:rPr>
              <w:t>Uľahčuje návrh vznik nových pracovných miest? Ak áno, ako? Ak je to možné, doplňte kvantifikáciu.</w:t>
            </w:r>
          </w:p>
        </w:tc>
      </w:tr>
      <w:tr w:rsidR="00136466" w:rsidRPr="00136466" w14:paraId="2012DA7D" w14:textId="77777777" w:rsidTr="003627DF">
        <w:trPr>
          <w:trHeight w:val="567"/>
          <w:jc w:val="center"/>
        </w:trPr>
        <w:tc>
          <w:tcPr>
            <w:tcW w:w="129" w:type="pct"/>
            <w:tcBorders>
              <w:top w:val="nil"/>
              <w:bottom w:val="single" w:sz="4" w:space="0" w:color="auto"/>
            </w:tcBorders>
            <w:shd w:val="clear" w:color="auto" w:fill="FFFFFF"/>
            <w:vAlign w:val="center"/>
          </w:tcPr>
          <w:p w14:paraId="19A977EC"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b)</w:t>
            </w:r>
          </w:p>
        </w:tc>
        <w:tc>
          <w:tcPr>
            <w:tcW w:w="1838" w:type="pct"/>
            <w:tcBorders>
              <w:top w:val="nil"/>
              <w:bottom w:val="single" w:sz="4" w:space="0" w:color="auto"/>
            </w:tcBorders>
            <w:shd w:val="clear" w:color="auto" w:fill="FFFFFF"/>
          </w:tcPr>
          <w:p w14:paraId="156A53B5" w14:textId="77777777" w:rsidR="00136466" w:rsidRPr="00136466" w:rsidRDefault="00136466" w:rsidP="00136466">
            <w:pPr>
              <w:spacing w:after="0" w:line="240" w:lineRule="auto"/>
              <w:jc w:val="both"/>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2B1A03DC" w14:textId="77777777" w:rsidR="00136466" w:rsidRPr="00136466" w:rsidRDefault="00136466" w:rsidP="00136466">
            <w:pPr>
              <w:spacing w:after="0" w:line="240" w:lineRule="auto"/>
              <w:rPr>
                <w:rFonts w:ascii="Times New Roman" w:eastAsia="Calibri" w:hAnsi="Times New Roman" w:cs="Times New Roman"/>
                <w:kern w:val="0"/>
                <w:sz w:val="20"/>
                <w:szCs w:val="18"/>
                <w14:ligatures w14:val="none"/>
              </w:rPr>
            </w:pPr>
            <w:r w:rsidRPr="00136466">
              <w:rPr>
                <w:rFonts w:ascii="Times New Roman" w:eastAsia="Calibri" w:hAnsi="Times New Roman" w:cs="Times New Roman"/>
                <w:i/>
                <w:kern w:val="0"/>
                <w:sz w:val="18"/>
                <w:szCs w:val="18"/>
                <w14:ligatures w14:val="none"/>
              </w:rPr>
              <w:t>Bez vplyvu.</w:t>
            </w:r>
          </w:p>
        </w:tc>
      </w:tr>
      <w:tr w:rsidR="00136466" w:rsidRPr="00136466" w14:paraId="04D370C9" w14:textId="77777777" w:rsidTr="003627DF">
        <w:trPr>
          <w:trHeight w:val="270"/>
          <w:jc w:val="center"/>
        </w:trPr>
        <w:tc>
          <w:tcPr>
            <w:tcW w:w="129" w:type="pct"/>
            <w:tcBorders>
              <w:bottom w:val="single" w:sz="4" w:space="0" w:color="auto"/>
            </w:tcBorders>
            <w:shd w:val="clear" w:color="auto" w:fill="F2F2F2"/>
            <w:vAlign w:val="center"/>
          </w:tcPr>
          <w:p w14:paraId="0E54BB27"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c)</w:t>
            </w:r>
          </w:p>
        </w:tc>
        <w:tc>
          <w:tcPr>
            <w:tcW w:w="4871" w:type="pct"/>
            <w:gridSpan w:val="2"/>
            <w:tcBorders>
              <w:bottom w:val="single" w:sz="4" w:space="0" w:color="auto"/>
            </w:tcBorders>
            <w:shd w:val="clear" w:color="auto" w:fill="F2F2F2"/>
            <w:vAlign w:val="center"/>
          </w:tcPr>
          <w:p w14:paraId="639C78CE" w14:textId="77777777" w:rsidR="00136466" w:rsidRPr="00136466" w:rsidRDefault="00136466" w:rsidP="00136466">
            <w:pPr>
              <w:spacing w:after="0" w:line="240" w:lineRule="auto"/>
              <w:rPr>
                <w:rFonts w:ascii="Times New Roman" w:eastAsia="Calibri" w:hAnsi="Times New Roman" w:cs="Times New Roman"/>
                <w:i/>
                <w:kern w:val="0"/>
                <w:sz w:val="20"/>
                <w:szCs w:val="20"/>
                <w14:ligatures w14:val="none"/>
              </w:rPr>
            </w:pPr>
            <w:r w:rsidRPr="00136466">
              <w:rPr>
                <w:rFonts w:ascii="Times New Roman" w:eastAsia="Calibri" w:hAnsi="Times New Roman" w:cs="Times New Roman"/>
                <w:i/>
                <w:kern w:val="0"/>
                <w:sz w:val="20"/>
                <w:szCs w:val="20"/>
                <w14:ligatures w14:val="none"/>
              </w:rPr>
              <w:t>Vedie návrh k zániku pracovných miest?</w:t>
            </w:r>
            <w:r w:rsidRPr="00136466">
              <w:rPr>
                <w:rFonts w:ascii="Times New Roman" w:eastAsia="Calibri" w:hAnsi="Times New Roman" w:cs="Times New Roman"/>
                <w:kern w:val="0"/>
                <w:sz w:val="20"/>
                <w:szCs w:val="20"/>
                <w14:ligatures w14:val="none"/>
              </w:rPr>
              <w:t xml:space="preserve"> </w:t>
            </w:r>
            <w:r w:rsidRPr="00136466">
              <w:rPr>
                <w:rFonts w:ascii="Times New Roman" w:eastAsia="Calibri" w:hAnsi="Times New Roman" w:cs="Times New Roman"/>
                <w:i/>
                <w:kern w:val="0"/>
                <w:sz w:val="20"/>
                <w:szCs w:val="20"/>
                <w14:ligatures w14:val="none"/>
              </w:rPr>
              <w:t>Ak áno, ako a akých? Ak je to možné, doplňte kvantifikáciu</w:t>
            </w:r>
          </w:p>
        </w:tc>
      </w:tr>
      <w:tr w:rsidR="00136466" w:rsidRPr="00136466" w14:paraId="11011C74" w14:textId="77777777" w:rsidTr="003627DF">
        <w:trPr>
          <w:trHeight w:val="454"/>
          <w:jc w:val="center"/>
        </w:trPr>
        <w:tc>
          <w:tcPr>
            <w:tcW w:w="129" w:type="pct"/>
            <w:tcBorders>
              <w:bottom w:val="single" w:sz="4" w:space="0" w:color="auto"/>
            </w:tcBorders>
            <w:shd w:val="clear" w:color="auto" w:fill="FFFFFF"/>
            <w:vAlign w:val="center"/>
          </w:tcPr>
          <w:p w14:paraId="3E9A8711"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d)</w:t>
            </w:r>
          </w:p>
        </w:tc>
        <w:tc>
          <w:tcPr>
            <w:tcW w:w="1838" w:type="pct"/>
            <w:tcBorders>
              <w:bottom w:val="single" w:sz="4" w:space="0" w:color="auto"/>
            </w:tcBorders>
            <w:shd w:val="clear" w:color="auto" w:fill="FFFFFF"/>
          </w:tcPr>
          <w:p w14:paraId="493C6BEB" w14:textId="77777777" w:rsidR="00136466" w:rsidRPr="00136466" w:rsidRDefault="00136466" w:rsidP="00136466">
            <w:pPr>
              <w:spacing w:after="0" w:line="240" w:lineRule="auto"/>
              <w:jc w:val="both"/>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2E0500EC" w14:textId="77777777" w:rsidR="00136466" w:rsidRPr="00136466" w:rsidRDefault="00136466" w:rsidP="00136466">
            <w:pPr>
              <w:spacing w:after="0" w:line="240" w:lineRule="auto"/>
              <w:rPr>
                <w:rFonts w:ascii="Times New Roman" w:eastAsia="Calibri" w:hAnsi="Times New Roman" w:cs="Times New Roman"/>
                <w:kern w:val="0"/>
                <w:sz w:val="20"/>
                <w:szCs w:val="18"/>
                <w14:ligatures w14:val="none"/>
              </w:rPr>
            </w:pPr>
            <w:r w:rsidRPr="00136466">
              <w:rPr>
                <w:rFonts w:ascii="Times New Roman" w:eastAsia="Calibri" w:hAnsi="Times New Roman" w:cs="Times New Roman"/>
                <w:i/>
                <w:kern w:val="0"/>
                <w:sz w:val="18"/>
                <w:szCs w:val="18"/>
                <w14:ligatures w14:val="none"/>
              </w:rPr>
              <w:t>Bez vplyvu.</w:t>
            </w:r>
          </w:p>
        </w:tc>
      </w:tr>
      <w:tr w:rsidR="00136466" w:rsidRPr="00136466" w14:paraId="26DDC026" w14:textId="77777777" w:rsidTr="003627DF">
        <w:trPr>
          <w:trHeight w:val="248"/>
          <w:jc w:val="center"/>
        </w:trPr>
        <w:tc>
          <w:tcPr>
            <w:tcW w:w="129" w:type="pct"/>
            <w:tcBorders>
              <w:bottom w:val="single" w:sz="4" w:space="0" w:color="auto"/>
            </w:tcBorders>
            <w:shd w:val="clear" w:color="auto" w:fill="F2F2F2"/>
            <w:vAlign w:val="center"/>
          </w:tcPr>
          <w:p w14:paraId="72AD42E3"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e)</w:t>
            </w:r>
          </w:p>
        </w:tc>
        <w:tc>
          <w:tcPr>
            <w:tcW w:w="4871" w:type="pct"/>
            <w:gridSpan w:val="2"/>
            <w:tcBorders>
              <w:bottom w:val="single" w:sz="4" w:space="0" w:color="auto"/>
            </w:tcBorders>
            <w:shd w:val="clear" w:color="auto" w:fill="F2F2F2"/>
            <w:vAlign w:val="center"/>
          </w:tcPr>
          <w:p w14:paraId="7BEBF9DE" w14:textId="77777777" w:rsidR="00136466" w:rsidRPr="00136466" w:rsidRDefault="00136466" w:rsidP="00136466">
            <w:pPr>
              <w:spacing w:after="0" w:line="240" w:lineRule="auto"/>
              <w:rPr>
                <w:rFonts w:ascii="Times New Roman" w:eastAsia="Calibri" w:hAnsi="Times New Roman" w:cs="Times New Roman"/>
                <w:kern w:val="0"/>
                <w:sz w:val="20"/>
                <w:szCs w:val="20"/>
                <w14:ligatures w14:val="none"/>
              </w:rPr>
            </w:pPr>
            <w:r w:rsidRPr="00136466">
              <w:rPr>
                <w:rFonts w:ascii="Times New Roman" w:eastAsia="Calibri" w:hAnsi="Times New Roman" w:cs="Times New Roman"/>
                <w:i/>
                <w:kern w:val="0"/>
                <w:sz w:val="20"/>
                <w:szCs w:val="20"/>
                <w14:ligatures w14:val="none"/>
              </w:rPr>
              <w:t>Ovplyvňuje návrh dopyt po práci? Ak áno, ako?</w:t>
            </w:r>
          </w:p>
        </w:tc>
      </w:tr>
      <w:tr w:rsidR="00136466" w:rsidRPr="00136466" w14:paraId="5972BADF" w14:textId="77777777" w:rsidTr="003627DF">
        <w:trPr>
          <w:trHeight w:val="209"/>
          <w:jc w:val="center"/>
        </w:trPr>
        <w:tc>
          <w:tcPr>
            <w:tcW w:w="129" w:type="pct"/>
            <w:tcBorders>
              <w:bottom w:val="single" w:sz="4" w:space="0" w:color="auto"/>
            </w:tcBorders>
            <w:shd w:val="clear" w:color="auto" w:fill="FFFFFF"/>
            <w:vAlign w:val="center"/>
          </w:tcPr>
          <w:p w14:paraId="24212715"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f)</w:t>
            </w:r>
          </w:p>
        </w:tc>
        <w:tc>
          <w:tcPr>
            <w:tcW w:w="1838" w:type="pct"/>
            <w:tcBorders>
              <w:bottom w:val="single" w:sz="4" w:space="0" w:color="auto"/>
            </w:tcBorders>
            <w:shd w:val="clear" w:color="auto" w:fill="FFFFFF"/>
          </w:tcPr>
          <w:p w14:paraId="26E509BA" w14:textId="77777777" w:rsidR="00136466" w:rsidRPr="00136466" w:rsidRDefault="00136466" w:rsidP="00136466">
            <w:pPr>
              <w:spacing w:after="0" w:line="240" w:lineRule="auto"/>
              <w:jc w:val="both"/>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3BB2E7C8" w14:textId="77777777" w:rsidR="00136466" w:rsidRPr="00136466" w:rsidRDefault="00136466" w:rsidP="00136466">
            <w:pPr>
              <w:spacing w:after="0" w:line="240" w:lineRule="auto"/>
              <w:rPr>
                <w:rFonts w:ascii="Times New Roman" w:eastAsia="Calibri" w:hAnsi="Times New Roman" w:cs="Times New Roman"/>
                <w:kern w:val="0"/>
                <w:sz w:val="20"/>
                <w:szCs w:val="18"/>
                <w14:ligatures w14:val="none"/>
              </w:rPr>
            </w:pPr>
            <w:r w:rsidRPr="00136466">
              <w:rPr>
                <w:rFonts w:ascii="Times New Roman" w:eastAsia="Calibri" w:hAnsi="Times New Roman" w:cs="Times New Roman"/>
                <w:i/>
                <w:kern w:val="0"/>
                <w:sz w:val="18"/>
                <w:szCs w:val="18"/>
                <w14:ligatures w14:val="none"/>
              </w:rPr>
              <w:t>Bez vplyvu.</w:t>
            </w:r>
          </w:p>
        </w:tc>
      </w:tr>
      <w:tr w:rsidR="00136466" w:rsidRPr="00136466" w14:paraId="69B42FFB" w14:textId="77777777" w:rsidTr="003627DF">
        <w:trPr>
          <w:trHeight w:val="208"/>
          <w:jc w:val="center"/>
        </w:trPr>
        <w:tc>
          <w:tcPr>
            <w:tcW w:w="129" w:type="pct"/>
            <w:tcBorders>
              <w:bottom w:val="single" w:sz="4" w:space="0" w:color="auto"/>
            </w:tcBorders>
            <w:shd w:val="clear" w:color="auto" w:fill="F2F2F2"/>
            <w:vAlign w:val="center"/>
          </w:tcPr>
          <w:p w14:paraId="2177E756"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g)</w:t>
            </w:r>
          </w:p>
        </w:tc>
        <w:tc>
          <w:tcPr>
            <w:tcW w:w="4871" w:type="pct"/>
            <w:gridSpan w:val="2"/>
            <w:tcBorders>
              <w:bottom w:val="single" w:sz="4" w:space="0" w:color="auto"/>
            </w:tcBorders>
            <w:shd w:val="clear" w:color="auto" w:fill="F2F2F2"/>
            <w:vAlign w:val="center"/>
          </w:tcPr>
          <w:p w14:paraId="0FF29E6B" w14:textId="77777777" w:rsidR="00136466" w:rsidRPr="00136466" w:rsidRDefault="00136466" w:rsidP="00136466">
            <w:pPr>
              <w:spacing w:after="0" w:line="240" w:lineRule="auto"/>
              <w:rPr>
                <w:rFonts w:ascii="Times New Roman" w:eastAsia="Calibri" w:hAnsi="Times New Roman" w:cs="Times New Roman"/>
                <w:kern w:val="0"/>
                <w:sz w:val="20"/>
                <w:szCs w:val="20"/>
                <w14:ligatures w14:val="none"/>
              </w:rPr>
            </w:pPr>
            <w:r w:rsidRPr="00136466">
              <w:rPr>
                <w:rFonts w:ascii="Times New Roman" w:eastAsia="Calibri" w:hAnsi="Times New Roman" w:cs="Times New Roman"/>
                <w:i/>
                <w:kern w:val="0"/>
                <w:sz w:val="20"/>
                <w:szCs w:val="20"/>
                <w14:ligatures w14:val="none"/>
              </w:rPr>
              <w:t>Má návrh dosah na fungovanie trhu práce?</w:t>
            </w:r>
            <w:r w:rsidRPr="00136466">
              <w:rPr>
                <w:rFonts w:ascii="Times New Roman" w:eastAsia="Calibri" w:hAnsi="Times New Roman" w:cs="Times New Roman"/>
                <w:kern w:val="0"/>
                <w:sz w:val="20"/>
                <w:szCs w:val="20"/>
                <w14:ligatures w14:val="none"/>
              </w:rPr>
              <w:t xml:space="preserve"> </w:t>
            </w:r>
            <w:r w:rsidRPr="00136466">
              <w:rPr>
                <w:rFonts w:ascii="Times New Roman" w:eastAsia="Calibri" w:hAnsi="Times New Roman" w:cs="Times New Roman"/>
                <w:i/>
                <w:kern w:val="0"/>
                <w:sz w:val="20"/>
                <w:szCs w:val="20"/>
                <w14:ligatures w14:val="none"/>
              </w:rPr>
              <w:t>Ak áno, aký?</w:t>
            </w:r>
          </w:p>
        </w:tc>
      </w:tr>
      <w:tr w:rsidR="00136466" w:rsidRPr="00136466" w14:paraId="6C2F4583" w14:textId="77777777" w:rsidTr="003627DF">
        <w:trPr>
          <w:trHeight w:val="794"/>
          <w:jc w:val="center"/>
        </w:trPr>
        <w:tc>
          <w:tcPr>
            <w:tcW w:w="129" w:type="pct"/>
            <w:tcBorders>
              <w:bottom w:val="single" w:sz="4" w:space="0" w:color="auto"/>
            </w:tcBorders>
            <w:shd w:val="clear" w:color="auto" w:fill="FFFFFF"/>
            <w:vAlign w:val="center"/>
          </w:tcPr>
          <w:p w14:paraId="40A1AA78"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h)</w:t>
            </w:r>
          </w:p>
        </w:tc>
        <w:tc>
          <w:tcPr>
            <w:tcW w:w="1838" w:type="pct"/>
            <w:tcBorders>
              <w:bottom w:val="single" w:sz="4" w:space="0" w:color="auto"/>
            </w:tcBorders>
            <w:shd w:val="clear" w:color="auto" w:fill="FFFFFF"/>
          </w:tcPr>
          <w:p w14:paraId="151581DB" w14:textId="77777777" w:rsidR="00136466" w:rsidRPr="00136466" w:rsidRDefault="00136466" w:rsidP="00136466">
            <w:pPr>
              <w:spacing w:after="0" w:line="240" w:lineRule="auto"/>
              <w:jc w:val="both"/>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Týka sa makroekonomických dosahov ako je napr. participácia na trhu práce, dlhodobá nezamestnanosť, regionálne rozdiely v mierach zamestnanosti.</w:t>
            </w:r>
            <w:r w:rsidRPr="00136466">
              <w:rPr>
                <w:rFonts w:ascii="Times New Roman" w:eastAsia="Calibri" w:hAnsi="Times New Roman" w:cs="Times New Roman"/>
                <w:kern w:val="0"/>
                <w:sz w:val="18"/>
                <w:szCs w:val="18"/>
                <w14:ligatures w14:val="none"/>
              </w:rPr>
              <w:t xml:space="preserve"> </w:t>
            </w:r>
            <w:r w:rsidRPr="00136466">
              <w:rPr>
                <w:rFonts w:ascii="Times New Roman" w:eastAsia="Calibri" w:hAnsi="Times New Roman" w:cs="Times New Roman"/>
                <w:i/>
                <w:kern w:val="0"/>
                <w:sz w:val="18"/>
                <w:szCs w:val="18"/>
                <w14:ligatures w14:val="none"/>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7523743D" w14:textId="77777777" w:rsidR="00136466" w:rsidRPr="00136466" w:rsidRDefault="00136466" w:rsidP="00136466">
            <w:pPr>
              <w:spacing w:after="0" w:line="240" w:lineRule="auto"/>
              <w:rPr>
                <w:rFonts w:ascii="Times New Roman" w:eastAsia="Calibri" w:hAnsi="Times New Roman" w:cs="Times New Roman"/>
                <w:kern w:val="0"/>
                <w:sz w:val="20"/>
                <w:szCs w:val="18"/>
                <w14:ligatures w14:val="none"/>
              </w:rPr>
            </w:pPr>
            <w:r w:rsidRPr="00136466">
              <w:rPr>
                <w:rFonts w:ascii="Times New Roman" w:eastAsia="Calibri" w:hAnsi="Times New Roman" w:cs="Times New Roman"/>
                <w:i/>
                <w:kern w:val="0"/>
                <w:sz w:val="18"/>
                <w:szCs w:val="18"/>
                <w14:ligatures w14:val="none"/>
              </w:rPr>
              <w:t>Bez vplyvu.</w:t>
            </w:r>
          </w:p>
        </w:tc>
      </w:tr>
      <w:tr w:rsidR="00136466" w:rsidRPr="00136466" w14:paraId="553EAF8C" w14:textId="77777777" w:rsidTr="003627DF">
        <w:trPr>
          <w:trHeight w:val="324"/>
          <w:jc w:val="center"/>
        </w:trPr>
        <w:tc>
          <w:tcPr>
            <w:tcW w:w="129" w:type="pct"/>
            <w:tcBorders>
              <w:bottom w:val="single" w:sz="4" w:space="0" w:color="auto"/>
            </w:tcBorders>
            <w:shd w:val="clear" w:color="auto" w:fill="F2F2F2"/>
            <w:vAlign w:val="center"/>
          </w:tcPr>
          <w:p w14:paraId="6C8AAE72"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i)</w:t>
            </w:r>
          </w:p>
        </w:tc>
        <w:tc>
          <w:tcPr>
            <w:tcW w:w="4871" w:type="pct"/>
            <w:gridSpan w:val="2"/>
            <w:tcBorders>
              <w:bottom w:val="single" w:sz="4" w:space="0" w:color="auto"/>
            </w:tcBorders>
            <w:shd w:val="clear" w:color="auto" w:fill="F2F2F2"/>
            <w:vAlign w:val="center"/>
          </w:tcPr>
          <w:p w14:paraId="1F532EFF" w14:textId="77777777" w:rsidR="00136466" w:rsidRPr="00136466" w:rsidRDefault="00136466" w:rsidP="00136466">
            <w:pPr>
              <w:spacing w:after="0" w:line="240" w:lineRule="auto"/>
              <w:rPr>
                <w:rFonts w:ascii="Times New Roman" w:eastAsia="Calibri" w:hAnsi="Times New Roman" w:cs="Times New Roman"/>
                <w:kern w:val="0"/>
                <w:sz w:val="20"/>
                <w:szCs w:val="20"/>
                <w14:ligatures w14:val="none"/>
              </w:rPr>
            </w:pPr>
            <w:r w:rsidRPr="00136466">
              <w:rPr>
                <w:rFonts w:ascii="Times New Roman" w:eastAsia="Calibri" w:hAnsi="Times New Roman" w:cs="Times New Roman"/>
                <w:i/>
                <w:kern w:val="0"/>
                <w:sz w:val="20"/>
                <w:szCs w:val="20"/>
                <w14:ligatures w14:val="none"/>
              </w:rPr>
              <w:t>Má návrh špecifické negatívne dôsledky pre isté skupiny profesií, skupín zamestnancov či živnostníkov?</w:t>
            </w:r>
            <w:r w:rsidRPr="00136466">
              <w:rPr>
                <w:rFonts w:ascii="Times New Roman" w:eastAsia="Calibri" w:hAnsi="Times New Roman" w:cs="Times New Roman"/>
                <w:kern w:val="0"/>
                <w:sz w:val="20"/>
                <w:szCs w:val="20"/>
                <w14:ligatures w14:val="none"/>
              </w:rPr>
              <w:t xml:space="preserve"> </w:t>
            </w:r>
            <w:r w:rsidRPr="00136466">
              <w:rPr>
                <w:rFonts w:ascii="Times New Roman" w:eastAsia="Calibri" w:hAnsi="Times New Roman" w:cs="Times New Roman"/>
                <w:i/>
                <w:kern w:val="0"/>
                <w:sz w:val="20"/>
                <w:szCs w:val="20"/>
                <w14:ligatures w14:val="none"/>
              </w:rPr>
              <w:t>Ak áno, aké a pre ktoré skupiny?</w:t>
            </w:r>
          </w:p>
        </w:tc>
      </w:tr>
      <w:tr w:rsidR="00136466" w:rsidRPr="00136466" w14:paraId="0A6DFF64" w14:textId="77777777" w:rsidTr="003627DF">
        <w:trPr>
          <w:trHeight w:val="216"/>
          <w:jc w:val="center"/>
        </w:trPr>
        <w:tc>
          <w:tcPr>
            <w:tcW w:w="129" w:type="pct"/>
            <w:tcBorders>
              <w:bottom w:val="single" w:sz="4" w:space="0" w:color="auto"/>
            </w:tcBorders>
            <w:shd w:val="clear" w:color="auto" w:fill="FFFFFF"/>
            <w:vAlign w:val="center"/>
          </w:tcPr>
          <w:p w14:paraId="60E16F90"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j)</w:t>
            </w:r>
          </w:p>
        </w:tc>
        <w:tc>
          <w:tcPr>
            <w:tcW w:w="1838" w:type="pct"/>
            <w:tcBorders>
              <w:bottom w:val="single" w:sz="4" w:space="0" w:color="auto"/>
            </w:tcBorders>
            <w:shd w:val="clear" w:color="auto" w:fill="FFFFFF"/>
          </w:tcPr>
          <w:p w14:paraId="4381E21F"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68CC8DEF" w14:textId="77777777" w:rsidR="00136466" w:rsidRPr="00136466" w:rsidRDefault="00136466" w:rsidP="00136466">
            <w:pPr>
              <w:spacing w:after="0" w:line="240" w:lineRule="auto"/>
              <w:rPr>
                <w:rFonts w:ascii="Times New Roman" w:eastAsia="Calibri" w:hAnsi="Times New Roman" w:cs="Times New Roman"/>
                <w:kern w:val="0"/>
                <w:sz w:val="20"/>
                <w:szCs w:val="18"/>
                <w14:ligatures w14:val="none"/>
              </w:rPr>
            </w:pPr>
            <w:r w:rsidRPr="00136466">
              <w:rPr>
                <w:rFonts w:ascii="Times New Roman" w:eastAsia="Calibri" w:hAnsi="Times New Roman" w:cs="Times New Roman"/>
                <w:i/>
                <w:kern w:val="0"/>
                <w:sz w:val="18"/>
                <w:szCs w:val="18"/>
                <w14:ligatures w14:val="none"/>
              </w:rPr>
              <w:t>Bez vplyvu.</w:t>
            </w:r>
          </w:p>
        </w:tc>
      </w:tr>
      <w:tr w:rsidR="00136466" w:rsidRPr="00136466" w14:paraId="459968F2" w14:textId="77777777" w:rsidTr="003627DF">
        <w:trPr>
          <w:trHeight w:val="219"/>
          <w:jc w:val="center"/>
        </w:trPr>
        <w:tc>
          <w:tcPr>
            <w:tcW w:w="129" w:type="pct"/>
            <w:tcBorders>
              <w:bottom w:val="single" w:sz="4" w:space="0" w:color="auto"/>
            </w:tcBorders>
            <w:shd w:val="clear" w:color="auto" w:fill="F2F2F2"/>
            <w:vAlign w:val="center"/>
          </w:tcPr>
          <w:p w14:paraId="38EB5294"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k)</w:t>
            </w:r>
          </w:p>
        </w:tc>
        <w:tc>
          <w:tcPr>
            <w:tcW w:w="4871" w:type="pct"/>
            <w:gridSpan w:val="2"/>
            <w:tcBorders>
              <w:bottom w:val="single" w:sz="4" w:space="0" w:color="auto"/>
            </w:tcBorders>
            <w:shd w:val="clear" w:color="auto" w:fill="F2F2F2"/>
            <w:vAlign w:val="center"/>
          </w:tcPr>
          <w:p w14:paraId="36CBDAE6" w14:textId="77777777" w:rsidR="00136466" w:rsidRPr="00136466" w:rsidRDefault="00136466" w:rsidP="00136466">
            <w:pPr>
              <w:spacing w:after="0" w:line="240" w:lineRule="auto"/>
              <w:rPr>
                <w:rFonts w:ascii="Times New Roman" w:eastAsia="Calibri" w:hAnsi="Times New Roman" w:cs="Times New Roman"/>
                <w:kern w:val="0"/>
                <w:sz w:val="20"/>
                <w:szCs w:val="20"/>
                <w14:ligatures w14:val="none"/>
              </w:rPr>
            </w:pPr>
            <w:r w:rsidRPr="00136466">
              <w:rPr>
                <w:rFonts w:ascii="Times New Roman" w:eastAsia="Calibri" w:hAnsi="Times New Roman" w:cs="Times New Roman"/>
                <w:i/>
                <w:kern w:val="0"/>
                <w:sz w:val="20"/>
                <w:szCs w:val="20"/>
                <w14:ligatures w14:val="none"/>
              </w:rPr>
              <w:t>Ovplyvňuje návrh špecifické vekové skupiny zamestnancov? Ak áno, aké? Akým spôsobom?</w:t>
            </w:r>
          </w:p>
        </w:tc>
      </w:tr>
      <w:tr w:rsidR="00136466" w:rsidRPr="00136466" w14:paraId="29DD3DE7" w14:textId="77777777" w:rsidTr="003627DF">
        <w:trPr>
          <w:trHeight w:val="497"/>
          <w:jc w:val="center"/>
        </w:trPr>
        <w:tc>
          <w:tcPr>
            <w:tcW w:w="129" w:type="pct"/>
            <w:tcBorders>
              <w:bottom w:val="single" w:sz="4" w:space="0" w:color="auto"/>
            </w:tcBorders>
            <w:shd w:val="clear" w:color="auto" w:fill="FFFFFF"/>
            <w:vAlign w:val="center"/>
          </w:tcPr>
          <w:p w14:paraId="295BD904" w14:textId="77777777" w:rsidR="00136466" w:rsidRPr="00136466" w:rsidRDefault="00136466" w:rsidP="00136466">
            <w:pPr>
              <w:spacing w:after="0" w:line="240" w:lineRule="auto"/>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l)</w:t>
            </w:r>
          </w:p>
        </w:tc>
        <w:tc>
          <w:tcPr>
            <w:tcW w:w="1838" w:type="pct"/>
            <w:tcBorders>
              <w:bottom w:val="single" w:sz="4" w:space="0" w:color="auto"/>
            </w:tcBorders>
            <w:shd w:val="clear" w:color="auto" w:fill="FFFFFF"/>
          </w:tcPr>
          <w:p w14:paraId="43A144C5" w14:textId="77777777" w:rsidR="00136466" w:rsidRPr="00136466" w:rsidRDefault="00136466" w:rsidP="00136466">
            <w:pPr>
              <w:spacing w:after="0" w:line="240" w:lineRule="auto"/>
              <w:jc w:val="both"/>
              <w:rPr>
                <w:rFonts w:ascii="Times New Roman" w:eastAsia="Calibri" w:hAnsi="Times New Roman" w:cs="Times New Roman"/>
                <w:i/>
                <w:kern w:val="0"/>
                <w:sz w:val="18"/>
                <w:szCs w:val="18"/>
                <w14:ligatures w14:val="none"/>
              </w:rPr>
            </w:pPr>
            <w:r w:rsidRPr="00136466">
              <w:rPr>
                <w:rFonts w:ascii="Times New Roman" w:eastAsia="Calibri" w:hAnsi="Times New Roman" w:cs="Times New Roman"/>
                <w:i/>
                <w:kern w:val="0"/>
                <w:sz w:val="18"/>
                <w:szCs w:val="18"/>
                <w14:ligatures w14:val="none"/>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1CD81D00" w14:textId="77777777" w:rsidR="00136466" w:rsidRPr="00136466" w:rsidRDefault="00136466" w:rsidP="00136466">
            <w:pPr>
              <w:spacing w:after="0" w:line="240" w:lineRule="auto"/>
              <w:rPr>
                <w:rFonts w:ascii="Times New Roman" w:eastAsia="Calibri" w:hAnsi="Times New Roman" w:cs="Times New Roman"/>
                <w:kern w:val="0"/>
                <w:sz w:val="20"/>
                <w:szCs w:val="18"/>
                <w14:ligatures w14:val="none"/>
              </w:rPr>
            </w:pPr>
            <w:r w:rsidRPr="00136466">
              <w:rPr>
                <w:rFonts w:ascii="Times New Roman" w:eastAsia="Calibri" w:hAnsi="Times New Roman" w:cs="Times New Roman"/>
                <w:i/>
                <w:kern w:val="0"/>
                <w:sz w:val="18"/>
                <w:szCs w:val="18"/>
                <w14:ligatures w14:val="none"/>
              </w:rPr>
              <w:t>Bez vplyvu.</w:t>
            </w:r>
          </w:p>
        </w:tc>
      </w:tr>
    </w:tbl>
    <w:p w14:paraId="279C8389" w14:textId="77777777" w:rsidR="00136466" w:rsidRPr="00136466" w:rsidRDefault="00136466" w:rsidP="00136466">
      <w:pPr>
        <w:spacing w:after="0" w:line="240" w:lineRule="auto"/>
        <w:jc w:val="center"/>
        <w:outlineLvl w:val="0"/>
        <w:rPr>
          <w:rFonts w:ascii="Calibri" w:eastAsia="Calibri" w:hAnsi="Calibri" w:cs="Times New Roman"/>
          <w:kern w:val="0"/>
          <w:sz w:val="22"/>
          <w:szCs w:val="22"/>
          <w14:ligatures w14:val="none"/>
        </w:rPr>
      </w:pPr>
    </w:p>
    <w:p w14:paraId="0C14BC3E" w14:textId="77777777" w:rsidR="00136466" w:rsidRDefault="00136466">
      <w:pPr>
        <w:rPr>
          <w:rFonts w:ascii="Times New Roman" w:hAnsi="Times New Roman" w:cs="Times New Roman"/>
          <w:b/>
          <w:bCs/>
          <w:lang w:eastAsia="sk-SK"/>
        </w:rPr>
      </w:pPr>
    </w:p>
    <w:p w14:paraId="43FCFD3E" w14:textId="5B8C0AF7" w:rsidR="00136466" w:rsidRDefault="00136466">
      <w:pPr>
        <w:rPr>
          <w:rFonts w:ascii="Times New Roman" w:hAnsi="Times New Roman" w:cs="Times New Roman"/>
          <w:b/>
          <w:bCs/>
          <w:lang w:eastAsia="sk-SK"/>
        </w:rPr>
      </w:pPr>
      <w:r>
        <w:rPr>
          <w:rFonts w:ascii="Times New Roman" w:hAnsi="Times New Roman" w:cs="Times New Roman"/>
          <w:b/>
          <w:bCs/>
          <w:lang w:eastAsia="sk-SK"/>
        </w:rPr>
        <w:br w:type="page"/>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136466" w:rsidRPr="00136466" w14:paraId="3C28649A" w14:textId="77777777" w:rsidTr="003627DF">
        <w:trPr>
          <w:trHeight w:val="20"/>
        </w:trPr>
        <w:tc>
          <w:tcPr>
            <w:tcW w:w="9371" w:type="dxa"/>
            <w:gridSpan w:val="6"/>
            <w:shd w:val="clear" w:color="auto" w:fill="BFBFBF"/>
            <w:vAlign w:val="center"/>
          </w:tcPr>
          <w:p w14:paraId="661CA8E8" w14:textId="77777777" w:rsidR="00136466" w:rsidRPr="00136466" w:rsidRDefault="00136466" w:rsidP="00136466">
            <w:pPr>
              <w:spacing w:after="0" w:line="240" w:lineRule="auto"/>
              <w:jc w:val="center"/>
              <w:rPr>
                <w:rFonts w:ascii="Times New Roman" w:eastAsia="Times New Roman" w:hAnsi="Times New Roman" w:cs="Times New Roman"/>
                <w:b/>
                <w:bCs/>
                <w:kern w:val="0"/>
                <w:sz w:val="28"/>
                <w:szCs w:val="28"/>
                <w:lang w:eastAsia="sk-SK"/>
                <w14:ligatures w14:val="none"/>
              </w:rPr>
            </w:pPr>
            <w:r w:rsidRPr="00136466">
              <w:rPr>
                <w:rFonts w:ascii="Times New Roman" w:eastAsia="Times New Roman" w:hAnsi="Times New Roman" w:cs="Times New Roman"/>
                <w:b/>
                <w:bCs/>
                <w:kern w:val="0"/>
                <w:sz w:val="28"/>
                <w:szCs w:val="28"/>
                <w:lang w:eastAsia="sk-SK"/>
                <w14:ligatures w14:val="none"/>
              </w:rPr>
              <w:t>Analýza vplyvov na informatizáciu spoločnosti</w:t>
            </w:r>
          </w:p>
          <w:p w14:paraId="7488B8D9" w14:textId="77777777" w:rsidR="00136466" w:rsidRPr="00136466" w:rsidRDefault="00136466" w:rsidP="00136466">
            <w:pPr>
              <w:spacing w:after="0" w:line="240" w:lineRule="auto"/>
              <w:jc w:val="center"/>
              <w:rPr>
                <w:rFonts w:ascii="Times New Roman" w:eastAsia="Times New Roman" w:hAnsi="Times New Roman" w:cs="Times New Roman"/>
                <w:b/>
                <w:i/>
                <w:iCs/>
                <w:kern w:val="0"/>
                <w:sz w:val="2"/>
                <w:szCs w:val="22"/>
                <w:lang w:eastAsia="sk-SK"/>
                <w14:ligatures w14:val="none"/>
              </w:rPr>
            </w:pPr>
          </w:p>
        </w:tc>
      </w:tr>
      <w:tr w:rsidR="00136466" w:rsidRPr="00136466" w14:paraId="76B404E5" w14:textId="77777777" w:rsidTr="003627DF">
        <w:trPr>
          <w:trHeight w:val="20"/>
        </w:trPr>
        <w:tc>
          <w:tcPr>
            <w:tcW w:w="9371" w:type="dxa"/>
            <w:gridSpan w:val="6"/>
            <w:shd w:val="clear" w:color="auto" w:fill="BFBFBF"/>
            <w:vAlign w:val="center"/>
          </w:tcPr>
          <w:p w14:paraId="74A846E0" w14:textId="77777777" w:rsidR="00136466" w:rsidRPr="00136466" w:rsidRDefault="00136466" w:rsidP="00136466">
            <w:pPr>
              <w:spacing w:after="0" w:line="240" w:lineRule="auto"/>
              <w:jc w:val="center"/>
              <w:rPr>
                <w:rFonts w:ascii="Times New Roman" w:eastAsia="Times New Roman" w:hAnsi="Times New Roman" w:cs="Times New Roman"/>
                <w:b/>
                <w:bCs/>
                <w:kern w:val="0"/>
                <w:lang w:eastAsia="sk-SK"/>
                <w14:ligatures w14:val="none"/>
              </w:rPr>
            </w:pPr>
            <w:r w:rsidRPr="00136466">
              <w:rPr>
                <w:rFonts w:ascii="Times New Roman" w:eastAsia="Times New Roman" w:hAnsi="Times New Roman" w:cs="Times New Roman"/>
                <w:b/>
                <w:bCs/>
                <w:kern w:val="0"/>
                <w:lang w:eastAsia="sk-SK"/>
                <w14:ligatures w14:val="none"/>
              </w:rPr>
              <w:t>Budovanie základných pilierov informatizácie</w:t>
            </w:r>
          </w:p>
        </w:tc>
      </w:tr>
      <w:tr w:rsidR="00136466" w:rsidRPr="00136466" w14:paraId="371C60AC" w14:textId="77777777" w:rsidTr="003627DF">
        <w:trPr>
          <w:trHeight w:val="681"/>
        </w:trPr>
        <w:tc>
          <w:tcPr>
            <w:tcW w:w="3956" w:type="dxa"/>
            <w:shd w:val="clear" w:color="auto" w:fill="C0C0C0"/>
            <w:vAlign w:val="center"/>
          </w:tcPr>
          <w:p w14:paraId="732CB967"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Biznis vrstva</w:t>
            </w:r>
          </w:p>
        </w:tc>
        <w:tc>
          <w:tcPr>
            <w:tcW w:w="1446" w:type="dxa"/>
            <w:shd w:val="clear" w:color="auto" w:fill="C0C0C0"/>
            <w:vAlign w:val="center"/>
          </w:tcPr>
          <w:p w14:paraId="15D19A22"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A – nová služba</w:t>
            </w:r>
          </w:p>
          <w:p w14:paraId="2512CB9E" w14:textId="77777777" w:rsidR="00136466" w:rsidRPr="00136466" w:rsidRDefault="00136466" w:rsidP="00136466">
            <w:pPr>
              <w:spacing w:after="0" w:line="240" w:lineRule="auto"/>
              <w:jc w:val="center"/>
              <w:rPr>
                <w:rFonts w:ascii="Times New Roman" w:eastAsia="Times New Roman" w:hAnsi="Times New Roman" w:cs="Times New Roman"/>
                <w:i/>
                <w:iCs/>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B – zmena služby</w:t>
            </w:r>
            <w:r w:rsidRPr="00136466">
              <w:rPr>
                <w:rFonts w:ascii="Times New Roman" w:eastAsia="Times New Roman" w:hAnsi="Times New Roman" w:cs="Times New Roman"/>
                <w:b/>
                <w:kern w:val="0"/>
                <w:sz w:val="20"/>
                <w:szCs w:val="20"/>
                <w:lang w:eastAsia="sk-SK"/>
                <w14:ligatures w14:val="none"/>
              </w:rPr>
              <w:br/>
              <w:t xml:space="preserve"> C-zvýšené používanie služby</w:t>
            </w:r>
          </w:p>
        </w:tc>
        <w:tc>
          <w:tcPr>
            <w:tcW w:w="1134" w:type="dxa"/>
            <w:shd w:val="clear" w:color="auto" w:fill="C0C0C0"/>
            <w:vAlign w:val="center"/>
          </w:tcPr>
          <w:p w14:paraId="5D1A27E4" w14:textId="77777777" w:rsidR="00136466" w:rsidRPr="00136466" w:rsidRDefault="00136466" w:rsidP="00136466">
            <w:pPr>
              <w:spacing w:after="0" w:line="240" w:lineRule="auto"/>
              <w:rPr>
                <w:rFonts w:ascii="Times New Roman" w:eastAsia="Times New Roman" w:hAnsi="Times New Roman" w:cs="Times New Roman"/>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Kód koncovej služby</w:t>
            </w:r>
          </w:p>
        </w:tc>
        <w:tc>
          <w:tcPr>
            <w:tcW w:w="1276" w:type="dxa"/>
            <w:gridSpan w:val="2"/>
            <w:shd w:val="clear" w:color="auto" w:fill="C0C0C0"/>
            <w:vAlign w:val="center"/>
          </w:tcPr>
          <w:p w14:paraId="4F793835" w14:textId="77777777" w:rsidR="00136466" w:rsidRPr="00136466" w:rsidRDefault="00136466" w:rsidP="00136466">
            <w:pPr>
              <w:spacing w:after="0" w:line="240" w:lineRule="auto"/>
              <w:rPr>
                <w:rFonts w:ascii="Times New Roman" w:eastAsia="Times New Roman" w:hAnsi="Times New Roman" w:cs="Times New Roman"/>
                <w:i/>
                <w:iCs/>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Názov koncovej služby</w:t>
            </w:r>
          </w:p>
        </w:tc>
        <w:tc>
          <w:tcPr>
            <w:tcW w:w="1559" w:type="dxa"/>
            <w:shd w:val="clear" w:color="auto" w:fill="C0C0C0"/>
          </w:tcPr>
          <w:p w14:paraId="786E360C" w14:textId="77777777" w:rsidR="00136466" w:rsidRPr="00136466" w:rsidRDefault="00136466" w:rsidP="00136466">
            <w:pPr>
              <w:spacing w:after="0" w:line="240" w:lineRule="auto"/>
              <w:rPr>
                <w:rFonts w:ascii="Times New Roman" w:eastAsia="Times New Roman" w:hAnsi="Times New Roman" w:cs="Times New Roman"/>
                <w:b/>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Úroveň elektronizácie – pre C odhad počtu podaní</w:t>
            </w:r>
          </w:p>
        </w:tc>
      </w:tr>
      <w:tr w:rsidR="00136466" w:rsidRPr="00136466" w14:paraId="12B19ED4" w14:textId="77777777" w:rsidTr="003627DF">
        <w:trPr>
          <w:trHeight w:val="20"/>
        </w:trPr>
        <w:tc>
          <w:tcPr>
            <w:tcW w:w="3956" w:type="dxa"/>
          </w:tcPr>
          <w:p w14:paraId="56B57921" w14:textId="77777777" w:rsidR="00136466" w:rsidRPr="00136466" w:rsidRDefault="00136466" w:rsidP="00136466">
            <w:pPr>
              <w:spacing w:after="0" w:line="240" w:lineRule="auto"/>
              <w:ind w:right="-20"/>
              <w:rPr>
                <w:rFonts w:ascii="Times New Roman" w:eastAsia="Times New Roman" w:hAnsi="Times New Roman" w:cs="Times New Roman"/>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6.1.</w:t>
            </w:r>
            <w:r w:rsidRPr="00136466">
              <w:rPr>
                <w:rFonts w:ascii="Times New Roman" w:eastAsia="Times New Roman" w:hAnsi="Times New Roman" w:cs="Times New Roman"/>
                <w:kern w:val="0"/>
                <w:sz w:val="20"/>
                <w:szCs w:val="22"/>
                <w:lang w:eastAsia="sk-SK"/>
                <w14:ligatures w14:val="none"/>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vAlign w:val="center"/>
          </w:tcPr>
          <w:p w14:paraId="0AF4CE3E"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highlight w:val="yellow"/>
                <w:lang w:eastAsia="sk-SK"/>
                <w14:ligatures w14:val="none"/>
              </w:rPr>
            </w:pPr>
          </w:p>
        </w:tc>
        <w:tc>
          <w:tcPr>
            <w:tcW w:w="1134" w:type="dxa"/>
            <w:vAlign w:val="center"/>
          </w:tcPr>
          <w:p w14:paraId="6C98DF89"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highlight w:val="yellow"/>
                <w:lang w:eastAsia="sk-SK"/>
                <w14:ligatures w14:val="none"/>
              </w:rPr>
            </w:pPr>
          </w:p>
        </w:tc>
        <w:tc>
          <w:tcPr>
            <w:tcW w:w="1276" w:type="dxa"/>
            <w:gridSpan w:val="2"/>
            <w:vAlign w:val="center"/>
          </w:tcPr>
          <w:p w14:paraId="3FC481C2"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highlight w:val="yellow"/>
                <w:lang w:eastAsia="sk-SK"/>
                <w14:ligatures w14:val="none"/>
              </w:rPr>
            </w:pPr>
          </w:p>
        </w:tc>
        <w:tc>
          <w:tcPr>
            <w:tcW w:w="1559" w:type="dxa"/>
            <w:vAlign w:val="center"/>
          </w:tcPr>
          <w:p w14:paraId="70B2B409"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highlight w:val="yellow"/>
                <w:lang w:eastAsia="sk-SK"/>
                <w14:ligatures w14:val="none"/>
              </w:rPr>
            </w:pPr>
          </w:p>
        </w:tc>
      </w:tr>
      <w:tr w:rsidR="00136466" w:rsidRPr="00136466" w14:paraId="31A35FB4" w14:textId="77777777" w:rsidTr="003627DF">
        <w:trPr>
          <w:trHeight w:val="20"/>
        </w:trPr>
        <w:tc>
          <w:tcPr>
            <w:tcW w:w="3956" w:type="dxa"/>
            <w:vMerge w:val="restart"/>
          </w:tcPr>
          <w:p w14:paraId="4326F1AC" w14:textId="77777777" w:rsidR="00136466" w:rsidRPr="00136466" w:rsidRDefault="00136466" w:rsidP="00136466">
            <w:pPr>
              <w:spacing w:after="0" w:line="240" w:lineRule="auto"/>
              <w:ind w:right="-20"/>
              <w:rPr>
                <w:rFonts w:ascii="Times New Roman" w:eastAsia="Times New Roman" w:hAnsi="Times New Roman" w:cs="Times New Roman"/>
                <w:b/>
                <w:kern w:val="0"/>
                <w:sz w:val="20"/>
                <w:szCs w:val="22"/>
                <w:lang w:eastAsia="sk-SK"/>
                <w14:ligatures w14:val="none"/>
              </w:rPr>
            </w:pPr>
            <w:r w:rsidRPr="00136466">
              <w:rPr>
                <w:rFonts w:ascii="Times New Roman" w:eastAsia="Times New Roman" w:hAnsi="Times New Roman" w:cs="Times New Roman"/>
                <w:bCs/>
                <w:kern w:val="0"/>
                <w:sz w:val="20"/>
                <w:szCs w:val="20"/>
                <w:lang w:eastAsia="sk-SK"/>
                <w14:ligatures w14:val="none"/>
              </w:rPr>
              <w:t>zákon č. 461/2003 Z. z.</w:t>
            </w:r>
          </w:p>
        </w:tc>
        <w:tc>
          <w:tcPr>
            <w:tcW w:w="1446" w:type="dxa"/>
          </w:tcPr>
          <w:p w14:paraId="48123856"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highlight w:val="yellow"/>
                <w:lang w:eastAsia="sk-SK"/>
                <w14:ligatures w14:val="none"/>
              </w:rPr>
            </w:pPr>
            <w:r w:rsidRPr="00136466">
              <w:rPr>
                <w:rFonts w:ascii="Times New Roman" w:eastAsia="Times New Roman" w:hAnsi="Times New Roman" w:cs="Times New Roman"/>
                <w:kern w:val="0"/>
                <w:sz w:val="20"/>
                <w:szCs w:val="20"/>
                <w:lang w:eastAsia="sk-SK"/>
                <w14:ligatures w14:val="none"/>
              </w:rPr>
              <w:t>B</w:t>
            </w:r>
          </w:p>
        </w:tc>
        <w:tc>
          <w:tcPr>
            <w:tcW w:w="1134" w:type="dxa"/>
          </w:tcPr>
          <w:p w14:paraId="7E0827CF"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highlight w:val="yellow"/>
                <w:lang w:eastAsia="sk-SK"/>
                <w14:ligatures w14:val="none"/>
              </w:rPr>
            </w:pPr>
            <w:r w:rsidRPr="00136466">
              <w:rPr>
                <w:rFonts w:ascii="Times New Roman" w:eastAsia="Times New Roman" w:hAnsi="Times New Roman" w:cs="Times New Roman"/>
                <w:kern w:val="0"/>
                <w:sz w:val="20"/>
                <w:szCs w:val="20"/>
                <w:lang w:eastAsia="sk-SK"/>
                <w14:ligatures w14:val="none"/>
              </w:rPr>
              <w:t>ks_337629</w:t>
            </w:r>
          </w:p>
        </w:tc>
        <w:tc>
          <w:tcPr>
            <w:tcW w:w="1276" w:type="dxa"/>
            <w:gridSpan w:val="2"/>
          </w:tcPr>
          <w:p w14:paraId="19EC37F9"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highlight w:val="yellow"/>
                <w:lang w:eastAsia="sk-SK"/>
                <w14:ligatures w14:val="none"/>
              </w:rPr>
            </w:pPr>
            <w:hyperlink r:id="rId54" w:history="1">
              <w:r w:rsidRPr="00136466">
                <w:rPr>
                  <w:rFonts w:ascii="Times New Roman" w:eastAsia="Times New Roman" w:hAnsi="Times New Roman" w:cs="Times New Roman"/>
                  <w:color w:val="333333"/>
                  <w:kern w:val="0"/>
                  <w:sz w:val="20"/>
                  <w:szCs w:val="20"/>
                  <w:lang w:eastAsia="sk-SK"/>
                  <w14:ligatures w14:val="none"/>
                </w:rPr>
                <w:t>Zobrazovanie údajov klienta Sociálnej poisťovne</w:t>
              </w:r>
            </w:hyperlink>
          </w:p>
        </w:tc>
        <w:tc>
          <w:tcPr>
            <w:tcW w:w="1559" w:type="dxa"/>
          </w:tcPr>
          <w:p w14:paraId="162C0408"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highlight w:val="yellow"/>
                <w:lang w:eastAsia="sk-SK"/>
                <w14:ligatures w14:val="none"/>
              </w:rPr>
            </w:pPr>
            <w:r w:rsidRPr="00136466">
              <w:rPr>
                <w:rFonts w:ascii="Times New Roman" w:eastAsia="Times New Roman" w:hAnsi="Times New Roman" w:cs="Times New Roman"/>
                <w:kern w:val="0"/>
                <w:sz w:val="20"/>
                <w:szCs w:val="20"/>
                <w:lang w:eastAsia="sk-SK"/>
                <w14:ligatures w14:val="none"/>
              </w:rPr>
              <w:t>4</w:t>
            </w:r>
          </w:p>
        </w:tc>
      </w:tr>
      <w:tr w:rsidR="00136466" w:rsidRPr="00136466" w14:paraId="6DE78685" w14:textId="77777777" w:rsidTr="003627DF">
        <w:trPr>
          <w:trHeight w:val="20"/>
        </w:trPr>
        <w:tc>
          <w:tcPr>
            <w:tcW w:w="3956" w:type="dxa"/>
            <w:vMerge/>
          </w:tcPr>
          <w:p w14:paraId="639B4A17" w14:textId="77777777" w:rsidR="00136466" w:rsidRPr="00136466" w:rsidRDefault="00136466" w:rsidP="00136466">
            <w:pPr>
              <w:spacing w:after="0" w:line="240" w:lineRule="auto"/>
              <w:ind w:right="-20"/>
              <w:rPr>
                <w:rFonts w:ascii="Times New Roman" w:eastAsia="Times New Roman" w:hAnsi="Times New Roman" w:cs="Times New Roman"/>
                <w:b/>
                <w:kern w:val="0"/>
                <w:sz w:val="20"/>
                <w:szCs w:val="22"/>
                <w:lang w:eastAsia="sk-SK"/>
                <w14:ligatures w14:val="none"/>
              </w:rPr>
            </w:pPr>
          </w:p>
        </w:tc>
        <w:tc>
          <w:tcPr>
            <w:tcW w:w="1446" w:type="dxa"/>
          </w:tcPr>
          <w:p w14:paraId="57763C0E"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highlight w:val="yellow"/>
                <w:lang w:eastAsia="sk-SK"/>
                <w14:ligatures w14:val="none"/>
              </w:rPr>
            </w:pPr>
            <w:r w:rsidRPr="00136466">
              <w:rPr>
                <w:rFonts w:ascii="Times New Roman" w:eastAsia="Times New Roman" w:hAnsi="Times New Roman" w:cs="Times New Roman"/>
                <w:kern w:val="0"/>
                <w:sz w:val="20"/>
                <w:szCs w:val="20"/>
                <w:lang w:eastAsia="sk-SK"/>
                <w14:ligatures w14:val="none"/>
              </w:rPr>
              <w:t>B</w:t>
            </w:r>
          </w:p>
        </w:tc>
        <w:tc>
          <w:tcPr>
            <w:tcW w:w="1134" w:type="dxa"/>
          </w:tcPr>
          <w:p w14:paraId="6DEACDE8"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highlight w:val="yellow"/>
                <w:lang w:eastAsia="sk-SK"/>
                <w14:ligatures w14:val="none"/>
              </w:rPr>
            </w:pPr>
            <w:r w:rsidRPr="00136466">
              <w:rPr>
                <w:rFonts w:ascii="Times New Roman" w:eastAsia="Times New Roman" w:hAnsi="Times New Roman" w:cs="Times New Roman"/>
                <w:kern w:val="0"/>
                <w:sz w:val="20"/>
                <w:szCs w:val="20"/>
                <w:lang w:eastAsia="sk-SK"/>
                <w14:ligatures w14:val="none"/>
              </w:rPr>
              <w:t>sluzba_egov_1904</w:t>
            </w:r>
          </w:p>
        </w:tc>
        <w:tc>
          <w:tcPr>
            <w:tcW w:w="1276" w:type="dxa"/>
            <w:gridSpan w:val="2"/>
          </w:tcPr>
          <w:p w14:paraId="63EA41E7"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highlight w:val="yellow"/>
                <w:lang w:eastAsia="sk-SK"/>
                <w14:ligatures w14:val="none"/>
              </w:rPr>
            </w:pPr>
            <w:hyperlink r:id="rId55" w:history="1">
              <w:r w:rsidRPr="00136466">
                <w:rPr>
                  <w:rFonts w:ascii="Times New Roman" w:eastAsia="Times New Roman" w:hAnsi="Times New Roman" w:cs="Times New Roman"/>
                  <w:color w:val="333333"/>
                  <w:kern w:val="0"/>
                  <w:sz w:val="20"/>
                  <w:szCs w:val="20"/>
                  <w:lang w:eastAsia="sk-SK"/>
                  <w14:ligatures w14:val="none"/>
                </w:rPr>
                <w:t>Sprístupňovanie saldokonta individuálneho účtu poistenca</w:t>
              </w:r>
            </w:hyperlink>
          </w:p>
        </w:tc>
        <w:tc>
          <w:tcPr>
            <w:tcW w:w="1559" w:type="dxa"/>
          </w:tcPr>
          <w:p w14:paraId="2CEF283D"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highlight w:val="yellow"/>
                <w:lang w:eastAsia="sk-SK"/>
                <w14:ligatures w14:val="none"/>
              </w:rPr>
            </w:pPr>
            <w:r w:rsidRPr="00136466">
              <w:rPr>
                <w:rFonts w:ascii="Times New Roman" w:eastAsia="Times New Roman" w:hAnsi="Times New Roman" w:cs="Times New Roman"/>
                <w:kern w:val="0"/>
                <w:sz w:val="20"/>
                <w:szCs w:val="20"/>
                <w:lang w:eastAsia="sk-SK"/>
                <w14:ligatures w14:val="none"/>
              </w:rPr>
              <w:t>4</w:t>
            </w:r>
          </w:p>
        </w:tc>
      </w:tr>
      <w:tr w:rsidR="00136466" w:rsidRPr="00136466" w14:paraId="068136B3" w14:textId="77777777" w:rsidTr="003627DF">
        <w:trPr>
          <w:trHeight w:val="20"/>
        </w:trPr>
        <w:tc>
          <w:tcPr>
            <w:tcW w:w="3956" w:type="dxa"/>
            <w:vMerge/>
          </w:tcPr>
          <w:p w14:paraId="66209EC4" w14:textId="77777777" w:rsidR="00136466" w:rsidRPr="00136466" w:rsidRDefault="00136466" w:rsidP="00136466">
            <w:pPr>
              <w:spacing w:after="0" w:line="240" w:lineRule="auto"/>
              <w:ind w:right="-20"/>
              <w:rPr>
                <w:rFonts w:ascii="Times New Roman" w:eastAsia="Times New Roman" w:hAnsi="Times New Roman" w:cs="Times New Roman"/>
                <w:b/>
                <w:kern w:val="0"/>
                <w:sz w:val="20"/>
                <w:szCs w:val="22"/>
                <w:lang w:eastAsia="sk-SK"/>
                <w14:ligatures w14:val="none"/>
              </w:rPr>
            </w:pPr>
          </w:p>
        </w:tc>
        <w:tc>
          <w:tcPr>
            <w:tcW w:w="1446" w:type="dxa"/>
          </w:tcPr>
          <w:p w14:paraId="0C77A830"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highlight w:val="yellow"/>
                <w:lang w:eastAsia="sk-SK"/>
                <w14:ligatures w14:val="none"/>
              </w:rPr>
            </w:pPr>
            <w:r w:rsidRPr="00136466">
              <w:rPr>
                <w:rFonts w:ascii="Times New Roman" w:eastAsia="Times New Roman" w:hAnsi="Times New Roman" w:cs="Times New Roman"/>
                <w:kern w:val="0"/>
                <w:sz w:val="20"/>
                <w:szCs w:val="20"/>
                <w:lang w:eastAsia="sk-SK"/>
                <w14:ligatures w14:val="none"/>
              </w:rPr>
              <w:t>B</w:t>
            </w:r>
          </w:p>
        </w:tc>
        <w:tc>
          <w:tcPr>
            <w:tcW w:w="1134" w:type="dxa"/>
          </w:tcPr>
          <w:p w14:paraId="657BEAE3"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highlight w:val="yellow"/>
                <w:lang w:eastAsia="sk-SK"/>
                <w14:ligatures w14:val="none"/>
              </w:rPr>
            </w:pPr>
            <w:r w:rsidRPr="00136466">
              <w:rPr>
                <w:rFonts w:ascii="Times New Roman" w:eastAsia="Times New Roman" w:hAnsi="Times New Roman" w:cs="Times New Roman"/>
                <w:kern w:val="0"/>
                <w:sz w:val="20"/>
                <w:szCs w:val="20"/>
                <w:lang w:eastAsia="sk-SK"/>
                <w14:ligatures w14:val="none"/>
              </w:rPr>
              <w:t>sluzba_egov_1906</w:t>
            </w:r>
          </w:p>
        </w:tc>
        <w:tc>
          <w:tcPr>
            <w:tcW w:w="1276" w:type="dxa"/>
            <w:gridSpan w:val="2"/>
          </w:tcPr>
          <w:p w14:paraId="5DEF022C"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highlight w:val="yellow"/>
                <w:lang w:eastAsia="sk-SK"/>
                <w14:ligatures w14:val="none"/>
              </w:rPr>
            </w:pPr>
            <w:hyperlink r:id="rId56" w:history="1">
              <w:r w:rsidRPr="00136466">
                <w:rPr>
                  <w:rFonts w:ascii="Times New Roman" w:eastAsia="Times New Roman" w:hAnsi="Times New Roman" w:cs="Times New Roman"/>
                  <w:color w:val="333333"/>
                  <w:kern w:val="0"/>
                  <w:sz w:val="20"/>
                  <w:szCs w:val="20"/>
                  <w:lang w:eastAsia="sk-SK"/>
                  <w14:ligatures w14:val="none"/>
                </w:rPr>
                <w:t>Poskytovanie informatívnych výpočtov a vybraných informácií na úseku sociálneho poistenia</w:t>
              </w:r>
            </w:hyperlink>
          </w:p>
        </w:tc>
        <w:tc>
          <w:tcPr>
            <w:tcW w:w="1559" w:type="dxa"/>
          </w:tcPr>
          <w:p w14:paraId="3533278E"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highlight w:val="yellow"/>
                <w:lang w:eastAsia="sk-SK"/>
                <w14:ligatures w14:val="none"/>
              </w:rPr>
            </w:pPr>
            <w:r w:rsidRPr="00136466">
              <w:rPr>
                <w:rFonts w:ascii="Times New Roman" w:eastAsia="Times New Roman" w:hAnsi="Times New Roman" w:cs="Times New Roman"/>
                <w:kern w:val="0"/>
                <w:sz w:val="20"/>
                <w:szCs w:val="20"/>
                <w:lang w:eastAsia="sk-SK"/>
                <w14:ligatures w14:val="none"/>
              </w:rPr>
              <w:t>4</w:t>
            </w:r>
          </w:p>
        </w:tc>
      </w:tr>
      <w:tr w:rsidR="00136466" w:rsidRPr="00136466" w14:paraId="6CDF31B8" w14:textId="77777777" w:rsidTr="003627DF">
        <w:trPr>
          <w:trHeight w:val="20"/>
        </w:trPr>
        <w:tc>
          <w:tcPr>
            <w:tcW w:w="3956" w:type="dxa"/>
            <w:shd w:val="clear" w:color="auto" w:fill="C0C0C0"/>
            <w:vAlign w:val="center"/>
          </w:tcPr>
          <w:p w14:paraId="261C28C7"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Aplikačná a technologická vrstva</w:t>
            </w:r>
          </w:p>
        </w:tc>
        <w:tc>
          <w:tcPr>
            <w:tcW w:w="1446" w:type="dxa"/>
            <w:shd w:val="clear" w:color="auto" w:fill="C0C0C0"/>
          </w:tcPr>
          <w:p w14:paraId="2155132A"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A – nový systém</w:t>
            </w:r>
          </w:p>
          <w:p w14:paraId="57CD06ED"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B – zmena systému</w:t>
            </w:r>
          </w:p>
        </w:tc>
        <w:tc>
          <w:tcPr>
            <w:tcW w:w="1134" w:type="dxa"/>
            <w:shd w:val="clear" w:color="auto" w:fill="C0C0C0"/>
            <w:vAlign w:val="center"/>
          </w:tcPr>
          <w:p w14:paraId="6F8F95AD"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Kód systému</w:t>
            </w:r>
          </w:p>
        </w:tc>
        <w:tc>
          <w:tcPr>
            <w:tcW w:w="1276" w:type="dxa"/>
            <w:gridSpan w:val="2"/>
            <w:shd w:val="clear" w:color="auto" w:fill="C0C0C0"/>
            <w:vAlign w:val="center"/>
          </w:tcPr>
          <w:p w14:paraId="726DF70B"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Názov systému</w:t>
            </w:r>
          </w:p>
        </w:tc>
        <w:tc>
          <w:tcPr>
            <w:tcW w:w="1559" w:type="dxa"/>
            <w:shd w:val="clear" w:color="auto" w:fill="C0C0C0"/>
            <w:vAlign w:val="center"/>
          </w:tcPr>
          <w:p w14:paraId="7FAB6218"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Vo vládnom cloude – áno / nie</w:t>
            </w:r>
          </w:p>
        </w:tc>
      </w:tr>
      <w:tr w:rsidR="00136466" w:rsidRPr="00136466" w14:paraId="4955D919" w14:textId="77777777" w:rsidTr="003627DF">
        <w:trPr>
          <w:trHeight w:val="20"/>
        </w:trPr>
        <w:tc>
          <w:tcPr>
            <w:tcW w:w="3956" w:type="dxa"/>
          </w:tcPr>
          <w:p w14:paraId="49835B8D" w14:textId="77777777" w:rsidR="00136466" w:rsidRPr="00136466" w:rsidRDefault="00136466" w:rsidP="00136466">
            <w:pPr>
              <w:spacing w:after="0" w:line="240" w:lineRule="auto"/>
              <w:rPr>
                <w:rFonts w:ascii="Times New Roman" w:eastAsia="Times New Roman" w:hAnsi="Times New Roman" w:cs="Times New Roman"/>
                <w:kern w:val="0"/>
                <w:lang w:eastAsia="sk-SK"/>
                <w14:ligatures w14:val="none"/>
              </w:rPr>
            </w:pPr>
            <w:r w:rsidRPr="00136466">
              <w:rPr>
                <w:rFonts w:ascii="Times New Roman" w:eastAsia="Times New Roman" w:hAnsi="Times New Roman" w:cs="Times New Roman"/>
                <w:b/>
                <w:kern w:val="0"/>
                <w:sz w:val="20"/>
                <w:szCs w:val="20"/>
                <w:lang w:eastAsia="sk-SK"/>
                <w14:ligatures w14:val="none"/>
              </w:rPr>
              <w:t>6.2.</w:t>
            </w:r>
            <w:r w:rsidRPr="00136466">
              <w:rPr>
                <w:rFonts w:ascii="Times New Roman" w:eastAsia="Times New Roman" w:hAnsi="Times New Roman" w:cs="Times New Roman"/>
                <w:kern w:val="0"/>
                <w:sz w:val="20"/>
                <w:szCs w:val="20"/>
                <w:lang w:eastAsia="sk-SK"/>
                <w14:ligatures w14:val="none"/>
              </w:rPr>
              <w:t xml:space="preserve"> Predpokladá predložený návrh zmenu existujúceho alebo vytvorenie nového informačného systému verejnej správy? Predpokladá správca umiestnenie informačného systému vo vládnom cloude?</w:t>
            </w:r>
          </w:p>
        </w:tc>
        <w:tc>
          <w:tcPr>
            <w:tcW w:w="1446" w:type="dxa"/>
            <w:vAlign w:val="center"/>
          </w:tcPr>
          <w:p w14:paraId="4F5C05DD"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p>
        </w:tc>
        <w:tc>
          <w:tcPr>
            <w:tcW w:w="1134" w:type="dxa"/>
            <w:vAlign w:val="center"/>
          </w:tcPr>
          <w:p w14:paraId="1859E0BB"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p>
        </w:tc>
        <w:tc>
          <w:tcPr>
            <w:tcW w:w="1276" w:type="dxa"/>
            <w:gridSpan w:val="2"/>
            <w:vAlign w:val="center"/>
          </w:tcPr>
          <w:p w14:paraId="4B0F198F"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p>
        </w:tc>
        <w:tc>
          <w:tcPr>
            <w:tcW w:w="1559" w:type="dxa"/>
            <w:vAlign w:val="center"/>
          </w:tcPr>
          <w:p w14:paraId="1D54628F"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p>
        </w:tc>
      </w:tr>
      <w:tr w:rsidR="00136466" w:rsidRPr="00136466" w14:paraId="20817343" w14:textId="77777777" w:rsidTr="003627DF">
        <w:trPr>
          <w:trHeight w:val="20"/>
        </w:trPr>
        <w:tc>
          <w:tcPr>
            <w:tcW w:w="3956" w:type="dxa"/>
            <w:vMerge w:val="restart"/>
          </w:tcPr>
          <w:p w14:paraId="7D76630E" w14:textId="77777777" w:rsidR="00136466" w:rsidRPr="00136466" w:rsidRDefault="00136466" w:rsidP="00136466">
            <w:pPr>
              <w:spacing w:after="0" w:line="240" w:lineRule="auto"/>
              <w:rPr>
                <w:rFonts w:ascii="Times New Roman" w:eastAsia="Times New Roman" w:hAnsi="Times New Roman" w:cs="Times New Roman"/>
                <w:bCs/>
                <w:kern w:val="0"/>
                <w:sz w:val="20"/>
                <w:szCs w:val="20"/>
                <w:lang w:eastAsia="sk-SK"/>
                <w14:ligatures w14:val="none"/>
              </w:rPr>
            </w:pPr>
            <w:r w:rsidRPr="00136466">
              <w:rPr>
                <w:rFonts w:ascii="Times New Roman" w:eastAsia="Times New Roman" w:hAnsi="Times New Roman" w:cs="Times New Roman"/>
                <w:bCs/>
                <w:kern w:val="0"/>
                <w:sz w:val="20"/>
                <w:szCs w:val="20"/>
                <w:lang w:eastAsia="sk-SK"/>
                <w14:ligatures w14:val="none"/>
              </w:rPr>
              <w:t>zákon č. 595/2003 Z. z., zákon č. 222/2004 Z. z., zákon č. 235/2012 Z. z., zákon č. 213/2018 Z. z.</w:t>
            </w:r>
          </w:p>
        </w:tc>
        <w:tc>
          <w:tcPr>
            <w:tcW w:w="1446" w:type="dxa"/>
            <w:vAlign w:val="center"/>
          </w:tcPr>
          <w:p w14:paraId="41C2FB29"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B</w:t>
            </w:r>
          </w:p>
        </w:tc>
        <w:tc>
          <w:tcPr>
            <w:tcW w:w="1134" w:type="dxa"/>
            <w:vAlign w:val="center"/>
          </w:tcPr>
          <w:p w14:paraId="702A1D19"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r w:rsidRPr="00136466">
              <w:rPr>
                <w:rFonts w:ascii="Times New Roman" w:eastAsia="Times New Roman" w:hAnsi="Times New Roman" w:cs="Times New Roman"/>
                <w:kern w:val="0"/>
                <w:sz w:val="20"/>
                <w:szCs w:val="20"/>
                <w:lang w:eastAsia="sk-SK"/>
                <w14:ligatures w14:val="none"/>
              </w:rPr>
              <w:t>isvs_7714</w:t>
            </w:r>
          </w:p>
        </w:tc>
        <w:tc>
          <w:tcPr>
            <w:tcW w:w="1276" w:type="dxa"/>
            <w:gridSpan w:val="2"/>
            <w:vAlign w:val="center"/>
          </w:tcPr>
          <w:p w14:paraId="1AAB33AF"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shd w:val="clear" w:color="auto" w:fill="FFFFFF"/>
                <w:lang w:eastAsia="sk-SK"/>
                <w14:ligatures w14:val="none"/>
              </w:rPr>
            </w:pPr>
            <w:r w:rsidRPr="00136466">
              <w:rPr>
                <w:rFonts w:ascii="Times New Roman" w:eastAsia="Times New Roman" w:hAnsi="Times New Roman" w:cs="Times New Roman"/>
                <w:kern w:val="0"/>
                <w:sz w:val="20"/>
                <w:szCs w:val="20"/>
                <w:shd w:val="clear" w:color="auto" w:fill="FFFFFF"/>
                <w:lang w:eastAsia="sk-SK"/>
                <w14:ligatures w14:val="none"/>
              </w:rPr>
              <w:t>Integrovaný systém Finančnej správy - správa daní (ISFS-SD)</w:t>
            </w:r>
          </w:p>
        </w:tc>
        <w:tc>
          <w:tcPr>
            <w:tcW w:w="1559" w:type="dxa"/>
            <w:vAlign w:val="center"/>
          </w:tcPr>
          <w:p w14:paraId="34EA6DC2"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nie</w:t>
            </w:r>
          </w:p>
        </w:tc>
      </w:tr>
      <w:tr w:rsidR="00136466" w:rsidRPr="00136466" w14:paraId="0556F803" w14:textId="77777777" w:rsidTr="003627DF">
        <w:trPr>
          <w:trHeight w:val="20"/>
        </w:trPr>
        <w:tc>
          <w:tcPr>
            <w:tcW w:w="3956" w:type="dxa"/>
            <w:vMerge/>
          </w:tcPr>
          <w:p w14:paraId="212F8544" w14:textId="77777777" w:rsidR="00136466" w:rsidRPr="00136466" w:rsidRDefault="00136466" w:rsidP="00136466">
            <w:pPr>
              <w:spacing w:after="0" w:line="240" w:lineRule="auto"/>
              <w:rPr>
                <w:rFonts w:ascii="Times New Roman" w:eastAsia="Times New Roman" w:hAnsi="Times New Roman" w:cs="Times New Roman"/>
                <w:b/>
                <w:kern w:val="0"/>
                <w:sz w:val="20"/>
                <w:szCs w:val="20"/>
                <w:lang w:eastAsia="sk-SK"/>
                <w14:ligatures w14:val="none"/>
              </w:rPr>
            </w:pPr>
          </w:p>
        </w:tc>
        <w:tc>
          <w:tcPr>
            <w:tcW w:w="1446" w:type="dxa"/>
            <w:vAlign w:val="center"/>
          </w:tcPr>
          <w:p w14:paraId="371856D3"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B</w:t>
            </w:r>
          </w:p>
        </w:tc>
        <w:tc>
          <w:tcPr>
            <w:tcW w:w="1134" w:type="dxa"/>
            <w:vAlign w:val="center"/>
          </w:tcPr>
          <w:p w14:paraId="3BC79D51"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kern w:val="0"/>
                <w:sz w:val="20"/>
                <w:szCs w:val="20"/>
                <w:shd w:val="clear" w:color="auto" w:fill="FFFFFF"/>
                <w:lang w:eastAsia="sk-SK"/>
                <w14:ligatures w14:val="none"/>
              </w:rPr>
              <w:t>isvs_7149</w:t>
            </w:r>
          </w:p>
        </w:tc>
        <w:tc>
          <w:tcPr>
            <w:tcW w:w="1276" w:type="dxa"/>
            <w:gridSpan w:val="2"/>
            <w:vAlign w:val="center"/>
          </w:tcPr>
          <w:p w14:paraId="73EAFCE5"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kern w:val="0"/>
                <w:sz w:val="20"/>
                <w:szCs w:val="20"/>
                <w:shd w:val="clear" w:color="auto" w:fill="FFFFFF"/>
                <w:lang w:eastAsia="sk-SK"/>
                <w14:ligatures w14:val="none"/>
              </w:rPr>
              <w:t>DR SCAN</w:t>
            </w:r>
          </w:p>
        </w:tc>
        <w:tc>
          <w:tcPr>
            <w:tcW w:w="1559" w:type="dxa"/>
            <w:vAlign w:val="center"/>
          </w:tcPr>
          <w:p w14:paraId="18F4E08B"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nie</w:t>
            </w:r>
          </w:p>
        </w:tc>
      </w:tr>
      <w:tr w:rsidR="00136466" w:rsidRPr="00136466" w14:paraId="24D1B090" w14:textId="77777777" w:rsidTr="003627DF">
        <w:trPr>
          <w:trHeight w:val="20"/>
        </w:trPr>
        <w:tc>
          <w:tcPr>
            <w:tcW w:w="3956" w:type="dxa"/>
            <w:vMerge/>
          </w:tcPr>
          <w:p w14:paraId="74753173" w14:textId="77777777" w:rsidR="00136466" w:rsidRPr="00136466" w:rsidRDefault="00136466" w:rsidP="00136466">
            <w:pPr>
              <w:spacing w:after="0" w:line="240" w:lineRule="auto"/>
              <w:rPr>
                <w:rFonts w:ascii="Times New Roman" w:eastAsia="Times New Roman" w:hAnsi="Times New Roman" w:cs="Times New Roman"/>
                <w:b/>
                <w:kern w:val="0"/>
                <w:sz w:val="20"/>
                <w:szCs w:val="20"/>
                <w:lang w:eastAsia="sk-SK"/>
                <w14:ligatures w14:val="none"/>
              </w:rPr>
            </w:pPr>
          </w:p>
        </w:tc>
        <w:tc>
          <w:tcPr>
            <w:tcW w:w="1446" w:type="dxa"/>
            <w:vAlign w:val="center"/>
          </w:tcPr>
          <w:p w14:paraId="4EF708FB"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B</w:t>
            </w:r>
          </w:p>
        </w:tc>
        <w:tc>
          <w:tcPr>
            <w:tcW w:w="1134" w:type="dxa"/>
            <w:vAlign w:val="center"/>
          </w:tcPr>
          <w:p w14:paraId="762056ED"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kern w:val="0"/>
                <w:sz w:val="20"/>
                <w:szCs w:val="20"/>
                <w:shd w:val="clear" w:color="auto" w:fill="FFFFFF"/>
                <w:lang w:eastAsia="sk-SK"/>
                <w14:ligatures w14:val="none"/>
              </w:rPr>
              <w:t>isvs_7146</w:t>
            </w:r>
          </w:p>
        </w:tc>
        <w:tc>
          <w:tcPr>
            <w:tcW w:w="1276" w:type="dxa"/>
            <w:gridSpan w:val="2"/>
            <w:vAlign w:val="center"/>
          </w:tcPr>
          <w:p w14:paraId="51B3C8D1"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kern w:val="0"/>
                <w:sz w:val="20"/>
                <w:szCs w:val="20"/>
                <w:shd w:val="clear" w:color="auto" w:fill="FFFFFF"/>
                <w:lang w:eastAsia="sk-SK"/>
                <w14:ligatures w14:val="none"/>
              </w:rPr>
              <w:t>Data Warehouse (DWH)</w:t>
            </w:r>
          </w:p>
        </w:tc>
        <w:tc>
          <w:tcPr>
            <w:tcW w:w="1559" w:type="dxa"/>
            <w:vAlign w:val="center"/>
          </w:tcPr>
          <w:p w14:paraId="792BEA8A"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nie</w:t>
            </w:r>
          </w:p>
        </w:tc>
      </w:tr>
      <w:tr w:rsidR="00136466" w:rsidRPr="00136466" w14:paraId="4A4BE6FF" w14:textId="77777777" w:rsidTr="003627DF">
        <w:trPr>
          <w:trHeight w:val="20"/>
        </w:trPr>
        <w:tc>
          <w:tcPr>
            <w:tcW w:w="3956" w:type="dxa"/>
            <w:vMerge/>
          </w:tcPr>
          <w:p w14:paraId="1B6F44AE" w14:textId="77777777" w:rsidR="00136466" w:rsidRPr="00136466" w:rsidRDefault="00136466" w:rsidP="00136466">
            <w:pPr>
              <w:spacing w:after="0" w:line="240" w:lineRule="auto"/>
              <w:rPr>
                <w:rFonts w:ascii="Times New Roman" w:eastAsia="Times New Roman" w:hAnsi="Times New Roman" w:cs="Times New Roman"/>
                <w:b/>
                <w:kern w:val="0"/>
                <w:sz w:val="20"/>
                <w:szCs w:val="20"/>
                <w:lang w:eastAsia="sk-SK"/>
                <w14:ligatures w14:val="none"/>
              </w:rPr>
            </w:pPr>
          </w:p>
        </w:tc>
        <w:tc>
          <w:tcPr>
            <w:tcW w:w="1446" w:type="dxa"/>
            <w:vAlign w:val="center"/>
          </w:tcPr>
          <w:p w14:paraId="16AA7BD0"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B</w:t>
            </w:r>
          </w:p>
        </w:tc>
        <w:tc>
          <w:tcPr>
            <w:tcW w:w="1134" w:type="dxa"/>
            <w:vAlign w:val="center"/>
          </w:tcPr>
          <w:p w14:paraId="255CA1AC"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kern w:val="0"/>
                <w:sz w:val="20"/>
                <w:szCs w:val="20"/>
                <w:shd w:val="clear" w:color="auto" w:fill="FFFFFF"/>
                <w:lang w:eastAsia="sk-SK"/>
                <w14:ligatures w14:val="none"/>
              </w:rPr>
              <w:t>isvs_7213</w:t>
            </w:r>
          </w:p>
        </w:tc>
        <w:tc>
          <w:tcPr>
            <w:tcW w:w="1276" w:type="dxa"/>
            <w:gridSpan w:val="2"/>
            <w:vAlign w:val="center"/>
          </w:tcPr>
          <w:p w14:paraId="6DB3056B"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Portál finančnej správy (PFS)</w:t>
            </w:r>
          </w:p>
        </w:tc>
        <w:tc>
          <w:tcPr>
            <w:tcW w:w="1559" w:type="dxa"/>
            <w:vAlign w:val="center"/>
          </w:tcPr>
          <w:p w14:paraId="07E3D415"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nie</w:t>
            </w:r>
          </w:p>
        </w:tc>
      </w:tr>
      <w:tr w:rsidR="00136466" w:rsidRPr="00136466" w14:paraId="6FFF8F36" w14:textId="77777777" w:rsidTr="003627DF">
        <w:trPr>
          <w:trHeight w:val="20"/>
        </w:trPr>
        <w:tc>
          <w:tcPr>
            <w:tcW w:w="3956" w:type="dxa"/>
            <w:vMerge w:val="restart"/>
          </w:tcPr>
          <w:p w14:paraId="5CE99568" w14:textId="77777777" w:rsidR="00136466" w:rsidRPr="00136466" w:rsidRDefault="00136466" w:rsidP="00136466">
            <w:pPr>
              <w:spacing w:after="0" w:line="240" w:lineRule="auto"/>
              <w:rPr>
                <w:rFonts w:ascii="Times New Roman" w:eastAsia="Times New Roman" w:hAnsi="Times New Roman" w:cs="Times New Roman"/>
                <w:bCs/>
                <w:kern w:val="0"/>
                <w:sz w:val="20"/>
                <w:szCs w:val="20"/>
                <w:lang w:eastAsia="sk-SK"/>
                <w14:ligatures w14:val="none"/>
              </w:rPr>
            </w:pPr>
            <w:r w:rsidRPr="00136466">
              <w:rPr>
                <w:rFonts w:ascii="Times New Roman" w:eastAsia="Times New Roman" w:hAnsi="Times New Roman" w:cs="Times New Roman"/>
                <w:bCs/>
                <w:kern w:val="0"/>
                <w:sz w:val="20"/>
                <w:szCs w:val="20"/>
                <w:lang w:eastAsia="sk-SK"/>
                <w14:ligatures w14:val="none"/>
              </w:rPr>
              <w:t>zákon č. 461/2003 Z. z.</w:t>
            </w:r>
          </w:p>
        </w:tc>
        <w:tc>
          <w:tcPr>
            <w:tcW w:w="1446" w:type="dxa"/>
          </w:tcPr>
          <w:p w14:paraId="0815AFA5"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B</w:t>
            </w:r>
          </w:p>
        </w:tc>
        <w:tc>
          <w:tcPr>
            <w:tcW w:w="1134" w:type="dxa"/>
          </w:tcPr>
          <w:p w14:paraId="42FFFFE5" w14:textId="77777777" w:rsidR="00136466" w:rsidRPr="00136466" w:rsidRDefault="00136466" w:rsidP="00136466">
            <w:pPr>
              <w:spacing w:after="0" w:line="240" w:lineRule="auto"/>
              <w:rPr>
                <w:rFonts w:ascii="Times New Roman" w:eastAsia="Times New Roman" w:hAnsi="Times New Roman" w:cs="Times New Roman"/>
                <w:color w:val="333333"/>
                <w:kern w:val="0"/>
                <w:sz w:val="20"/>
                <w:szCs w:val="20"/>
                <w:lang w:eastAsia="sk-SK"/>
                <w14:ligatures w14:val="none"/>
              </w:rPr>
            </w:pPr>
            <w:r w:rsidRPr="00136466">
              <w:rPr>
                <w:rFonts w:ascii="Times New Roman" w:eastAsia="Times New Roman" w:hAnsi="Times New Roman" w:cs="Times New Roman"/>
                <w:color w:val="333333"/>
                <w:kern w:val="0"/>
                <w:sz w:val="20"/>
                <w:szCs w:val="20"/>
                <w:lang w:eastAsia="sk-SK"/>
                <w14:ligatures w14:val="none"/>
              </w:rPr>
              <w:t>isvs_546</w:t>
            </w:r>
          </w:p>
          <w:p w14:paraId="7208BB72"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shd w:val="clear" w:color="auto" w:fill="FFFFFF"/>
                <w:lang w:eastAsia="sk-SK"/>
                <w14:ligatures w14:val="none"/>
              </w:rPr>
            </w:pPr>
          </w:p>
        </w:tc>
        <w:tc>
          <w:tcPr>
            <w:tcW w:w="1276" w:type="dxa"/>
            <w:gridSpan w:val="2"/>
          </w:tcPr>
          <w:p w14:paraId="540BFAA6"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hyperlink r:id="rId57" w:history="1">
              <w:r w:rsidRPr="00136466">
                <w:rPr>
                  <w:rFonts w:ascii="Times New Roman" w:eastAsia="Times New Roman" w:hAnsi="Times New Roman" w:cs="Times New Roman"/>
                  <w:color w:val="333333"/>
                  <w:kern w:val="0"/>
                  <w:sz w:val="20"/>
                  <w:szCs w:val="20"/>
                  <w:lang w:eastAsia="sk-SK"/>
                  <w14:ligatures w14:val="none"/>
                </w:rPr>
                <w:t>IS dôchodkového poistenia (DP)</w:t>
              </w:r>
            </w:hyperlink>
          </w:p>
        </w:tc>
        <w:tc>
          <w:tcPr>
            <w:tcW w:w="1559" w:type="dxa"/>
          </w:tcPr>
          <w:p w14:paraId="6A9BA46B"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nie</w:t>
            </w:r>
          </w:p>
        </w:tc>
      </w:tr>
      <w:tr w:rsidR="00136466" w:rsidRPr="00136466" w14:paraId="1EE9C9E6" w14:textId="77777777" w:rsidTr="003627DF">
        <w:trPr>
          <w:trHeight w:val="20"/>
        </w:trPr>
        <w:tc>
          <w:tcPr>
            <w:tcW w:w="3956" w:type="dxa"/>
            <w:vMerge/>
          </w:tcPr>
          <w:p w14:paraId="3A25EB80" w14:textId="77777777" w:rsidR="00136466" w:rsidRPr="00136466" w:rsidRDefault="00136466" w:rsidP="00136466">
            <w:pPr>
              <w:spacing w:after="0" w:line="240" w:lineRule="auto"/>
              <w:rPr>
                <w:rFonts w:ascii="Times New Roman" w:eastAsia="Times New Roman" w:hAnsi="Times New Roman" w:cs="Times New Roman"/>
                <w:bCs/>
                <w:kern w:val="0"/>
                <w:sz w:val="20"/>
                <w:szCs w:val="20"/>
                <w:lang w:eastAsia="sk-SK"/>
                <w14:ligatures w14:val="none"/>
              </w:rPr>
            </w:pPr>
          </w:p>
        </w:tc>
        <w:tc>
          <w:tcPr>
            <w:tcW w:w="1446" w:type="dxa"/>
          </w:tcPr>
          <w:p w14:paraId="5BC86218"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B</w:t>
            </w:r>
          </w:p>
        </w:tc>
        <w:tc>
          <w:tcPr>
            <w:tcW w:w="1134" w:type="dxa"/>
          </w:tcPr>
          <w:p w14:paraId="31680F55"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shd w:val="clear" w:color="auto" w:fill="FFFFFF"/>
                <w:lang w:eastAsia="sk-SK"/>
                <w14:ligatures w14:val="none"/>
              </w:rPr>
            </w:pPr>
            <w:r w:rsidRPr="00136466">
              <w:rPr>
                <w:rFonts w:ascii="Times New Roman" w:eastAsia="Times New Roman" w:hAnsi="Times New Roman" w:cs="Times New Roman"/>
                <w:color w:val="333333"/>
                <w:kern w:val="0"/>
                <w:sz w:val="20"/>
                <w:szCs w:val="20"/>
                <w:lang w:eastAsia="sk-SK"/>
                <w14:ligatures w14:val="none"/>
              </w:rPr>
              <w:t>isvs_551</w:t>
            </w:r>
          </w:p>
        </w:tc>
        <w:tc>
          <w:tcPr>
            <w:tcW w:w="1276" w:type="dxa"/>
            <w:gridSpan w:val="2"/>
          </w:tcPr>
          <w:p w14:paraId="0020F6D7"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color w:val="333333"/>
                <w:kern w:val="0"/>
                <w:sz w:val="20"/>
                <w:szCs w:val="20"/>
                <w:lang w:eastAsia="sk-SK"/>
                <w14:ligatures w14:val="none"/>
              </w:rPr>
              <w:t>Systém elektronických služieb (SES)</w:t>
            </w:r>
          </w:p>
        </w:tc>
        <w:tc>
          <w:tcPr>
            <w:tcW w:w="1559" w:type="dxa"/>
          </w:tcPr>
          <w:p w14:paraId="0BAA4A1C"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nie</w:t>
            </w:r>
          </w:p>
        </w:tc>
      </w:tr>
      <w:tr w:rsidR="00136466" w:rsidRPr="00136466" w14:paraId="4C2D615F" w14:textId="77777777" w:rsidTr="003627DF">
        <w:trPr>
          <w:trHeight w:val="20"/>
        </w:trPr>
        <w:tc>
          <w:tcPr>
            <w:tcW w:w="3956" w:type="dxa"/>
            <w:vMerge/>
          </w:tcPr>
          <w:p w14:paraId="09F3477A" w14:textId="77777777" w:rsidR="00136466" w:rsidRPr="00136466" w:rsidRDefault="00136466" w:rsidP="00136466">
            <w:pPr>
              <w:spacing w:after="0" w:line="240" w:lineRule="auto"/>
              <w:rPr>
                <w:rFonts w:ascii="Times New Roman" w:eastAsia="Times New Roman" w:hAnsi="Times New Roman" w:cs="Times New Roman"/>
                <w:bCs/>
                <w:kern w:val="0"/>
                <w:sz w:val="20"/>
                <w:szCs w:val="20"/>
                <w:lang w:eastAsia="sk-SK"/>
                <w14:ligatures w14:val="none"/>
              </w:rPr>
            </w:pPr>
          </w:p>
        </w:tc>
        <w:tc>
          <w:tcPr>
            <w:tcW w:w="1446" w:type="dxa"/>
          </w:tcPr>
          <w:p w14:paraId="5509D020"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B</w:t>
            </w:r>
          </w:p>
        </w:tc>
        <w:tc>
          <w:tcPr>
            <w:tcW w:w="1134" w:type="dxa"/>
          </w:tcPr>
          <w:p w14:paraId="748231AD"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shd w:val="clear" w:color="auto" w:fill="FFFFFF"/>
                <w:lang w:eastAsia="sk-SK"/>
                <w14:ligatures w14:val="none"/>
              </w:rPr>
            </w:pPr>
            <w:r w:rsidRPr="00136466">
              <w:rPr>
                <w:rFonts w:ascii="Times New Roman" w:eastAsia="Times New Roman" w:hAnsi="Times New Roman" w:cs="Times New Roman"/>
                <w:color w:val="333333"/>
                <w:kern w:val="0"/>
                <w:sz w:val="20"/>
                <w:szCs w:val="20"/>
                <w:lang w:eastAsia="sk-SK"/>
                <w14:ligatures w14:val="none"/>
              </w:rPr>
              <w:t>isvs_8213</w:t>
            </w:r>
          </w:p>
        </w:tc>
        <w:tc>
          <w:tcPr>
            <w:tcW w:w="1276" w:type="dxa"/>
            <w:gridSpan w:val="2"/>
          </w:tcPr>
          <w:p w14:paraId="41B8BE79"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color w:val="333333"/>
                <w:kern w:val="0"/>
                <w:sz w:val="20"/>
                <w:szCs w:val="20"/>
                <w:lang w:eastAsia="sk-SK"/>
                <w14:ligatures w14:val="none"/>
              </w:rPr>
              <w:t>Informačný systém Jednotného výberu poistného (IS JVP)</w:t>
            </w:r>
          </w:p>
        </w:tc>
        <w:tc>
          <w:tcPr>
            <w:tcW w:w="1559" w:type="dxa"/>
          </w:tcPr>
          <w:p w14:paraId="676FEEE9"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nie</w:t>
            </w:r>
          </w:p>
        </w:tc>
      </w:tr>
      <w:tr w:rsidR="00136466" w:rsidRPr="00136466" w14:paraId="15400E85" w14:textId="77777777" w:rsidTr="003627DF">
        <w:trPr>
          <w:trHeight w:val="20"/>
        </w:trPr>
        <w:tc>
          <w:tcPr>
            <w:tcW w:w="3956" w:type="dxa"/>
            <w:vMerge/>
          </w:tcPr>
          <w:p w14:paraId="03FD559A" w14:textId="77777777" w:rsidR="00136466" w:rsidRPr="00136466" w:rsidRDefault="00136466" w:rsidP="00136466">
            <w:pPr>
              <w:spacing w:after="0" w:line="240" w:lineRule="auto"/>
              <w:rPr>
                <w:rFonts w:ascii="Times New Roman" w:eastAsia="Times New Roman" w:hAnsi="Times New Roman" w:cs="Times New Roman"/>
                <w:bCs/>
                <w:kern w:val="0"/>
                <w:sz w:val="20"/>
                <w:szCs w:val="20"/>
                <w:lang w:eastAsia="sk-SK"/>
                <w14:ligatures w14:val="none"/>
              </w:rPr>
            </w:pPr>
          </w:p>
        </w:tc>
        <w:tc>
          <w:tcPr>
            <w:tcW w:w="1446" w:type="dxa"/>
          </w:tcPr>
          <w:p w14:paraId="28C9B17D"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B</w:t>
            </w:r>
          </w:p>
        </w:tc>
        <w:tc>
          <w:tcPr>
            <w:tcW w:w="1134" w:type="dxa"/>
          </w:tcPr>
          <w:p w14:paraId="5CAAD942"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shd w:val="clear" w:color="auto" w:fill="FFFFFF"/>
                <w:lang w:eastAsia="sk-SK"/>
                <w14:ligatures w14:val="none"/>
              </w:rPr>
            </w:pPr>
            <w:r w:rsidRPr="00136466">
              <w:rPr>
                <w:rFonts w:ascii="Times New Roman" w:eastAsia="Times New Roman" w:hAnsi="Times New Roman" w:cs="Times New Roman"/>
                <w:color w:val="333333"/>
                <w:kern w:val="0"/>
                <w:sz w:val="20"/>
                <w:szCs w:val="20"/>
                <w:lang w:eastAsia="sk-SK"/>
                <w14:ligatures w14:val="none"/>
              </w:rPr>
              <w:t>isvs_547</w:t>
            </w:r>
          </w:p>
        </w:tc>
        <w:tc>
          <w:tcPr>
            <w:tcW w:w="1276" w:type="dxa"/>
            <w:gridSpan w:val="2"/>
          </w:tcPr>
          <w:p w14:paraId="215D9271"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hyperlink r:id="rId58" w:history="1">
              <w:r w:rsidRPr="00136466">
                <w:rPr>
                  <w:rFonts w:ascii="Times New Roman" w:eastAsia="Times New Roman" w:hAnsi="Times New Roman" w:cs="Times New Roman"/>
                  <w:color w:val="333333"/>
                  <w:kern w:val="0"/>
                  <w:sz w:val="20"/>
                  <w:szCs w:val="20"/>
                  <w:lang w:eastAsia="sk-SK"/>
                  <w14:ligatures w14:val="none"/>
                </w:rPr>
                <w:t>IS nemocenského poistenia a lekárskej posudkovej činnosti (IS NPaLPČ)</w:t>
              </w:r>
            </w:hyperlink>
          </w:p>
        </w:tc>
        <w:tc>
          <w:tcPr>
            <w:tcW w:w="1559" w:type="dxa"/>
          </w:tcPr>
          <w:p w14:paraId="1DC7CE3F"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nie</w:t>
            </w:r>
          </w:p>
        </w:tc>
      </w:tr>
      <w:tr w:rsidR="00136466" w:rsidRPr="00136466" w14:paraId="496B1E59" w14:textId="77777777" w:rsidTr="003627DF">
        <w:trPr>
          <w:trHeight w:val="20"/>
        </w:trPr>
        <w:tc>
          <w:tcPr>
            <w:tcW w:w="3956" w:type="dxa"/>
            <w:vMerge/>
          </w:tcPr>
          <w:p w14:paraId="5579D0AB" w14:textId="77777777" w:rsidR="00136466" w:rsidRPr="00136466" w:rsidRDefault="00136466" w:rsidP="00136466">
            <w:pPr>
              <w:spacing w:after="0" w:line="240" w:lineRule="auto"/>
              <w:rPr>
                <w:rFonts w:ascii="Times New Roman" w:eastAsia="Times New Roman" w:hAnsi="Times New Roman" w:cs="Times New Roman"/>
                <w:bCs/>
                <w:kern w:val="0"/>
                <w:sz w:val="20"/>
                <w:szCs w:val="20"/>
                <w:lang w:eastAsia="sk-SK"/>
                <w14:ligatures w14:val="none"/>
              </w:rPr>
            </w:pPr>
          </w:p>
        </w:tc>
        <w:tc>
          <w:tcPr>
            <w:tcW w:w="1446" w:type="dxa"/>
          </w:tcPr>
          <w:p w14:paraId="3D470D7B"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B</w:t>
            </w:r>
          </w:p>
        </w:tc>
        <w:tc>
          <w:tcPr>
            <w:tcW w:w="1134" w:type="dxa"/>
          </w:tcPr>
          <w:p w14:paraId="69DD0DF5" w14:textId="77777777" w:rsidR="00136466" w:rsidRPr="00136466" w:rsidRDefault="00136466" w:rsidP="00136466">
            <w:pPr>
              <w:spacing w:after="0" w:line="240" w:lineRule="auto"/>
              <w:rPr>
                <w:rFonts w:ascii="Times New Roman" w:eastAsia="Times New Roman" w:hAnsi="Times New Roman" w:cs="Times New Roman"/>
                <w:color w:val="333333"/>
                <w:kern w:val="0"/>
                <w:sz w:val="20"/>
                <w:szCs w:val="20"/>
                <w:lang w:eastAsia="sk-SK"/>
                <w14:ligatures w14:val="none"/>
              </w:rPr>
            </w:pPr>
            <w:r w:rsidRPr="00136466">
              <w:rPr>
                <w:rFonts w:ascii="Times New Roman" w:eastAsia="Times New Roman" w:hAnsi="Times New Roman" w:cs="Times New Roman"/>
                <w:color w:val="333333"/>
                <w:kern w:val="0"/>
                <w:sz w:val="20"/>
                <w:szCs w:val="20"/>
                <w:lang w:eastAsia="sk-SK"/>
                <w14:ligatures w14:val="none"/>
              </w:rPr>
              <w:t>isvs_549</w:t>
            </w:r>
          </w:p>
          <w:p w14:paraId="606D6DE2"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shd w:val="clear" w:color="auto" w:fill="FFFFFF"/>
                <w:lang w:eastAsia="sk-SK"/>
                <w14:ligatures w14:val="none"/>
              </w:rPr>
            </w:pPr>
          </w:p>
        </w:tc>
        <w:tc>
          <w:tcPr>
            <w:tcW w:w="1276" w:type="dxa"/>
            <w:gridSpan w:val="2"/>
          </w:tcPr>
          <w:p w14:paraId="611D56EF"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hyperlink r:id="rId59" w:history="1">
              <w:r w:rsidRPr="00136466">
                <w:rPr>
                  <w:rFonts w:ascii="Times New Roman" w:eastAsia="Times New Roman" w:hAnsi="Times New Roman" w:cs="Times New Roman"/>
                  <w:color w:val="333333"/>
                  <w:kern w:val="0"/>
                  <w:sz w:val="20"/>
                  <w:szCs w:val="20"/>
                  <w:lang w:eastAsia="sk-SK"/>
                  <w14:ligatures w14:val="none"/>
                </w:rPr>
                <w:t>IS úrazového poistenia (UP)</w:t>
              </w:r>
            </w:hyperlink>
          </w:p>
        </w:tc>
        <w:tc>
          <w:tcPr>
            <w:tcW w:w="1559" w:type="dxa"/>
          </w:tcPr>
          <w:p w14:paraId="3D9CF4E1"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nie</w:t>
            </w:r>
          </w:p>
        </w:tc>
      </w:tr>
      <w:tr w:rsidR="00136466" w:rsidRPr="00136466" w14:paraId="14E178CB" w14:textId="77777777" w:rsidTr="003627DF">
        <w:trPr>
          <w:trHeight w:val="20"/>
        </w:trPr>
        <w:tc>
          <w:tcPr>
            <w:tcW w:w="3956" w:type="dxa"/>
            <w:vMerge/>
          </w:tcPr>
          <w:p w14:paraId="2D782888" w14:textId="77777777" w:rsidR="00136466" w:rsidRPr="00136466" w:rsidRDefault="00136466" w:rsidP="00136466">
            <w:pPr>
              <w:spacing w:after="0" w:line="240" w:lineRule="auto"/>
              <w:rPr>
                <w:rFonts w:ascii="Times New Roman" w:eastAsia="Times New Roman" w:hAnsi="Times New Roman" w:cs="Times New Roman"/>
                <w:bCs/>
                <w:kern w:val="0"/>
                <w:sz w:val="20"/>
                <w:szCs w:val="20"/>
                <w:lang w:eastAsia="sk-SK"/>
                <w14:ligatures w14:val="none"/>
              </w:rPr>
            </w:pPr>
          </w:p>
        </w:tc>
        <w:tc>
          <w:tcPr>
            <w:tcW w:w="1446" w:type="dxa"/>
          </w:tcPr>
          <w:p w14:paraId="75B7A7F8"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B</w:t>
            </w:r>
          </w:p>
        </w:tc>
        <w:tc>
          <w:tcPr>
            <w:tcW w:w="1134" w:type="dxa"/>
          </w:tcPr>
          <w:p w14:paraId="21B3C8A3" w14:textId="77777777" w:rsidR="00136466" w:rsidRPr="00136466" w:rsidRDefault="00136466" w:rsidP="00136466">
            <w:pPr>
              <w:spacing w:after="0" w:line="240" w:lineRule="auto"/>
              <w:rPr>
                <w:rFonts w:ascii="Times New Roman" w:eastAsia="Times New Roman" w:hAnsi="Times New Roman" w:cs="Times New Roman"/>
                <w:color w:val="333333"/>
                <w:kern w:val="0"/>
                <w:sz w:val="20"/>
                <w:szCs w:val="20"/>
                <w:lang w:eastAsia="sk-SK"/>
                <w14:ligatures w14:val="none"/>
              </w:rPr>
            </w:pPr>
            <w:r w:rsidRPr="00136466">
              <w:rPr>
                <w:rFonts w:ascii="Times New Roman" w:eastAsia="Times New Roman" w:hAnsi="Times New Roman" w:cs="Times New Roman"/>
                <w:color w:val="333333"/>
                <w:kern w:val="0"/>
                <w:sz w:val="20"/>
                <w:szCs w:val="20"/>
                <w:lang w:eastAsia="sk-SK"/>
                <w14:ligatures w14:val="none"/>
              </w:rPr>
              <w:t>isvs_550</w:t>
            </w:r>
          </w:p>
          <w:p w14:paraId="0924CC4A"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shd w:val="clear" w:color="auto" w:fill="FFFFFF"/>
                <w:lang w:eastAsia="sk-SK"/>
                <w14:ligatures w14:val="none"/>
              </w:rPr>
            </w:pPr>
          </w:p>
        </w:tc>
        <w:tc>
          <w:tcPr>
            <w:tcW w:w="1276" w:type="dxa"/>
            <w:gridSpan w:val="2"/>
          </w:tcPr>
          <w:p w14:paraId="63BDF9C3"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hyperlink r:id="rId60" w:history="1">
              <w:r w:rsidRPr="00136466">
                <w:rPr>
                  <w:rFonts w:ascii="Times New Roman" w:eastAsia="Times New Roman" w:hAnsi="Times New Roman" w:cs="Times New Roman"/>
                  <w:color w:val="333333"/>
                  <w:kern w:val="0"/>
                  <w:sz w:val="20"/>
                  <w:szCs w:val="20"/>
                  <w:lang w:eastAsia="sk-SK"/>
                  <w14:ligatures w14:val="none"/>
                </w:rPr>
                <w:t>IS poistenia v nezamestnanosti a garančného poistenia (PvN a GP)</w:t>
              </w:r>
            </w:hyperlink>
          </w:p>
        </w:tc>
        <w:tc>
          <w:tcPr>
            <w:tcW w:w="1559" w:type="dxa"/>
          </w:tcPr>
          <w:p w14:paraId="0A23A79A" w14:textId="77777777" w:rsidR="00136466" w:rsidRPr="00136466" w:rsidRDefault="00136466" w:rsidP="00136466">
            <w:pPr>
              <w:spacing w:after="0" w:line="240" w:lineRule="auto"/>
              <w:jc w:val="center"/>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nie</w:t>
            </w:r>
          </w:p>
        </w:tc>
      </w:tr>
      <w:tr w:rsidR="00136466" w:rsidRPr="00136466" w14:paraId="42CEC1EC" w14:textId="77777777" w:rsidTr="003627DF">
        <w:trPr>
          <w:trHeight w:val="20"/>
        </w:trPr>
        <w:tc>
          <w:tcPr>
            <w:tcW w:w="3956" w:type="dxa"/>
            <w:shd w:val="clear" w:color="auto" w:fill="BFBFBF"/>
            <w:vAlign w:val="center"/>
          </w:tcPr>
          <w:p w14:paraId="28E3BFEA" w14:textId="77777777" w:rsidR="00136466" w:rsidRPr="00136466" w:rsidRDefault="00136466" w:rsidP="00136466">
            <w:pPr>
              <w:spacing w:after="0" w:line="20" w:lineRule="atLeast"/>
              <w:ind w:hanging="55"/>
              <w:jc w:val="center"/>
              <w:rPr>
                <w:rFonts w:ascii="Times New Roman" w:eastAsia="Times New Roman" w:hAnsi="Times New Roman" w:cs="Times New Roman"/>
                <w:b/>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Financovanie procesu informatizácie</w:t>
            </w:r>
          </w:p>
        </w:tc>
        <w:tc>
          <w:tcPr>
            <w:tcW w:w="1446" w:type="dxa"/>
            <w:shd w:val="clear" w:color="auto" w:fill="BFBFBF"/>
            <w:vAlign w:val="center"/>
          </w:tcPr>
          <w:p w14:paraId="44464861" w14:textId="77777777" w:rsidR="00136466" w:rsidRPr="00136466" w:rsidRDefault="00136466" w:rsidP="00136466">
            <w:pPr>
              <w:spacing w:after="0" w:line="240" w:lineRule="auto"/>
              <w:jc w:val="center"/>
              <w:rPr>
                <w:rFonts w:ascii="Times New Roman" w:eastAsia="Times New Roman" w:hAnsi="Times New Roman" w:cs="Times New Roman"/>
                <w:b/>
                <w:i/>
                <w:iCs/>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Rezortná úroveň</w:t>
            </w:r>
          </w:p>
        </w:tc>
        <w:tc>
          <w:tcPr>
            <w:tcW w:w="1984" w:type="dxa"/>
            <w:gridSpan w:val="2"/>
            <w:shd w:val="clear" w:color="auto" w:fill="BFBFBF"/>
            <w:vAlign w:val="center"/>
          </w:tcPr>
          <w:p w14:paraId="575378F2" w14:textId="77777777" w:rsidR="00136466" w:rsidRPr="00136466" w:rsidRDefault="00136466" w:rsidP="00136466">
            <w:pPr>
              <w:spacing w:after="0" w:line="240" w:lineRule="auto"/>
              <w:jc w:val="center"/>
              <w:rPr>
                <w:rFonts w:ascii="Times New Roman" w:eastAsia="Times New Roman" w:hAnsi="Times New Roman" w:cs="Times New Roman"/>
                <w:b/>
                <w:i/>
                <w:iCs/>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Nadrezortná úroveň</w:t>
            </w:r>
          </w:p>
          <w:p w14:paraId="3853AF3C" w14:textId="77777777" w:rsidR="00136466" w:rsidRPr="00136466" w:rsidRDefault="00136466" w:rsidP="00136466">
            <w:pPr>
              <w:spacing w:after="0" w:line="240" w:lineRule="auto"/>
              <w:jc w:val="center"/>
              <w:rPr>
                <w:rFonts w:ascii="Times New Roman" w:eastAsia="Times New Roman" w:hAnsi="Times New Roman" w:cs="Times New Roman"/>
                <w:b/>
                <w:kern w:val="0"/>
                <w:sz w:val="20"/>
                <w:szCs w:val="20"/>
                <w:lang w:eastAsia="sk-SK"/>
                <w14:ligatures w14:val="none"/>
              </w:rPr>
            </w:pPr>
          </w:p>
        </w:tc>
        <w:tc>
          <w:tcPr>
            <w:tcW w:w="1985" w:type="dxa"/>
            <w:gridSpan w:val="2"/>
            <w:shd w:val="clear" w:color="auto" w:fill="BFBFBF"/>
            <w:vAlign w:val="center"/>
          </w:tcPr>
          <w:p w14:paraId="7D766A08" w14:textId="77777777" w:rsidR="00136466" w:rsidRPr="00136466" w:rsidRDefault="00136466" w:rsidP="00136466">
            <w:pPr>
              <w:spacing w:after="0" w:line="240" w:lineRule="auto"/>
              <w:rPr>
                <w:rFonts w:ascii="Times New Roman" w:eastAsia="Times New Roman" w:hAnsi="Times New Roman" w:cs="Times New Roman"/>
                <w:b/>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A - z prostriedkov EÚ   B - z ďalších zdrojov financovania</w:t>
            </w:r>
          </w:p>
        </w:tc>
      </w:tr>
      <w:tr w:rsidR="00136466" w:rsidRPr="00136466" w14:paraId="545E5834" w14:textId="77777777" w:rsidTr="003627DF">
        <w:trPr>
          <w:trHeight w:val="20"/>
        </w:trPr>
        <w:tc>
          <w:tcPr>
            <w:tcW w:w="3956" w:type="dxa"/>
            <w:tcBorders>
              <w:bottom w:val="single" w:sz="4" w:space="0" w:color="auto"/>
            </w:tcBorders>
          </w:tcPr>
          <w:p w14:paraId="10F24EE2" w14:textId="77777777" w:rsidR="00136466" w:rsidRPr="00136466" w:rsidRDefault="00136466" w:rsidP="00136466">
            <w:pPr>
              <w:spacing w:after="0" w:line="240" w:lineRule="auto"/>
              <w:jc w:val="both"/>
              <w:rPr>
                <w:rFonts w:ascii="Times New Roman" w:eastAsia="Times New Roman" w:hAnsi="Times New Roman" w:cs="Times New Roman"/>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6.3.</w:t>
            </w:r>
            <w:r w:rsidRPr="00136466">
              <w:rPr>
                <w:rFonts w:ascii="Times New Roman" w:eastAsia="Times New Roman" w:hAnsi="Times New Roman" w:cs="Times New Roman"/>
                <w:kern w:val="0"/>
                <w:sz w:val="20"/>
                <w:szCs w:val="22"/>
                <w:lang w:eastAsia="sk-SK"/>
                <w14:ligatures w14:val="none"/>
              </w:rPr>
              <w:t xml:space="preserve"> Vyžaduje si proces informatizácie  finančné investície?</w:t>
            </w:r>
          </w:p>
          <w:p w14:paraId="3AC8E6E7" w14:textId="77777777" w:rsidR="00136466" w:rsidRPr="00136466" w:rsidRDefault="00136466" w:rsidP="00136466">
            <w:pPr>
              <w:spacing w:after="0" w:line="20" w:lineRule="atLeast"/>
              <w:jc w:val="both"/>
              <w:rPr>
                <w:rFonts w:ascii="Times New Roman" w:eastAsia="Times New Roman" w:hAnsi="Times New Roman" w:cs="Times New Roman"/>
                <w:kern w:val="0"/>
                <w:lang w:eastAsia="sk-SK"/>
                <w14:ligatures w14:val="none"/>
              </w:rPr>
            </w:pPr>
            <w:r w:rsidRPr="00136466">
              <w:rPr>
                <w:rFonts w:ascii="Times New Roman" w:eastAsia="Times New Roman" w:hAnsi="Times New Roman" w:cs="Times New Roman"/>
                <w:i/>
                <w:iCs/>
                <w:kern w:val="0"/>
                <w:sz w:val="20"/>
                <w:szCs w:val="22"/>
                <w:lang w:eastAsia="sk-SK"/>
                <w14:ligatures w14:val="none"/>
              </w:rPr>
              <w:t>(Uveďte príslušnú úroveň financovania a kvantifikáciu finančných výdavkov uveďte  v analýze vplyvov na rozpočet verejnej správy.)</w:t>
            </w:r>
          </w:p>
        </w:tc>
        <w:tc>
          <w:tcPr>
            <w:tcW w:w="1446" w:type="dxa"/>
            <w:tcBorders>
              <w:bottom w:val="single" w:sz="4" w:space="0" w:color="auto"/>
            </w:tcBorders>
            <w:vAlign w:val="center"/>
          </w:tcPr>
          <w:p w14:paraId="484F0B9A" w14:textId="77777777" w:rsidR="00136466" w:rsidRPr="00136466" w:rsidRDefault="00136466" w:rsidP="00136466">
            <w:pPr>
              <w:spacing w:after="0" w:line="240" w:lineRule="auto"/>
              <w:jc w:val="center"/>
              <w:rPr>
                <w:rFonts w:ascii="Times New Roman" w:eastAsia="Times New Roman" w:hAnsi="Times New Roman" w:cs="Times New Roman"/>
                <w:iCs/>
                <w:kern w:val="0"/>
                <w:lang w:eastAsia="sk-SK"/>
                <w14:ligatures w14:val="none"/>
              </w:rPr>
            </w:pPr>
            <w:r w:rsidRPr="00136466">
              <w:rPr>
                <w:rFonts w:ascii="Times New Roman" w:eastAsia="Times New Roman" w:hAnsi="Times New Roman" w:cs="Times New Roman"/>
                <w:iCs/>
                <w:kern w:val="0"/>
                <w:lang w:eastAsia="sk-SK"/>
                <w14:ligatures w14:val="none"/>
              </w:rPr>
              <w:t>X</w:t>
            </w:r>
          </w:p>
        </w:tc>
        <w:tc>
          <w:tcPr>
            <w:tcW w:w="1984" w:type="dxa"/>
            <w:gridSpan w:val="2"/>
            <w:tcBorders>
              <w:bottom w:val="single" w:sz="4" w:space="0" w:color="auto"/>
            </w:tcBorders>
            <w:vAlign w:val="center"/>
          </w:tcPr>
          <w:p w14:paraId="1B7CEB10" w14:textId="77777777" w:rsidR="00136466" w:rsidRPr="00136466" w:rsidRDefault="00136466" w:rsidP="00136466">
            <w:pPr>
              <w:spacing w:after="0" w:line="240" w:lineRule="auto"/>
              <w:jc w:val="center"/>
              <w:rPr>
                <w:rFonts w:ascii="Times New Roman" w:eastAsia="Times New Roman" w:hAnsi="Times New Roman" w:cs="Times New Roman"/>
                <w:iCs/>
                <w:kern w:val="0"/>
                <w:lang w:eastAsia="sk-SK"/>
                <w14:ligatures w14:val="none"/>
              </w:rPr>
            </w:pPr>
          </w:p>
        </w:tc>
        <w:tc>
          <w:tcPr>
            <w:tcW w:w="1985" w:type="dxa"/>
            <w:gridSpan w:val="2"/>
            <w:tcBorders>
              <w:bottom w:val="single" w:sz="4" w:space="0" w:color="auto"/>
            </w:tcBorders>
            <w:vAlign w:val="center"/>
          </w:tcPr>
          <w:p w14:paraId="22528FAB" w14:textId="77777777" w:rsidR="00136466" w:rsidRPr="00136466" w:rsidRDefault="00136466" w:rsidP="00136466">
            <w:pPr>
              <w:spacing w:after="0" w:line="240" w:lineRule="auto"/>
              <w:jc w:val="center"/>
              <w:rPr>
                <w:rFonts w:ascii="Times New Roman" w:eastAsia="Times New Roman" w:hAnsi="Times New Roman" w:cs="Times New Roman"/>
                <w:iCs/>
                <w:kern w:val="0"/>
                <w:lang w:eastAsia="sk-SK"/>
                <w14:ligatures w14:val="none"/>
              </w:rPr>
            </w:pPr>
            <w:r w:rsidRPr="00136466">
              <w:rPr>
                <w:rFonts w:ascii="Times New Roman" w:eastAsia="Times New Roman" w:hAnsi="Times New Roman" w:cs="Times New Roman"/>
                <w:iCs/>
                <w:kern w:val="0"/>
                <w:lang w:eastAsia="sk-SK"/>
                <w14:ligatures w14:val="none"/>
              </w:rPr>
              <w:t>B</w:t>
            </w:r>
          </w:p>
        </w:tc>
      </w:tr>
      <w:tr w:rsidR="00136466" w:rsidRPr="00136466" w14:paraId="11C32450" w14:textId="77777777" w:rsidTr="003627DF">
        <w:trPr>
          <w:trHeight w:val="20"/>
        </w:trPr>
        <w:tc>
          <w:tcPr>
            <w:tcW w:w="9371" w:type="dxa"/>
            <w:gridSpan w:val="6"/>
            <w:shd w:val="pct25" w:color="auto" w:fill="auto"/>
          </w:tcPr>
          <w:p w14:paraId="426AAEDD" w14:textId="77777777" w:rsidR="00136466" w:rsidRPr="00136466" w:rsidRDefault="00136466" w:rsidP="00136466">
            <w:pPr>
              <w:spacing w:after="0" w:line="20" w:lineRule="atLeast"/>
              <w:ind w:hanging="55"/>
              <w:jc w:val="center"/>
              <w:rPr>
                <w:rFonts w:ascii="Times New Roman" w:eastAsia="Times New Roman" w:hAnsi="Times New Roman" w:cs="Times New Roman"/>
                <w:i/>
                <w:iCs/>
                <w:kern w:val="0"/>
                <w:highlight w:val="darkGray"/>
                <w:lang w:eastAsia="sk-SK"/>
                <w14:ligatures w14:val="none"/>
              </w:rPr>
            </w:pPr>
            <w:r w:rsidRPr="00136466">
              <w:rPr>
                <w:rFonts w:ascii="Times New Roman" w:eastAsia="Times New Roman" w:hAnsi="Times New Roman" w:cs="Times New Roman"/>
                <w:b/>
                <w:kern w:val="0"/>
                <w:lang w:eastAsia="sk-SK"/>
                <w14:ligatures w14:val="none"/>
              </w:rPr>
              <w:t>Zjednodušenie prístupu ku konaniu a odstraňovanie byrokracie</w:t>
            </w:r>
          </w:p>
        </w:tc>
      </w:tr>
      <w:tr w:rsidR="00136466" w:rsidRPr="00136466" w14:paraId="7CF93452" w14:textId="77777777" w:rsidTr="003627DF">
        <w:trPr>
          <w:trHeight w:val="20"/>
        </w:trPr>
        <w:tc>
          <w:tcPr>
            <w:tcW w:w="9371" w:type="dxa"/>
            <w:gridSpan w:val="6"/>
            <w:shd w:val="pct25" w:color="auto" w:fill="auto"/>
          </w:tcPr>
          <w:p w14:paraId="0654C43E" w14:textId="77777777" w:rsidR="00136466" w:rsidRPr="00136466" w:rsidRDefault="00136466" w:rsidP="00136466">
            <w:pPr>
              <w:spacing w:after="0" w:line="20" w:lineRule="atLeast"/>
              <w:ind w:hanging="55"/>
              <w:jc w:val="center"/>
              <w:rPr>
                <w:rFonts w:ascii="Times New Roman" w:eastAsia="Times New Roman" w:hAnsi="Times New Roman" w:cs="Times New Roman"/>
                <w:b/>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Elektronické konanie</w:t>
            </w:r>
          </w:p>
        </w:tc>
      </w:tr>
      <w:tr w:rsidR="00136466" w:rsidRPr="00136466" w14:paraId="7BF326BF" w14:textId="77777777" w:rsidTr="003627DF">
        <w:trPr>
          <w:trHeight w:val="20"/>
        </w:trPr>
        <w:tc>
          <w:tcPr>
            <w:tcW w:w="3956" w:type="dxa"/>
          </w:tcPr>
          <w:p w14:paraId="7F5917A9" w14:textId="77777777" w:rsidR="00136466" w:rsidRPr="00136466" w:rsidRDefault="00136466" w:rsidP="00136466">
            <w:pPr>
              <w:spacing w:after="0" w:line="240" w:lineRule="auto"/>
              <w:jc w:val="both"/>
              <w:rPr>
                <w:rFonts w:ascii="Times New Roman" w:eastAsia="Times New Roman" w:hAnsi="Times New Roman" w:cs="Times New Roman"/>
                <w:b/>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 xml:space="preserve">6.4.1. </w:t>
            </w:r>
            <w:r w:rsidRPr="00136466">
              <w:rPr>
                <w:rFonts w:ascii="Times New Roman" w:eastAsia="Times New Roman" w:hAnsi="Times New Roman" w:cs="Times New Roman"/>
                <w:kern w:val="0"/>
                <w:sz w:val="20"/>
                <w:szCs w:val="22"/>
                <w:lang w:eastAsia="sk-SK"/>
                <w14:ligatures w14:val="none"/>
              </w:rPr>
              <w:t>Predpokladá predložený návrh vedenie konania o právach, právom chránených záujmoch alebo povinnostiach fyzických osôb a právnických osôb?</w:t>
            </w:r>
          </w:p>
        </w:tc>
        <w:tc>
          <w:tcPr>
            <w:tcW w:w="1446" w:type="dxa"/>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66A77EE5" w14:textId="77777777" w:rsidTr="003627DF">
              <w:sdt>
                <w:sdtPr>
                  <w:rPr>
                    <w:rFonts w:ascii="Times New Roman" w:eastAsia="Times New Roman" w:hAnsi="Times New Roman" w:cs="Times New Roman"/>
                    <w:sz w:val="20"/>
                    <w:szCs w:val="20"/>
                    <w:lang w:eastAsia="sk-SK"/>
                  </w:rPr>
                  <w:id w:val="1051428338"/>
                  <w14:checkbox>
                    <w14:checked w14:val="1"/>
                    <w14:checkedState w14:val="2612" w14:font="MS Gothic"/>
                    <w14:uncheckedState w14:val="2610" w14:font="MS Gothic"/>
                  </w14:checkbox>
                </w:sdtPr>
                <w:sdtContent>
                  <w:tc>
                    <w:tcPr>
                      <w:tcW w:w="436" w:type="dxa"/>
                    </w:tcPr>
                    <w:p w14:paraId="17EDA190"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125BCBD6"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Áno</w:t>
                  </w:r>
                </w:p>
              </w:tc>
            </w:tr>
            <w:tr w:rsidR="00136466" w:rsidRPr="00136466" w14:paraId="66BC524C" w14:textId="77777777" w:rsidTr="003627DF">
              <w:sdt>
                <w:sdtPr>
                  <w:rPr>
                    <w:rFonts w:ascii="Times New Roman" w:eastAsia="Times New Roman" w:hAnsi="Times New Roman" w:cs="Times New Roman"/>
                    <w:sz w:val="20"/>
                    <w:szCs w:val="20"/>
                    <w:lang w:eastAsia="sk-SK"/>
                  </w:rPr>
                  <w:id w:val="-200025544"/>
                  <w14:checkbox>
                    <w14:checked w14:val="0"/>
                    <w14:checkedState w14:val="2612" w14:font="MS Gothic"/>
                    <w14:uncheckedState w14:val="2610" w14:font="MS Gothic"/>
                  </w14:checkbox>
                </w:sdtPr>
                <w:sdtContent>
                  <w:tc>
                    <w:tcPr>
                      <w:tcW w:w="436" w:type="dxa"/>
                    </w:tcPr>
                    <w:p w14:paraId="42BC1333"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4439569B"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Nie</w:t>
                  </w:r>
                </w:p>
              </w:tc>
            </w:tr>
          </w:tbl>
          <w:p w14:paraId="61AE0D37" w14:textId="77777777" w:rsidR="00136466" w:rsidRPr="00136466" w:rsidRDefault="00136466" w:rsidP="00136466">
            <w:pPr>
              <w:spacing w:after="0" w:line="240" w:lineRule="auto"/>
              <w:rPr>
                <w:rFonts w:ascii="Times New Roman" w:eastAsia="Times New Roman" w:hAnsi="Times New Roman" w:cs="Times New Roman"/>
                <w:kern w:val="0"/>
                <w:lang w:eastAsia="sk-SK"/>
                <w14:ligatures w14:val="none"/>
              </w:rPr>
            </w:pPr>
          </w:p>
        </w:tc>
        <w:tc>
          <w:tcPr>
            <w:tcW w:w="3969" w:type="dxa"/>
            <w:gridSpan w:val="4"/>
            <w:shd w:val="clear" w:color="auto" w:fill="auto"/>
          </w:tcPr>
          <w:p w14:paraId="6D3DEE7D" w14:textId="77777777" w:rsidR="00136466" w:rsidRPr="00136466" w:rsidRDefault="00136466" w:rsidP="00136466">
            <w:pPr>
              <w:spacing w:after="0" w:line="240" w:lineRule="auto"/>
              <w:jc w:val="both"/>
              <w:rPr>
                <w:rFonts w:ascii="Times New Roman" w:eastAsia="Times New Roman" w:hAnsi="Times New Roman" w:cs="Times New Roman"/>
                <w:i/>
                <w:iCs/>
                <w:kern w:val="0"/>
                <w:lang w:eastAsia="sk-SK"/>
                <w14:ligatures w14:val="none"/>
              </w:rPr>
            </w:pPr>
            <w:r w:rsidRPr="00136466">
              <w:rPr>
                <w:rFonts w:ascii="Times New Roman" w:eastAsia="Times New Roman" w:hAnsi="Times New Roman" w:cs="Times New Roman"/>
                <w:iCs/>
                <w:kern w:val="0"/>
                <w:sz w:val="20"/>
                <w:szCs w:val="20"/>
                <w:lang w:eastAsia="sk-SK"/>
                <w14:ligatures w14:val="none"/>
              </w:rPr>
              <w:t>Procesný predpis, upravujúci pravidlá pre konanie v oblasti výberu poistného, dôchodkového poistenia, nemocenského poistenia, poistenia v nezamestnanosti a garančného poistenia.</w:t>
            </w:r>
          </w:p>
        </w:tc>
      </w:tr>
      <w:tr w:rsidR="00136466" w:rsidRPr="00136466" w14:paraId="301802FF" w14:textId="77777777" w:rsidTr="003627DF">
        <w:trPr>
          <w:trHeight w:val="20"/>
        </w:trPr>
        <w:tc>
          <w:tcPr>
            <w:tcW w:w="3956" w:type="dxa"/>
          </w:tcPr>
          <w:p w14:paraId="3A22589C" w14:textId="77777777" w:rsidR="00136466" w:rsidRPr="00136466" w:rsidRDefault="00136466" w:rsidP="00136466">
            <w:pPr>
              <w:spacing w:after="0" w:line="240" w:lineRule="auto"/>
              <w:jc w:val="both"/>
              <w:rPr>
                <w:rFonts w:ascii="Times New Roman" w:eastAsia="Times New Roman" w:hAnsi="Times New Roman" w:cs="Times New Roman"/>
                <w:b/>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 xml:space="preserve">6.4.2. </w:t>
            </w:r>
            <w:r w:rsidRPr="00136466">
              <w:rPr>
                <w:rFonts w:ascii="Times New Roman" w:eastAsia="Times New Roman" w:hAnsi="Times New Roman" w:cs="Times New Roman"/>
                <w:kern w:val="0"/>
                <w:sz w:val="20"/>
                <w:szCs w:val="22"/>
                <w:lang w:eastAsia="sk-SK"/>
                <w14:ligatures w14:val="none"/>
              </w:rPr>
              <w:t>Je dané konanie možné v celku vykonať elektronicky?</w:t>
            </w:r>
          </w:p>
        </w:tc>
        <w:tc>
          <w:tcPr>
            <w:tcW w:w="1446" w:type="dxa"/>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18BB08AB" w14:textId="77777777" w:rsidTr="003627DF">
              <w:sdt>
                <w:sdtPr>
                  <w:rPr>
                    <w:rFonts w:ascii="Times New Roman" w:eastAsia="Times New Roman" w:hAnsi="Times New Roman" w:cs="Times New Roman"/>
                    <w:sz w:val="20"/>
                    <w:szCs w:val="20"/>
                    <w:lang w:eastAsia="sk-SK"/>
                  </w:rPr>
                  <w:id w:val="-945843635"/>
                  <w14:checkbox>
                    <w14:checked w14:val="1"/>
                    <w14:checkedState w14:val="2612" w14:font="MS Gothic"/>
                    <w14:uncheckedState w14:val="2610" w14:font="MS Gothic"/>
                  </w14:checkbox>
                </w:sdtPr>
                <w:sdtContent>
                  <w:tc>
                    <w:tcPr>
                      <w:tcW w:w="436" w:type="dxa"/>
                    </w:tcPr>
                    <w:p w14:paraId="52AE2FD0"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7F6D21EA"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Áno</w:t>
                  </w:r>
                </w:p>
              </w:tc>
            </w:tr>
            <w:tr w:rsidR="00136466" w:rsidRPr="00136466" w14:paraId="2DA7ED8B" w14:textId="77777777" w:rsidTr="003627DF">
              <w:sdt>
                <w:sdtPr>
                  <w:rPr>
                    <w:rFonts w:ascii="Times New Roman" w:eastAsia="Times New Roman" w:hAnsi="Times New Roman" w:cs="Times New Roman"/>
                    <w:sz w:val="20"/>
                    <w:szCs w:val="20"/>
                    <w:lang w:eastAsia="sk-SK"/>
                  </w:rPr>
                  <w:id w:val="31386459"/>
                  <w14:checkbox>
                    <w14:checked w14:val="0"/>
                    <w14:checkedState w14:val="2612" w14:font="MS Gothic"/>
                    <w14:uncheckedState w14:val="2610" w14:font="MS Gothic"/>
                  </w14:checkbox>
                </w:sdtPr>
                <w:sdtContent>
                  <w:tc>
                    <w:tcPr>
                      <w:tcW w:w="436" w:type="dxa"/>
                    </w:tcPr>
                    <w:p w14:paraId="5A4848EF"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2222D73C"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Nie</w:t>
                  </w:r>
                </w:p>
              </w:tc>
            </w:tr>
          </w:tbl>
          <w:p w14:paraId="1E50B1AF" w14:textId="77777777" w:rsidR="00136466" w:rsidRPr="00136466" w:rsidRDefault="00136466" w:rsidP="00136466">
            <w:pPr>
              <w:spacing w:after="0" w:line="240" w:lineRule="auto"/>
              <w:rPr>
                <w:rFonts w:ascii="Times New Roman" w:eastAsia="Times New Roman" w:hAnsi="Times New Roman" w:cs="Times New Roman"/>
                <w:kern w:val="0"/>
                <w:lang w:eastAsia="sk-SK"/>
                <w14:ligatures w14:val="none"/>
              </w:rPr>
            </w:pPr>
          </w:p>
        </w:tc>
        <w:tc>
          <w:tcPr>
            <w:tcW w:w="3969" w:type="dxa"/>
            <w:gridSpan w:val="4"/>
            <w:shd w:val="clear" w:color="auto" w:fill="auto"/>
          </w:tcPr>
          <w:p w14:paraId="18BD454B" w14:textId="77777777" w:rsidR="00136466" w:rsidRPr="00136466" w:rsidRDefault="00136466" w:rsidP="00136466">
            <w:pPr>
              <w:spacing w:after="0" w:line="240" w:lineRule="auto"/>
              <w:rPr>
                <w:rFonts w:ascii="Times New Roman" w:eastAsia="Times New Roman" w:hAnsi="Times New Roman" w:cs="Times New Roman"/>
                <w:i/>
                <w:iCs/>
                <w:kern w:val="0"/>
                <w:lang w:eastAsia="sk-SK"/>
                <w14:ligatures w14:val="none"/>
              </w:rPr>
            </w:pPr>
          </w:p>
        </w:tc>
      </w:tr>
      <w:tr w:rsidR="00136466" w:rsidRPr="00136466" w14:paraId="45F8243A" w14:textId="77777777" w:rsidTr="003627DF">
        <w:trPr>
          <w:trHeight w:val="20"/>
        </w:trPr>
        <w:tc>
          <w:tcPr>
            <w:tcW w:w="3956" w:type="dxa"/>
          </w:tcPr>
          <w:p w14:paraId="2437C5AF" w14:textId="77777777" w:rsidR="00136466" w:rsidRPr="00136466" w:rsidRDefault="00136466" w:rsidP="00136466">
            <w:pPr>
              <w:spacing w:after="0" w:line="240" w:lineRule="auto"/>
              <w:jc w:val="both"/>
              <w:rPr>
                <w:rFonts w:ascii="Times New Roman" w:eastAsia="Times New Roman" w:hAnsi="Times New Roman" w:cs="Times New Roman"/>
                <w:b/>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 xml:space="preserve">6.4.3. </w:t>
            </w:r>
            <w:r w:rsidRPr="00136466">
              <w:rPr>
                <w:rFonts w:ascii="Times New Roman" w:eastAsia="Times New Roman" w:hAnsi="Times New Roman" w:cs="Times New Roman"/>
                <w:kern w:val="0"/>
                <w:sz w:val="20"/>
                <w:szCs w:val="22"/>
                <w:lang w:eastAsia="sk-SK"/>
                <w14:ligatures w14:val="none"/>
              </w:rPr>
              <w:t>Je úprava konania kompatibilná s inštitútmi zákona o e-Governmente a je na dané konanie zákon o e-Governmente možné použiť?</w:t>
            </w:r>
          </w:p>
        </w:tc>
        <w:tc>
          <w:tcPr>
            <w:tcW w:w="1446" w:type="dxa"/>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68ED7301" w14:textId="77777777" w:rsidTr="003627DF">
              <w:sdt>
                <w:sdtPr>
                  <w:rPr>
                    <w:rFonts w:ascii="Times New Roman" w:eastAsia="Times New Roman" w:hAnsi="Times New Roman" w:cs="Times New Roman"/>
                    <w:sz w:val="20"/>
                    <w:szCs w:val="20"/>
                    <w:lang w:eastAsia="sk-SK"/>
                  </w:rPr>
                  <w:id w:val="-812871524"/>
                  <w14:checkbox>
                    <w14:checked w14:val="1"/>
                    <w14:checkedState w14:val="2612" w14:font="MS Gothic"/>
                    <w14:uncheckedState w14:val="2610" w14:font="MS Gothic"/>
                  </w14:checkbox>
                </w:sdtPr>
                <w:sdtContent>
                  <w:tc>
                    <w:tcPr>
                      <w:tcW w:w="436" w:type="dxa"/>
                    </w:tcPr>
                    <w:p w14:paraId="0AA78446"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578A1FA9"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Áno</w:t>
                  </w:r>
                </w:p>
              </w:tc>
            </w:tr>
            <w:tr w:rsidR="00136466" w:rsidRPr="00136466" w14:paraId="2DFAE46D" w14:textId="77777777" w:rsidTr="003627DF">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Content>
                  <w:tc>
                    <w:tcPr>
                      <w:tcW w:w="436" w:type="dxa"/>
                    </w:tcPr>
                    <w:p w14:paraId="7861DAAE"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5D0F45F0"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Nie</w:t>
                  </w:r>
                </w:p>
              </w:tc>
            </w:tr>
          </w:tbl>
          <w:p w14:paraId="0D19F414" w14:textId="77777777" w:rsidR="00136466" w:rsidRPr="00136466" w:rsidRDefault="00136466" w:rsidP="00136466">
            <w:pPr>
              <w:spacing w:after="0" w:line="240" w:lineRule="auto"/>
              <w:rPr>
                <w:rFonts w:ascii="Times New Roman" w:eastAsia="Times New Roman" w:hAnsi="Times New Roman" w:cs="Times New Roman"/>
                <w:kern w:val="0"/>
                <w:lang w:eastAsia="sk-SK"/>
                <w14:ligatures w14:val="none"/>
              </w:rPr>
            </w:pPr>
          </w:p>
        </w:tc>
        <w:tc>
          <w:tcPr>
            <w:tcW w:w="3969" w:type="dxa"/>
            <w:gridSpan w:val="4"/>
            <w:shd w:val="clear" w:color="auto" w:fill="auto"/>
          </w:tcPr>
          <w:p w14:paraId="37B56BDF" w14:textId="77777777" w:rsidR="00136466" w:rsidRPr="00136466" w:rsidRDefault="00136466" w:rsidP="00136466">
            <w:pPr>
              <w:spacing w:after="0" w:line="240" w:lineRule="auto"/>
              <w:rPr>
                <w:rFonts w:ascii="Times New Roman" w:eastAsia="Times New Roman" w:hAnsi="Times New Roman" w:cs="Times New Roman"/>
                <w:i/>
                <w:iCs/>
                <w:kern w:val="0"/>
                <w:lang w:eastAsia="sk-SK"/>
                <w14:ligatures w14:val="none"/>
              </w:rPr>
            </w:pPr>
          </w:p>
        </w:tc>
      </w:tr>
      <w:tr w:rsidR="00136466" w:rsidRPr="00136466" w14:paraId="2126B67E" w14:textId="77777777" w:rsidTr="00136466">
        <w:trPr>
          <w:trHeight w:val="20"/>
        </w:trPr>
        <w:tc>
          <w:tcPr>
            <w:tcW w:w="9371" w:type="dxa"/>
            <w:gridSpan w:val="6"/>
            <w:shd w:val="clear" w:color="auto" w:fill="BFBFBF"/>
          </w:tcPr>
          <w:p w14:paraId="5B929338" w14:textId="77777777" w:rsidR="00136466" w:rsidRPr="00136466" w:rsidRDefault="00136466" w:rsidP="00136466">
            <w:pPr>
              <w:spacing w:after="0" w:line="20" w:lineRule="atLeast"/>
              <w:ind w:hanging="55"/>
              <w:jc w:val="center"/>
              <w:rPr>
                <w:rFonts w:ascii="Times New Roman" w:eastAsia="Times New Roman" w:hAnsi="Times New Roman" w:cs="Times New Roman"/>
                <w:i/>
                <w:iCs/>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Zásada „jedenkrát a dosť“</w:t>
            </w:r>
          </w:p>
        </w:tc>
      </w:tr>
      <w:tr w:rsidR="00136466" w:rsidRPr="00136466" w14:paraId="29F30032" w14:textId="77777777" w:rsidTr="003627DF">
        <w:trPr>
          <w:trHeight w:val="20"/>
        </w:trPr>
        <w:tc>
          <w:tcPr>
            <w:tcW w:w="3956" w:type="dxa"/>
          </w:tcPr>
          <w:p w14:paraId="6533CFDF" w14:textId="77777777" w:rsidR="00136466" w:rsidRPr="00136466" w:rsidRDefault="00136466" w:rsidP="00136466">
            <w:pPr>
              <w:spacing w:after="0" w:line="240" w:lineRule="auto"/>
              <w:jc w:val="both"/>
              <w:rPr>
                <w:rFonts w:ascii="Times New Roman" w:eastAsia="Times New Roman" w:hAnsi="Times New Roman" w:cs="Times New Roman"/>
                <w:b/>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 xml:space="preserve">6.5.1. </w:t>
            </w:r>
            <w:r w:rsidRPr="00136466">
              <w:rPr>
                <w:rFonts w:ascii="Times New Roman" w:eastAsia="Times New Roman" w:hAnsi="Times New Roman" w:cs="Times New Roman"/>
                <w:bCs/>
                <w:kern w:val="0"/>
                <w:sz w:val="20"/>
                <w:szCs w:val="22"/>
                <w:lang w:eastAsia="sk-SK"/>
                <w14:ligatures w14:val="none"/>
              </w:rPr>
              <w:t>Predpokladá predložený návrh predkladanie dokumentov, informácií alebo preukazovanie skutočností (ďalej len „údaje“) orgánu, ktorý konanie vedie?</w:t>
            </w:r>
          </w:p>
        </w:tc>
        <w:tc>
          <w:tcPr>
            <w:tcW w:w="1446" w:type="dxa"/>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5DD9694E" w14:textId="77777777" w:rsidTr="003627DF">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Content>
                  <w:tc>
                    <w:tcPr>
                      <w:tcW w:w="436" w:type="dxa"/>
                    </w:tcPr>
                    <w:p w14:paraId="0FBA7E86"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00948C5D"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Áno</w:t>
                  </w:r>
                </w:p>
              </w:tc>
            </w:tr>
            <w:tr w:rsidR="00136466" w:rsidRPr="00136466" w14:paraId="5A7210C9" w14:textId="77777777" w:rsidTr="003627DF">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Content>
                  <w:tc>
                    <w:tcPr>
                      <w:tcW w:w="436" w:type="dxa"/>
                    </w:tcPr>
                    <w:p w14:paraId="78A9C4E7"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23F3C8FB"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Nie</w:t>
                  </w:r>
                </w:p>
              </w:tc>
            </w:tr>
          </w:tbl>
          <w:p w14:paraId="64FAD36C" w14:textId="77777777" w:rsidR="00136466" w:rsidRPr="00136466" w:rsidRDefault="00136466" w:rsidP="00136466">
            <w:pPr>
              <w:spacing w:after="0" w:line="240" w:lineRule="auto"/>
              <w:rPr>
                <w:rFonts w:ascii="Times New Roman" w:eastAsia="Times New Roman" w:hAnsi="Times New Roman" w:cs="Times New Roman"/>
                <w:kern w:val="0"/>
                <w:lang w:eastAsia="sk-SK"/>
                <w14:ligatures w14:val="none"/>
              </w:rPr>
            </w:pPr>
          </w:p>
        </w:tc>
        <w:tc>
          <w:tcPr>
            <w:tcW w:w="3969" w:type="dxa"/>
            <w:gridSpan w:val="4"/>
          </w:tcPr>
          <w:p w14:paraId="058DBF5D" w14:textId="77777777" w:rsidR="00136466" w:rsidRPr="00136466" w:rsidRDefault="00136466" w:rsidP="00136466">
            <w:pPr>
              <w:spacing w:after="0" w:line="20" w:lineRule="atLeast"/>
              <w:jc w:val="both"/>
              <w:rPr>
                <w:rFonts w:ascii="Times New Roman" w:eastAsia="Times New Roman" w:hAnsi="Times New Roman" w:cs="Times New Roman"/>
                <w:i/>
                <w:iCs/>
                <w:kern w:val="0"/>
                <w:lang w:eastAsia="sk-SK"/>
                <w14:ligatures w14:val="none"/>
              </w:rPr>
            </w:pPr>
          </w:p>
        </w:tc>
      </w:tr>
      <w:tr w:rsidR="00136466" w:rsidRPr="00136466" w14:paraId="167A995C" w14:textId="77777777" w:rsidTr="003627DF">
        <w:trPr>
          <w:trHeight w:val="20"/>
        </w:trPr>
        <w:tc>
          <w:tcPr>
            <w:tcW w:w="3956" w:type="dxa"/>
          </w:tcPr>
          <w:p w14:paraId="6A5B347C" w14:textId="77777777" w:rsidR="00136466" w:rsidRPr="00136466" w:rsidRDefault="00136466" w:rsidP="00136466">
            <w:pPr>
              <w:spacing w:after="0" w:line="240" w:lineRule="auto"/>
              <w:jc w:val="both"/>
              <w:rPr>
                <w:rFonts w:ascii="Times New Roman" w:eastAsia="Times New Roman" w:hAnsi="Times New Roman" w:cs="Times New Roman"/>
                <w:b/>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 xml:space="preserve">6.5.2. </w:t>
            </w:r>
            <w:r w:rsidRPr="00136466">
              <w:rPr>
                <w:rFonts w:ascii="Times New Roman" w:eastAsia="Times New Roman" w:hAnsi="Times New Roman" w:cs="Times New Roman"/>
                <w:bCs/>
                <w:kern w:val="0"/>
                <w:sz w:val="20"/>
                <w:szCs w:val="22"/>
                <w:lang w:eastAsia="sk-SK"/>
                <w14:ligatures w14:val="none"/>
              </w:rPr>
              <w:t>Predpokladá predložený návrh, aby sa predkladali údaje, ktoré sa nachádzajú v zákonom ustanovenej evidencii vedenej orgánom, ktorý konanie vedie alebo iným orgánom?</w:t>
            </w:r>
          </w:p>
        </w:tc>
        <w:tc>
          <w:tcPr>
            <w:tcW w:w="1446" w:type="dxa"/>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403D3B82" w14:textId="77777777" w:rsidTr="003627DF">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Content>
                  <w:tc>
                    <w:tcPr>
                      <w:tcW w:w="436" w:type="dxa"/>
                    </w:tcPr>
                    <w:p w14:paraId="47F96D56"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46E4527C"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Áno</w:t>
                  </w:r>
                </w:p>
              </w:tc>
            </w:tr>
            <w:tr w:rsidR="00136466" w:rsidRPr="00136466" w14:paraId="6658A721" w14:textId="77777777" w:rsidTr="003627DF">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Content>
                  <w:tc>
                    <w:tcPr>
                      <w:tcW w:w="436" w:type="dxa"/>
                    </w:tcPr>
                    <w:p w14:paraId="0820C99D"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6CE34846"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Nie</w:t>
                  </w:r>
                </w:p>
              </w:tc>
            </w:tr>
          </w:tbl>
          <w:p w14:paraId="72108702" w14:textId="77777777" w:rsidR="00136466" w:rsidRPr="00136466" w:rsidRDefault="00136466" w:rsidP="00136466">
            <w:pPr>
              <w:spacing w:after="0" w:line="240" w:lineRule="auto"/>
              <w:rPr>
                <w:rFonts w:ascii="Times New Roman" w:eastAsia="Times New Roman" w:hAnsi="Times New Roman" w:cs="Times New Roman"/>
                <w:kern w:val="0"/>
                <w:lang w:eastAsia="sk-SK"/>
                <w14:ligatures w14:val="none"/>
              </w:rPr>
            </w:pPr>
          </w:p>
        </w:tc>
        <w:tc>
          <w:tcPr>
            <w:tcW w:w="3969" w:type="dxa"/>
            <w:gridSpan w:val="4"/>
          </w:tcPr>
          <w:p w14:paraId="7F1858C0" w14:textId="77777777" w:rsidR="00136466" w:rsidRPr="00136466" w:rsidRDefault="00136466" w:rsidP="00136466">
            <w:pPr>
              <w:spacing w:after="0" w:line="240" w:lineRule="auto"/>
              <w:rPr>
                <w:rFonts w:ascii="Times New Roman" w:eastAsia="Times New Roman" w:hAnsi="Times New Roman" w:cs="Times New Roman"/>
                <w:iCs/>
                <w:kern w:val="0"/>
                <w:sz w:val="20"/>
                <w:szCs w:val="20"/>
                <w:lang w:eastAsia="sk-SK"/>
                <w14:ligatures w14:val="none"/>
              </w:rPr>
            </w:pPr>
            <w:r w:rsidRPr="00136466">
              <w:rPr>
                <w:rFonts w:ascii="Times New Roman" w:eastAsia="Times New Roman" w:hAnsi="Times New Roman" w:cs="Times New Roman"/>
                <w:iCs/>
                <w:kern w:val="0"/>
                <w:sz w:val="20"/>
                <w:szCs w:val="20"/>
                <w:lang w:eastAsia="sk-SK"/>
                <w14:ligatures w14:val="none"/>
              </w:rPr>
              <w:t>1. Evidencia údajov o poistencoch,</w:t>
            </w:r>
          </w:p>
          <w:p w14:paraId="6411B5DC" w14:textId="77777777" w:rsidR="00136466" w:rsidRPr="00136466" w:rsidRDefault="00136466" w:rsidP="00136466">
            <w:pPr>
              <w:spacing w:after="0" w:line="240" w:lineRule="auto"/>
              <w:rPr>
                <w:rFonts w:ascii="Times New Roman" w:eastAsia="Times New Roman" w:hAnsi="Times New Roman" w:cs="Times New Roman"/>
                <w:i/>
                <w:iCs/>
                <w:kern w:val="0"/>
                <w:lang w:eastAsia="sk-SK"/>
                <w14:ligatures w14:val="none"/>
              </w:rPr>
            </w:pPr>
            <w:r w:rsidRPr="00136466">
              <w:rPr>
                <w:rFonts w:ascii="Times New Roman" w:eastAsia="Times New Roman" w:hAnsi="Times New Roman" w:cs="Times New Roman"/>
                <w:iCs/>
                <w:kern w:val="0"/>
                <w:sz w:val="20"/>
                <w:szCs w:val="20"/>
                <w:lang w:eastAsia="sk-SK"/>
                <w14:ligatures w14:val="none"/>
              </w:rPr>
              <w:t>2. Evidencia údajov o poberateľoch nemocenských dávok.</w:t>
            </w:r>
          </w:p>
        </w:tc>
      </w:tr>
      <w:tr w:rsidR="00136466" w:rsidRPr="00136466" w14:paraId="2A00250B" w14:textId="77777777" w:rsidTr="003627DF">
        <w:trPr>
          <w:trHeight w:val="20"/>
        </w:trPr>
        <w:tc>
          <w:tcPr>
            <w:tcW w:w="3956" w:type="dxa"/>
          </w:tcPr>
          <w:p w14:paraId="785A0921" w14:textId="77777777" w:rsidR="00136466" w:rsidRPr="00136466" w:rsidRDefault="00136466" w:rsidP="00136466">
            <w:pPr>
              <w:spacing w:after="0" w:line="240" w:lineRule="auto"/>
              <w:jc w:val="both"/>
              <w:rPr>
                <w:rFonts w:ascii="Times New Roman" w:eastAsia="Times New Roman" w:hAnsi="Times New Roman" w:cs="Times New Roman"/>
                <w:b/>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 xml:space="preserve">6.5.3. </w:t>
            </w:r>
            <w:r w:rsidRPr="00136466">
              <w:rPr>
                <w:rFonts w:ascii="Times New Roman" w:eastAsia="Times New Roman" w:hAnsi="Times New Roman" w:cs="Times New Roman"/>
                <w:kern w:val="0"/>
                <w:sz w:val="20"/>
                <w:szCs w:val="22"/>
                <w:lang w:eastAsia="sk-SK"/>
                <w14:ligatures w14:val="none"/>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136466">
              <w:rPr>
                <w:rFonts w:ascii="Times New Roman" w:eastAsia="Times New Roman" w:hAnsi="Times New Roman" w:cs="Times New Roman"/>
                <w:bCs/>
                <w:kern w:val="0"/>
                <w:sz w:val="20"/>
                <w:szCs w:val="22"/>
                <w:lang w:eastAsia="sk-SK"/>
                <w14:ligatures w14:val="none"/>
              </w:rPr>
              <w:t>subjektom súkromného práva, navrhovateľom, žiadateľom, účastníkom konania (ďalej len „účastník konania“)</w:t>
            </w:r>
            <w:r w:rsidRPr="00136466">
              <w:rPr>
                <w:rFonts w:ascii="Times New Roman" w:eastAsia="Times New Roman" w:hAnsi="Times New Roman" w:cs="Times New Roman"/>
                <w:kern w:val="0"/>
                <w:sz w:val="20"/>
                <w:szCs w:val="22"/>
                <w:lang w:eastAsia="sk-SK"/>
                <w14:ligatures w14:val="none"/>
              </w:rPr>
              <w:t>?</w:t>
            </w:r>
          </w:p>
        </w:tc>
        <w:tc>
          <w:tcPr>
            <w:tcW w:w="1446" w:type="dxa"/>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149F7D3E" w14:textId="77777777" w:rsidTr="003627DF">
              <w:sdt>
                <w:sdtPr>
                  <w:rPr>
                    <w:rFonts w:ascii="Times New Roman" w:eastAsia="Times New Roman" w:hAnsi="Times New Roman" w:cs="Times New Roman"/>
                    <w:sz w:val="20"/>
                    <w:szCs w:val="20"/>
                    <w:lang w:eastAsia="sk-SK"/>
                  </w:rPr>
                  <w:id w:val="-2115887386"/>
                  <w14:checkbox>
                    <w14:checked w14:val="1"/>
                    <w14:checkedState w14:val="2612" w14:font="MS Gothic"/>
                    <w14:uncheckedState w14:val="2610" w14:font="MS Gothic"/>
                  </w14:checkbox>
                </w:sdtPr>
                <w:sdtContent>
                  <w:tc>
                    <w:tcPr>
                      <w:tcW w:w="436" w:type="dxa"/>
                    </w:tcPr>
                    <w:p w14:paraId="311D255C"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462F0354"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Áno</w:t>
                  </w:r>
                </w:p>
              </w:tc>
            </w:tr>
            <w:tr w:rsidR="00136466" w:rsidRPr="00136466" w14:paraId="75CCAD00" w14:textId="77777777" w:rsidTr="003627DF">
              <w:sdt>
                <w:sdtPr>
                  <w:rPr>
                    <w:rFonts w:ascii="Times New Roman" w:eastAsia="Times New Roman" w:hAnsi="Times New Roman" w:cs="Times New Roman"/>
                    <w:sz w:val="20"/>
                    <w:szCs w:val="20"/>
                    <w:lang w:eastAsia="sk-SK"/>
                  </w:rPr>
                  <w:id w:val="-1730609562"/>
                  <w14:checkbox>
                    <w14:checked w14:val="0"/>
                    <w14:checkedState w14:val="2612" w14:font="MS Gothic"/>
                    <w14:uncheckedState w14:val="2610" w14:font="MS Gothic"/>
                  </w14:checkbox>
                </w:sdtPr>
                <w:sdtContent>
                  <w:tc>
                    <w:tcPr>
                      <w:tcW w:w="436" w:type="dxa"/>
                    </w:tcPr>
                    <w:p w14:paraId="45947130"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6AC72B15"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Nie</w:t>
                  </w:r>
                </w:p>
              </w:tc>
            </w:tr>
          </w:tbl>
          <w:p w14:paraId="4815DA40" w14:textId="77777777" w:rsidR="00136466" w:rsidRPr="00136466" w:rsidRDefault="00136466" w:rsidP="00136466">
            <w:pPr>
              <w:spacing w:after="0" w:line="240" w:lineRule="auto"/>
              <w:rPr>
                <w:rFonts w:ascii="Times New Roman" w:eastAsia="Times New Roman" w:hAnsi="Times New Roman" w:cs="Times New Roman"/>
                <w:kern w:val="0"/>
                <w:lang w:eastAsia="sk-SK"/>
                <w14:ligatures w14:val="none"/>
              </w:rPr>
            </w:pPr>
          </w:p>
        </w:tc>
        <w:tc>
          <w:tcPr>
            <w:tcW w:w="3969" w:type="dxa"/>
            <w:gridSpan w:val="4"/>
          </w:tcPr>
          <w:p w14:paraId="0962AFD5" w14:textId="77777777" w:rsidR="00136466" w:rsidRPr="00136466" w:rsidRDefault="00136466" w:rsidP="00136466">
            <w:pPr>
              <w:spacing w:after="0" w:line="240" w:lineRule="auto"/>
              <w:rPr>
                <w:rFonts w:ascii="Times New Roman" w:eastAsia="Times New Roman" w:hAnsi="Times New Roman" w:cs="Times New Roman"/>
                <w:i/>
                <w:iCs/>
                <w:kern w:val="0"/>
                <w:lang w:eastAsia="sk-SK"/>
                <w14:ligatures w14:val="none"/>
              </w:rPr>
            </w:pPr>
            <w:r w:rsidRPr="00136466">
              <w:rPr>
                <w:rFonts w:ascii="Times New Roman" w:eastAsia="Times New Roman" w:hAnsi="Times New Roman" w:cs="Times New Roman"/>
                <w:iCs/>
                <w:kern w:val="0"/>
                <w:sz w:val="20"/>
                <w:szCs w:val="20"/>
                <w:lang w:eastAsia="sk-SK"/>
                <w14:ligatures w14:val="none"/>
              </w:rPr>
              <w:t>Údaje budú získavané z vyššie uvedenej evidencie v bode 6.5.2 a editované na základe údajov súvisiacich s bodom 6.5.1 a procesným predpisom uvedeným v bode 6.4.1.</w:t>
            </w:r>
          </w:p>
        </w:tc>
      </w:tr>
      <w:tr w:rsidR="00136466" w:rsidRPr="00136466" w14:paraId="3DC62A9C" w14:textId="77777777" w:rsidTr="003627DF">
        <w:trPr>
          <w:trHeight w:val="20"/>
        </w:trPr>
        <w:tc>
          <w:tcPr>
            <w:tcW w:w="3956" w:type="dxa"/>
            <w:tcBorders>
              <w:bottom w:val="single" w:sz="4" w:space="0" w:color="auto"/>
            </w:tcBorders>
          </w:tcPr>
          <w:p w14:paraId="6299E658" w14:textId="77777777" w:rsidR="00136466" w:rsidRPr="00136466" w:rsidRDefault="00136466" w:rsidP="00136466">
            <w:pPr>
              <w:spacing w:after="0" w:line="240" w:lineRule="auto"/>
              <w:jc w:val="both"/>
              <w:rPr>
                <w:rFonts w:ascii="Times New Roman" w:eastAsia="Times New Roman" w:hAnsi="Times New Roman" w:cs="Times New Roman"/>
                <w:b/>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 xml:space="preserve">6.5.4. </w:t>
            </w:r>
            <w:r w:rsidRPr="00136466">
              <w:rPr>
                <w:rFonts w:ascii="Times New Roman" w:eastAsia="Times New Roman" w:hAnsi="Times New Roman" w:cs="Times New Roman"/>
                <w:kern w:val="0"/>
                <w:sz w:val="20"/>
                <w:szCs w:val="22"/>
                <w:lang w:eastAsia="sk-SK"/>
                <w14:ligatures w14:val="none"/>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41FC4365" w14:textId="77777777" w:rsidTr="003627DF">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Content>
                  <w:tc>
                    <w:tcPr>
                      <w:tcW w:w="436" w:type="dxa"/>
                    </w:tcPr>
                    <w:p w14:paraId="4526A585"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76A8BA34"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Áno</w:t>
                  </w:r>
                </w:p>
              </w:tc>
            </w:tr>
            <w:tr w:rsidR="00136466" w:rsidRPr="00136466" w14:paraId="385E5785" w14:textId="77777777" w:rsidTr="003627DF">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Content>
                  <w:tc>
                    <w:tcPr>
                      <w:tcW w:w="436" w:type="dxa"/>
                    </w:tcPr>
                    <w:p w14:paraId="05B23FC1"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22447C39"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Nie</w:t>
                  </w:r>
                </w:p>
              </w:tc>
            </w:tr>
          </w:tbl>
          <w:p w14:paraId="165067BB" w14:textId="77777777" w:rsidR="00136466" w:rsidRPr="00136466" w:rsidRDefault="00136466" w:rsidP="00136466">
            <w:pPr>
              <w:spacing w:after="0" w:line="240" w:lineRule="auto"/>
              <w:rPr>
                <w:rFonts w:ascii="Times New Roman" w:eastAsia="Times New Roman" w:hAnsi="Times New Roman" w:cs="Times New Roman"/>
                <w:kern w:val="0"/>
                <w:lang w:eastAsia="sk-SK"/>
                <w14:ligatures w14:val="none"/>
              </w:rPr>
            </w:pPr>
          </w:p>
        </w:tc>
        <w:tc>
          <w:tcPr>
            <w:tcW w:w="3969" w:type="dxa"/>
            <w:gridSpan w:val="4"/>
            <w:tcBorders>
              <w:bottom w:val="single" w:sz="4" w:space="0" w:color="auto"/>
            </w:tcBorders>
          </w:tcPr>
          <w:p w14:paraId="25A81F51" w14:textId="77777777" w:rsidR="00136466" w:rsidRPr="00136466" w:rsidRDefault="00136466" w:rsidP="00136466">
            <w:pPr>
              <w:spacing w:after="0" w:line="240" w:lineRule="auto"/>
              <w:rPr>
                <w:rFonts w:ascii="Times New Roman" w:eastAsia="Times New Roman" w:hAnsi="Times New Roman" w:cs="Times New Roman"/>
                <w:i/>
                <w:iCs/>
                <w:kern w:val="0"/>
                <w:lang w:eastAsia="sk-SK"/>
                <w14:ligatures w14:val="none"/>
              </w:rPr>
            </w:pPr>
          </w:p>
        </w:tc>
      </w:tr>
      <w:tr w:rsidR="00136466" w:rsidRPr="00136466" w14:paraId="7D2DABDC" w14:textId="77777777" w:rsidTr="003627DF">
        <w:trPr>
          <w:trHeight w:val="20"/>
        </w:trPr>
        <w:tc>
          <w:tcPr>
            <w:tcW w:w="9371" w:type="dxa"/>
            <w:gridSpan w:val="6"/>
            <w:shd w:val="pct25" w:color="auto" w:fill="auto"/>
          </w:tcPr>
          <w:p w14:paraId="765D87BF" w14:textId="77777777" w:rsidR="00136466" w:rsidRPr="00136466" w:rsidRDefault="00136466" w:rsidP="00136466">
            <w:pPr>
              <w:spacing w:after="0" w:line="20" w:lineRule="atLeast"/>
              <w:ind w:hanging="55"/>
              <w:jc w:val="center"/>
              <w:rPr>
                <w:rFonts w:ascii="Times New Roman" w:eastAsia="Times New Roman" w:hAnsi="Times New Roman" w:cs="Times New Roman"/>
                <w:i/>
                <w:iCs/>
                <w:kern w:val="0"/>
                <w:sz w:val="20"/>
                <w:szCs w:val="20"/>
                <w:lang w:eastAsia="sk-SK"/>
                <w14:ligatures w14:val="none"/>
              </w:rPr>
            </w:pPr>
            <w:r w:rsidRPr="00136466">
              <w:rPr>
                <w:rFonts w:ascii="Times New Roman" w:eastAsia="Times New Roman" w:hAnsi="Times New Roman" w:cs="Times New Roman"/>
                <w:b/>
                <w:kern w:val="0"/>
                <w:sz w:val="20"/>
                <w:szCs w:val="20"/>
                <w:lang w:eastAsia="sk-SK"/>
                <w14:ligatures w14:val="none"/>
              </w:rPr>
              <w:t>Výmena údajov medzi orgánmi verejnej moci</w:t>
            </w:r>
          </w:p>
        </w:tc>
      </w:tr>
      <w:tr w:rsidR="00136466" w:rsidRPr="00136466" w14:paraId="7ABC468A" w14:textId="77777777" w:rsidTr="003627DF">
        <w:trPr>
          <w:trHeight w:val="20"/>
        </w:trPr>
        <w:tc>
          <w:tcPr>
            <w:tcW w:w="3956" w:type="dxa"/>
          </w:tcPr>
          <w:p w14:paraId="5C271254" w14:textId="77777777" w:rsidR="00136466" w:rsidRPr="00136466" w:rsidRDefault="00136466" w:rsidP="00136466">
            <w:pPr>
              <w:spacing w:after="0" w:line="240" w:lineRule="auto"/>
              <w:jc w:val="both"/>
              <w:rPr>
                <w:rFonts w:ascii="Times New Roman" w:eastAsia="Times New Roman" w:hAnsi="Times New Roman" w:cs="Times New Roman"/>
                <w:b/>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 xml:space="preserve">6.6.1. </w:t>
            </w:r>
            <w:r w:rsidRPr="00136466">
              <w:rPr>
                <w:rFonts w:ascii="Times New Roman" w:eastAsia="Times New Roman" w:hAnsi="Times New Roman" w:cs="Times New Roman"/>
                <w:kern w:val="0"/>
                <w:sz w:val="20"/>
                <w:szCs w:val="22"/>
                <w:lang w:eastAsia="sk-SK"/>
                <w14:ligatures w14:val="none"/>
              </w:rPr>
              <w:t>Predpokladá predložený návrh zriadenie novej evidencie údajov alebo upravuje vedenie evidencie údajov?</w:t>
            </w:r>
          </w:p>
        </w:tc>
        <w:tc>
          <w:tcPr>
            <w:tcW w:w="1446" w:type="dxa"/>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57940C23" w14:textId="77777777" w:rsidTr="003627DF">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Content>
                  <w:tc>
                    <w:tcPr>
                      <w:tcW w:w="436" w:type="dxa"/>
                    </w:tcPr>
                    <w:p w14:paraId="61F700A6"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5BE0BBDE"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Áno</w:t>
                  </w:r>
                </w:p>
              </w:tc>
            </w:tr>
            <w:tr w:rsidR="00136466" w:rsidRPr="00136466" w14:paraId="75448364" w14:textId="77777777" w:rsidTr="003627DF">
              <w:sdt>
                <w:sdtPr>
                  <w:rPr>
                    <w:rFonts w:ascii="Times New Roman" w:eastAsia="Times New Roman" w:hAnsi="Times New Roman" w:cs="Times New Roman"/>
                    <w:sz w:val="20"/>
                    <w:szCs w:val="20"/>
                    <w:lang w:eastAsia="sk-SK"/>
                  </w:rPr>
                  <w:id w:val="-561481988"/>
                  <w14:checkbox>
                    <w14:checked w14:val="1"/>
                    <w14:checkedState w14:val="2612" w14:font="MS Gothic"/>
                    <w14:uncheckedState w14:val="2610" w14:font="MS Gothic"/>
                  </w14:checkbox>
                </w:sdtPr>
                <w:sdtContent>
                  <w:tc>
                    <w:tcPr>
                      <w:tcW w:w="436" w:type="dxa"/>
                    </w:tcPr>
                    <w:p w14:paraId="65A28868"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2757FAFD"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Nie</w:t>
                  </w:r>
                </w:p>
              </w:tc>
            </w:tr>
          </w:tbl>
          <w:p w14:paraId="6071781B" w14:textId="77777777" w:rsidR="00136466" w:rsidRPr="00136466" w:rsidRDefault="00136466" w:rsidP="00136466">
            <w:pPr>
              <w:spacing w:after="0" w:line="240" w:lineRule="auto"/>
              <w:rPr>
                <w:rFonts w:ascii="Times New Roman" w:eastAsia="Times New Roman" w:hAnsi="Times New Roman" w:cs="Times New Roman"/>
                <w:kern w:val="0"/>
                <w:lang w:eastAsia="sk-SK"/>
                <w14:ligatures w14:val="none"/>
              </w:rPr>
            </w:pPr>
          </w:p>
        </w:tc>
        <w:tc>
          <w:tcPr>
            <w:tcW w:w="3969" w:type="dxa"/>
            <w:gridSpan w:val="4"/>
          </w:tcPr>
          <w:p w14:paraId="7C19897C" w14:textId="77777777" w:rsidR="00136466" w:rsidRPr="00136466" w:rsidRDefault="00136466" w:rsidP="00136466">
            <w:pPr>
              <w:spacing w:after="0" w:line="240" w:lineRule="auto"/>
              <w:rPr>
                <w:rFonts w:ascii="Times New Roman" w:eastAsia="Times New Roman" w:hAnsi="Times New Roman" w:cs="Times New Roman"/>
                <w:i/>
                <w:iCs/>
                <w:kern w:val="0"/>
                <w:lang w:eastAsia="sk-SK"/>
                <w14:ligatures w14:val="none"/>
              </w:rPr>
            </w:pPr>
          </w:p>
        </w:tc>
      </w:tr>
      <w:tr w:rsidR="00136466" w:rsidRPr="00136466" w14:paraId="262B8445" w14:textId="77777777" w:rsidTr="003627DF">
        <w:trPr>
          <w:trHeight w:val="20"/>
        </w:trPr>
        <w:tc>
          <w:tcPr>
            <w:tcW w:w="3956" w:type="dxa"/>
          </w:tcPr>
          <w:p w14:paraId="23EB1CF0" w14:textId="77777777" w:rsidR="00136466" w:rsidRPr="00136466" w:rsidRDefault="00136466" w:rsidP="00136466">
            <w:pPr>
              <w:spacing w:after="0" w:line="240" w:lineRule="auto"/>
              <w:jc w:val="both"/>
              <w:rPr>
                <w:rFonts w:ascii="Times New Roman" w:eastAsia="Times New Roman" w:hAnsi="Times New Roman" w:cs="Times New Roman"/>
                <w:b/>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 xml:space="preserve">6.6.2. </w:t>
            </w:r>
            <w:r w:rsidRPr="00136466">
              <w:rPr>
                <w:rFonts w:ascii="Times New Roman" w:eastAsia="Times New Roman" w:hAnsi="Times New Roman" w:cs="Times New Roman"/>
                <w:kern w:val="0"/>
                <w:sz w:val="20"/>
                <w:szCs w:val="22"/>
                <w:lang w:eastAsia="sk-SK"/>
                <w14:ligatures w14:val="none"/>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2372E4CB" w14:textId="77777777" w:rsidTr="003627DF">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Content>
                  <w:tc>
                    <w:tcPr>
                      <w:tcW w:w="436" w:type="dxa"/>
                    </w:tcPr>
                    <w:p w14:paraId="0DC1DFF5"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61B97964"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Áno</w:t>
                  </w:r>
                </w:p>
              </w:tc>
            </w:tr>
            <w:tr w:rsidR="00136466" w:rsidRPr="00136466" w14:paraId="1688F0CA" w14:textId="77777777" w:rsidTr="003627DF">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Content>
                  <w:tc>
                    <w:tcPr>
                      <w:tcW w:w="436" w:type="dxa"/>
                    </w:tcPr>
                    <w:p w14:paraId="09C01611"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291B473E"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Nie</w:t>
                  </w:r>
                </w:p>
              </w:tc>
            </w:tr>
          </w:tbl>
          <w:p w14:paraId="1E8A3201" w14:textId="77777777" w:rsidR="00136466" w:rsidRPr="00136466" w:rsidRDefault="00136466" w:rsidP="00136466">
            <w:pPr>
              <w:spacing w:after="0" w:line="240" w:lineRule="auto"/>
              <w:rPr>
                <w:rFonts w:ascii="Times New Roman" w:eastAsia="Times New Roman" w:hAnsi="Times New Roman" w:cs="Times New Roman"/>
                <w:kern w:val="0"/>
                <w:lang w:eastAsia="sk-SK"/>
                <w14:ligatures w14:val="none"/>
              </w:rPr>
            </w:pPr>
          </w:p>
        </w:tc>
        <w:tc>
          <w:tcPr>
            <w:tcW w:w="3969" w:type="dxa"/>
            <w:gridSpan w:val="4"/>
          </w:tcPr>
          <w:p w14:paraId="36AD01D1" w14:textId="77777777" w:rsidR="00136466" w:rsidRPr="00136466" w:rsidRDefault="00136466" w:rsidP="00136466">
            <w:pPr>
              <w:spacing w:after="0" w:line="240" w:lineRule="auto"/>
              <w:rPr>
                <w:rFonts w:ascii="Times New Roman" w:eastAsia="Times New Roman" w:hAnsi="Times New Roman" w:cs="Times New Roman"/>
                <w:i/>
                <w:iCs/>
                <w:kern w:val="0"/>
                <w:lang w:eastAsia="sk-SK"/>
                <w14:ligatures w14:val="none"/>
              </w:rPr>
            </w:pPr>
          </w:p>
        </w:tc>
      </w:tr>
      <w:tr w:rsidR="00136466" w:rsidRPr="00136466" w14:paraId="3DCBFFF0" w14:textId="77777777" w:rsidTr="003627DF">
        <w:trPr>
          <w:trHeight w:val="20"/>
        </w:trPr>
        <w:tc>
          <w:tcPr>
            <w:tcW w:w="3956" w:type="dxa"/>
          </w:tcPr>
          <w:p w14:paraId="6E7E20A2" w14:textId="77777777" w:rsidR="00136466" w:rsidRPr="00136466" w:rsidRDefault="00136466" w:rsidP="00136466">
            <w:pPr>
              <w:spacing w:after="0" w:line="240" w:lineRule="auto"/>
              <w:jc w:val="both"/>
              <w:rPr>
                <w:rFonts w:ascii="Times New Roman" w:eastAsia="Times New Roman" w:hAnsi="Times New Roman" w:cs="Times New Roman"/>
                <w:b/>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 xml:space="preserve">6.6.3. </w:t>
            </w:r>
            <w:r w:rsidRPr="00136466">
              <w:rPr>
                <w:rFonts w:ascii="Times New Roman" w:eastAsia="Times New Roman" w:hAnsi="Times New Roman" w:cs="Times New Roman"/>
                <w:kern w:val="0"/>
                <w:sz w:val="20"/>
                <w:szCs w:val="22"/>
                <w:lang w:eastAsia="sk-SK"/>
                <w14:ligatures w14:val="none"/>
              </w:rPr>
              <w:t>Je zabezpečené poskytovanie údajov z evidencie elektronicky a automatizovaným spôsobom?</w:t>
            </w:r>
          </w:p>
        </w:tc>
        <w:tc>
          <w:tcPr>
            <w:tcW w:w="1446" w:type="dxa"/>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1AB63886" w14:textId="77777777" w:rsidTr="003627DF">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Content>
                  <w:tc>
                    <w:tcPr>
                      <w:tcW w:w="436" w:type="dxa"/>
                    </w:tcPr>
                    <w:p w14:paraId="77B6D152"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3B893B56"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Áno</w:t>
                  </w:r>
                </w:p>
              </w:tc>
            </w:tr>
            <w:tr w:rsidR="00136466" w:rsidRPr="00136466" w14:paraId="22F781AC" w14:textId="77777777" w:rsidTr="003627DF">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Content>
                  <w:tc>
                    <w:tcPr>
                      <w:tcW w:w="436" w:type="dxa"/>
                    </w:tcPr>
                    <w:p w14:paraId="5BA31DD5"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1BBC5437"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Nie</w:t>
                  </w:r>
                </w:p>
              </w:tc>
            </w:tr>
          </w:tbl>
          <w:p w14:paraId="0C366619" w14:textId="77777777" w:rsidR="00136466" w:rsidRPr="00136466" w:rsidRDefault="00136466" w:rsidP="00136466">
            <w:pPr>
              <w:spacing w:after="0" w:line="240" w:lineRule="auto"/>
              <w:rPr>
                <w:rFonts w:ascii="Times New Roman" w:eastAsia="Times New Roman" w:hAnsi="Times New Roman" w:cs="Times New Roman"/>
                <w:kern w:val="0"/>
                <w:lang w:eastAsia="sk-SK"/>
                <w14:ligatures w14:val="none"/>
              </w:rPr>
            </w:pPr>
          </w:p>
        </w:tc>
        <w:tc>
          <w:tcPr>
            <w:tcW w:w="3969" w:type="dxa"/>
            <w:gridSpan w:val="4"/>
          </w:tcPr>
          <w:p w14:paraId="1DF792EB" w14:textId="77777777" w:rsidR="00136466" w:rsidRPr="00136466" w:rsidRDefault="00136466" w:rsidP="00136466">
            <w:pPr>
              <w:spacing w:after="0" w:line="240" w:lineRule="auto"/>
              <w:rPr>
                <w:rFonts w:ascii="Times New Roman" w:eastAsia="Times New Roman" w:hAnsi="Times New Roman" w:cs="Times New Roman"/>
                <w:i/>
                <w:iCs/>
                <w:kern w:val="0"/>
                <w:lang w:eastAsia="sk-SK"/>
                <w14:ligatures w14:val="none"/>
              </w:rPr>
            </w:pPr>
          </w:p>
        </w:tc>
      </w:tr>
      <w:tr w:rsidR="00136466" w:rsidRPr="00136466" w14:paraId="783F079E" w14:textId="77777777" w:rsidTr="003627DF">
        <w:trPr>
          <w:trHeight w:val="20"/>
        </w:trPr>
        <w:tc>
          <w:tcPr>
            <w:tcW w:w="3956" w:type="dxa"/>
          </w:tcPr>
          <w:p w14:paraId="5626675D" w14:textId="77777777" w:rsidR="00136466" w:rsidRPr="00136466" w:rsidRDefault="00136466" w:rsidP="00136466">
            <w:pPr>
              <w:spacing w:after="0" w:line="240" w:lineRule="auto"/>
              <w:jc w:val="both"/>
              <w:rPr>
                <w:rFonts w:ascii="Times New Roman" w:eastAsia="Times New Roman" w:hAnsi="Times New Roman" w:cs="Times New Roman"/>
                <w:b/>
                <w:kern w:val="0"/>
                <w:sz w:val="20"/>
                <w:szCs w:val="22"/>
                <w:lang w:eastAsia="sk-SK"/>
                <w14:ligatures w14:val="none"/>
              </w:rPr>
            </w:pPr>
            <w:r w:rsidRPr="00136466">
              <w:rPr>
                <w:rFonts w:ascii="Times New Roman" w:eastAsia="Times New Roman" w:hAnsi="Times New Roman" w:cs="Times New Roman"/>
                <w:b/>
                <w:kern w:val="0"/>
                <w:sz w:val="20"/>
                <w:szCs w:val="22"/>
                <w:lang w:eastAsia="sk-SK"/>
                <w14:ligatures w14:val="none"/>
              </w:rPr>
              <w:t xml:space="preserve">6.6.4. </w:t>
            </w:r>
            <w:r w:rsidRPr="00136466">
              <w:rPr>
                <w:rFonts w:ascii="Times New Roman" w:eastAsia="Times New Roman" w:hAnsi="Times New Roman" w:cs="Times New Roman"/>
                <w:kern w:val="0"/>
                <w:sz w:val="20"/>
                <w:szCs w:val="22"/>
                <w:lang w:eastAsia="sk-SK"/>
                <w14:ligatures w14:val="none"/>
              </w:rPr>
              <w:t>Je na poskytovanie údajov z evidencie využitý režim podľa zákona č. 177/2018 Z.z. v znení neskorších predpisov?</w:t>
            </w:r>
          </w:p>
        </w:tc>
        <w:tc>
          <w:tcPr>
            <w:tcW w:w="1446" w:type="dxa"/>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57F70578" w14:textId="77777777" w:rsidTr="003627DF">
              <w:sdt>
                <w:sdtPr>
                  <w:rPr>
                    <w:rFonts w:ascii="Times New Roman" w:eastAsia="Times New Roman" w:hAnsi="Times New Roman" w:cs="Times New Roman"/>
                    <w:sz w:val="20"/>
                    <w:szCs w:val="20"/>
                    <w:lang w:eastAsia="sk-SK"/>
                  </w:rPr>
                  <w:id w:val="-295379826"/>
                  <w14:checkbox>
                    <w14:checked w14:val="1"/>
                    <w14:checkedState w14:val="2612" w14:font="MS Gothic"/>
                    <w14:uncheckedState w14:val="2610" w14:font="MS Gothic"/>
                  </w14:checkbox>
                </w:sdtPr>
                <w:sdtContent>
                  <w:tc>
                    <w:tcPr>
                      <w:tcW w:w="436" w:type="dxa"/>
                    </w:tcPr>
                    <w:p w14:paraId="1A583813"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456BE9D9"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Áno</w:t>
                  </w:r>
                </w:p>
              </w:tc>
            </w:tr>
            <w:tr w:rsidR="00136466" w:rsidRPr="00136466" w14:paraId="6ECA32D3" w14:textId="77777777" w:rsidTr="003627DF">
              <w:sdt>
                <w:sdtPr>
                  <w:rPr>
                    <w:rFonts w:ascii="Times New Roman" w:eastAsia="Times New Roman" w:hAnsi="Times New Roman" w:cs="Times New Roman"/>
                    <w:sz w:val="20"/>
                    <w:szCs w:val="20"/>
                    <w:lang w:eastAsia="sk-SK"/>
                  </w:rPr>
                  <w:id w:val="-1689520971"/>
                  <w14:checkbox>
                    <w14:checked w14:val="0"/>
                    <w14:checkedState w14:val="2612" w14:font="MS Gothic"/>
                    <w14:uncheckedState w14:val="2610" w14:font="MS Gothic"/>
                  </w14:checkbox>
                </w:sdtPr>
                <w:sdtContent>
                  <w:tc>
                    <w:tcPr>
                      <w:tcW w:w="436" w:type="dxa"/>
                    </w:tcPr>
                    <w:p w14:paraId="3A99AC0E"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346A584C"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Nie</w:t>
                  </w:r>
                </w:p>
              </w:tc>
            </w:tr>
          </w:tbl>
          <w:p w14:paraId="5E0CB2F9" w14:textId="77777777" w:rsidR="00136466" w:rsidRPr="00136466" w:rsidRDefault="00136466" w:rsidP="00136466">
            <w:pPr>
              <w:spacing w:after="0" w:line="240" w:lineRule="auto"/>
              <w:rPr>
                <w:rFonts w:ascii="Times New Roman" w:eastAsia="Times New Roman" w:hAnsi="Times New Roman" w:cs="Times New Roman"/>
                <w:kern w:val="0"/>
                <w:lang w:eastAsia="sk-SK"/>
                <w14:ligatures w14:val="none"/>
              </w:rPr>
            </w:pPr>
          </w:p>
        </w:tc>
        <w:tc>
          <w:tcPr>
            <w:tcW w:w="3969" w:type="dxa"/>
            <w:gridSpan w:val="4"/>
          </w:tcPr>
          <w:p w14:paraId="283AF112" w14:textId="77777777" w:rsidR="00136466" w:rsidRPr="00136466" w:rsidRDefault="00136466" w:rsidP="00136466">
            <w:pPr>
              <w:spacing w:after="0" w:line="240" w:lineRule="auto"/>
              <w:rPr>
                <w:rFonts w:ascii="Times New Roman" w:eastAsia="Times New Roman" w:hAnsi="Times New Roman" w:cs="Times New Roman"/>
                <w:i/>
                <w:iCs/>
                <w:kern w:val="0"/>
                <w:lang w:eastAsia="sk-SK"/>
                <w14:ligatures w14:val="none"/>
              </w:rPr>
            </w:pPr>
          </w:p>
        </w:tc>
      </w:tr>
      <w:tr w:rsidR="00136466" w:rsidRPr="00136466" w14:paraId="124B0F06" w14:textId="77777777" w:rsidTr="00136466">
        <w:trPr>
          <w:trHeight w:val="20"/>
        </w:trPr>
        <w:tc>
          <w:tcPr>
            <w:tcW w:w="9371" w:type="dxa"/>
            <w:gridSpan w:val="6"/>
            <w:shd w:val="clear" w:color="auto" w:fill="A6A6A6"/>
          </w:tcPr>
          <w:p w14:paraId="25142E90" w14:textId="77777777" w:rsidR="00136466" w:rsidRPr="00136466" w:rsidRDefault="00136466" w:rsidP="00136466">
            <w:pPr>
              <w:spacing w:after="0" w:line="20" w:lineRule="atLeast"/>
              <w:ind w:hanging="55"/>
              <w:jc w:val="center"/>
              <w:rPr>
                <w:rFonts w:ascii="Times New Roman" w:eastAsia="Times New Roman" w:hAnsi="Times New Roman" w:cs="Times New Roman"/>
                <w:i/>
                <w:iCs/>
                <w:kern w:val="0"/>
                <w:sz w:val="20"/>
                <w:szCs w:val="22"/>
                <w:lang w:eastAsia="sk-SK"/>
                <w14:ligatures w14:val="none"/>
              </w:rPr>
            </w:pPr>
            <w:r w:rsidRPr="00136466">
              <w:rPr>
                <w:rFonts w:ascii="Times New Roman" w:eastAsia="Times New Roman" w:hAnsi="Times New Roman" w:cs="Times New Roman"/>
                <w:b/>
                <w:kern w:val="0"/>
                <w:sz w:val="20"/>
                <w:szCs w:val="20"/>
                <w:lang w:eastAsia="sk-SK"/>
                <w14:ligatures w14:val="none"/>
              </w:rPr>
              <w:t>Referenčné údaje</w:t>
            </w:r>
          </w:p>
        </w:tc>
      </w:tr>
      <w:tr w:rsidR="00136466" w:rsidRPr="00136466" w14:paraId="50879869" w14:textId="77777777" w:rsidTr="003627DF">
        <w:trPr>
          <w:trHeight w:val="20"/>
        </w:trPr>
        <w:tc>
          <w:tcPr>
            <w:tcW w:w="3956" w:type="dxa"/>
          </w:tcPr>
          <w:p w14:paraId="648C224F" w14:textId="77777777" w:rsidR="00136466" w:rsidRPr="00136466" w:rsidRDefault="00136466" w:rsidP="00136466">
            <w:pPr>
              <w:spacing w:after="0" w:line="240" w:lineRule="auto"/>
              <w:jc w:val="both"/>
              <w:rPr>
                <w:rFonts w:ascii="Times New Roman" w:eastAsia="Times New Roman" w:hAnsi="Times New Roman" w:cs="Times New Roman"/>
                <w:kern w:val="0"/>
                <w:sz w:val="20"/>
                <w:szCs w:val="22"/>
                <w:lang w:eastAsia="sk-SK"/>
                <w14:ligatures w14:val="none"/>
              </w:rPr>
            </w:pPr>
            <w:r w:rsidRPr="00136466">
              <w:rPr>
                <w:rFonts w:ascii="Times New Roman" w:eastAsia="Times New Roman" w:hAnsi="Times New Roman" w:cs="Times New Roman"/>
                <w:b/>
                <w:bCs/>
                <w:kern w:val="0"/>
                <w:sz w:val="20"/>
                <w:szCs w:val="22"/>
                <w:lang w:eastAsia="sk-SK"/>
                <w14:ligatures w14:val="none"/>
              </w:rPr>
              <w:t>6.7.1.</w:t>
            </w:r>
            <w:r w:rsidRPr="00136466">
              <w:rPr>
                <w:rFonts w:ascii="Times New Roman" w:eastAsia="Times New Roman" w:hAnsi="Times New Roman" w:cs="Times New Roman"/>
                <w:kern w:val="0"/>
                <w:sz w:val="20"/>
                <w:szCs w:val="22"/>
                <w:lang w:eastAsia="sk-SK"/>
                <w14:ligatures w14:val="none"/>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3E6B45A2" w14:textId="77777777" w:rsidTr="003627DF">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Content>
                  <w:tc>
                    <w:tcPr>
                      <w:tcW w:w="436" w:type="dxa"/>
                    </w:tcPr>
                    <w:p w14:paraId="6F0D1553"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63F80F2E"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Áno</w:t>
                  </w:r>
                </w:p>
              </w:tc>
            </w:tr>
            <w:tr w:rsidR="00136466" w:rsidRPr="00136466" w14:paraId="341651B2" w14:textId="77777777" w:rsidTr="003627DF">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Content>
                  <w:tc>
                    <w:tcPr>
                      <w:tcW w:w="436" w:type="dxa"/>
                    </w:tcPr>
                    <w:p w14:paraId="345B1D3C" w14:textId="77777777" w:rsidR="00136466" w:rsidRPr="00136466" w:rsidRDefault="00136466" w:rsidP="00136466">
                      <w:pPr>
                        <w:jc w:val="center"/>
                        <w:rPr>
                          <w:rFonts w:ascii="Times New Roman" w:eastAsia="Times New Roman" w:hAnsi="Times New Roman" w:cs="Times New Roman"/>
                          <w:sz w:val="20"/>
                          <w:szCs w:val="20"/>
                          <w:lang w:eastAsia="sk-SK"/>
                        </w:rPr>
                      </w:pPr>
                      <w:r w:rsidRPr="00136466">
                        <w:rPr>
                          <w:rFonts w:ascii="Segoe UI Symbol" w:eastAsia="Times New Roman" w:hAnsi="Segoe UI Symbol" w:cs="Segoe UI Symbol"/>
                          <w:sz w:val="20"/>
                          <w:szCs w:val="20"/>
                          <w:lang w:eastAsia="sk-SK"/>
                        </w:rPr>
                        <w:t>☒</w:t>
                      </w:r>
                    </w:p>
                  </w:tc>
                </w:sdtContent>
              </w:sdt>
              <w:tc>
                <w:tcPr>
                  <w:tcW w:w="8545" w:type="dxa"/>
                </w:tcPr>
                <w:p w14:paraId="267D6848" w14:textId="77777777" w:rsidR="00136466" w:rsidRPr="00136466" w:rsidRDefault="00136466" w:rsidP="00136466">
                  <w:pPr>
                    <w:rPr>
                      <w:rFonts w:ascii="Times New Roman" w:eastAsia="Times New Roman" w:hAnsi="Times New Roman" w:cs="Times New Roman"/>
                      <w:b/>
                      <w:sz w:val="20"/>
                      <w:szCs w:val="20"/>
                      <w:lang w:eastAsia="sk-SK"/>
                    </w:rPr>
                  </w:pPr>
                  <w:r w:rsidRPr="00136466">
                    <w:rPr>
                      <w:rFonts w:ascii="Times New Roman" w:eastAsia="Times New Roman" w:hAnsi="Times New Roman" w:cs="Times New Roman"/>
                      <w:b/>
                      <w:sz w:val="20"/>
                      <w:szCs w:val="20"/>
                      <w:lang w:eastAsia="sk-SK"/>
                    </w:rPr>
                    <w:t>Nie</w:t>
                  </w:r>
                </w:p>
              </w:tc>
            </w:tr>
          </w:tbl>
          <w:p w14:paraId="5748F4B3"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p>
        </w:tc>
        <w:tc>
          <w:tcPr>
            <w:tcW w:w="3969" w:type="dxa"/>
            <w:gridSpan w:val="4"/>
          </w:tcPr>
          <w:p w14:paraId="24E06B78" w14:textId="77777777" w:rsidR="00136466" w:rsidRPr="00136466" w:rsidRDefault="00136466" w:rsidP="00136466">
            <w:pPr>
              <w:spacing w:after="0" w:line="240" w:lineRule="auto"/>
              <w:rPr>
                <w:rFonts w:ascii="Times New Roman" w:eastAsia="Times New Roman" w:hAnsi="Times New Roman" w:cs="Times New Roman"/>
                <w:i/>
                <w:iCs/>
                <w:kern w:val="0"/>
                <w:sz w:val="20"/>
                <w:szCs w:val="22"/>
                <w:lang w:eastAsia="sk-SK"/>
                <w14:ligatures w14:val="none"/>
              </w:rPr>
            </w:pPr>
          </w:p>
        </w:tc>
      </w:tr>
      <w:tr w:rsidR="00136466" w:rsidRPr="00136466" w14:paraId="3DDBBCE2" w14:textId="77777777" w:rsidTr="003627DF">
        <w:trPr>
          <w:trHeight w:val="20"/>
        </w:trPr>
        <w:tc>
          <w:tcPr>
            <w:tcW w:w="3956" w:type="dxa"/>
          </w:tcPr>
          <w:p w14:paraId="7CEEC85C" w14:textId="77777777" w:rsidR="00136466" w:rsidRPr="00136466" w:rsidRDefault="00136466" w:rsidP="00136466">
            <w:pPr>
              <w:spacing w:after="0" w:line="240" w:lineRule="auto"/>
              <w:jc w:val="both"/>
              <w:rPr>
                <w:rFonts w:ascii="Times New Roman" w:eastAsia="Times New Roman" w:hAnsi="Times New Roman" w:cs="Times New Roman"/>
                <w:kern w:val="0"/>
                <w:sz w:val="20"/>
                <w:szCs w:val="22"/>
                <w:lang w:eastAsia="sk-SK"/>
                <w14:ligatures w14:val="none"/>
              </w:rPr>
            </w:pPr>
            <w:r w:rsidRPr="00136466">
              <w:rPr>
                <w:rFonts w:ascii="Times New Roman" w:eastAsia="Times New Roman" w:hAnsi="Times New Roman" w:cs="Times New Roman"/>
                <w:b/>
                <w:bCs/>
                <w:kern w:val="0"/>
                <w:sz w:val="20"/>
                <w:szCs w:val="22"/>
                <w:lang w:eastAsia="sk-SK"/>
                <w14:ligatures w14:val="none"/>
              </w:rPr>
              <w:t>6.7.2.</w:t>
            </w:r>
            <w:r w:rsidRPr="00136466">
              <w:rPr>
                <w:rFonts w:ascii="Times New Roman" w:eastAsia="Times New Roman" w:hAnsi="Times New Roman" w:cs="Times New Roman"/>
                <w:kern w:val="0"/>
                <w:sz w:val="20"/>
                <w:szCs w:val="22"/>
                <w:lang w:eastAsia="sk-SK"/>
                <w14:ligatures w14:val="none"/>
              </w:rPr>
              <w:t xml:space="preserve"> Kedy je plánované zaradenie údajov z evidencie do zoznamu referenčných údajov podľa § 51 zákona č. 305/2013 Z.z. o e-Governmente?</w:t>
            </w:r>
          </w:p>
        </w:tc>
        <w:tc>
          <w:tcPr>
            <w:tcW w:w="1446" w:type="dxa"/>
          </w:tcPr>
          <w:tbl>
            <w:tblPr>
              <w:tblStyle w:val="Mriekatabuk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36466" w:rsidRPr="00136466" w14:paraId="771F8242" w14:textId="77777777" w:rsidTr="003627DF">
              <w:tc>
                <w:tcPr>
                  <w:tcW w:w="436" w:type="dxa"/>
                </w:tcPr>
                <w:p w14:paraId="6F8977EA" w14:textId="77777777" w:rsidR="00136466" w:rsidRPr="00136466" w:rsidRDefault="00136466" w:rsidP="00136466">
                  <w:pPr>
                    <w:jc w:val="center"/>
                    <w:rPr>
                      <w:rFonts w:ascii="Times New Roman" w:eastAsia="Times New Roman" w:hAnsi="Times New Roman" w:cs="Times New Roman"/>
                      <w:sz w:val="20"/>
                      <w:szCs w:val="20"/>
                      <w:lang w:eastAsia="sk-SK"/>
                    </w:rPr>
                  </w:pPr>
                </w:p>
              </w:tc>
              <w:tc>
                <w:tcPr>
                  <w:tcW w:w="8545" w:type="dxa"/>
                </w:tcPr>
                <w:p w14:paraId="07CA4E03" w14:textId="77777777" w:rsidR="00136466" w:rsidRPr="00136466" w:rsidRDefault="00136466" w:rsidP="00136466">
                  <w:pPr>
                    <w:rPr>
                      <w:rFonts w:ascii="Times New Roman" w:eastAsia="Times New Roman" w:hAnsi="Times New Roman" w:cs="Times New Roman"/>
                      <w:b/>
                      <w:sz w:val="20"/>
                      <w:szCs w:val="20"/>
                      <w:lang w:eastAsia="sk-SK"/>
                    </w:rPr>
                  </w:pPr>
                </w:p>
              </w:tc>
            </w:tr>
            <w:tr w:rsidR="00136466" w:rsidRPr="00136466" w14:paraId="354C8196" w14:textId="77777777" w:rsidTr="003627DF">
              <w:tc>
                <w:tcPr>
                  <w:tcW w:w="436" w:type="dxa"/>
                </w:tcPr>
                <w:p w14:paraId="0ED50E86" w14:textId="77777777" w:rsidR="00136466" w:rsidRPr="00136466" w:rsidRDefault="00136466" w:rsidP="00136466">
                  <w:pPr>
                    <w:jc w:val="center"/>
                    <w:rPr>
                      <w:rFonts w:ascii="Times New Roman" w:eastAsia="Times New Roman" w:hAnsi="Times New Roman" w:cs="Times New Roman"/>
                      <w:sz w:val="20"/>
                      <w:szCs w:val="20"/>
                      <w:lang w:eastAsia="sk-SK"/>
                    </w:rPr>
                  </w:pPr>
                </w:p>
              </w:tc>
              <w:tc>
                <w:tcPr>
                  <w:tcW w:w="8545" w:type="dxa"/>
                </w:tcPr>
                <w:p w14:paraId="1E9AD790" w14:textId="77777777" w:rsidR="00136466" w:rsidRPr="00136466" w:rsidRDefault="00136466" w:rsidP="00136466">
                  <w:pPr>
                    <w:rPr>
                      <w:rFonts w:ascii="Times New Roman" w:eastAsia="Times New Roman" w:hAnsi="Times New Roman" w:cs="Times New Roman"/>
                      <w:b/>
                      <w:sz w:val="20"/>
                      <w:szCs w:val="20"/>
                      <w:lang w:eastAsia="sk-SK"/>
                    </w:rPr>
                  </w:pPr>
                </w:p>
              </w:tc>
            </w:tr>
          </w:tbl>
          <w:p w14:paraId="53141BE7" w14:textId="77777777" w:rsidR="00136466" w:rsidRPr="00136466" w:rsidRDefault="00136466" w:rsidP="00136466">
            <w:pPr>
              <w:spacing w:after="0" w:line="240" w:lineRule="auto"/>
              <w:jc w:val="center"/>
              <w:rPr>
                <w:rFonts w:ascii="Times New Roman" w:eastAsia="Times New Roman" w:hAnsi="Times New Roman" w:cs="Times New Roman"/>
                <w:kern w:val="0"/>
                <w:sz w:val="20"/>
                <w:szCs w:val="20"/>
                <w:lang w:eastAsia="sk-SK"/>
                <w14:ligatures w14:val="none"/>
              </w:rPr>
            </w:pPr>
          </w:p>
        </w:tc>
        <w:tc>
          <w:tcPr>
            <w:tcW w:w="3969" w:type="dxa"/>
            <w:gridSpan w:val="4"/>
          </w:tcPr>
          <w:p w14:paraId="457F408A" w14:textId="77777777" w:rsidR="00136466" w:rsidRPr="00136466" w:rsidRDefault="00136466" w:rsidP="00136466">
            <w:pPr>
              <w:spacing w:after="0" w:line="240" w:lineRule="auto"/>
              <w:rPr>
                <w:rFonts w:ascii="Times New Roman" w:eastAsia="Times New Roman" w:hAnsi="Times New Roman" w:cs="Times New Roman"/>
                <w:i/>
                <w:iCs/>
                <w:kern w:val="0"/>
                <w:sz w:val="20"/>
                <w:szCs w:val="22"/>
                <w:lang w:eastAsia="sk-SK"/>
                <w14:ligatures w14:val="none"/>
              </w:rPr>
            </w:pPr>
          </w:p>
        </w:tc>
      </w:tr>
    </w:tbl>
    <w:p w14:paraId="31EA0045" w14:textId="77777777" w:rsidR="00136466" w:rsidRPr="00136466" w:rsidRDefault="00136466" w:rsidP="00136466">
      <w:pPr>
        <w:spacing w:after="0" w:line="240" w:lineRule="auto"/>
        <w:jc w:val="both"/>
        <w:rPr>
          <w:rFonts w:ascii="Times New Roman" w:eastAsia="Times New Roman" w:hAnsi="Times New Roman" w:cs="Times New Roman"/>
          <w:b/>
          <w:bCs/>
          <w:i/>
          <w:kern w:val="0"/>
          <w:highlight w:val="yellow"/>
          <w:lang w:eastAsia="sk-SK"/>
          <w14:ligatures w14:val="none"/>
        </w:rPr>
      </w:pPr>
    </w:p>
    <w:p w14:paraId="79192C8E" w14:textId="77777777" w:rsidR="00136466" w:rsidRPr="00136466" w:rsidRDefault="00136466" w:rsidP="00136466">
      <w:pPr>
        <w:spacing w:after="200" w:line="276" w:lineRule="auto"/>
        <w:jc w:val="both"/>
        <w:rPr>
          <w:rFonts w:ascii="Times New Roman" w:eastAsia="Calibri" w:hAnsi="Times New Roman" w:cs="Times New Roman"/>
          <w:b/>
          <w:bCs/>
          <w:color w:val="000000"/>
          <w:kern w:val="0"/>
          <w14:ligatures w14:val="none"/>
        </w:rPr>
      </w:pPr>
    </w:p>
    <w:p w14:paraId="09DB04FB" w14:textId="77777777" w:rsidR="00136466" w:rsidRDefault="00136466">
      <w:pPr>
        <w:rPr>
          <w:rFonts w:ascii="Times New Roman" w:hAnsi="Times New Roman" w:cs="Times New Roman"/>
          <w:b/>
          <w:bCs/>
          <w:lang w:eastAsia="sk-SK"/>
        </w:rPr>
      </w:pPr>
    </w:p>
    <w:p w14:paraId="5F2339F8" w14:textId="6573D554" w:rsidR="00136466" w:rsidRDefault="00136466">
      <w:pPr>
        <w:rPr>
          <w:rFonts w:ascii="Times New Roman" w:hAnsi="Times New Roman" w:cs="Times New Roman"/>
          <w:b/>
          <w:bCs/>
          <w:lang w:eastAsia="sk-SK"/>
        </w:rPr>
      </w:pPr>
      <w:r>
        <w:rPr>
          <w:rFonts w:ascii="Times New Roman" w:hAnsi="Times New Roman" w:cs="Times New Roman"/>
          <w:b/>
          <w:bCs/>
          <w:lang w:eastAsia="sk-SK"/>
        </w:rPr>
        <w:br w:type="page"/>
      </w:r>
    </w:p>
    <w:p w14:paraId="0D079A61" w14:textId="77777777" w:rsidR="00DB558C" w:rsidRPr="00DB558C" w:rsidRDefault="00DB558C" w:rsidP="00DB558C">
      <w:pPr>
        <w:spacing w:after="0" w:line="240" w:lineRule="auto"/>
        <w:ind w:firstLine="567"/>
        <w:jc w:val="center"/>
        <w:rPr>
          <w:rFonts w:ascii="Times New Roman" w:eastAsia="Times New Roman" w:hAnsi="Times New Roman" w:cs="Times New Roman"/>
          <w:b/>
          <w:bCs/>
          <w:kern w:val="0"/>
          <w:lang w:eastAsia="sk-SK"/>
          <w14:ligatures w14:val="none"/>
        </w:rPr>
      </w:pPr>
      <w:r w:rsidRPr="00DB558C">
        <w:rPr>
          <w:rFonts w:ascii="Times New Roman" w:eastAsia="Times New Roman" w:hAnsi="Times New Roman" w:cs="Times New Roman"/>
          <w:b/>
          <w:bCs/>
          <w:kern w:val="0"/>
          <w:lang w:eastAsia="sk-SK"/>
          <w14:ligatures w14:val="none"/>
        </w:rPr>
        <w:t>DOLOŽKA ZLUČITEĽNOSTI</w:t>
      </w:r>
    </w:p>
    <w:p w14:paraId="77BA25A5" w14:textId="77777777" w:rsidR="00DB558C" w:rsidRPr="00DB558C" w:rsidRDefault="00DB558C" w:rsidP="00DB558C">
      <w:pPr>
        <w:widowControl w:val="0"/>
        <w:pBdr>
          <w:bottom w:val="single" w:sz="12" w:space="1" w:color="auto"/>
        </w:pBdr>
        <w:snapToGrid w:val="0"/>
        <w:spacing w:after="0" w:line="240" w:lineRule="auto"/>
        <w:jc w:val="center"/>
        <w:rPr>
          <w:rFonts w:ascii="Times New Roman" w:eastAsia="Times New Roman" w:hAnsi="Times New Roman" w:cs="Times New Roman"/>
          <w:b/>
          <w:color w:val="000000"/>
          <w:kern w:val="0"/>
          <w:lang w:eastAsia="sk-SK"/>
          <w14:ligatures w14:val="none"/>
        </w:rPr>
      </w:pPr>
      <w:r w:rsidRPr="00DB558C">
        <w:rPr>
          <w:rFonts w:ascii="Times New Roman" w:eastAsia="Times New Roman" w:hAnsi="Times New Roman" w:cs="Times New Roman"/>
          <w:b/>
          <w:bCs/>
          <w:color w:val="000000"/>
          <w:kern w:val="0"/>
          <w:lang w:eastAsia="sk-SK"/>
          <w14:ligatures w14:val="none"/>
        </w:rPr>
        <w:t xml:space="preserve">návrhu </w:t>
      </w:r>
      <w:r w:rsidRPr="00DB558C">
        <w:rPr>
          <w:rFonts w:ascii="Times New Roman" w:eastAsia="Times New Roman" w:hAnsi="Times New Roman" w:cs="Times New Roman"/>
          <w:b/>
          <w:color w:val="000000"/>
          <w:kern w:val="0"/>
          <w:lang w:eastAsia="sk-SK"/>
          <w14:ligatures w14:val="none"/>
        </w:rPr>
        <w:t>zákona</w:t>
      </w:r>
    </w:p>
    <w:p w14:paraId="3B4323CD" w14:textId="77777777" w:rsidR="00DB558C" w:rsidRPr="00DB558C" w:rsidRDefault="00DB558C" w:rsidP="00DB558C">
      <w:pPr>
        <w:widowControl w:val="0"/>
        <w:pBdr>
          <w:bottom w:val="single" w:sz="12" w:space="1" w:color="auto"/>
        </w:pBdr>
        <w:snapToGrid w:val="0"/>
        <w:spacing w:after="0" w:line="240" w:lineRule="auto"/>
        <w:jc w:val="center"/>
        <w:rPr>
          <w:rFonts w:ascii="Times New Roman" w:eastAsia="Times New Roman" w:hAnsi="Times New Roman" w:cs="Times New Roman"/>
          <w:b/>
          <w:bCs/>
          <w:color w:val="000000"/>
          <w:kern w:val="0"/>
          <w:lang w:eastAsia="sk-SK"/>
          <w14:ligatures w14:val="none"/>
        </w:rPr>
      </w:pPr>
      <w:r w:rsidRPr="00DB558C">
        <w:rPr>
          <w:rFonts w:ascii="Times New Roman" w:eastAsia="Times New Roman" w:hAnsi="Times New Roman" w:cs="Times New Roman"/>
          <w:b/>
          <w:color w:val="000000"/>
          <w:kern w:val="0"/>
          <w:lang w:eastAsia="sk-SK"/>
          <w14:ligatures w14:val="none"/>
        </w:rPr>
        <w:t xml:space="preserve"> </w:t>
      </w:r>
      <w:r w:rsidRPr="00DB558C">
        <w:rPr>
          <w:rFonts w:ascii="Times New Roman" w:eastAsia="Times New Roman" w:hAnsi="Times New Roman" w:cs="Times New Roman"/>
          <w:b/>
          <w:bCs/>
          <w:color w:val="000000"/>
          <w:kern w:val="0"/>
          <w:lang w:eastAsia="sk-SK"/>
          <w14:ligatures w14:val="none"/>
        </w:rPr>
        <w:t>s právom Európskej únie</w:t>
      </w:r>
    </w:p>
    <w:p w14:paraId="19C148DD" w14:textId="77777777" w:rsidR="00DB558C" w:rsidRPr="00DB558C" w:rsidRDefault="00DB558C" w:rsidP="00DB558C">
      <w:pPr>
        <w:widowControl w:val="0"/>
        <w:snapToGrid w:val="0"/>
        <w:spacing w:after="0" w:line="240" w:lineRule="auto"/>
        <w:jc w:val="both"/>
        <w:rPr>
          <w:rFonts w:ascii="Times New Roman" w:eastAsia="Times New Roman" w:hAnsi="Times New Roman" w:cs="Times New Roman"/>
          <w:color w:val="000000"/>
          <w:kern w:val="0"/>
          <w:lang w:eastAsia="sk-SK"/>
          <w14:ligatures w14:val="none"/>
        </w:rPr>
      </w:pPr>
    </w:p>
    <w:p w14:paraId="27151483" w14:textId="77777777" w:rsidR="00DB558C" w:rsidRPr="00DB558C" w:rsidRDefault="00DB558C" w:rsidP="00DB558C">
      <w:pPr>
        <w:spacing w:after="0" w:line="240" w:lineRule="auto"/>
        <w:jc w:val="center"/>
        <w:rPr>
          <w:rFonts w:ascii="Times New Roman" w:eastAsia="Times New Roman" w:hAnsi="Times New Roman" w:cs="Times New Roman"/>
          <w:b/>
          <w:bCs/>
          <w:kern w:val="0"/>
          <w:lang w:eastAsia="sk-SK"/>
          <w14:ligatures w14:val="none"/>
        </w:rPr>
      </w:pPr>
    </w:p>
    <w:p w14:paraId="6EC0B157" w14:textId="77777777" w:rsidR="00DB558C" w:rsidRPr="00DB558C" w:rsidRDefault="00DB558C" w:rsidP="00DB558C">
      <w:pPr>
        <w:numPr>
          <w:ilvl w:val="0"/>
          <w:numId w:val="24"/>
        </w:numPr>
        <w:tabs>
          <w:tab w:val="clear" w:pos="0"/>
        </w:tabs>
        <w:spacing w:after="0" w:line="240" w:lineRule="auto"/>
        <w:jc w:val="both"/>
        <w:rPr>
          <w:rFonts w:ascii="Times New Roman" w:eastAsia="Times New Roman" w:hAnsi="Times New Roman" w:cs="Times New Roman"/>
          <w:kern w:val="0"/>
          <w:lang w:eastAsia="sk-SK"/>
          <w14:ligatures w14:val="none"/>
        </w:rPr>
      </w:pPr>
      <w:r w:rsidRPr="00DB558C">
        <w:rPr>
          <w:rFonts w:ascii="Times New Roman" w:eastAsia="Times New Roman" w:hAnsi="Times New Roman" w:cs="Times New Roman"/>
          <w:b/>
          <w:bCs/>
          <w:kern w:val="0"/>
          <w:lang w:eastAsia="sk-SK"/>
          <w14:ligatures w14:val="none"/>
        </w:rPr>
        <w:t>Navrhovateľ zákona:</w:t>
      </w:r>
    </w:p>
    <w:p w14:paraId="716048F2" w14:textId="77777777" w:rsidR="00DB558C" w:rsidRPr="00DB558C" w:rsidRDefault="00DB558C" w:rsidP="00DB558C">
      <w:pPr>
        <w:spacing w:after="0" w:line="240" w:lineRule="auto"/>
        <w:ind w:firstLine="425"/>
        <w:jc w:val="both"/>
        <w:rPr>
          <w:rFonts w:ascii="Times New Roman" w:eastAsia="Times New Roman" w:hAnsi="Times New Roman" w:cs="Times New Roman"/>
          <w:kern w:val="0"/>
          <w:lang w:eastAsia="sk-SK"/>
          <w14:ligatures w14:val="none"/>
        </w:rPr>
      </w:pPr>
      <w:r w:rsidRPr="00DB558C">
        <w:rPr>
          <w:rFonts w:ascii="Times New Roman" w:eastAsia="Times New Roman" w:hAnsi="Times New Roman" w:cs="Times New Roman"/>
          <w:kern w:val="0"/>
          <w:lang w:eastAsia="sk-SK"/>
          <w14:ligatures w14:val="none"/>
        </w:rPr>
        <w:t xml:space="preserve">Vláda Slovenskej republiky </w:t>
      </w:r>
    </w:p>
    <w:p w14:paraId="15DB4CF3" w14:textId="77777777" w:rsidR="00DB558C" w:rsidRPr="00DB558C" w:rsidRDefault="00DB558C" w:rsidP="00DB558C">
      <w:pPr>
        <w:spacing w:after="0" w:line="240" w:lineRule="auto"/>
        <w:ind w:firstLine="425"/>
        <w:jc w:val="both"/>
        <w:rPr>
          <w:rFonts w:ascii="Times New Roman" w:eastAsia="Times New Roman" w:hAnsi="Times New Roman" w:cs="Times New Roman"/>
          <w:kern w:val="0"/>
          <w:lang w:eastAsia="sk-SK"/>
          <w14:ligatures w14:val="none"/>
        </w:rPr>
      </w:pPr>
    </w:p>
    <w:p w14:paraId="1923C273" w14:textId="77777777" w:rsidR="00DB558C" w:rsidRPr="00DB558C" w:rsidRDefault="00DB558C" w:rsidP="00DB558C">
      <w:pPr>
        <w:numPr>
          <w:ilvl w:val="0"/>
          <w:numId w:val="24"/>
        </w:numPr>
        <w:tabs>
          <w:tab w:val="clear" w:pos="0"/>
        </w:tabs>
        <w:spacing w:after="0" w:line="240" w:lineRule="auto"/>
        <w:jc w:val="both"/>
        <w:rPr>
          <w:rFonts w:ascii="Times New Roman" w:eastAsia="Times New Roman" w:hAnsi="Times New Roman" w:cs="Times New Roman"/>
          <w:b/>
          <w:bCs/>
          <w:kern w:val="0"/>
          <w:lang w:eastAsia="sk-SK"/>
          <w14:ligatures w14:val="none"/>
        </w:rPr>
      </w:pPr>
      <w:r w:rsidRPr="00DB558C">
        <w:rPr>
          <w:rFonts w:ascii="Times New Roman" w:eastAsia="Times New Roman" w:hAnsi="Times New Roman" w:cs="Times New Roman"/>
          <w:b/>
          <w:bCs/>
          <w:kern w:val="0"/>
          <w:lang w:eastAsia="sk-SK"/>
          <w14:ligatures w14:val="none"/>
        </w:rPr>
        <w:t>Názov návrhu zákona:</w:t>
      </w:r>
    </w:p>
    <w:p w14:paraId="0BE763C9" w14:textId="21F6775F" w:rsidR="00DB558C" w:rsidRPr="00DB558C" w:rsidRDefault="00D83D41" w:rsidP="00DB558C">
      <w:pPr>
        <w:widowControl w:val="0"/>
        <w:adjustRightInd w:val="0"/>
        <w:spacing w:after="0" w:line="240" w:lineRule="auto"/>
        <w:ind w:left="425"/>
        <w:contextualSpacing/>
        <w:jc w:val="both"/>
        <w:rPr>
          <w:rFonts w:ascii="Calibri" w:eastAsia="Times New Roman" w:hAnsi="Calibri" w:cs="Calibri"/>
          <w:kern w:val="0"/>
          <w:sz w:val="22"/>
          <w:szCs w:val="22"/>
          <w:lang w:eastAsia="sk-SK"/>
          <w14:ligatures w14:val="none"/>
        </w:rPr>
      </w:pPr>
      <w:r>
        <w:rPr>
          <w:rFonts w:ascii="Times New Roman" w:eastAsia="Times New Roman" w:hAnsi="Times New Roman" w:cs="Times New Roman"/>
          <w:kern w:val="0"/>
          <w:lang w:eastAsia="sk-SK"/>
          <w14:ligatures w14:val="none"/>
        </w:rPr>
        <w:t>Vládny n</w:t>
      </w:r>
      <w:r w:rsidR="00DB558C" w:rsidRPr="00DB558C">
        <w:rPr>
          <w:rFonts w:ascii="Times New Roman" w:eastAsia="Times New Roman" w:hAnsi="Times New Roman" w:cs="Times New Roman"/>
          <w:kern w:val="0"/>
          <w:lang w:eastAsia="sk-SK"/>
          <w14:ligatures w14:val="none"/>
        </w:rPr>
        <w:t>ávrh zákona, ktorým sa menia a dopĺňajú niektoré zákony v súvislosti s konsolidáciou verejných financií</w:t>
      </w:r>
    </w:p>
    <w:p w14:paraId="46EBDDBA" w14:textId="77777777" w:rsidR="00DB558C" w:rsidRPr="00DB558C" w:rsidRDefault="00DB558C" w:rsidP="00DB558C">
      <w:pPr>
        <w:spacing w:after="0" w:line="240" w:lineRule="auto"/>
        <w:jc w:val="both"/>
        <w:rPr>
          <w:rFonts w:ascii="Times New Roman" w:eastAsia="Times New Roman" w:hAnsi="Times New Roman" w:cs="Times New Roman"/>
          <w:bCs/>
          <w:kern w:val="0"/>
          <w:lang w:eastAsia="sk-SK"/>
          <w14:ligatures w14:val="none"/>
        </w:rPr>
      </w:pPr>
    </w:p>
    <w:p w14:paraId="61A5FBE4" w14:textId="77777777" w:rsidR="00DB558C" w:rsidRPr="00DB558C" w:rsidRDefault="00DB558C" w:rsidP="00DB558C">
      <w:pPr>
        <w:numPr>
          <w:ilvl w:val="0"/>
          <w:numId w:val="24"/>
        </w:numPr>
        <w:tabs>
          <w:tab w:val="clear" w:pos="0"/>
        </w:tabs>
        <w:spacing w:after="0" w:line="240" w:lineRule="auto"/>
        <w:jc w:val="both"/>
        <w:rPr>
          <w:rFonts w:ascii="Times New Roman" w:eastAsia="Times New Roman" w:hAnsi="Times New Roman" w:cs="Times New Roman"/>
          <w:b/>
          <w:bCs/>
          <w:kern w:val="0"/>
          <w:lang w:eastAsia="sk-SK"/>
          <w14:ligatures w14:val="none"/>
        </w:rPr>
      </w:pPr>
      <w:r w:rsidRPr="00DB558C">
        <w:rPr>
          <w:rFonts w:ascii="Times New Roman" w:eastAsia="Times New Roman" w:hAnsi="Times New Roman" w:cs="Times New Roman"/>
          <w:b/>
          <w:bCs/>
          <w:kern w:val="0"/>
          <w:lang w:eastAsia="sk-SK"/>
          <w14:ligatures w14:val="none"/>
        </w:rPr>
        <w:t xml:space="preserve">Predmet návrhu zákona </w:t>
      </w:r>
      <w:r w:rsidRPr="00DB558C">
        <w:rPr>
          <w:rFonts w:ascii="Times New Roman" w:eastAsia="Times New Roman" w:hAnsi="Times New Roman" w:cs="Times New Roman"/>
          <w:b/>
          <w:kern w:val="0"/>
          <w:lang w:eastAsia="sk-SK"/>
          <w14:ligatures w14:val="none"/>
        </w:rPr>
        <w:t>je upravený v práve Európskej únie:</w:t>
      </w:r>
    </w:p>
    <w:p w14:paraId="37BD3312" w14:textId="77777777" w:rsidR="00DB558C" w:rsidRPr="00DB558C" w:rsidRDefault="00DB558C" w:rsidP="00DB558C">
      <w:pPr>
        <w:spacing w:after="0" w:line="240" w:lineRule="auto"/>
        <w:ind w:left="425"/>
        <w:jc w:val="both"/>
        <w:rPr>
          <w:rFonts w:ascii="Times New Roman" w:eastAsia="Times New Roman" w:hAnsi="Times New Roman" w:cs="Times New Roman"/>
          <w:b/>
          <w:bCs/>
          <w:kern w:val="0"/>
          <w:lang w:eastAsia="sk-SK"/>
          <w14:ligatures w14:val="none"/>
        </w:rPr>
      </w:pPr>
    </w:p>
    <w:p w14:paraId="705CF9D3" w14:textId="77777777" w:rsidR="00DB558C" w:rsidRPr="00DB558C" w:rsidRDefault="00DB558C" w:rsidP="00DB558C">
      <w:pPr>
        <w:numPr>
          <w:ilvl w:val="1"/>
          <w:numId w:val="24"/>
        </w:numPr>
        <w:tabs>
          <w:tab w:val="clear" w:pos="397"/>
          <w:tab w:val="left" w:pos="709"/>
          <w:tab w:val="left" w:pos="851"/>
        </w:tabs>
        <w:spacing w:after="0" w:line="240" w:lineRule="auto"/>
        <w:rPr>
          <w:rFonts w:ascii="Times New Roman" w:eastAsia="Times New Roman" w:hAnsi="Times New Roman" w:cs="Times New Roman"/>
          <w:b/>
          <w:bCs/>
          <w:iCs/>
          <w:kern w:val="0"/>
          <w:lang w:eastAsia="cs-CZ"/>
          <w14:ligatures w14:val="none"/>
        </w:rPr>
      </w:pPr>
      <w:r w:rsidRPr="00DB558C">
        <w:rPr>
          <w:rFonts w:ascii="Times New Roman" w:eastAsia="Times New Roman" w:hAnsi="Times New Roman" w:cs="Times New Roman"/>
          <w:b/>
          <w:bCs/>
          <w:iCs/>
          <w:kern w:val="0"/>
          <w:lang w:eastAsia="cs-CZ"/>
          <w14:ligatures w14:val="none"/>
        </w:rPr>
        <w:t xml:space="preserve">Primárne právo: </w:t>
      </w:r>
    </w:p>
    <w:p w14:paraId="39E90E03" w14:textId="77777777" w:rsidR="00DB558C" w:rsidRPr="00DB558C" w:rsidRDefault="00DB558C" w:rsidP="00DB558C">
      <w:pPr>
        <w:tabs>
          <w:tab w:val="left" w:pos="709"/>
          <w:tab w:val="left" w:pos="851"/>
        </w:tabs>
        <w:spacing w:after="0" w:line="240" w:lineRule="auto"/>
        <w:ind w:left="850"/>
        <w:rPr>
          <w:rFonts w:ascii="Times New Roman" w:eastAsia="Times New Roman" w:hAnsi="Times New Roman" w:cs="Times New Roman"/>
          <w:b/>
          <w:bCs/>
          <w:iCs/>
          <w:kern w:val="0"/>
          <w:lang w:eastAsia="cs-CZ"/>
          <w14:ligatures w14:val="none"/>
        </w:rPr>
      </w:pPr>
    </w:p>
    <w:p w14:paraId="3CCB5465" w14:textId="77777777" w:rsidR="00DB558C" w:rsidRPr="00DB558C" w:rsidRDefault="00DB558C" w:rsidP="00DB558C">
      <w:pPr>
        <w:numPr>
          <w:ilvl w:val="0"/>
          <w:numId w:val="37"/>
        </w:numPr>
        <w:tabs>
          <w:tab w:val="num" w:pos="851"/>
        </w:tabs>
        <w:spacing w:after="0" w:line="240" w:lineRule="auto"/>
        <w:ind w:left="896" w:hanging="329"/>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čl. 4, čl. 12, čl. 26 ods. 2, čl. 49, čl. 56 až čl. 66, čl. 107, čl. 108, čl. 110 až 115, čl. 169, čl. 349 a 355 ods. 1 Zmluvy o fungovaní Európskej únie (Ú. v. EÚ C 202, 7.6.2016),</w:t>
      </w:r>
    </w:p>
    <w:p w14:paraId="5F716F38" w14:textId="77777777" w:rsidR="00DB558C" w:rsidRPr="00DB558C" w:rsidRDefault="00DB558C" w:rsidP="00DB558C">
      <w:pPr>
        <w:numPr>
          <w:ilvl w:val="0"/>
          <w:numId w:val="37"/>
        </w:numPr>
        <w:tabs>
          <w:tab w:val="num" w:pos="851"/>
        </w:tabs>
        <w:spacing w:after="0" w:line="240" w:lineRule="auto"/>
        <w:ind w:left="896" w:hanging="329"/>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čl. 52 Zmluvy o Európskej únii (Ú. v. EÚ C 202, 7.6.2016).</w:t>
      </w:r>
    </w:p>
    <w:p w14:paraId="1DC4B0F4" w14:textId="77777777" w:rsidR="00DB558C" w:rsidRPr="00DB558C" w:rsidRDefault="00DB558C" w:rsidP="00DB558C">
      <w:pPr>
        <w:spacing w:after="0" w:line="240" w:lineRule="auto"/>
        <w:ind w:left="896"/>
        <w:rPr>
          <w:rFonts w:ascii="Times New Roman" w:eastAsia="Times New Roman" w:hAnsi="Times New Roman" w:cs="Times New Roman"/>
          <w:kern w:val="0"/>
          <w:lang w:eastAsia="cs-CZ"/>
          <w14:ligatures w14:val="none"/>
        </w:rPr>
      </w:pPr>
    </w:p>
    <w:p w14:paraId="1DC552EA" w14:textId="77777777" w:rsidR="00DB558C" w:rsidRPr="00DB558C" w:rsidRDefault="00DB558C" w:rsidP="00DB558C">
      <w:pPr>
        <w:numPr>
          <w:ilvl w:val="1"/>
          <w:numId w:val="24"/>
        </w:numPr>
        <w:tabs>
          <w:tab w:val="clear" w:pos="397"/>
        </w:tabs>
        <w:spacing w:after="0" w:line="240" w:lineRule="auto"/>
        <w:jc w:val="both"/>
        <w:rPr>
          <w:rFonts w:ascii="Times New Roman" w:eastAsia="Times New Roman" w:hAnsi="Times New Roman" w:cs="Times New Roman"/>
          <w:kern w:val="0"/>
          <w:lang w:eastAsia="sk-SK"/>
          <w14:ligatures w14:val="none"/>
        </w:rPr>
      </w:pPr>
      <w:r w:rsidRPr="00DB558C">
        <w:rPr>
          <w:rFonts w:ascii="Times New Roman" w:eastAsia="Times New Roman" w:hAnsi="Times New Roman" w:cs="Times New Roman"/>
          <w:b/>
          <w:bCs/>
          <w:iCs/>
          <w:kern w:val="0"/>
          <w:lang w:eastAsia="sk-SK"/>
          <w14:ligatures w14:val="none"/>
        </w:rPr>
        <w:t>Sekundárne právo:</w:t>
      </w:r>
    </w:p>
    <w:p w14:paraId="360A9F6B" w14:textId="77777777" w:rsidR="00DB558C" w:rsidRPr="00DB558C" w:rsidRDefault="00DB558C" w:rsidP="00DB558C">
      <w:pPr>
        <w:spacing w:after="0" w:line="240" w:lineRule="auto"/>
        <w:ind w:left="850"/>
        <w:jc w:val="both"/>
        <w:rPr>
          <w:rFonts w:ascii="Times New Roman" w:eastAsia="Times New Roman" w:hAnsi="Times New Roman" w:cs="Times New Roman"/>
          <w:kern w:val="0"/>
          <w:lang w:eastAsia="sk-SK"/>
          <w14:ligatures w14:val="none"/>
        </w:rPr>
      </w:pPr>
    </w:p>
    <w:p w14:paraId="50929F7E" w14:textId="77777777" w:rsidR="00DB558C" w:rsidRPr="00DB558C" w:rsidRDefault="00DB558C" w:rsidP="00DB558C">
      <w:pPr>
        <w:widowControl w:val="0"/>
        <w:numPr>
          <w:ilvl w:val="0"/>
          <w:numId w:val="37"/>
        </w:numPr>
        <w:shd w:val="clear" w:color="auto" w:fill="FFFFFF"/>
        <w:adjustRightInd w:val="0"/>
        <w:spacing w:after="120" w:line="240" w:lineRule="auto"/>
        <w:ind w:right="-113"/>
        <w:contextualSpacing/>
        <w:jc w:val="both"/>
        <w:rPr>
          <w:rFonts w:ascii="Times New Roman" w:eastAsia="Times New Roman" w:hAnsi="Times New Roman" w:cs="Times New Roman"/>
          <w:kern w:val="0"/>
          <w:lang w:eastAsia="sk-SK"/>
          <w14:ligatures w14:val="none"/>
        </w:rPr>
      </w:pPr>
      <w:r w:rsidRPr="00DB558C">
        <w:rPr>
          <w:rFonts w:ascii="Times New Roman" w:eastAsia="Times New Roman" w:hAnsi="Times New Roman" w:cs="Times New Roman"/>
          <w:kern w:val="0"/>
          <w:lang w:eastAsia="sk-SK"/>
          <w14:ligatures w14:val="none"/>
        </w:rPr>
        <w:t>smernica Rady 2006/112/ES z  28. novembra 2006 o spoločnom systéme dane z pridanej hodnoty (</w:t>
      </w:r>
      <w:r w:rsidRPr="00DB558C">
        <w:rPr>
          <w:rFonts w:ascii="Times New Roman" w:eastAsia="Times New Roman" w:hAnsi="Times New Roman" w:cs="Times New Roman"/>
          <w:iCs/>
          <w:kern w:val="0"/>
          <w:lang w:eastAsia="sk-SK"/>
          <w14:ligatures w14:val="none"/>
        </w:rPr>
        <w:t>Ú. v. EÚ L 347, 11.12.2006) v platnom znení</w:t>
      </w:r>
      <w:r w:rsidRPr="00DB558C">
        <w:rPr>
          <w:rFonts w:ascii="Times New Roman" w:eastAsia="Times New Roman" w:hAnsi="Times New Roman" w:cs="Times New Roman"/>
          <w:i/>
          <w:iCs/>
          <w:kern w:val="0"/>
          <w:lang w:eastAsia="sk-SK"/>
          <w14:ligatures w14:val="none"/>
        </w:rPr>
        <w:t xml:space="preserve">, </w:t>
      </w:r>
      <w:r w:rsidRPr="00DB558C">
        <w:rPr>
          <w:rFonts w:ascii="Times New Roman" w:eastAsia="Times New Roman" w:hAnsi="Times New Roman" w:cs="Times New Roman"/>
          <w:kern w:val="0"/>
          <w:lang w:eastAsia="sk-SK"/>
          <w14:ligatures w14:val="none"/>
        </w:rPr>
        <w:t>gestor: MF SR,</w:t>
      </w:r>
    </w:p>
    <w:p w14:paraId="23FD7386" w14:textId="77777777" w:rsidR="00DB558C" w:rsidRPr="00DB558C" w:rsidRDefault="00DB558C" w:rsidP="00DB558C">
      <w:pPr>
        <w:widowControl w:val="0"/>
        <w:shd w:val="clear" w:color="auto" w:fill="FFFFFF"/>
        <w:adjustRightInd w:val="0"/>
        <w:spacing w:after="120" w:line="240" w:lineRule="auto"/>
        <w:ind w:left="900" w:right="-113"/>
        <w:contextualSpacing/>
        <w:jc w:val="both"/>
        <w:rPr>
          <w:rFonts w:ascii="Times New Roman" w:eastAsia="Times New Roman" w:hAnsi="Times New Roman" w:cs="Times New Roman"/>
          <w:kern w:val="0"/>
          <w:lang w:eastAsia="sk-SK"/>
          <w14:ligatures w14:val="none"/>
        </w:rPr>
      </w:pPr>
    </w:p>
    <w:p w14:paraId="4D45B1D9" w14:textId="77777777" w:rsidR="00DB558C" w:rsidRPr="00DB558C" w:rsidRDefault="00DB558C" w:rsidP="00DB558C">
      <w:pPr>
        <w:widowControl w:val="0"/>
        <w:numPr>
          <w:ilvl w:val="0"/>
          <w:numId w:val="37"/>
        </w:numPr>
        <w:shd w:val="clear" w:color="auto" w:fill="FFFFFF"/>
        <w:adjustRightInd w:val="0"/>
        <w:spacing w:after="0" w:line="240" w:lineRule="auto"/>
        <w:ind w:right="-115"/>
        <w:contextualSpacing/>
        <w:jc w:val="both"/>
        <w:rPr>
          <w:rFonts w:ascii="Times New Roman" w:eastAsia="Times New Roman" w:hAnsi="Times New Roman" w:cs="Times New Roman"/>
          <w:kern w:val="0"/>
          <w:lang w:eastAsia="sk-SK"/>
          <w14:ligatures w14:val="none"/>
        </w:rPr>
      </w:pPr>
      <w:r w:rsidRPr="00DB558C">
        <w:rPr>
          <w:rFonts w:ascii="Times New Roman" w:eastAsia="Times New Roman" w:hAnsi="Times New Roman" w:cs="Times New Roman"/>
          <w:kern w:val="0"/>
          <w:lang w:eastAsia="sk-SK"/>
          <w14:ligatures w14:val="none"/>
        </w:rPr>
        <w:t xml:space="preserve">smernica </w:t>
      </w:r>
      <w:r w:rsidRPr="00DB558C">
        <w:rPr>
          <w:rFonts w:ascii="Times New Roman" w:eastAsia="Times New Roman" w:hAnsi="Times New Roman" w:cs="Times New Roman"/>
          <w:bCs/>
          <w:color w:val="333333"/>
          <w:kern w:val="0"/>
          <w:shd w:val="clear" w:color="auto" w:fill="FFFFFF"/>
          <w:lang w:eastAsia="sk-SK"/>
          <w14:ligatures w14:val="none"/>
        </w:rPr>
        <w:t>Rady (EÚ) 2022/542 z 5. apríla 2022, ktorou sa menia smernice 2006/112/ES a (EÚ) 2020/285, pokiaľ ide o sadzby dane z pridanej hodnoty</w:t>
      </w:r>
      <w:r w:rsidRPr="00DB558C">
        <w:rPr>
          <w:rFonts w:ascii="Times New Roman" w:eastAsia="Times New Roman" w:hAnsi="Times New Roman" w:cs="Times New Roman"/>
          <w:kern w:val="0"/>
          <w:lang w:eastAsia="sk-SK"/>
          <w14:ligatures w14:val="none"/>
        </w:rPr>
        <w:t xml:space="preserve"> (Ú. v. EÚ L 107, 6.4.2022), gestor: MF SR,</w:t>
      </w:r>
    </w:p>
    <w:p w14:paraId="05C4A754" w14:textId="77777777" w:rsidR="00DB558C" w:rsidRPr="00DB558C" w:rsidRDefault="00DB558C" w:rsidP="00DB558C">
      <w:pPr>
        <w:widowControl w:val="0"/>
        <w:adjustRightInd w:val="0"/>
        <w:spacing w:after="0" w:line="240" w:lineRule="auto"/>
        <w:ind w:left="720"/>
        <w:contextualSpacing/>
        <w:rPr>
          <w:rFonts w:ascii="Times New Roman" w:eastAsia="Times New Roman" w:hAnsi="Times New Roman" w:cs="Times New Roman"/>
          <w:kern w:val="0"/>
          <w:lang w:eastAsia="sk-SK"/>
          <w14:ligatures w14:val="none"/>
        </w:rPr>
      </w:pPr>
    </w:p>
    <w:p w14:paraId="6453FEA8" w14:textId="77777777" w:rsidR="00DB558C" w:rsidRPr="00DB558C" w:rsidRDefault="00DB558C" w:rsidP="00DB558C">
      <w:pPr>
        <w:widowControl w:val="0"/>
        <w:numPr>
          <w:ilvl w:val="0"/>
          <w:numId w:val="37"/>
        </w:numPr>
        <w:shd w:val="clear" w:color="auto" w:fill="FFFFFF"/>
        <w:adjustRightInd w:val="0"/>
        <w:spacing w:after="0" w:line="240" w:lineRule="auto"/>
        <w:ind w:right="-115"/>
        <w:contextualSpacing/>
        <w:jc w:val="both"/>
        <w:rPr>
          <w:rFonts w:ascii="Times New Roman" w:eastAsia="Times New Roman" w:hAnsi="Times New Roman" w:cs="Times New Roman"/>
          <w:bCs/>
          <w:color w:val="333333"/>
          <w:kern w:val="0"/>
          <w:shd w:val="clear" w:color="auto" w:fill="FFFFFF"/>
          <w:lang w:eastAsia="sk-SK"/>
          <w14:ligatures w14:val="none"/>
        </w:rPr>
      </w:pPr>
      <w:r w:rsidRPr="00DB558C">
        <w:rPr>
          <w:rFonts w:ascii="Times New Roman" w:eastAsia="Times New Roman" w:hAnsi="Times New Roman" w:cs="Times New Roman"/>
          <w:bCs/>
          <w:color w:val="333333"/>
          <w:kern w:val="0"/>
          <w:shd w:val="clear" w:color="auto" w:fill="FFFFFF"/>
          <w:lang w:eastAsia="sk-SK"/>
          <w14:ligatures w14:val="none"/>
        </w:rPr>
        <w:t xml:space="preserve">vykonávacie rozhodnutie Rady (EÚ) 2025/852 zo 14. apríla 2025, ktorým sa Slovenskej republike povoľuje zaviesť osobitné opatrenie odchyľujúce sa od článku 26 ods. 1 písm. a) a článkov 168 a 168a smernice 2006/112/ES o spoločnom systéme dane z pridanej hodnoty </w:t>
      </w:r>
      <w:r w:rsidRPr="00DB558C">
        <w:rPr>
          <w:rFonts w:ascii="Times New Roman" w:eastAsia="Times New Roman" w:hAnsi="Times New Roman" w:cs="Times New Roman"/>
          <w:kern w:val="0"/>
          <w:lang w:eastAsia="sk-SK"/>
          <w14:ligatures w14:val="none"/>
        </w:rPr>
        <w:t xml:space="preserve">(Ú. v. EÚ L </w:t>
      </w:r>
      <w:r w:rsidRPr="00DB558C">
        <w:rPr>
          <w:rFonts w:ascii="Times New Roman" w:eastAsia="Times New Roman" w:hAnsi="Times New Roman" w:cs="Times New Roman"/>
          <w:color w:val="333333"/>
          <w:kern w:val="0"/>
          <w:shd w:val="clear" w:color="auto" w:fill="FFFFFF"/>
          <w:lang w:eastAsia="sk-SK"/>
          <w14:ligatures w14:val="none"/>
        </w:rPr>
        <w:t>2025/852</w:t>
      </w:r>
      <w:r w:rsidRPr="00DB558C">
        <w:rPr>
          <w:rFonts w:ascii="Times New Roman" w:eastAsia="Times New Roman" w:hAnsi="Times New Roman" w:cs="Times New Roman"/>
          <w:kern w:val="0"/>
          <w:lang w:eastAsia="sk-SK"/>
          <w14:ligatures w14:val="none"/>
        </w:rPr>
        <w:t>, 5.5.2025), gestor zatiaľ neurčený,</w:t>
      </w:r>
    </w:p>
    <w:p w14:paraId="055D5544" w14:textId="77777777" w:rsidR="00DB558C" w:rsidRPr="00DB558C" w:rsidRDefault="00DB558C" w:rsidP="00DB558C">
      <w:pPr>
        <w:widowControl w:val="0"/>
        <w:adjustRightInd w:val="0"/>
        <w:spacing w:after="0" w:line="240" w:lineRule="auto"/>
        <w:ind w:left="720"/>
        <w:contextualSpacing/>
        <w:rPr>
          <w:rFonts w:ascii="Times New Roman" w:eastAsia="Times New Roman" w:hAnsi="Times New Roman" w:cs="Times New Roman"/>
          <w:bCs/>
          <w:color w:val="333333"/>
          <w:kern w:val="0"/>
          <w:shd w:val="clear" w:color="auto" w:fill="FFFFFF"/>
          <w:lang w:eastAsia="sk-SK"/>
          <w14:ligatures w14:val="none"/>
        </w:rPr>
      </w:pPr>
    </w:p>
    <w:p w14:paraId="689CCA32" w14:textId="77777777" w:rsidR="00DB558C" w:rsidRPr="00DB558C" w:rsidRDefault="00DB558C" w:rsidP="00DB558C">
      <w:pPr>
        <w:widowControl w:val="0"/>
        <w:numPr>
          <w:ilvl w:val="0"/>
          <w:numId w:val="37"/>
        </w:numPr>
        <w:adjustRightInd w:val="0"/>
        <w:spacing w:after="135" w:line="268" w:lineRule="auto"/>
        <w:contextualSpacing/>
        <w:jc w:val="both"/>
        <w:rPr>
          <w:rFonts w:ascii="Times New Roman" w:eastAsia="Times New Roman" w:hAnsi="Times New Roman" w:cs="Times New Roman"/>
          <w:kern w:val="0"/>
          <w:lang w:eastAsia="sk-SK"/>
          <w14:ligatures w14:val="none"/>
        </w:rPr>
      </w:pPr>
      <w:r w:rsidRPr="00DB558C">
        <w:rPr>
          <w:rFonts w:ascii="Times New Roman" w:eastAsia="Times New Roman" w:hAnsi="Times New Roman" w:cs="Times New Roman"/>
          <w:kern w:val="0"/>
          <w:lang w:eastAsia="sk-SK"/>
          <w14:ligatures w14:val="none"/>
        </w:rPr>
        <w:t xml:space="preserve">odporúčanie Komisie zo 14. júla 2014 o zásadách ochrany spotrebiteľov a hráčov využívajúcich služby online hazardných hier a o predchádzaní hraniu online hazardných hrách v prípade maloletých osôb </w:t>
      </w:r>
      <w:r w:rsidRPr="00DB558C">
        <w:rPr>
          <w:rFonts w:ascii="Times New Roman" w:eastAsia="Times New Roman" w:hAnsi="Times New Roman" w:cs="Times New Roman"/>
          <w:kern w:val="0"/>
          <w:u w:color="000000"/>
          <w:lang w:eastAsia="sk-SK"/>
          <w14:ligatures w14:val="none"/>
        </w:rPr>
        <w:t>(2014/478/EÚ)</w:t>
      </w:r>
      <w:r w:rsidRPr="00DB558C">
        <w:rPr>
          <w:rFonts w:ascii="Times New Roman" w:eastAsia="Times New Roman" w:hAnsi="Times New Roman" w:cs="Times New Roman"/>
          <w:kern w:val="0"/>
          <w:lang w:eastAsia="sk-SK"/>
          <w14:ligatures w14:val="none"/>
        </w:rPr>
        <w:t xml:space="preserve"> (Ú. v. EÚ L 214, 19.7.2014).</w:t>
      </w:r>
    </w:p>
    <w:p w14:paraId="6205DEB7" w14:textId="77777777" w:rsidR="00DB558C" w:rsidRPr="00DB558C" w:rsidRDefault="00DB558C" w:rsidP="00DB558C">
      <w:pPr>
        <w:spacing w:after="0" w:line="240" w:lineRule="auto"/>
        <w:rPr>
          <w:rFonts w:ascii="Arial" w:eastAsia="Times New Roman" w:hAnsi="Arial" w:cs="Arial"/>
          <w:kern w:val="0"/>
          <w:lang w:eastAsia="sk-SK"/>
          <w14:ligatures w14:val="none"/>
        </w:rPr>
      </w:pPr>
    </w:p>
    <w:p w14:paraId="163E0AAB" w14:textId="77777777" w:rsidR="00DB558C" w:rsidRPr="00DB558C" w:rsidRDefault="00DB558C" w:rsidP="00DB558C">
      <w:pPr>
        <w:numPr>
          <w:ilvl w:val="1"/>
          <w:numId w:val="24"/>
        </w:numPr>
        <w:tabs>
          <w:tab w:val="clear" w:pos="397"/>
          <w:tab w:val="left" w:pos="851"/>
        </w:tabs>
        <w:spacing w:after="0" w:line="240" w:lineRule="auto"/>
        <w:jc w:val="both"/>
        <w:rPr>
          <w:rFonts w:ascii="Times New Roman" w:eastAsia="Times New Roman" w:hAnsi="Times New Roman" w:cs="Times New Roman"/>
          <w:b/>
          <w:kern w:val="0"/>
          <w:lang w:eastAsia="cs-CZ"/>
          <w14:ligatures w14:val="none"/>
        </w:rPr>
      </w:pPr>
      <w:r w:rsidRPr="00DB558C">
        <w:rPr>
          <w:rFonts w:ascii="Times New Roman" w:eastAsia="Times New Roman" w:hAnsi="Times New Roman" w:cs="Times New Roman"/>
          <w:b/>
          <w:kern w:val="0"/>
          <w:lang w:eastAsia="cs-CZ"/>
          <w14:ligatures w14:val="none"/>
        </w:rPr>
        <w:t xml:space="preserve">Judikatúra Súdneho dvora Európskej únie:     </w:t>
      </w:r>
    </w:p>
    <w:p w14:paraId="652C0315" w14:textId="77777777" w:rsidR="00DB558C" w:rsidRPr="00DB558C" w:rsidRDefault="00DB558C" w:rsidP="00DB558C">
      <w:pPr>
        <w:tabs>
          <w:tab w:val="left" w:pos="851"/>
        </w:tabs>
        <w:spacing w:after="0" w:line="240" w:lineRule="auto"/>
        <w:jc w:val="both"/>
        <w:rPr>
          <w:rFonts w:ascii="Times New Roman" w:eastAsia="Times New Roman" w:hAnsi="Times New Roman" w:cs="Times New Roman"/>
          <w:b/>
          <w:kern w:val="0"/>
          <w:lang w:eastAsia="cs-CZ"/>
          <w14:ligatures w14:val="none"/>
        </w:rPr>
      </w:pPr>
    </w:p>
    <w:p w14:paraId="647F28F9" w14:textId="77777777" w:rsidR="00DB558C" w:rsidRPr="00DB558C" w:rsidRDefault="00DB558C" w:rsidP="00DB558C">
      <w:pPr>
        <w:numPr>
          <w:ilvl w:val="0"/>
          <w:numId w:val="39"/>
        </w:numPr>
        <w:spacing w:after="0" w:line="240" w:lineRule="auto"/>
        <w:ind w:left="896" w:right="-113" w:hanging="357"/>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Rozsudok Súdneho dvora vo veci </w:t>
      </w:r>
      <w:bookmarkStart w:id="10" w:name="_Hlk203638702"/>
      <w:r w:rsidRPr="00DB558C">
        <w:rPr>
          <w:rFonts w:ascii="Times New Roman" w:eastAsia="Times New Roman" w:hAnsi="Times New Roman" w:cs="Times New Roman"/>
          <w:kern w:val="0"/>
          <w:lang w:eastAsia="sk-SK"/>
          <w14:ligatures w14:val="none"/>
        </w:rPr>
        <w:t xml:space="preserve">C‑118/11, Eon Aset Menidjmunt, </w:t>
      </w:r>
      <w:r w:rsidRPr="00DB558C">
        <w:rPr>
          <w:rFonts w:ascii="Times New Roman" w:eastAsia="Times New Roman" w:hAnsi="Times New Roman" w:cs="Times New Roman"/>
          <w:kern w:val="0"/>
          <w:lang w:eastAsia="cs-CZ"/>
          <w14:ligatures w14:val="none"/>
        </w:rPr>
        <w:t>[2012],</w:t>
      </w:r>
    </w:p>
    <w:bookmarkEnd w:id="10"/>
    <w:p w14:paraId="7D53CB52" w14:textId="77777777" w:rsidR="00DB558C" w:rsidRPr="00DB558C" w:rsidRDefault="00DB558C" w:rsidP="00DB558C">
      <w:pPr>
        <w:spacing w:after="0" w:line="240" w:lineRule="auto"/>
        <w:ind w:left="896" w:right="-113"/>
        <w:jc w:val="both"/>
        <w:rPr>
          <w:rFonts w:ascii="Times New Roman" w:eastAsia="Times New Roman" w:hAnsi="Times New Roman" w:cs="Times New Roman"/>
          <w:kern w:val="0"/>
          <w:lang w:eastAsia="sk-SK"/>
          <w14:ligatures w14:val="none"/>
        </w:rPr>
      </w:pPr>
      <w:r w:rsidRPr="00DB558C">
        <w:rPr>
          <w:rFonts w:ascii="Times New Roman" w:eastAsia="Times New Roman" w:hAnsi="Times New Roman" w:cs="Times New Roman"/>
          <w:kern w:val="0"/>
          <w:lang w:eastAsia="sk-SK"/>
          <w14:ligatures w14:val="none"/>
        </w:rPr>
        <w:t>Výrok rozsudku:</w:t>
      </w:r>
    </w:p>
    <w:p w14:paraId="12ABF417" w14:textId="77777777" w:rsidR="00DB558C" w:rsidRPr="00DB558C" w:rsidRDefault="00DB558C" w:rsidP="00DB558C">
      <w:pPr>
        <w:spacing w:after="0" w:line="240" w:lineRule="auto"/>
        <w:ind w:left="896" w:right="-113"/>
        <w:jc w:val="both"/>
        <w:rPr>
          <w:rFonts w:ascii="Times New Roman" w:eastAsia="Times New Roman" w:hAnsi="Times New Roman" w:cs="Times New Roman"/>
          <w:kern w:val="0"/>
          <w:lang w:eastAsia="sk-SK"/>
          <w14:ligatures w14:val="none"/>
        </w:rPr>
      </w:pPr>
      <w:r w:rsidRPr="00DB558C">
        <w:rPr>
          <w:rFonts w:ascii="Times New Roman" w:eastAsia="Times New Roman" w:hAnsi="Times New Roman" w:cs="Times New Roman"/>
          <w:kern w:val="0"/>
          <w:lang w:eastAsia="sk-SK"/>
          <w14:ligatures w14:val="none"/>
        </w:rPr>
        <w:t>„1. Článok 168 písm. a) smernice Rady 2006/112/ES z 28. novembra 2006 o spoločnom systéme dane z pridanej hodnoty sa má vykladať v tom zmysle, že:</w:t>
      </w:r>
    </w:p>
    <w:p w14:paraId="69BFCE06" w14:textId="77777777" w:rsidR="00DB558C" w:rsidRPr="00DB558C" w:rsidRDefault="00DB558C" w:rsidP="00DB558C">
      <w:pPr>
        <w:numPr>
          <w:ilvl w:val="0"/>
          <w:numId w:val="39"/>
        </w:numPr>
        <w:spacing w:after="0" w:line="240" w:lineRule="auto"/>
        <w:ind w:right="-113"/>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prenajaté motorové vozidlo sa považuje za vozidlo používané na účely zdaniteľných plnení zdaniteľnej osoby, ak existuje priama a bezprostredná súvislosť medzi použitím tohto vozidla a ekonomickou činnosťou zdaniteľnej osoby, a že právo na odpočet vzniká len po uplynutí obdobia, na ktoré sa vzťahuje každá z platieb, pričom treba zohľadniť existenciu takejto súvislosti,</w:t>
      </w:r>
    </w:p>
    <w:p w14:paraId="7E4FBACE" w14:textId="77777777" w:rsidR="00DB558C" w:rsidRPr="00DB558C" w:rsidRDefault="00DB558C" w:rsidP="00DB558C">
      <w:pPr>
        <w:numPr>
          <w:ilvl w:val="0"/>
          <w:numId w:val="39"/>
        </w:numPr>
        <w:spacing w:after="0" w:line="240" w:lineRule="auto"/>
        <w:ind w:right="-113"/>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motorové vozidlo prenajaté na základe lízingovej zmluvy a kvalifikované ako investičný majetok sa považuje za vozidlo používané na účely zdaniteľných plnení, ak zdaniteľná osoba, ktorá ako taká vykonáva svoju činnosť, nadobudne tento majetok a celý ho zahrnie do majetku svojho podniku, pričom dochádza k priamemu a okamžitému odpočtu DPH splatnej na vstupe a akékoľvek používanie uvedeného majetku na súkromné účely zdaniteľnej osoby alebo jej zamestnancov alebo na iné účely, než sú podnikateľské účely, sa považuje za odplatné poskytovanie služieb.</w:t>
      </w:r>
    </w:p>
    <w:p w14:paraId="53BE6FFD" w14:textId="77777777" w:rsidR="00DB558C" w:rsidRPr="00DB558C" w:rsidRDefault="00DB558C" w:rsidP="00DB558C">
      <w:pPr>
        <w:spacing w:after="0" w:line="240" w:lineRule="auto"/>
        <w:ind w:left="993" w:right="-113"/>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2. Články 168 a 176 smernice 2006/112 sa majú vykladať v tom zmysle, že nebránia takej vnútroštátnej právnej úprave, ktorá stanovuje vylúčenie z práva na odpočet pre tovary a služby určené na bezplatné plnenia alebo na iné činnosti, než je ekonomická činnosť zdaniteľnej osoby, pokiaľ nie je majetok, ktorý je kvalifikovaný ako investičný majetok zahrnutý do majetku podniku.“.</w:t>
      </w:r>
    </w:p>
    <w:p w14:paraId="4BDB2031" w14:textId="77777777" w:rsidR="00DB558C" w:rsidRPr="00DB558C" w:rsidRDefault="00DB558C" w:rsidP="00DB558C">
      <w:pPr>
        <w:tabs>
          <w:tab w:val="left" w:pos="851"/>
        </w:tabs>
        <w:spacing w:after="0" w:line="240" w:lineRule="auto"/>
        <w:jc w:val="both"/>
        <w:rPr>
          <w:rFonts w:ascii="Times New Roman" w:eastAsia="Times New Roman" w:hAnsi="Times New Roman" w:cs="Times New Roman"/>
          <w:b/>
          <w:kern w:val="0"/>
          <w:lang w:eastAsia="cs-CZ"/>
          <w14:ligatures w14:val="none"/>
        </w:rPr>
      </w:pPr>
    </w:p>
    <w:p w14:paraId="306EC521" w14:textId="77777777" w:rsidR="00DB558C" w:rsidRPr="00DB558C" w:rsidRDefault="00DB558C" w:rsidP="00DB558C">
      <w:pPr>
        <w:numPr>
          <w:ilvl w:val="0"/>
          <w:numId w:val="39"/>
        </w:numPr>
        <w:spacing w:after="0" w:line="240" w:lineRule="auto"/>
        <w:ind w:left="896" w:right="-113" w:hanging="357"/>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Rozsudok Súdneho dvora vo veci </w:t>
      </w:r>
      <w:r w:rsidRPr="00DB558C">
        <w:rPr>
          <w:rFonts w:ascii="Times New Roman" w:eastAsia="Times New Roman" w:hAnsi="Times New Roman" w:cs="Times New Roman"/>
          <w:kern w:val="0"/>
          <w:lang w:eastAsia="sk-SK"/>
          <w14:ligatures w14:val="none"/>
        </w:rPr>
        <w:t>C‑291/92, Ambrec</w:t>
      </w:r>
      <w:r w:rsidRPr="00DB558C">
        <w:rPr>
          <w:rFonts w:ascii="Times New Roman" w:eastAsia="Times New Roman" w:hAnsi="Times New Roman" w:cs="Times New Roman"/>
          <w:kern w:val="0"/>
          <w:lang w:eastAsia="cs-CZ"/>
          <w14:ligatures w14:val="none"/>
        </w:rPr>
        <w:t>ht, [1995],</w:t>
      </w:r>
    </w:p>
    <w:p w14:paraId="248D47D9" w14:textId="77777777" w:rsidR="00DB558C" w:rsidRPr="00DB558C" w:rsidRDefault="00DB558C" w:rsidP="00DB558C">
      <w:pPr>
        <w:spacing w:after="0" w:line="240" w:lineRule="auto"/>
        <w:ind w:left="896" w:right="-113"/>
        <w:jc w:val="both"/>
        <w:rPr>
          <w:rFonts w:ascii="Times New Roman" w:eastAsia="Times New Roman" w:hAnsi="Times New Roman" w:cs="Times New Roman"/>
          <w:kern w:val="0"/>
          <w:lang w:eastAsia="sk-SK"/>
          <w14:ligatures w14:val="none"/>
        </w:rPr>
      </w:pPr>
      <w:r w:rsidRPr="00DB558C">
        <w:rPr>
          <w:rFonts w:ascii="Times New Roman" w:eastAsia="Times New Roman" w:hAnsi="Times New Roman" w:cs="Times New Roman"/>
          <w:kern w:val="0"/>
          <w:lang w:eastAsia="sk-SK"/>
          <w14:ligatures w14:val="none"/>
        </w:rPr>
        <w:t>Výrok rozsudku:</w:t>
      </w:r>
    </w:p>
    <w:p w14:paraId="5B0A26E6"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„1.  Ak daňovník predá majetok, ktorého časť si vyhradil na súkromné užívanie, nekoná s ohľadom na predaj tejto časti ako daňovník v zmysle článku 2(1) Šiestej smernice Rady (77/388/EHS) zo 17. mája 1977 o harmonizácii zákonov členských štátov, ktoré súvisia s daňami z obratu – Spoločný systém dane z pridanej hodnoty: jednotný vymeriavací základ.  </w:t>
      </w:r>
    </w:p>
    <w:p w14:paraId="2F8321F1"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2. Ak daňovník predá majetok, ktorého časť sa v čase nadobudnutia rozhodol nevyhradiť na podnikanie, pri uplatňovaní článku 17(2) zmienenej smernice sa má brať do úvahy len časť majetku určená na podnikanie. </w:t>
      </w:r>
    </w:p>
    <w:p w14:paraId="54B9F2F7"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3. Úprava odpočtu dane na vstupe podľa článku 20(2) zmienenej smernice sa musí obmedziť na časť majetku určeného na podnikanie.“. </w:t>
      </w:r>
    </w:p>
    <w:p w14:paraId="7CAAD474"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p>
    <w:p w14:paraId="40A56778" w14:textId="77777777" w:rsidR="00DB558C" w:rsidRPr="00DB558C" w:rsidRDefault="00DB558C" w:rsidP="00DB558C">
      <w:pPr>
        <w:numPr>
          <w:ilvl w:val="1"/>
          <w:numId w:val="81"/>
        </w:numPr>
        <w:spacing w:after="0" w:line="240" w:lineRule="auto"/>
        <w:ind w:hanging="396"/>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Rozsudok Súdneho dvora v spojených veciach C-447/08 a C-448/08, Otto Sjőberg a Anders Gerdin, [2010], </w:t>
      </w:r>
    </w:p>
    <w:p w14:paraId="247F2DDA" w14:textId="77777777" w:rsidR="00DB558C" w:rsidRPr="00DB558C" w:rsidRDefault="00DB558C" w:rsidP="00DB558C">
      <w:pPr>
        <w:spacing w:after="0" w:line="240" w:lineRule="auto"/>
        <w:ind w:left="947"/>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Výrok rozsudku: </w:t>
      </w:r>
    </w:p>
    <w:p w14:paraId="3E0ED412" w14:textId="77777777" w:rsidR="00DB558C" w:rsidRPr="00DB558C" w:rsidRDefault="00DB558C" w:rsidP="00DB558C">
      <w:pPr>
        <w:spacing w:after="0" w:line="240" w:lineRule="auto"/>
        <w:ind w:left="993"/>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„1. Článok 49 ES sa má vykladať v tom zmysle, že nebráni právnej úprave členského štátu, akou je právna úprava vo veci samej, ktorá zakazuje robiť reklamu, určenú pre rezidentov tohto štátu, na hazardné hry organizované na účely dosiahnutia zisku súkromnými prevádzkovateľmi v iných členských štátoch. </w:t>
      </w:r>
    </w:p>
    <w:p w14:paraId="59EA8224" w14:textId="77777777" w:rsidR="00DB558C" w:rsidRPr="00DB558C" w:rsidRDefault="00DB558C" w:rsidP="00DB558C">
      <w:pPr>
        <w:widowControl w:val="0"/>
        <w:adjustRightInd w:val="0"/>
        <w:spacing w:after="0" w:line="240" w:lineRule="auto"/>
        <w:ind w:left="993"/>
        <w:contextualSpacing/>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2. Článok 49 ES sa má vykladať v tom zmysle, že bráni právnej úprave členského štátu, podľa ktorej hazardné hry patria do systému výlučných práv, v rámci ktorého propagácia hier organizovaných v inom členskom štáte podlieha prísnejším sankciám ako propagácia takých hier prevádzkovaných bez povolenia na vnútroštátnom území. Vnútroštátny súd musí preskúmať, či vnútroštátna právna úprava dotknutá vo veciach samých predstavuje tento prípad.“. </w:t>
      </w:r>
    </w:p>
    <w:p w14:paraId="148F837C" w14:textId="77777777" w:rsidR="00DB558C" w:rsidRPr="00DB558C" w:rsidRDefault="00DB558C" w:rsidP="00DB558C">
      <w:pPr>
        <w:spacing w:after="0" w:line="240" w:lineRule="auto"/>
        <w:ind w:left="1091"/>
        <w:jc w:val="both"/>
        <w:rPr>
          <w:rFonts w:ascii="Times New Roman" w:eastAsia="Times New Roman" w:hAnsi="Times New Roman" w:cs="Times New Roman"/>
          <w:kern w:val="0"/>
          <w:lang w:eastAsia="cs-CZ"/>
          <w14:ligatures w14:val="none"/>
        </w:rPr>
      </w:pPr>
    </w:p>
    <w:p w14:paraId="60B3EECE" w14:textId="77777777" w:rsidR="00DB558C" w:rsidRPr="00DB558C" w:rsidRDefault="00DB558C" w:rsidP="00DB558C">
      <w:pPr>
        <w:spacing w:after="0" w:line="240" w:lineRule="auto"/>
        <w:ind w:left="851" w:hanging="284"/>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    Rozsudok Súdneho dvora vo veci C-203/08, Sporting Exchange Ltd, konajúca pod menom Betfair v. Minister van Justitie, [2010], </w:t>
      </w:r>
    </w:p>
    <w:p w14:paraId="71DD4EF7"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Výrok rozsudku: </w:t>
      </w:r>
    </w:p>
    <w:p w14:paraId="522B5CC7"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„1. Článok 49 ES sa má vykladať v tom zmysle, že nebráni vnútroštátnej právnej úprave členského štátu, ako je právna úprava sporná v konaní vo veci samej, ktorá podriaďuje organizovanie a propagáciu hazardných hier režimu exkluzivity v prospech jediného hospodárskeho subjektu a ktorá zakazuje akémukoľvek inému hospodárskemu subjektu, vrátane hospodárskeho subjektu so sídlom v inom členskom štáte, na území prvého uvedeného členského štátu ponúkať cez internet služby, na ktoré sa vzťahuje uvedený režim. </w:t>
      </w:r>
    </w:p>
    <w:p w14:paraId="649332A8"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2. Článok 49 ES sa má vykladať v tom zmysle, že zásada rovnosti zaobchádzania a povinnosť transparentnosti, ktorá z nej vyplýva, sú uplatniteľné na konania o udelení a obnovení licencie v prospech jediného hospodárskeho subjektu v oblasti hazardných hier, pokiaľ nejde o verejný hospodársky subjekt, ktorého riadenie podlieha priamej kontrole štátu, alebo o súkromný hospodársky subjekt, ktorého činnosti môžu podliehať hĺbkovej kontrole zo strany orgánov verejnej moci.“.</w:t>
      </w:r>
    </w:p>
    <w:p w14:paraId="7E0B343D" w14:textId="77777777" w:rsidR="00DB558C" w:rsidRPr="00DB558C" w:rsidRDefault="00DB558C" w:rsidP="00DB558C">
      <w:pPr>
        <w:spacing w:after="0" w:line="240" w:lineRule="auto"/>
        <w:ind w:left="993"/>
        <w:jc w:val="both"/>
        <w:rPr>
          <w:rFonts w:ascii="Times New Roman" w:eastAsia="Times New Roman" w:hAnsi="Times New Roman" w:cs="Times New Roman"/>
          <w:kern w:val="0"/>
          <w:lang w:eastAsia="cs-CZ"/>
          <w14:ligatures w14:val="none"/>
        </w:rPr>
      </w:pPr>
    </w:p>
    <w:p w14:paraId="0EE006DE" w14:textId="77777777" w:rsidR="00DB558C" w:rsidRPr="00DB558C" w:rsidRDefault="00DB558C" w:rsidP="00DB558C">
      <w:pPr>
        <w:numPr>
          <w:ilvl w:val="0"/>
          <w:numId w:val="82"/>
        </w:numPr>
        <w:spacing w:after="0" w:line="240" w:lineRule="auto"/>
        <w:ind w:left="851" w:hanging="284"/>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Rozsudok Súdneho dvora vo veci C-42/07, Liga Portuguesa de Futebol Profissional, Bwin International Ltd v. Departamento de Jogos da Santa Casa da Misericórdia de Lisboa, [2009], </w:t>
      </w:r>
    </w:p>
    <w:p w14:paraId="43742C1E"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Výrok rozsudku: </w:t>
      </w:r>
    </w:p>
    <w:p w14:paraId="5ACD60F3"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„Článok 49 ES neodporuje právnej úprave členského štátu, akou je právna úprava v spore vo veci samej, ktorá zakazuje prevádzkovateľom, ako je Bwin International Ltd., usadeným v iných členských štátoch, kde legálne poskytujú analogické služby, prevádzkovať hazardné hry cez internet na území uvedeného členského štátu.“. </w:t>
      </w:r>
    </w:p>
    <w:p w14:paraId="140D3341" w14:textId="77777777" w:rsidR="00DB558C" w:rsidRPr="00DB558C" w:rsidRDefault="00DB558C" w:rsidP="00DB558C">
      <w:pPr>
        <w:spacing w:after="0" w:line="240" w:lineRule="auto"/>
        <w:ind w:left="1143"/>
        <w:rPr>
          <w:rFonts w:ascii="Times New Roman" w:eastAsia="Times New Roman" w:hAnsi="Times New Roman" w:cs="Times New Roman"/>
          <w:kern w:val="0"/>
          <w:lang w:eastAsia="cs-CZ"/>
          <w14:ligatures w14:val="none"/>
        </w:rPr>
      </w:pPr>
    </w:p>
    <w:p w14:paraId="59740A72" w14:textId="77777777" w:rsidR="00DB558C" w:rsidRPr="00DB558C" w:rsidRDefault="00DB558C" w:rsidP="00DB558C">
      <w:pPr>
        <w:widowControl w:val="0"/>
        <w:numPr>
          <w:ilvl w:val="0"/>
          <w:numId w:val="82"/>
        </w:numPr>
        <w:adjustRightInd w:val="0"/>
        <w:spacing w:after="0" w:line="240" w:lineRule="auto"/>
        <w:ind w:left="851" w:right="26" w:hanging="142"/>
        <w:contextualSpacing/>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Rozsudok Súdneho dvora v spojených veciach C-338/04, C-359/04 a C-360/04, Massimiliano Placanica, Christian Palazzese a Angelo Sorricchio, [2007], </w:t>
      </w:r>
    </w:p>
    <w:p w14:paraId="53C19C57" w14:textId="77777777" w:rsidR="00DB558C" w:rsidRPr="00DB558C" w:rsidRDefault="00DB558C" w:rsidP="00DB558C">
      <w:pPr>
        <w:spacing w:after="0" w:line="240" w:lineRule="auto"/>
        <w:ind w:left="851" w:right="403"/>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Výrok rozsudku: </w:t>
      </w:r>
    </w:p>
    <w:p w14:paraId="4597A925"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„1. Vnútroštátna právna úprava, ktorá zakazuje výkon činností zberu, prijímania, zapisovania a prenosu návrhov na stávky, najmä na športové podujatia, bez koncesie alebo policajného povolenia vydaných predmetným členským štátom, predstavuje obmedzenie slobody usadiť sa, ako aj slobodného poskytovania služieb stanovených článkami 43 ES a 49 ES. </w:t>
      </w:r>
    </w:p>
    <w:p w14:paraId="6640CDBA"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2. Vnútroštátnym súdom bude prislúchať, aby overili, či v rozsahu, v akom vnútroštátna právna úprava obmedzuje počet podnikateľov pôsobiacich v odvetví hazardných hier, skutočne zodpovedá cieľu predchádzať prevádzkovaniu činností v tomto odvetví na kriminálne alebo podvodné účely. </w:t>
      </w:r>
    </w:p>
    <w:p w14:paraId="5F2137E1"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3. Články 43 ES a 49 ES sa majú vykladať v tom zmysle, že im odporuje vnútroštátna právna úprava, akou je právna úprava vo veci samej, ktorá vylučuje a pokračuje vo vylučovaní podnikateľov zriadených vo forme kapitálových spoločností, ktorých akcie sú kótované na regulovaných trhoch, z odvetvia hazardných hier. </w:t>
      </w:r>
    </w:p>
    <w:p w14:paraId="18698E61"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4. Články 43 ES a 49 ES sa majú vykladať v tom zmysle, že im odporuje vnútroštátna právna úprava, akou je právna úprava vo veci samej, ktorá ukladá trestné sankcie osobám, akými sú obvinení v konaniach vo veci samej, za výkon organizovanej činnosti zberu stávok pri absencii koncesie alebo policajného povolenia vyžadovaných vnútroštátnou legislatívou, ak tieto osoby nemohli získať predmetné koncesie alebo povolenia z dôvodu odmietnutia tohto členského štátu udeliť im ich, ktoré bolo v rozpore s právom Spoločenstva.“.</w:t>
      </w:r>
    </w:p>
    <w:p w14:paraId="2487D856" w14:textId="77777777" w:rsidR="00DB558C" w:rsidRPr="00DB558C" w:rsidRDefault="00DB558C" w:rsidP="00DB558C">
      <w:pPr>
        <w:spacing w:after="0" w:line="240" w:lineRule="auto"/>
        <w:ind w:left="1091"/>
        <w:jc w:val="both"/>
        <w:rPr>
          <w:rFonts w:ascii="Times New Roman" w:eastAsia="Times New Roman" w:hAnsi="Times New Roman" w:cs="Times New Roman"/>
          <w:kern w:val="0"/>
          <w:lang w:eastAsia="cs-CZ"/>
          <w14:ligatures w14:val="none"/>
        </w:rPr>
      </w:pPr>
    </w:p>
    <w:p w14:paraId="0A831E75" w14:textId="77777777" w:rsidR="00DB558C" w:rsidRPr="00DB558C" w:rsidRDefault="00DB558C" w:rsidP="00DB558C">
      <w:pPr>
        <w:spacing w:after="0" w:line="240" w:lineRule="auto"/>
        <w:ind w:left="947" w:hanging="396"/>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    Rozsudok Súdneho dvora vo veci C-347/09, Jochen Dickinger a Franz Ömer [2011], </w:t>
      </w:r>
    </w:p>
    <w:p w14:paraId="63341F5B" w14:textId="77777777" w:rsidR="00DB558C" w:rsidRPr="00DB558C" w:rsidRDefault="00DB558C" w:rsidP="00DB558C">
      <w:pPr>
        <w:spacing w:after="0" w:line="240" w:lineRule="auto"/>
        <w:ind w:left="947" w:hanging="96"/>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Výrok rozsudku: </w:t>
      </w:r>
    </w:p>
    <w:p w14:paraId="61A3D061"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„1. Trestnoprávne sankcionovanie porušenia monopolu na prevádzkovanie hazardných hier, akým je monopol na prevádzkovanie kasínových hier uvádzaných na trh prostredníctvom internetu upravený vnútroštátnou právnou úpravou, o ktorú ide vo veci samej, je v rozpore s právom Únie, najmä s článkom 49 ES, ak takáto právna úprava nie je v súlade s ustanoveniami tohto práva.  </w:t>
      </w:r>
    </w:p>
    <w:p w14:paraId="647E0FC6" w14:textId="77777777" w:rsidR="00DB558C" w:rsidRPr="00DB558C" w:rsidRDefault="00DB558C" w:rsidP="00DB558C">
      <w:pPr>
        <w:widowControl w:val="0"/>
        <w:adjustRightInd w:val="0"/>
        <w:spacing w:after="0" w:line="240" w:lineRule="auto"/>
        <w:ind w:left="851"/>
        <w:contextualSpacing/>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2. Článok 49 ES sa má vykladať v tom zmysle, že sa uplatňuje na služby hazardných hier uvádzaných na trh prostredníctvom internetu na území hostiteľského členského štátu prevádzkovateľom usadeným v inom členskom štáte bez ohľadu na to, že tento prevádzkovateľ:  </w:t>
      </w:r>
    </w:p>
    <w:p w14:paraId="53300668" w14:textId="77777777" w:rsidR="00DB558C" w:rsidRPr="00DB558C" w:rsidRDefault="00DB558C" w:rsidP="00DB558C">
      <w:pPr>
        <w:numPr>
          <w:ilvl w:val="1"/>
          <w:numId w:val="81"/>
        </w:num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umiestnil v hostiteľskom členskom štáte určitú infraštruktúru informatickej podpory, ako napríklad server, a </w:t>
      </w:r>
    </w:p>
    <w:p w14:paraId="747297B3" w14:textId="77777777" w:rsidR="00DB558C" w:rsidRPr="00DB558C" w:rsidRDefault="00DB558C" w:rsidP="00DB558C">
      <w:pPr>
        <w:numPr>
          <w:ilvl w:val="1"/>
          <w:numId w:val="81"/>
        </w:num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využíva služby informatickej podpory poskytovateľa usadeného v hostiteľskom členskom štáte s cieľom poskytovať svoje služby spotrebiteľom, ktorí sú tiež usadení v tomto členskom štáte. </w:t>
      </w:r>
    </w:p>
    <w:p w14:paraId="6B3298A6" w14:textId="77777777" w:rsidR="00DB558C" w:rsidRPr="00DB558C" w:rsidRDefault="00DB558C" w:rsidP="00DB558C">
      <w:pPr>
        <w:spacing w:after="0" w:line="240" w:lineRule="auto"/>
        <w:ind w:left="851"/>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 </w:t>
      </w:r>
    </w:p>
    <w:p w14:paraId="0F17046E"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3. Článok 49 ES sa má vykladať v tom zmysle, že: </w:t>
      </w:r>
    </w:p>
    <w:p w14:paraId="0111A7A3" w14:textId="77777777" w:rsidR="00DB558C" w:rsidRPr="00DB558C" w:rsidRDefault="00DB558C" w:rsidP="00DB558C">
      <w:pPr>
        <w:numPr>
          <w:ilvl w:val="1"/>
          <w:numId w:val="83"/>
        </w:num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členský štát, ktorý sa snaží zabezpečiť osobitne vysokú úroveň ochrany spotrebiteľov v odvetví hazardných hier, sa môže odôvodnene domnievať, že iba zriadenie monopolu v prospech jedinej organizácie, ktorá podlieha priamemu dohľadu orgánov verejnej moci, umožňuje zvládať kriminalitu spojenú s týmto odvetvím a sledovať cieľ prevencie podnecovania na neprimerané výdavky súvisiace s hrami a boja proti hráčskej závislosti dostatočne účinným spôsobom; </w:t>
      </w:r>
    </w:p>
    <w:p w14:paraId="1D58CA1F" w14:textId="77777777" w:rsidR="00DB558C" w:rsidRPr="00DB558C" w:rsidRDefault="00DB558C" w:rsidP="00DB558C">
      <w:pPr>
        <w:numPr>
          <w:ilvl w:val="1"/>
          <w:numId w:val="83"/>
        </w:num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na to, aby bola vnútroštátna právna úprava zriaďujúca monopol v oblasti hazardných hier, ktorá držiteľovi monopolu umožňuje viesť expanzívnu politiku, koherentná s cieľom boja proti kriminalite, ako aj s cieľom zníženia príležitostí na hru, musí: </w:t>
      </w:r>
    </w:p>
    <w:p w14:paraId="724EB9B0" w14:textId="77777777" w:rsidR="00DB558C" w:rsidRPr="00DB558C" w:rsidRDefault="00DB558C" w:rsidP="00DB558C">
      <w:pPr>
        <w:numPr>
          <w:ilvl w:val="1"/>
          <w:numId w:val="81"/>
        </w:num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sa zakladať na konštatovaní, podľa ktorého kriminálne a podvodné činnosti spojené s hrami a hráčskou závislosťou predstavujú problém na území dotknutého členského štátu, ktorý je možné riešiť expanziou povolených a regulovaných </w:t>
      </w:r>
    </w:p>
    <w:p w14:paraId="513683A5" w14:textId="77777777" w:rsidR="00DB558C" w:rsidRPr="00DB558C" w:rsidRDefault="00DB558C" w:rsidP="00DB558C">
      <w:pPr>
        <w:spacing w:after="0" w:line="240" w:lineRule="auto"/>
        <w:ind w:left="851"/>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činností, a </w:t>
      </w:r>
    </w:p>
    <w:p w14:paraId="336525FC" w14:textId="77777777" w:rsidR="00DB558C" w:rsidRPr="00DB558C" w:rsidRDefault="00DB558C" w:rsidP="00DB558C">
      <w:pPr>
        <w:numPr>
          <w:ilvl w:val="1"/>
          <w:numId w:val="81"/>
        </w:numPr>
        <w:spacing w:after="0" w:line="240" w:lineRule="auto"/>
        <w:ind w:left="851"/>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umožniť len reklamu, ktorá je primeraná a prísne obmedzená na to, čo je nevyhnutné na nasmerovanie spotrebiteľov do siete kontrolovaných hier; </w:t>
      </w:r>
    </w:p>
    <w:p w14:paraId="4A6F149B" w14:textId="77777777" w:rsidR="00DB558C" w:rsidRPr="00DB558C" w:rsidRDefault="00DB558C" w:rsidP="00DB558C">
      <w:pPr>
        <w:spacing w:after="0" w:line="240" w:lineRule="auto"/>
        <w:ind w:left="851"/>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c) okolnosť, že členský štát si zvolil iný systém ochrany než ten, ktorý prijal iný členský štát, nemôže mať vplyv na posúdenie nevyhnutnosti a proporcionality ustanovení prijatých v predmetnej oblasti, ktoré sa musia posúdiť iba vzhľadom na ciele sledované príslušnými orgánmi dotknutého členského štátu a na úroveň ochrany, ktorú zamýšľajú zabezpečiť.“.</w:t>
      </w:r>
    </w:p>
    <w:p w14:paraId="227652E8" w14:textId="77777777" w:rsidR="00DB558C" w:rsidRPr="00DB558C" w:rsidRDefault="00DB558C" w:rsidP="00DB558C">
      <w:pPr>
        <w:spacing w:after="0" w:line="240" w:lineRule="auto"/>
        <w:ind w:left="851"/>
        <w:jc w:val="both"/>
        <w:rPr>
          <w:rFonts w:ascii="Times New Roman" w:eastAsia="Times New Roman" w:hAnsi="Times New Roman" w:cs="Times New Roman"/>
          <w:kern w:val="0"/>
          <w:lang w:eastAsia="cs-CZ"/>
          <w14:ligatures w14:val="none"/>
        </w:rPr>
      </w:pPr>
    </w:p>
    <w:p w14:paraId="30574488" w14:textId="77777777" w:rsidR="00DB558C" w:rsidRPr="00DB558C" w:rsidRDefault="00DB558C" w:rsidP="00DB558C">
      <w:pPr>
        <w:numPr>
          <w:ilvl w:val="0"/>
          <w:numId w:val="24"/>
        </w:numPr>
        <w:tabs>
          <w:tab w:val="clear" w:pos="0"/>
          <w:tab w:val="left" w:pos="360"/>
        </w:tabs>
        <w:spacing w:after="0" w:line="240" w:lineRule="auto"/>
        <w:jc w:val="both"/>
        <w:rPr>
          <w:rFonts w:ascii="Times New Roman" w:eastAsia="Times New Roman" w:hAnsi="Times New Roman" w:cs="Times New Roman"/>
          <w:b/>
          <w:bCs/>
          <w:kern w:val="0"/>
          <w:lang w:eastAsia="sk-SK"/>
          <w14:ligatures w14:val="none"/>
        </w:rPr>
      </w:pPr>
      <w:r w:rsidRPr="00DB558C">
        <w:rPr>
          <w:rFonts w:ascii="Times New Roman" w:eastAsia="Times New Roman" w:hAnsi="Times New Roman" w:cs="Times New Roman"/>
          <w:b/>
          <w:bCs/>
          <w:kern w:val="0"/>
          <w:lang w:eastAsia="sk-SK"/>
          <w14:ligatures w14:val="none"/>
        </w:rPr>
        <w:t>Záväzky Slovenskej republiky vo vzťahu k Európskej únii:</w:t>
      </w:r>
    </w:p>
    <w:p w14:paraId="1EECDC5E" w14:textId="77777777" w:rsidR="00DB558C" w:rsidRPr="00DB558C" w:rsidRDefault="00DB558C" w:rsidP="00DB558C">
      <w:pPr>
        <w:tabs>
          <w:tab w:val="left" w:pos="360"/>
        </w:tabs>
        <w:spacing w:after="0" w:line="240" w:lineRule="auto"/>
        <w:ind w:left="425"/>
        <w:jc w:val="both"/>
        <w:rPr>
          <w:rFonts w:ascii="Times New Roman" w:eastAsia="Times New Roman" w:hAnsi="Times New Roman" w:cs="Times New Roman"/>
          <w:b/>
          <w:bCs/>
          <w:kern w:val="0"/>
          <w:lang w:eastAsia="sk-SK"/>
          <w14:ligatures w14:val="none"/>
        </w:rPr>
      </w:pPr>
    </w:p>
    <w:p w14:paraId="7FCEB625" w14:textId="77777777" w:rsidR="00DB558C" w:rsidRPr="00DB558C" w:rsidRDefault="00DB558C" w:rsidP="00DB558C">
      <w:pPr>
        <w:numPr>
          <w:ilvl w:val="0"/>
          <w:numId w:val="38"/>
        </w:numPr>
        <w:tabs>
          <w:tab w:val="left" w:pos="360"/>
          <w:tab w:val="left" w:pos="540"/>
        </w:tabs>
        <w:spacing w:after="0" w:line="240" w:lineRule="auto"/>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Lehota na prebratie smernice 2006/112/ES bola stanovená do 1.1.2008.</w:t>
      </w:r>
    </w:p>
    <w:p w14:paraId="382EABE4" w14:textId="77777777" w:rsidR="00DB558C" w:rsidRPr="00DB558C" w:rsidRDefault="00DB558C" w:rsidP="00DB558C">
      <w:pPr>
        <w:tabs>
          <w:tab w:val="left" w:pos="360"/>
          <w:tab w:val="left" w:pos="540"/>
        </w:tabs>
        <w:spacing w:after="0" w:line="240" w:lineRule="auto"/>
        <w:ind w:left="785"/>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Lehota na prebratie smernice </w:t>
      </w:r>
      <w:r w:rsidRPr="00DB558C">
        <w:rPr>
          <w:rFonts w:ascii="Times New Roman" w:eastAsia="Times New Roman" w:hAnsi="Times New Roman" w:cs="Times New Roman"/>
          <w:bCs/>
          <w:color w:val="333333"/>
          <w:kern w:val="0"/>
          <w:shd w:val="clear" w:color="auto" w:fill="FFFFFF"/>
          <w:lang w:eastAsia="cs-CZ"/>
          <w14:ligatures w14:val="none"/>
        </w:rPr>
        <w:t>(EÚ) 2022/542 bola</w:t>
      </w:r>
      <w:r w:rsidRPr="00DB558C">
        <w:rPr>
          <w:rFonts w:ascii="Times New Roman" w:eastAsia="Times New Roman" w:hAnsi="Times New Roman" w:cs="Times New Roman"/>
          <w:kern w:val="0"/>
          <w:lang w:eastAsia="cs-CZ"/>
          <w14:ligatures w14:val="none"/>
        </w:rPr>
        <w:t xml:space="preserve"> stanovená do 31.12.2024.</w:t>
      </w:r>
    </w:p>
    <w:p w14:paraId="71852CCE" w14:textId="77777777" w:rsidR="00DB558C" w:rsidRPr="00DB558C" w:rsidRDefault="00DB558C" w:rsidP="00DB558C">
      <w:pPr>
        <w:tabs>
          <w:tab w:val="left" w:pos="360"/>
          <w:tab w:val="left" w:pos="540"/>
        </w:tabs>
        <w:spacing w:after="0" w:line="240" w:lineRule="auto"/>
        <w:ind w:left="785"/>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bCs/>
          <w:color w:val="333333"/>
          <w:kern w:val="0"/>
          <w:shd w:val="clear" w:color="auto" w:fill="FFFFFF"/>
          <w:lang w:eastAsia="cs-CZ"/>
          <w14:ligatures w14:val="none"/>
        </w:rPr>
        <w:t>Vykonávacie rozhodnutie Rady (EÚ) 2025/852 sa uplatňuje od 1.7.2025 do 30.6.2028.</w:t>
      </w:r>
    </w:p>
    <w:p w14:paraId="1D14D905" w14:textId="77777777" w:rsidR="00DB558C" w:rsidRPr="00DB558C" w:rsidRDefault="00DB558C" w:rsidP="00DB558C">
      <w:pPr>
        <w:tabs>
          <w:tab w:val="left" w:pos="360"/>
          <w:tab w:val="left" w:pos="540"/>
        </w:tabs>
        <w:spacing w:after="0" w:line="240" w:lineRule="auto"/>
        <w:ind w:left="785"/>
        <w:jc w:val="both"/>
        <w:rPr>
          <w:rFonts w:ascii="Times New Roman" w:eastAsia="Times New Roman" w:hAnsi="Times New Roman" w:cs="Times New Roman"/>
          <w:kern w:val="0"/>
          <w:lang w:eastAsia="cs-CZ"/>
          <w14:ligatures w14:val="none"/>
        </w:rPr>
      </w:pPr>
    </w:p>
    <w:p w14:paraId="43D643CC" w14:textId="77777777" w:rsidR="00DB558C" w:rsidRPr="00DB558C" w:rsidRDefault="00DB558C" w:rsidP="00DB558C">
      <w:pPr>
        <w:numPr>
          <w:ilvl w:val="0"/>
          <w:numId w:val="38"/>
        </w:numPr>
        <w:tabs>
          <w:tab w:val="left" w:pos="360"/>
        </w:tabs>
        <w:spacing w:after="0" w:line="240" w:lineRule="auto"/>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Proti Slovenskej republike nebolo začaté konanie v rámci „EÚ Pilot“, ani nebol začatý postup EK ako aj nebolo začaté konanie o porušení Zmluvy o fungovaní Európskej únie podľa čl. 258 až 260.</w:t>
      </w:r>
    </w:p>
    <w:p w14:paraId="0DF3BEAE" w14:textId="77777777" w:rsidR="00DB558C" w:rsidRPr="00DB558C" w:rsidRDefault="00DB558C" w:rsidP="00DB558C">
      <w:pPr>
        <w:tabs>
          <w:tab w:val="left" w:pos="360"/>
        </w:tabs>
        <w:spacing w:after="0" w:line="240" w:lineRule="auto"/>
        <w:ind w:left="785"/>
        <w:jc w:val="both"/>
        <w:rPr>
          <w:rFonts w:ascii="Times New Roman" w:eastAsia="Times New Roman" w:hAnsi="Times New Roman" w:cs="Times New Roman"/>
          <w:kern w:val="0"/>
          <w:lang w:eastAsia="cs-CZ"/>
          <w14:ligatures w14:val="none"/>
        </w:rPr>
      </w:pPr>
    </w:p>
    <w:p w14:paraId="5AE6DD52" w14:textId="77777777" w:rsidR="00DB558C" w:rsidRPr="00DB558C" w:rsidRDefault="00DB558C" w:rsidP="00DB558C">
      <w:pPr>
        <w:numPr>
          <w:ilvl w:val="0"/>
          <w:numId w:val="38"/>
        </w:numPr>
        <w:tabs>
          <w:tab w:val="left" w:pos="360"/>
        </w:tabs>
        <w:spacing w:after="0" w:line="240" w:lineRule="auto"/>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Smernica 2006/112/ES je prebratá do zákona č. 222/2004 Z. z. o dani z pridanej hodnoty v znení neskorších predpisov a do zákona č. 563/2009 Z. z. o správe daní (daňový poriadok) a o zmene a doplnení niektorých zákonov v znení neskorších predpisov.</w:t>
      </w:r>
    </w:p>
    <w:p w14:paraId="65C570E6" w14:textId="77777777" w:rsidR="00DB558C" w:rsidRPr="00DB558C" w:rsidRDefault="00DB558C" w:rsidP="00DB558C">
      <w:pPr>
        <w:tabs>
          <w:tab w:val="left" w:pos="360"/>
        </w:tabs>
        <w:spacing w:after="0" w:line="240" w:lineRule="auto"/>
        <w:ind w:left="785"/>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kern w:val="0"/>
          <w:lang w:eastAsia="cs-CZ"/>
          <w14:ligatures w14:val="none"/>
        </w:rPr>
        <w:t xml:space="preserve">Smernica </w:t>
      </w:r>
      <w:r w:rsidRPr="00DB558C">
        <w:rPr>
          <w:rFonts w:ascii="Times New Roman" w:eastAsia="Times New Roman" w:hAnsi="Times New Roman" w:cs="Times New Roman"/>
          <w:bCs/>
          <w:color w:val="333333"/>
          <w:kern w:val="0"/>
          <w:shd w:val="clear" w:color="auto" w:fill="FFFFFF"/>
          <w:lang w:eastAsia="cs-CZ"/>
          <w14:ligatures w14:val="none"/>
        </w:rPr>
        <w:t xml:space="preserve">(EÚ) 2022/542 </w:t>
      </w:r>
      <w:r w:rsidRPr="00DB558C">
        <w:rPr>
          <w:rFonts w:ascii="Times New Roman" w:eastAsia="Times New Roman" w:hAnsi="Times New Roman" w:cs="Times New Roman"/>
          <w:kern w:val="0"/>
          <w:lang w:eastAsia="cs-CZ"/>
          <w14:ligatures w14:val="none"/>
        </w:rPr>
        <w:t>je prebratá do zákona č. 222/2004 Z. z. o dani z pridanej hodnoty v znení neskorších predpisov.</w:t>
      </w:r>
    </w:p>
    <w:p w14:paraId="628906C9" w14:textId="77777777" w:rsidR="00DB558C" w:rsidRPr="00DB558C" w:rsidRDefault="00DB558C" w:rsidP="00DB558C">
      <w:pPr>
        <w:tabs>
          <w:tab w:val="left" w:pos="360"/>
        </w:tabs>
        <w:spacing w:after="0" w:line="240" w:lineRule="auto"/>
        <w:ind w:left="785"/>
        <w:jc w:val="both"/>
        <w:rPr>
          <w:rFonts w:ascii="Times New Roman" w:eastAsia="Times New Roman" w:hAnsi="Times New Roman" w:cs="Times New Roman"/>
          <w:kern w:val="0"/>
          <w:lang w:eastAsia="cs-CZ"/>
          <w14:ligatures w14:val="none"/>
        </w:rPr>
      </w:pPr>
      <w:r w:rsidRPr="00DB558C">
        <w:rPr>
          <w:rFonts w:ascii="Times New Roman" w:eastAsia="Times New Roman" w:hAnsi="Times New Roman" w:cs="Times New Roman"/>
          <w:bCs/>
          <w:color w:val="333333"/>
          <w:kern w:val="0"/>
          <w:shd w:val="clear" w:color="auto" w:fill="FFFFFF"/>
          <w:lang w:eastAsia="cs-CZ"/>
          <w14:ligatures w14:val="none"/>
        </w:rPr>
        <w:t xml:space="preserve">Vykonávacie rozhodnutie Rady (EÚ) 2025/852 </w:t>
      </w:r>
      <w:r w:rsidRPr="00DB558C">
        <w:rPr>
          <w:rFonts w:ascii="Times New Roman" w:eastAsia="Times New Roman" w:hAnsi="Times New Roman" w:cs="Times New Roman"/>
          <w:kern w:val="0"/>
          <w:lang w:eastAsia="cs-CZ"/>
          <w14:ligatures w14:val="none"/>
        </w:rPr>
        <w:t>je preberané do zákona č. 222/2004 Z. z. o dani z pridanej hodnoty v znení neskorších predpisov.</w:t>
      </w:r>
    </w:p>
    <w:p w14:paraId="3DD6480D" w14:textId="77777777" w:rsidR="00DB558C" w:rsidRPr="00DB558C" w:rsidRDefault="00DB558C" w:rsidP="00DB558C">
      <w:pPr>
        <w:tabs>
          <w:tab w:val="left" w:pos="360"/>
        </w:tabs>
        <w:spacing w:after="0" w:line="240" w:lineRule="auto"/>
        <w:ind w:left="785"/>
        <w:jc w:val="both"/>
        <w:rPr>
          <w:rFonts w:ascii="Times New Roman" w:eastAsia="Times New Roman" w:hAnsi="Times New Roman" w:cs="Times New Roman"/>
          <w:kern w:val="0"/>
          <w:lang w:eastAsia="cs-CZ"/>
          <w14:ligatures w14:val="none"/>
        </w:rPr>
      </w:pPr>
    </w:p>
    <w:p w14:paraId="6096FE4D" w14:textId="77777777" w:rsidR="00DB558C" w:rsidRPr="00DB558C" w:rsidRDefault="00DB558C" w:rsidP="00DB558C">
      <w:pPr>
        <w:widowControl w:val="0"/>
        <w:numPr>
          <w:ilvl w:val="0"/>
          <w:numId w:val="24"/>
        </w:numPr>
        <w:tabs>
          <w:tab w:val="clear" w:pos="0"/>
          <w:tab w:val="left" w:pos="360"/>
        </w:tabs>
        <w:adjustRightInd w:val="0"/>
        <w:spacing w:after="0" w:line="240" w:lineRule="auto"/>
        <w:contextualSpacing/>
        <w:jc w:val="both"/>
        <w:rPr>
          <w:rFonts w:ascii="Times New Roman" w:eastAsia="Times New Roman" w:hAnsi="Times New Roman" w:cs="Times New Roman"/>
          <w:b/>
          <w:bCs/>
          <w:kern w:val="0"/>
          <w:lang w:eastAsia="sk-SK"/>
          <w14:ligatures w14:val="none"/>
        </w:rPr>
      </w:pPr>
      <w:r w:rsidRPr="00DB558C">
        <w:rPr>
          <w:rFonts w:ascii="Times New Roman" w:eastAsia="Times New Roman" w:hAnsi="Times New Roman" w:cs="Times New Roman"/>
          <w:b/>
          <w:bCs/>
          <w:kern w:val="0"/>
          <w:lang w:eastAsia="sk-SK"/>
          <w14:ligatures w14:val="none"/>
        </w:rPr>
        <w:t>Návrh zákona je zlučiteľný s právom Európskej únie:</w:t>
      </w:r>
    </w:p>
    <w:p w14:paraId="1BA6B92D" w14:textId="77777777" w:rsidR="00DB558C" w:rsidRPr="00DB558C" w:rsidRDefault="00DB558C" w:rsidP="00DB558C">
      <w:pPr>
        <w:widowControl w:val="0"/>
        <w:tabs>
          <w:tab w:val="left" w:pos="360"/>
        </w:tabs>
        <w:adjustRightInd w:val="0"/>
        <w:spacing w:after="0" w:line="240" w:lineRule="auto"/>
        <w:ind w:left="425"/>
        <w:contextualSpacing/>
        <w:jc w:val="both"/>
        <w:rPr>
          <w:rFonts w:ascii="Times New Roman" w:eastAsia="Times New Roman" w:hAnsi="Times New Roman" w:cs="Times New Roman"/>
          <w:b/>
          <w:bCs/>
          <w:kern w:val="0"/>
          <w:lang w:eastAsia="sk-SK"/>
          <w14:ligatures w14:val="none"/>
        </w:rPr>
      </w:pPr>
    </w:p>
    <w:p w14:paraId="661AA7B8" w14:textId="77777777" w:rsidR="00DB558C" w:rsidRPr="00DB558C" w:rsidRDefault="00DB558C" w:rsidP="00DB558C">
      <w:pPr>
        <w:widowControl w:val="0"/>
        <w:tabs>
          <w:tab w:val="left" w:pos="360"/>
        </w:tabs>
        <w:adjustRightInd w:val="0"/>
        <w:spacing w:after="0" w:line="240" w:lineRule="auto"/>
        <w:ind w:left="425"/>
        <w:contextualSpacing/>
        <w:jc w:val="both"/>
        <w:rPr>
          <w:rFonts w:ascii="Times New Roman" w:eastAsia="Times New Roman" w:hAnsi="Times New Roman" w:cs="Times New Roman"/>
          <w:bCs/>
          <w:kern w:val="0"/>
          <w:lang w:eastAsia="sk-SK"/>
          <w14:ligatures w14:val="none"/>
        </w:rPr>
      </w:pPr>
      <w:r w:rsidRPr="00DB558C">
        <w:rPr>
          <w:rFonts w:ascii="Times New Roman" w:eastAsia="Times New Roman" w:hAnsi="Times New Roman" w:cs="Times New Roman"/>
          <w:bCs/>
          <w:kern w:val="0"/>
          <w:lang w:eastAsia="sk-SK"/>
          <w14:ligatures w14:val="none"/>
        </w:rPr>
        <w:t>a) úplne.</w:t>
      </w:r>
    </w:p>
    <w:p w14:paraId="216D7356" w14:textId="77777777" w:rsidR="00DB558C" w:rsidRDefault="00DB558C">
      <w:pPr>
        <w:rPr>
          <w:rFonts w:ascii="Times New Roman" w:hAnsi="Times New Roman" w:cs="Times New Roman"/>
          <w:b/>
          <w:bCs/>
          <w:lang w:eastAsia="sk-SK"/>
        </w:rPr>
      </w:pPr>
    </w:p>
    <w:p w14:paraId="1C2ECF41" w14:textId="4AD1C4C2" w:rsidR="00DB558C" w:rsidRDefault="00DB558C">
      <w:pPr>
        <w:rPr>
          <w:rFonts w:ascii="Times New Roman" w:hAnsi="Times New Roman" w:cs="Times New Roman"/>
          <w:b/>
          <w:bCs/>
          <w:lang w:eastAsia="sk-SK"/>
        </w:rPr>
      </w:pPr>
      <w:r>
        <w:rPr>
          <w:rFonts w:ascii="Times New Roman" w:hAnsi="Times New Roman" w:cs="Times New Roman"/>
          <w:b/>
          <w:bCs/>
          <w:lang w:eastAsia="sk-SK"/>
        </w:rPr>
        <w:br w:type="page"/>
      </w:r>
    </w:p>
    <w:p w14:paraId="75B62677" w14:textId="463381AF" w:rsidR="00D550F1" w:rsidRPr="00D550F1" w:rsidRDefault="00D550F1" w:rsidP="00AA643C">
      <w:pPr>
        <w:rPr>
          <w:rFonts w:ascii="Times New Roman" w:hAnsi="Times New Roman" w:cs="Times New Roman"/>
          <w:b/>
          <w:bCs/>
          <w:lang w:eastAsia="sk-SK"/>
        </w:rPr>
      </w:pPr>
      <w:r w:rsidRPr="00D550F1">
        <w:rPr>
          <w:rFonts w:ascii="Times New Roman" w:hAnsi="Times New Roman" w:cs="Times New Roman"/>
          <w:b/>
          <w:bCs/>
          <w:lang w:eastAsia="sk-SK"/>
        </w:rPr>
        <w:t xml:space="preserve">B. Osobitná časť </w:t>
      </w:r>
    </w:p>
    <w:p w14:paraId="67EEA202" w14:textId="77777777" w:rsidR="00D550F1" w:rsidRPr="00D550F1" w:rsidRDefault="00D550F1" w:rsidP="00D550F1">
      <w:pPr>
        <w:spacing w:line="240" w:lineRule="auto"/>
        <w:jc w:val="both"/>
        <w:rPr>
          <w:rFonts w:ascii="Times New Roman" w:hAnsi="Times New Roman" w:cs="Times New Roman"/>
          <w:b/>
          <w:bCs/>
          <w:u w:val="single"/>
          <w:lang w:eastAsia="sk-SK"/>
        </w:rPr>
      </w:pPr>
    </w:p>
    <w:p w14:paraId="48CA0D74" w14:textId="77777777" w:rsidR="00D550F1" w:rsidRPr="00D550F1" w:rsidRDefault="00D550F1" w:rsidP="00D550F1">
      <w:pPr>
        <w:spacing w:line="240" w:lineRule="auto"/>
        <w:jc w:val="both"/>
        <w:rPr>
          <w:rFonts w:ascii="Times New Roman" w:hAnsi="Times New Roman" w:cs="Times New Roman"/>
          <w:b/>
          <w:bCs/>
          <w:u w:val="single"/>
          <w:lang w:eastAsia="sk-SK"/>
        </w:rPr>
      </w:pPr>
      <w:r w:rsidRPr="00D550F1">
        <w:rPr>
          <w:rFonts w:ascii="Times New Roman" w:hAnsi="Times New Roman" w:cs="Times New Roman"/>
          <w:b/>
          <w:bCs/>
          <w:u w:val="single"/>
          <w:lang w:eastAsia="sk-SK"/>
        </w:rPr>
        <w:t>K čl. I (zákon č. 311/2001 Z. z.)</w:t>
      </w:r>
    </w:p>
    <w:p w14:paraId="0A72F61B" w14:textId="77777777"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
        </w:rPr>
        <w:t xml:space="preserve">K bodu 1 </w:t>
      </w:r>
      <w:r w:rsidRPr="00D550F1">
        <w:rPr>
          <w:rFonts w:ascii="Times New Roman" w:hAnsi="Times New Roman" w:cs="Times New Roman"/>
          <w:bCs/>
        </w:rPr>
        <w:t>[§ 1 ods. 2]</w:t>
      </w:r>
    </w:p>
    <w:p w14:paraId="775830EA"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Navrhuje sa upraviť definíciu závislej práce, a to vypustením znaku „v pracovnom čase určenom zamestnávateľom“, a to z dôvodu, že podobne ako v ČR, skôr ako o znak závislej práce, ide o povinnosť zamestnávateľa vyplývajúcu z princípu nadriadenosti zamestnávateľa a podriadenosti zamestnanca. Zároveň súčasné znenie Zákonníka práce už umožňuje zamestnancovi v niektorých prípadoch buď vysokú mieru autonómie v organizovaní si pracovného času (§ 88 – pružný pracovný čas) alebo samoorganizovanie si tohto pracovného času (§ 52 ods. 6 − domácka práca, telepráca). Podľa § 52 ods. 6 </w:t>
      </w:r>
      <w:r w:rsidRPr="00D550F1">
        <w:rPr>
          <w:rFonts w:ascii="Times New Roman" w:hAnsi="Times New Roman" w:cs="Times New Roman"/>
          <w:i/>
        </w:rPr>
        <w:t>„Zamestnávateľ a zamestnanec sa môžu dohodnúť, že zamestnanec si pri domáckej práci alebo telepráci bude sám rozvrhovať pracovný čas v rámci celého týždňa, alebo sa domácka práca alebo telepráca bude vykonávať v pružnom pracovnom čase.“</w:t>
      </w:r>
      <w:r w:rsidRPr="00D550F1">
        <w:rPr>
          <w:rFonts w:ascii="Times New Roman" w:hAnsi="Times New Roman" w:cs="Times New Roman"/>
        </w:rPr>
        <w:t xml:space="preserve"> Aj praktická realizácia vzťahov je už často založená skôr na dosahovaní požadovaných výsledkov než na konkrétnom čase, kedy sa tieto výsledky dosahujú. Ak si už v súčasnosti zamestnanec môže sám, po dohode so zamestnávateľom organizovať pracovný čas, nemôže ísť o znak závislej práce, pretože potom existuje vnútorný rozpor medzi definíciou závislej práce (so znakom „v pracovnom čase určenom zamestnávateľom“) a praktickou realizáciou pracovného pomeru (v pracovnom čase určenom zamestnancom). To sa následne premieta aj do posudzovania naplnenia znakov závislej práce pri inšpekcii práce, kedy sa kontrolovaný subjekt odvoláva na definíciu závislej práce a na nenaplnenie znaku „v pracovnom čase určenom zamestnávateľom“, hoci je zjavné, že inak je práca vykonávaná vo vzťahu nadriadenosti zamestnávateľa a podriadenosti zamestnanca, osobne zamestnancom pre zamestnávateľa, podľa pokynov zamestnávateľa a v jeho mene.</w:t>
      </w:r>
    </w:p>
    <w:p w14:paraId="0D596950" w14:textId="77777777"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
        </w:rPr>
        <w:t xml:space="preserve">K bodom 2 a 3 </w:t>
      </w:r>
      <w:r w:rsidRPr="00D550F1">
        <w:rPr>
          <w:rFonts w:ascii="Times New Roman" w:hAnsi="Times New Roman" w:cs="Times New Roman"/>
          <w:bCs/>
        </w:rPr>
        <w:t>[§ 94 ods. 5 a § 252u]</w:t>
      </w:r>
    </w:p>
    <w:p w14:paraId="3A29CF8B"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Vzhľadom na navrhovanú zmenu zákona č. 241/1993 Z. z. o štátnych sviatkoch, dňoch pracovného pokoja a pamätných dňoch, na základe ktorej sa štátny sviatok 17. novembra nebude považovať za deň pracovného pokoja, sa navrhuje vypustiť tento deň zo zoznamu dní, kedy nemožno zamestnancovi nariadiť ani s ním dohodnúť prácu, ktorou je predaj tovaru konečnému spotrebiteľovi vrátane s ním súvisiacich prác (tzv. maloobchodný predaj).</w:t>
      </w:r>
    </w:p>
    <w:p w14:paraId="710BEB26"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Vzhľadom na to, že dni 6. januára a 8. mája sa za dni pracovného pokoja nebudú považovať len v roku 2026, navrhuje sa v tomto ohľade upraviť prechodné ustanovenie a neuplatňovať zákaz podľa § 94 ods. 5 len v roku 2026.</w:t>
      </w:r>
    </w:p>
    <w:p w14:paraId="714900F8" w14:textId="77777777" w:rsidR="00D550F1" w:rsidRPr="00D550F1" w:rsidRDefault="00D550F1" w:rsidP="00D550F1">
      <w:pPr>
        <w:spacing w:after="0" w:line="240" w:lineRule="auto"/>
        <w:jc w:val="both"/>
        <w:rPr>
          <w:rFonts w:ascii="Times New Roman" w:hAnsi="Times New Roman" w:cs="Times New Roman"/>
        </w:rPr>
      </w:pPr>
    </w:p>
    <w:p w14:paraId="18B72727" w14:textId="77777777" w:rsidR="00D550F1" w:rsidRPr="00D550F1" w:rsidRDefault="00D550F1" w:rsidP="00D550F1">
      <w:pPr>
        <w:spacing w:after="0" w:line="240" w:lineRule="auto"/>
        <w:jc w:val="both"/>
        <w:rPr>
          <w:rFonts w:ascii="Times New Roman" w:hAnsi="Times New Roman" w:cs="Times New Roman"/>
        </w:rPr>
      </w:pPr>
    </w:p>
    <w:p w14:paraId="4565BCCA" w14:textId="77777777" w:rsidR="00D550F1" w:rsidRPr="00D550F1" w:rsidRDefault="00D550F1" w:rsidP="00D550F1">
      <w:pPr>
        <w:spacing w:line="240" w:lineRule="auto"/>
        <w:jc w:val="both"/>
        <w:rPr>
          <w:rFonts w:ascii="Times New Roman" w:hAnsi="Times New Roman" w:cs="Times New Roman"/>
          <w:b/>
          <w:bCs/>
          <w:u w:val="single"/>
          <w:lang w:eastAsia="sk-SK"/>
        </w:rPr>
      </w:pPr>
      <w:r w:rsidRPr="00D550F1">
        <w:rPr>
          <w:rFonts w:ascii="Times New Roman" w:hAnsi="Times New Roman" w:cs="Times New Roman"/>
          <w:b/>
          <w:bCs/>
          <w:u w:val="single"/>
          <w:lang w:eastAsia="sk-SK"/>
        </w:rPr>
        <w:t>K čl. II (zákon č. 44/1988 Zb.)</w:t>
      </w:r>
    </w:p>
    <w:p w14:paraId="6B085F02" w14:textId="77777777" w:rsidR="00D550F1" w:rsidRPr="00D550F1" w:rsidRDefault="00D550F1" w:rsidP="00D550F1">
      <w:pPr>
        <w:spacing w:after="0" w:line="240" w:lineRule="auto"/>
        <w:jc w:val="both"/>
        <w:rPr>
          <w:rFonts w:ascii="Times New Roman" w:hAnsi="Times New Roman" w:cs="Times New Roman"/>
          <w:b/>
          <w:bCs/>
          <w:lang w:eastAsia="sk-SK"/>
        </w:rPr>
      </w:pPr>
      <w:r w:rsidRPr="00D550F1">
        <w:rPr>
          <w:rFonts w:ascii="Times New Roman" w:hAnsi="Times New Roman" w:cs="Times New Roman"/>
          <w:b/>
          <w:bCs/>
          <w:lang w:eastAsia="sk-SK"/>
        </w:rPr>
        <w:t xml:space="preserve">K bodu 1 </w:t>
      </w:r>
      <w:r w:rsidRPr="00D550F1">
        <w:rPr>
          <w:rFonts w:ascii="Times New Roman" w:hAnsi="Times New Roman" w:cs="Times New Roman"/>
          <w:lang w:eastAsia="sk-SK"/>
        </w:rPr>
        <w:t>[§ 1]</w:t>
      </w:r>
    </w:p>
    <w:p w14:paraId="3B31B076" w14:textId="77777777" w:rsidR="00D550F1" w:rsidRPr="00D550F1" w:rsidRDefault="00D550F1" w:rsidP="00D550F1">
      <w:pPr>
        <w:spacing w:line="240" w:lineRule="auto"/>
        <w:jc w:val="both"/>
        <w:rPr>
          <w:rFonts w:ascii="Times New Roman" w:hAnsi="Times New Roman" w:cs="Times New Roman"/>
          <w:lang w:eastAsia="sk-SK"/>
        </w:rPr>
      </w:pPr>
      <w:r w:rsidRPr="00D550F1">
        <w:rPr>
          <w:rFonts w:ascii="Times New Roman" w:hAnsi="Times New Roman" w:cs="Times New Roman"/>
          <w:lang w:eastAsia="sk-SK"/>
        </w:rPr>
        <w:t xml:space="preserve">Medzi účely zákona sa dopĺňa </w:t>
      </w:r>
      <w:bookmarkStart w:id="11" w:name="_Hlk198066263"/>
      <w:r w:rsidRPr="00D550F1">
        <w:rPr>
          <w:rFonts w:ascii="Times New Roman" w:hAnsi="Times New Roman" w:cs="Times New Roman"/>
          <w:lang w:eastAsia="sk-SK"/>
        </w:rPr>
        <w:t>platenie úhrad za dobývací priestor, uskladňovanie plynov alebo kvapalín, vyhradené nerasty a primárne suroviny</w:t>
      </w:r>
      <w:bookmarkEnd w:id="11"/>
      <w:r w:rsidRPr="00D550F1">
        <w:rPr>
          <w:rFonts w:ascii="Times New Roman" w:hAnsi="Times New Roman" w:cs="Times New Roman"/>
          <w:lang w:eastAsia="sk-SK"/>
        </w:rPr>
        <w:t xml:space="preserve">. </w:t>
      </w:r>
    </w:p>
    <w:p w14:paraId="7C4B6585" w14:textId="77777777" w:rsidR="00D550F1" w:rsidRPr="00D550F1" w:rsidRDefault="00D550F1" w:rsidP="00D550F1">
      <w:pPr>
        <w:spacing w:after="0" w:line="240" w:lineRule="auto"/>
        <w:jc w:val="both"/>
        <w:rPr>
          <w:rFonts w:ascii="Times New Roman" w:hAnsi="Times New Roman" w:cs="Times New Roman"/>
          <w:lang w:eastAsia="sk-SK"/>
        </w:rPr>
      </w:pPr>
      <w:r w:rsidRPr="00D550F1">
        <w:rPr>
          <w:rFonts w:ascii="Times New Roman" w:hAnsi="Times New Roman" w:cs="Times New Roman"/>
          <w:b/>
          <w:bCs/>
          <w:lang w:eastAsia="sk-SK"/>
        </w:rPr>
        <w:t xml:space="preserve">K bodom 2 až 5 </w:t>
      </w:r>
      <w:r w:rsidRPr="00D550F1">
        <w:rPr>
          <w:rFonts w:ascii="Times New Roman" w:hAnsi="Times New Roman" w:cs="Times New Roman"/>
          <w:lang w:eastAsia="sk-SK"/>
        </w:rPr>
        <w:t>[§ 32a ods. 1 až 4]</w:t>
      </w:r>
    </w:p>
    <w:p w14:paraId="7382AA88" w14:textId="77777777" w:rsidR="00D550F1" w:rsidRPr="00D550F1" w:rsidRDefault="00D550F1" w:rsidP="00D550F1">
      <w:pPr>
        <w:spacing w:line="240" w:lineRule="auto"/>
        <w:jc w:val="both"/>
        <w:rPr>
          <w:rFonts w:ascii="Times New Roman" w:hAnsi="Times New Roman" w:cs="Times New Roman"/>
          <w:bCs/>
          <w:lang w:eastAsia="sk-SK"/>
        </w:rPr>
      </w:pPr>
      <w:r w:rsidRPr="00D550F1">
        <w:rPr>
          <w:rFonts w:ascii="Times New Roman" w:hAnsi="Times New Roman" w:cs="Times New Roman"/>
          <w:bCs/>
          <w:lang w:eastAsia="sk-SK"/>
        </w:rPr>
        <w:t xml:space="preserve">Z dôvodu dlhoročnej neaktualizácie sadzieb sa zavádza nový systém úhrad, ktorý reaguje na vývoj cien a infláciu.  Nová ročná sadzba úhrad za dobývací priestor v eurách sa stanovuje vo výške 1 000 eur za každý aj začatý km² plošného obsahu dobývacieho priestoru. Úhrady za uskladňovanie plynov a  kvapalín sa stanovujú na maximálnu výšku úhrady vo výške 0,001 eur za každý 1 m³ uskladneného (zatlačeného) plynu alebo za každú 1 tonu kvapaliny. </w:t>
      </w:r>
    </w:p>
    <w:p w14:paraId="3551469B" w14:textId="77777777" w:rsidR="007F3D46" w:rsidRDefault="007F3D46" w:rsidP="00D550F1">
      <w:pPr>
        <w:spacing w:after="0" w:line="240" w:lineRule="auto"/>
        <w:jc w:val="both"/>
        <w:rPr>
          <w:rFonts w:ascii="Times New Roman" w:hAnsi="Times New Roman" w:cs="Times New Roman"/>
          <w:b/>
          <w:bCs/>
          <w:lang w:eastAsia="sk-SK"/>
        </w:rPr>
      </w:pPr>
    </w:p>
    <w:p w14:paraId="76D51020" w14:textId="6EFB2F44" w:rsidR="00D550F1" w:rsidRPr="00D550F1" w:rsidRDefault="00D550F1" w:rsidP="00D550F1">
      <w:pPr>
        <w:spacing w:after="0" w:line="240" w:lineRule="auto"/>
        <w:jc w:val="both"/>
        <w:rPr>
          <w:rFonts w:ascii="Times New Roman" w:hAnsi="Times New Roman" w:cs="Times New Roman"/>
          <w:b/>
          <w:bCs/>
          <w:lang w:eastAsia="sk-SK"/>
        </w:rPr>
      </w:pPr>
      <w:r w:rsidRPr="00D550F1">
        <w:rPr>
          <w:rFonts w:ascii="Times New Roman" w:hAnsi="Times New Roman" w:cs="Times New Roman"/>
          <w:b/>
          <w:bCs/>
          <w:lang w:eastAsia="sk-SK"/>
        </w:rPr>
        <w:t xml:space="preserve">K bodu 6 </w:t>
      </w:r>
      <w:r w:rsidRPr="00D550F1">
        <w:rPr>
          <w:rFonts w:ascii="Times New Roman" w:hAnsi="Times New Roman" w:cs="Times New Roman"/>
          <w:lang w:eastAsia="sk-SK"/>
        </w:rPr>
        <w:t>[§ 32a ods. 5]</w:t>
      </w:r>
    </w:p>
    <w:p w14:paraId="66D88B0B" w14:textId="77777777" w:rsidR="00D550F1" w:rsidRPr="00D550F1" w:rsidRDefault="00D550F1" w:rsidP="00D550F1">
      <w:pPr>
        <w:spacing w:line="240" w:lineRule="auto"/>
        <w:jc w:val="both"/>
        <w:rPr>
          <w:rFonts w:ascii="Times New Roman" w:hAnsi="Times New Roman" w:cs="Times New Roman"/>
          <w:bCs/>
          <w:lang w:eastAsia="sk-SK"/>
        </w:rPr>
      </w:pPr>
      <w:bookmarkStart w:id="12" w:name="_Hlk199703245"/>
      <w:r w:rsidRPr="00D550F1">
        <w:rPr>
          <w:rFonts w:ascii="Times New Roman" w:hAnsi="Times New Roman" w:cs="Times New Roman"/>
          <w:bCs/>
          <w:lang w:eastAsia="sk-SK"/>
        </w:rPr>
        <w:t>Spolu so zvýšením úhrady za dobývací priestor sa zvyšuje aj podiel príjmu pre obec, na ktorej území sa dobývací priestor nachádza, a to až na 100 % zo sumy úhrady.</w:t>
      </w:r>
    </w:p>
    <w:p w14:paraId="1C5B02BC" w14:textId="77777777" w:rsidR="00D550F1" w:rsidRPr="00D550F1" w:rsidRDefault="00D550F1" w:rsidP="00D550F1">
      <w:pPr>
        <w:spacing w:line="240" w:lineRule="auto"/>
        <w:jc w:val="both"/>
        <w:rPr>
          <w:rFonts w:ascii="Times New Roman" w:hAnsi="Times New Roman" w:cs="Times New Roman"/>
          <w:bCs/>
          <w:lang w:eastAsia="sk-SK"/>
        </w:rPr>
      </w:pPr>
      <w:r w:rsidRPr="00D550F1">
        <w:rPr>
          <w:rFonts w:ascii="Times New Roman" w:hAnsi="Times New Roman" w:cs="Times New Roman"/>
          <w:bCs/>
          <w:lang w:eastAsia="sk-SK"/>
        </w:rPr>
        <w:t>Cieľom je posilniť motivačný a kompenzačný mechanizmus pre miestnu samosprávu, ktorá je priamo dotknutá banskou činnosťou na svojom území. Ide o uznanie špecifického zaťaženia a  vplyvov, ktoré s ťažbou a súvisiacimi činnosťami súvisia.</w:t>
      </w:r>
    </w:p>
    <w:p w14:paraId="6A84A2B0" w14:textId="77777777" w:rsidR="00D550F1" w:rsidRPr="00D550F1" w:rsidRDefault="00D550F1" w:rsidP="00D550F1">
      <w:pPr>
        <w:spacing w:after="0" w:line="240" w:lineRule="auto"/>
        <w:jc w:val="both"/>
        <w:rPr>
          <w:rFonts w:ascii="Times New Roman" w:hAnsi="Times New Roman" w:cs="Times New Roman"/>
          <w:b/>
          <w:bCs/>
          <w:lang w:eastAsia="sk-SK"/>
        </w:rPr>
      </w:pPr>
      <w:r w:rsidRPr="00D550F1">
        <w:rPr>
          <w:rFonts w:ascii="Times New Roman" w:hAnsi="Times New Roman" w:cs="Times New Roman"/>
          <w:b/>
          <w:bCs/>
          <w:lang w:eastAsia="sk-SK"/>
        </w:rPr>
        <w:t xml:space="preserve">K bodu 7 </w:t>
      </w:r>
      <w:r w:rsidRPr="00D550F1">
        <w:rPr>
          <w:rFonts w:ascii="Times New Roman" w:hAnsi="Times New Roman" w:cs="Times New Roman"/>
          <w:lang w:eastAsia="sk-SK"/>
        </w:rPr>
        <w:t>[§ 32a ods. 6]</w:t>
      </w:r>
    </w:p>
    <w:p w14:paraId="7D622335" w14:textId="77777777" w:rsidR="00D550F1" w:rsidRPr="00D550F1" w:rsidRDefault="00D550F1" w:rsidP="00D550F1">
      <w:pPr>
        <w:spacing w:line="240" w:lineRule="auto"/>
        <w:jc w:val="both"/>
        <w:rPr>
          <w:rFonts w:ascii="Times New Roman" w:hAnsi="Times New Roman" w:cs="Times New Roman"/>
          <w:bCs/>
          <w:lang w:eastAsia="sk-SK"/>
        </w:rPr>
      </w:pPr>
      <w:r w:rsidRPr="00D550F1">
        <w:rPr>
          <w:rFonts w:ascii="Times New Roman" w:hAnsi="Times New Roman" w:cs="Times New Roman"/>
          <w:bCs/>
          <w:lang w:eastAsia="sk-SK"/>
        </w:rPr>
        <w:t>V súlade s princípmi efektívneho využívania verejných financií sa navrhuje úprava rozdelenia výnosov z úhrad za uskladňovanie plynov a kvapalín, ako aj z úhrad za vyhradené nerasty vydobyté z výhradných ložísk.</w:t>
      </w:r>
    </w:p>
    <w:p w14:paraId="38EDB053" w14:textId="77777777" w:rsidR="00D550F1" w:rsidRPr="00D550F1" w:rsidRDefault="00D550F1" w:rsidP="00D550F1">
      <w:pPr>
        <w:spacing w:line="240" w:lineRule="auto"/>
        <w:jc w:val="both"/>
        <w:rPr>
          <w:rFonts w:ascii="Times New Roman" w:hAnsi="Times New Roman" w:cs="Times New Roman"/>
          <w:bCs/>
          <w:lang w:eastAsia="sk-SK"/>
        </w:rPr>
      </w:pPr>
      <w:r w:rsidRPr="00D550F1">
        <w:rPr>
          <w:rFonts w:ascii="Times New Roman" w:hAnsi="Times New Roman" w:cs="Times New Roman"/>
          <w:bCs/>
          <w:lang w:eastAsia="sk-SK"/>
        </w:rPr>
        <w:t xml:space="preserve">Príjmy zo štátneho rozpočtu Slovenskej republiky sú účelovo rozdelené, tak že 80 % z vybraných prostriedkov je vyčlenených </w:t>
      </w:r>
      <w:r w:rsidRPr="00D550F1">
        <w:rPr>
          <w:rFonts w:ascii="Times New Roman" w:hAnsi="Times New Roman" w:cs="Times New Roman"/>
          <w:lang w:eastAsia="sk-SK"/>
        </w:rPr>
        <w:t>na technické práce vykonávané podľa útlmového programu banskej činnosti, na odstraňovanie škôd spôsobených dobývaním ložísk vyhradených nerastov, na zabezpečenie a likvidáciu starých banských diel, pre zaistenie a likvidáciu opustených banských diel alebo sanáciu, rekultiváciu a revitalizáciu pozemkov vo vlastníctve štátu, na sanáciu banských záťaží a odpadov a na recykláciu nerastných surovín pochádzajúcich z banskej činnosti, a to v rámci rozpočtovej kapitoly Ministerstva hospodárstva Slovenskej republiky</w:t>
      </w:r>
      <w:r w:rsidRPr="00D550F1">
        <w:rPr>
          <w:rFonts w:ascii="Times New Roman" w:hAnsi="Times New Roman" w:cs="Times New Roman"/>
          <w:bCs/>
          <w:lang w:eastAsia="sk-SK"/>
        </w:rPr>
        <w:t xml:space="preserve"> a 20 % z vybraných prostriedkov je vyčlenených </w:t>
      </w:r>
      <w:r w:rsidRPr="00D550F1">
        <w:rPr>
          <w:rFonts w:ascii="Times New Roman" w:hAnsi="Times New Roman" w:cs="Times New Roman"/>
          <w:lang w:eastAsia="sk-SK"/>
        </w:rPr>
        <w:t>na zisťovanie a evidenciu starých banských diel, zabezpečenie a likvidáciu opustených prieskumných banských diel a pre zaistenie výkonu štátnej geologickej služby, riešenie problematiky ťažobných odpadov, na recykláciu nerastných surovín a  na národný program prieskumu, a to v rámci rozpočtovej kapitoly Ministerstva životného prostredia Slovenskej republiky</w:t>
      </w:r>
      <w:r w:rsidRPr="00D550F1">
        <w:rPr>
          <w:rFonts w:ascii="Times New Roman" w:hAnsi="Times New Roman" w:cs="Times New Roman"/>
          <w:bCs/>
          <w:lang w:eastAsia="sk-SK"/>
        </w:rPr>
        <w:t xml:space="preserve">. </w:t>
      </w:r>
    </w:p>
    <w:p w14:paraId="1192349A" w14:textId="77777777" w:rsidR="00D550F1" w:rsidRPr="00D550F1" w:rsidRDefault="00D550F1" w:rsidP="00D550F1">
      <w:pPr>
        <w:spacing w:before="240" w:line="240" w:lineRule="auto"/>
        <w:jc w:val="both"/>
        <w:rPr>
          <w:rFonts w:ascii="Times New Roman" w:hAnsi="Times New Roman" w:cs="Times New Roman"/>
          <w:bCs/>
          <w:lang w:eastAsia="sk-SK"/>
        </w:rPr>
      </w:pPr>
      <w:r w:rsidRPr="00D550F1">
        <w:rPr>
          <w:rFonts w:ascii="Times New Roman" w:hAnsi="Times New Roman" w:cs="Times New Roman"/>
          <w:bCs/>
          <w:lang w:eastAsia="sk-SK"/>
        </w:rPr>
        <w:t>Opatrenie má za cieľ zabezpečiť, aby výnosy z využívania nerastného bohatstva Slovenskej republiky boli cielene a transparentne reinvestované späť do oblastí, ktoré sú banskou činnosťou priamo ovplyvnené. Povinnosti organizácií tvoriť rezervy na účely likvidácie, sanácie a rekultivácie a vyrovnania banských škôd týmto nie sú dotknuté.</w:t>
      </w:r>
    </w:p>
    <w:p w14:paraId="30F8A042" w14:textId="77777777" w:rsidR="00D550F1" w:rsidRPr="00D550F1" w:rsidRDefault="00D550F1" w:rsidP="00D550F1">
      <w:pPr>
        <w:spacing w:after="0" w:line="240" w:lineRule="auto"/>
        <w:jc w:val="both"/>
        <w:rPr>
          <w:rFonts w:ascii="Times New Roman" w:hAnsi="Times New Roman" w:cs="Times New Roman"/>
          <w:b/>
          <w:bCs/>
          <w:lang w:eastAsia="sk-SK"/>
        </w:rPr>
      </w:pPr>
      <w:r w:rsidRPr="00D550F1">
        <w:rPr>
          <w:rFonts w:ascii="Times New Roman" w:hAnsi="Times New Roman" w:cs="Times New Roman"/>
          <w:b/>
          <w:bCs/>
          <w:lang w:eastAsia="sk-SK"/>
        </w:rPr>
        <w:t xml:space="preserve">K bodu 8 </w:t>
      </w:r>
      <w:r w:rsidRPr="00D550F1">
        <w:rPr>
          <w:rFonts w:ascii="Times New Roman" w:hAnsi="Times New Roman" w:cs="Times New Roman"/>
          <w:lang w:eastAsia="sk-SK"/>
        </w:rPr>
        <w:t>[§ 32a ods. 7 a 8]</w:t>
      </w:r>
    </w:p>
    <w:p w14:paraId="4D28D32D" w14:textId="77777777" w:rsidR="00D550F1" w:rsidRPr="00D550F1" w:rsidRDefault="00D550F1" w:rsidP="00D550F1">
      <w:pPr>
        <w:spacing w:line="240" w:lineRule="auto"/>
        <w:jc w:val="both"/>
        <w:rPr>
          <w:rFonts w:ascii="Times New Roman" w:hAnsi="Times New Roman" w:cs="Times New Roman"/>
          <w:bCs/>
          <w:lang w:eastAsia="sk-SK"/>
        </w:rPr>
      </w:pPr>
      <w:r w:rsidRPr="00D550F1">
        <w:rPr>
          <w:rFonts w:ascii="Times New Roman" w:hAnsi="Times New Roman" w:cs="Times New Roman"/>
          <w:bCs/>
          <w:lang w:eastAsia="sk-SK"/>
        </w:rPr>
        <w:t>Dopĺňa sa systém platenia úhrad za vydobyté primárne suroviny, konkrétne za štrkopiesky a piesky a stavebný kameň, ktoré sa nachádzajú na ložiskách nevyhradených nerastov, ako aj na výhradných ložiskách nevyhradených nerastov.</w:t>
      </w:r>
    </w:p>
    <w:p w14:paraId="323A3EF7" w14:textId="77777777" w:rsidR="00D550F1" w:rsidRPr="00D550F1" w:rsidRDefault="00D550F1" w:rsidP="00D550F1">
      <w:pPr>
        <w:spacing w:before="240" w:line="240" w:lineRule="auto"/>
        <w:jc w:val="both"/>
        <w:rPr>
          <w:rFonts w:ascii="Times New Roman" w:hAnsi="Times New Roman" w:cs="Times New Roman"/>
          <w:lang w:eastAsia="sk-SK"/>
        </w:rPr>
      </w:pPr>
      <w:r w:rsidRPr="00D550F1">
        <w:rPr>
          <w:rFonts w:ascii="Times New Roman" w:hAnsi="Times New Roman" w:cs="Times New Roman"/>
          <w:bCs/>
          <w:lang w:eastAsia="sk-SK"/>
        </w:rPr>
        <w:t xml:space="preserve">Pri výpočte úhrady za vydobyté množstvo týchto surovín sa vychádza zo súčinu skutočne vydobytého množstva primárnych surovín a príslušnej sadzby úhrady. </w:t>
      </w:r>
      <w:bookmarkEnd w:id="12"/>
      <w:r w:rsidRPr="00D550F1">
        <w:rPr>
          <w:rFonts w:ascii="Times New Roman" w:hAnsi="Times New Roman" w:cs="Times New Roman"/>
          <w:bCs/>
          <w:lang w:eastAsia="sk-SK"/>
        </w:rPr>
        <w:t xml:space="preserve"> </w:t>
      </w:r>
      <w:r w:rsidRPr="00D550F1">
        <w:rPr>
          <w:rFonts w:ascii="Times New Roman" w:hAnsi="Times New Roman" w:cs="Times New Roman"/>
          <w:lang w:eastAsia="sk-SK"/>
        </w:rPr>
        <w:t>Sadzba úhrady za vydobyté primárne suroviny sa navrhuje vo výške 1,35 eur za tonu.</w:t>
      </w:r>
    </w:p>
    <w:p w14:paraId="7F8E467E" w14:textId="77777777" w:rsidR="00D550F1" w:rsidRPr="00D550F1" w:rsidRDefault="00D550F1" w:rsidP="00D550F1">
      <w:pPr>
        <w:spacing w:before="240" w:line="240" w:lineRule="auto"/>
        <w:jc w:val="both"/>
        <w:rPr>
          <w:rFonts w:ascii="Times New Roman" w:hAnsi="Times New Roman" w:cs="Times New Roman"/>
          <w:bCs/>
          <w:lang w:eastAsia="sk-SK"/>
        </w:rPr>
      </w:pPr>
      <w:bookmarkStart w:id="13" w:name="_Hlk199703062"/>
      <w:r w:rsidRPr="00D550F1">
        <w:rPr>
          <w:rFonts w:ascii="Times New Roman" w:hAnsi="Times New Roman" w:cs="Times New Roman"/>
          <w:bCs/>
          <w:lang w:eastAsia="sk-SK"/>
        </w:rPr>
        <w:t>Nový systém platenia úhrad za vydobyté primárne suroviny, konkrétne za štrkopiesky a piesky a  stavebný kameň, ktoré sa nachádzajú na ložiskách nevyhradených nerastov, ako aj na výhradných ložiskách nevyhradených nerastov, ustanovuje, že vybrané úhrady budú príjmom štátneho rozpočtu Slovenskej republiky.</w:t>
      </w:r>
    </w:p>
    <w:p w14:paraId="10335BE5" w14:textId="77777777" w:rsidR="00D550F1" w:rsidRPr="00D550F1" w:rsidRDefault="00D550F1" w:rsidP="00D550F1">
      <w:pPr>
        <w:spacing w:before="240" w:line="240" w:lineRule="auto"/>
        <w:jc w:val="both"/>
        <w:rPr>
          <w:rFonts w:ascii="Times New Roman" w:hAnsi="Times New Roman" w:cs="Times New Roman"/>
          <w:bCs/>
          <w:lang w:eastAsia="sk-SK"/>
        </w:rPr>
      </w:pPr>
      <w:r w:rsidRPr="00D550F1">
        <w:rPr>
          <w:rFonts w:ascii="Times New Roman" w:hAnsi="Times New Roman" w:cs="Times New Roman"/>
          <w:bCs/>
          <w:lang w:eastAsia="sk-SK"/>
        </w:rPr>
        <w:t>Cieľom tohto opatrenia je zabezpečiť spravodlivejší a efektívnejší výber finančných prostriedkov z využívania nerastného bohatstva, ktoré síce nepatrí medzi vyhradené nerasty, no má významný hospodársky a environmentálny vplyv. Zaradenie týchto úhrad medzi príjmy štátneho rozpočtu umožní ich centrálne spravovanie a alokáciu na priority štátu, vrátane investícií do infraštruktúry, ochrany životného prostredia a pod.</w:t>
      </w:r>
    </w:p>
    <w:bookmarkEnd w:id="13"/>
    <w:p w14:paraId="1D590715" w14:textId="77777777" w:rsidR="00D550F1" w:rsidRPr="00D550F1" w:rsidRDefault="00D550F1" w:rsidP="00D550F1">
      <w:pPr>
        <w:spacing w:after="0" w:line="240" w:lineRule="auto"/>
        <w:jc w:val="both"/>
        <w:rPr>
          <w:rFonts w:ascii="Times New Roman" w:hAnsi="Times New Roman" w:cs="Times New Roman"/>
          <w:b/>
          <w:bCs/>
          <w:lang w:eastAsia="sk-SK"/>
        </w:rPr>
      </w:pPr>
      <w:r w:rsidRPr="00D550F1">
        <w:rPr>
          <w:rFonts w:ascii="Times New Roman" w:hAnsi="Times New Roman" w:cs="Times New Roman"/>
          <w:b/>
          <w:bCs/>
          <w:lang w:eastAsia="sk-SK"/>
        </w:rPr>
        <w:t xml:space="preserve">K bodu 9 a 10 </w:t>
      </w:r>
      <w:r w:rsidRPr="00D550F1">
        <w:rPr>
          <w:rFonts w:ascii="Times New Roman" w:hAnsi="Times New Roman" w:cs="Times New Roman"/>
          <w:lang w:eastAsia="sk-SK"/>
        </w:rPr>
        <w:t>[§ 32a ods. 10 až 12]</w:t>
      </w:r>
    </w:p>
    <w:p w14:paraId="7B716E84" w14:textId="77777777" w:rsidR="00D550F1" w:rsidRPr="00D550F1" w:rsidRDefault="00D550F1" w:rsidP="00D550F1">
      <w:pPr>
        <w:spacing w:line="240" w:lineRule="auto"/>
        <w:jc w:val="both"/>
        <w:rPr>
          <w:rFonts w:ascii="Times New Roman" w:hAnsi="Times New Roman" w:cs="Times New Roman"/>
          <w:bCs/>
          <w:lang w:eastAsia="sk-SK"/>
        </w:rPr>
      </w:pPr>
      <w:r w:rsidRPr="00D550F1">
        <w:rPr>
          <w:rFonts w:ascii="Times New Roman" w:hAnsi="Times New Roman" w:cs="Times New Roman"/>
          <w:bCs/>
          <w:lang w:eastAsia="sk-SK"/>
        </w:rPr>
        <w:t>Legislatívno-technické úpravy vyplývajúce z predchádzajúcich zmien.</w:t>
      </w:r>
    </w:p>
    <w:p w14:paraId="49A9BF81" w14:textId="77777777" w:rsidR="00D550F1" w:rsidRPr="00D550F1" w:rsidRDefault="00D550F1" w:rsidP="00D550F1">
      <w:pPr>
        <w:spacing w:after="0" w:line="240" w:lineRule="auto"/>
        <w:jc w:val="both"/>
        <w:rPr>
          <w:rFonts w:ascii="Times New Roman" w:hAnsi="Times New Roman" w:cs="Times New Roman"/>
          <w:b/>
          <w:bCs/>
          <w:lang w:eastAsia="sk-SK"/>
        </w:rPr>
      </w:pPr>
      <w:r w:rsidRPr="00D550F1">
        <w:rPr>
          <w:rFonts w:ascii="Times New Roman" w:hAnsi="Times New Roman" w:cs="Times New Roman"/>
          <w:b/>
          <w:bCs/>
          <w:lang w:eastAsia="sk-SK"/>
        </w:rPr>
        <w:t xml:space="preserve">K bodu 11 </w:t>
      </w:r>
      <w:r w:rsidRPr="00D550F1">
        <w:rPr>
          <w:rFonts w:ascii="Times New Roman" w:hAnsi="Times New Roman" w:cs="Times New Roman"/>
          <w:lang w:eastAsia="sk-SK"/>
        </w:rPr>
        <w:t>[§ 32a ods. 13]</w:t>
      </w:r>
    </w:p>
    <w:p w14:paraId="102493F4" w14:textId="77777777" w:rsidR="00D550F1" w:rsidRPr="00D550F1" w:rsidRDefault="00D550F1" w:rsidP="00D550F1">
      <w:pPr>
        <w:spacing w:line="240" w:lineRule="auto"/>
        <w:jc w:val="both"/>
        <w:rPr>
          <w:rFonts w:ascii="Times New Roman" w:hAnsi="Times New Roman" w:cs="Times New Roman"/>
          <w:bCs/>
          <w:lang w:eastAsia="sk-SK"/>
        </w:rPr>
      </w:pPr>
      <w:r w:rsidRPr="00D550F1">
        <w:rPr>
          <w:rFonts w:ascii="Times New Roman" w:hAnsi="Times New Roman" w:cs="Times New Roman"/>
          <w:bCs/>
          <w:lang w:eastAsia="sk-SK"/>
        </w:rPr>
        <w:t>Vypúšťajú sa ustanovenia týkajúce sa možnosti zníženia úhrad za vydobyté nerasty zo strany Ministerstva financií Slovenskej republiky, a to z dôvodu straty tejto kompetencie v dôsledku legislatívnych zmien, ktoré spôsobili, že príslušné ustanovenia sa stali neaktuálnymi a neaplikovateľnými.</w:t>
      </w:r>
    </w:p>
    <w:p w14:paraId="664CB42E" w14:textId="77777777" w:rsidR="00D550F1" w:rsidRPr="00D550F1" w:rsidRDefault="00D550F1" w:rsidP="00D550F1">
      <w:pPr>
        <w:spacing w:before="240" w:line="240" w:lineRule="auto"/>
        <w:jc w:val="both"/>
        <w:rPr>
          <w:rFonts w:ascii="Times New Roman" w:hAnsi="Times New Roman" w:cs="Times New Roman"/>
          <w:bCs/>
          <w:lang w:eastAsia="sk-SK"/>
        </w:rPr>
      </w:pPr>
      <w:r w:rsidRPr="00D550F1">
        <w:rPr>
          <w:rFonts w:ascii="Times New Roman" w:hAnsi="Times New Roman" w:cs="Times New Roman"/>
          <w:bCs/>
          <w:lang w:eastAsia="sk-SK"/>
        </w:rPr>
        <w:t>Cieľom úpravy je zosúladiť právnu úpravu so súčasným kompetenčným rámcom a odstrániť nefunkčné ustanovenia, ktoré nezodpovedajú aktuálnemu stavu právomocí dotknutých orgánov verejnej správy.</w:t>
      </w:r>
    </w:p>
    <w:p w14:paraId="27A93FEC" w14:textId="77777777" w:rsidR="00D550F1" w:rsidRPr="00D550F1" w:rsidRDefault="00D550F1" w:rsidP="00D550F1">
      <w:pPr>
        <w:spacing w:before="240" w:line="240" w:lineRule="auto"/>
        <w:jc w:val="both"/>
        <w:rPr>
          <w:rFonts w:ascii="Times New Roman" w:hAnsi="Times New Roman" w:cs="Times New Roman"/>
          <w:bCs/>
          <w:lang w:eastAsia="sk-SK"/>
        </w:rPr>
      </w:pPr>
      <w:r w:rsidRPr="00D550F1">
        <w:rPr>
          <w:rFonts w:ascii="Times New Roman" w:hAnsi="Times New Roman" w:cs="Times New Roman"/>
          <w:bCs/>
          <w:lang w:eastAsia="sk-SK"/>
        </w:rPr>
        <w:t>Zavádza sa povinnosť platenia úhrady za nerasty vydobyté z ložísk nerastov pre organizáciu, ktorá získala vydobyté nerasty pri vykonávaní ložiskového prieskumu, právnickú alebo fyzickú osobu, ktorá vykonáva dobývanie ložiska nerastov bez príslušného povolenia, teda v rozpore s  platnou banskou legislatívou.</w:t>
      </w:r>
    </w:p>
    <w:p w14:paraId="23061A33" w14:textId="77777777" w:rsidR="00D550F1" w:rsidRPr="00D550F1" w:rsidRDefault="00D550F1" w:rsidP="00D550F1">
      <w:pPr>
        <w:spacing w:before="240" w:line="240" w:lineRule="auto"/>
        <w:jc w:val="both"/>
        <w:rPr>
          <w:rFonts w:ascii="Times New Roman" w:hAnsi="Times New Roman" w:cs="Times New Roman"/>
          <w:bCs/>
          <w:lang w:eastAsia="sk-SK"/>
        </w:rPr>
      </w:pPr>
      <w:r w:rsidRPr="00D550F1">
        <w:rPr>
          <w:rFonts w:ascii="Times New Roman" w:hAnsi="Times New Roman" w:cs="Times New Roman"/>
          <w:bCs/>
          <w:lang w:eastAsia="sk-SK"/>
        </w:rPr>
        <w:t xml:space="preserve">Cieľom tohto ustanovenia je zabezpečiť, aby boli všetky získané nerasty z ložísk nerastov spoplatnené bez ohľadu na spôsob ich nadobudnutia, a tým predísť zneužívaniu ložiskového prieskumu alebo nelegálnej ťažbe. </w:t>
      </w:r>
    </w:p>
    <w:p w14:paraId="3C27EBB9" w14:textId="77777777" w:rsidR="00D550F1" w:rsidRPr="00D550F1" w:rsidRDefault="00D550F1" w:rsidP="00D550F1">
      <w:pPr>
        <w:spacing w:after="0" w:line="240" w:lineRule="auto"/>
        <w:jc w:val="both"/>
        <w:rPr>
          <w:rFonts w:ascii="Times New Roman" w:hAnsi="Times New Roman" w:cs="Times New Roman"/>
          <w:b/>
          <w:bCs/>
          <w:lang w:eastAsia="sk-SK"/>
        </w:rPr>
      </w:pPr>
      <w:r w:rsidRPr="00D550F1">
        <w:rPr>
          <w:rFonts w:ascii="Times New Roman" w:hAnsi="Times New Roman" w:cs="Times New Roman"/>
          <w:b/>
          <w:bCs/>
          <w:lang w:eastAsia="sk-SK"/>
        </w:rPr>
        <w:t xml:space="preserve">K bodu 12 </w:t>
      </w:r>
      <w:r w:rsidRPr="00D550F1">
        <w:rPr>
          <w:rFonts w:ascii="Times New Roman" w:hAnsi="Times New Roman" w:cs="Times New Roman"/>
          <w:lang w:eastAsia="sk-SK"/>
        </w:rPr>
        <w:t>[§ 32a ods. 15 a 16]</w:t>
      </w:r>
    </w:p>
    <w:p w14:paraId="628ADFD6" w14:textId="77777777" w:rsidR="00D550F1" w:rsidRPr="00D550F1" w:rsidRDefault="00D550F1" w:rsidP="00D550F1">
      <w:pPr>
        <w:spacing w:after="0" w:line="240" w:lineRule="auto"/>
        <w:jc w:val="both"/>
        <w:rPr>
          <w:rFonts w:ascii="Times New Roman" w:hAnsi="Times New Roman" w:cs="Times New Roman"/>
          <w:bCs/>
          <w:lang w:eastAsia="sk-SK"/>
        </w:rPr>
      </w:pPr>
      <w:r w:rsidRPr="00D550F1">
        <w:rPr>
          <w:rFonts w:ascii="Times New Roman" w:hAnsi="Times New Roman" w:cs="Times New Roman"/>
          <w:bCs/>
          <w:lang w:eastAsia="sk-SK"/>
        </w:rPr>
        <w:t xml:space="preserve">Legislatívno-technické úpravy vyplývajúce z predchádzajúcich zmien. </w:t>
      </w:r>
    </w:p>
    <w:p w14:paraId="04BA0776" w14:textId="77777777" w:rsidR="00D550F1" w:rsidRPr="00D550F1" w:rsidRDefault="00D550F1" w:rsidP="00D550F1">
      <w:pPr>
        <w:spacing w:after="0" w:line="240" w:lineRule="auto"/>
        <w:jc w:val="both"/>
        <w:rPr>
          <w:rFonts w:ascii="Times New Roman" w:hAnsi="Times New Roman" w:cs="Times New Roman"/>
          <w:bCs/>
          <w:lang w:eastAsia="sk-SK"/>
        </w:rPr>
      </w:pPr>
    </w:p>
    <w:p w14:paraId="6FBCF0DD" w14:textId="77777777" w:rsidR="00D550F1" w:rsidRPr="00D550F1" w:rsidRDefault="00D550F1" w:rsidP="00D550F1">
      <w:pPr>
        <w:spacing w:after="0" w:line="240" w:lineRule="auto"/>
        <w:jc w:val="both"/>
        <w:rPr>
          <w:rFonts w:ascii="Times New Roman" w:hAnsi="Times New Roman" w:cs="Times New Roman"/>
          <w:bCs/>
          <w:lang w:eastAsia="sk-SK"/>
        </w:rPr>
      </w:pPr>
    </w:p>
    <w:p w14:paraId="3E713490" w14:textId="77777777" w:rsidR="00D550F1" w:rsidRPr="00D550F1" w:rsidRDefault="00D550F1" w:rsidP="00D550F1">
      <w:pPr>
        <w:spacing w:after="0" w:line="240" w:lineRule="auto"/>
        <w:contextualSpacing/>
        <w:jc w:val="both"/>
        <w:rPr>
          <w:rFonts w:ascii="Times New Roman" w:hAnsi="Times New Roman" w:cs="Times New Roman"/>
          <w:b/>
          <w:bCs/>
          <w:u w:val="single"/>
        </w:rPr>
      </w:pPr>
      <w:r w:rsidRPr="00D550F1">
        <w:rPr>
          <w:rFonts w:ascii="Times New Roman" w:hAnsi="Times New Roman" w:cs="Times New Roman"/>
          <w:b/>
          <w:bCs/>
          <w:u w:val="single"/>
        </w:rPr>
        <w:t>K čl. III (zákon č. 241/1993 Z. z.)</w:t>
      </w:r>
    </w:p>
    <w:p w14:paraId="17FA4FE8" w14:textId="77777777" w:rsidR="00D550F1" w:rsidRPr="00D550F1" w:rsidRDefault="00D550F1" w:rsidP="00D550F1">
      <w:pPr>
        <w:spacing w:before="240" w:after="0" w:line="240" w:lineRule="auto"/>
        <w:jc w:val="both"/>
        <w:rPr>
          <w:rFonts w:ascii="Times New Roman" w:hAnsi="Times New Roman" w:cs="Times New Roman"/>
          <w:bCs/>
          <w:lang w:eastAsia="sk-SK"/>
        </w:rPr>
      </w:pPr>
      <w:r w:rsidRPr="00D550F1">
        <w:rPr>
          <w:rFonts w:ascii="Times New Roman" w:hAnsi="Times New Roman" w:cs="Times New Roman"/>
          <w:b/>
          <w:lang w:eastAsia="sk-SK"/>
        </w:rPr>
        <w:t>K bodom 1, 2 a 3</w:t>
      </w:r>
      <w:r w:rsidRPr="00D550F1">
        <w:rPr>
          <w:rFonts w:ascii="Times New Roman" w:hAnsi="Times New Roman" w:cs="Times New Roman"/>
          <w:bCs/>
          <w:lang w:eastAsia="sk-SK"/>
        </w:rPr>
        <w:t xml:space="preserve"> [§ 2 ods. 2, § 2 ods. 3 a § 4b]</w:t>
      </w:r>
    </w:p>
    <w:p w14:paraId="78D837B7" w14:textId="77777777" w:rsidR="00D550F1" w:rsidRPr="00D550F1" w:rsidRDefault="00D550F1" w:rsidP="00D550F1">
      <w:pPr>
        <w:spacing w:line="240" w:lineRule="auto"/>
        <w:jc w:val="both"/>
        <w:rPr>
          <w:rFonts w:ascii="Times New Roman" w:hAnsi="Times New Roman" w:cs="Times New Roman"/>
          <w:bCs/>
          <w:lang w:eastAsia="sk-SK"/>
        </w:rPr>
      </w:pPr>
      <w:r w:rsidRPr="00D550F1">
        <w:rPr>
          <w:rFonts w:ascii="Times New Roman" w:hAnsi="Times New Roman" w:cs="Times New Roman"/>
          <w:bCs/>
          <w:lang w:eastAsia="sk-SK"/>
        </w:rPr>
        <w:t>Vzhľadom na konsolidačné úsilie vlády SR je namieste zvážiť počet štátnych sviatkov, ktoré sú dňami pracovného pokoja. Preto sa navrhuje, aby štátny sviatok 17. november – Deň boja za slobodu a demokraciu nebol dňom pracovného pokoja, aj keď naďalej zostáva štátnym sviatkom Slovenskej republiky.</w:t>
      </w:r>
    </w:p>
    <w:p w14:paraId="19DE6FC7" w14:textId="77777777" w:rsidR="00D550F1" w:rsidRPr="00D550F1" w:rsidRDefault="00D550F1" w:rsidP="00D550F1">
      <w:pPr>
        <w:spacing w:after="0" w:line="240" w:lineRule="auto"/>
        <w:jc w:val="both"/>
        <w:rPr>
          <w:rFonts w:ascii="Times New Roman" w:hAnsi="Times New Roman" w:cs="Times New Roman"/>
          <w:bCs/>
          <w:lang w:eastAsia="sk-SK"/>
        </w:rPr>
      </w:pPr>
      <w:r w:rsidRPr="00D550F1">
        <w:rPr>
          <w:rFonts w:ascii="Times New Roman" w:hAnsi="Times New Roman" w:cs="Times New Roman"/>
          <w:bCs/>
          <w:lang w:eastAsia="sk-SK"/>
        </w:rPr>
        <w:t>Zároveň sa navrhuje aj opatrenie, aby sviatky, ktorými sú 6. január – Zjavenie pána (Traja králi a vianočný sviatok pravoslávnych kresťanov) a 8. máj – Deň víťazstva nad fašizmom neboli dňami pracovného pokoja, pričom toto opatrenie sa navrhuje uplatňovať v súvislosti s konsolidáciou verejných financií len dočasne.</w:t>
      </w:r>
    </w:p>
    <w:p w14:paraId="0572E85C" w14:textId="77777777" w:rsidR="00D550F1" w:rsidRPr="00D550F1" w:rsidRDefault="00D550F1" w:rsidP="00D550F1">
      <w:pPr>
        <w:spacing w:after="0" w:line="240" w:lineRule="auto"/>
        <w:jc w:val="both"/>
        <w:rPr>
          <w:rFonts w:ascii="Times New Roman" w:hAnsi="Times New Roman" w:cs="Times New Roman"/>
          <w:bCs/>
          <w:lang w:eastAsia="sk-SK"/>
        </w:rPr>
      </w:pPr>
    </w:p>
    <w:p w14:paraId="2448B457" w14:textId="77777777" w:rsidR="00D550F1" w:rsidRPr="00D550F1" w:rsidRDefault="00D550F1" w:rsidP="00D550F1">
      <w:pPr>
        <w:spacing w:after="0" w:line="240" w:lineRule="auto"/>
        <w:jc w:val="both"/>
        <w:rPr>
          <w:rFonts w:ascii="Times New Roman" w:hAnsi="Times New Roman" w:cs="Times New Roman"/>
          <w:bCs/>
          <w:lang w:eastAsia="sk-SK"/>
        </w:rPr>
      </w:pPr>
    </w:p>
    <w:p w14:paraId="143B39CF" w14:textId="77777777" w:rsidR="00D550F1" w:rsidRPr="00D550F1" w:rsidRDefault="00D550F1" w:rsidP="00D550F1">
      <w:pPr>
        <w:spacing w:line="240" w:lineRule="auto"/>
        <w:jc w:val="both"/>
        <w:rPr>
          <w:rFonts w:ascii="Times New Roman" w:hAnsi="Times New Roman" w:cs="Times New Roman"/>
          <w:bCs/>
          <w:lang w:eastAsia="sk-SK"/>
        </w:rPr>
      </w:pPr>
      <w:r w:rsidRPr="00D550F1">
        <w:rPr>
          <w:rFonts w:ascii="Times New Roman" w:hAnsi="Times New Roman" w:cs="Times New Roman"/>
          <w:b/>
          <w:bCs/>
          <w:u w:val="single"/>
        </w:rPr>
        <w:t>K čl. IV (zákon č. 283/2002 Z. z.)</w:t>
      </w:r>
    </w:p>
    <w:p w14:paraId="3F2589A0" w14:textId="77777777" w:rsidR="00D550F1" w:rsidRPr="00D550F1" w:rsidRDefault="00D550F1" w:rsidP="00D550F1">
      <w:pPr>
        <w:spacing w:before="240" w:after="0" w:line="240" w:lineRule="auto"/>
        <w:rPr>
          <w:rFonts w:ascii="Times New Roman" w:hAnsi="Times New Roman" w:cs="Times New Roman"/>
          <w:b/>
        </w:rPr>
      </w:pPr>
      <w:r w:rsidRPr="00D550F1">
        <w:rPr>
          <w:rFonts w:ascii="Times New Roman" w:hAnsi="Times New Roman" w:cs="Times New Roman"/>
          <w:b/>
        </w:rPr>
        <w:t xml:space="preserve">K bodu 1 </w:t>
      </w:r>
      <w:r w:rsidRPr="00D550F1">
        <w:rPr>
          <w:rFonts w:ascii="Times New Roman" w:hAnsi="Times New Roman" w:cs="Times New Roman"/>
          <w:bCs/>
        </w:rPr>
        <w:t>[§ 13 ods. 2]</w:t>
      </w:r>
    </w:p>
    <w:p w14:paraId="1E1D8749"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 xml:space="preserve">Z dôvodu eliminácie potenciálnych výdavkov rozpočtu verejnej správy ako aj eliminácie potenciálneho zníženia príjmov rozpočtu verejnej správy (z dôvodu zníženia výnosu dane z príjmov právnických osôb) v rámci tlaku na plošné zvýšenie sadzieb stravného pri zahraničných pracovných cestách sa navrhuje novelizovať zákon o cestovných náhradách tak, aby sa všeobecne záväzným právnym predpisom, ktorý vydáva Ministerstvo financií SR pre základné sadzby stravného v eurách alebo v cudzej mene pri zahraničných pracovných cestách, mohli operatívne ustanoviť aj osobitné vyššie sadzby stravného pre niektoré skupiny zamestnancov a krajiny, ak pre takéto skupiny zamestnancov a krajiny vznikne v ekonomike disproporcia medzi základnými sadzbami stravného a reálnymi cenami jedál a nealkoholických nápojov, pričom títo zamestnanci si musia dotovať stravné z vlastných peňažných prostriedkov. Navrhované opatrenie má chrániť tie odvetvia hospodárstva Slovenskej republiky a ich zamestnancov, u ktorých sa vzhľadom na charakter a časovú náročnosť ich práce takáto disproporcia prejavuje najviac. Opatrenie sa použije len v prípade odvetvia, pri ktorom hrozí kolaps, ktorý by mal závažné hospodárske a sociálne dôsledky. Ak sa pre niektoré skupiny zamestnancov a krajiny ustanovia osobitné sadzby stravného, bude platiť, že na tieto skupiny zamestnancov a krajiny sa základné sadzby stravného nepoužijú, a zároveň pre krajiny, pre ktoré neboli ustanovené osobitné sadzby stravného, sa aj pre tieto skupiny zamestnancov uplatnia základné sadzby stravného. </w:t>
      </w:r>
    </w:p>
    <w:p w14:paraId="6DDBABEC" w14:textId="77777777"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
        </w:rPr>
        <w:t>K bodom 2 až 4</w:t>
      </w:r>
      <w:r w:rsidRPr="00D550F1">
        <w:rPr>
          <w:rFonts w:ascii="Times New Roman" w:hAnsi="Times New Roman" w:cs="Times New Roman"/>
          <w:bCs/>
        </w:rPr>
        <w:t xml:space="preserve"> [§ 13 ods. 3, §13 ods. 4 písm. a) a b), § 13 ods. 4 písm. c)]</w:t>
      </w:r>
    </w:p>
    <w:p w14:paraId="1F5F639D"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Legislatívno-technické úpravy z dôvodu doplnenia § 13 ods. 2 zákona.</w:t>
      </w:r>
    </w:p>
    <w:p w14:paraId="297D40A6"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5 </w:t>
      </w:r>
      <w:r w:rsidRPr="00D550F1">
        <w:rPr>
          <w:rFonts w:ascii="Times New Roman" w:hAnsi="Times New Roman" w:cs="Times New Roman"/>
          <w:bCs/>
        </w:rPr>
        <w:t>[§ 13 ods. 6]</w:t>
      </w:r>
    </w:p>
    <w:p w14:paraId="4525E623" w14:textId="77777777"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Cs/>
        </w:rPr>
        <w:t xml:space="preserve">Navrhuje sa doplniť § 13 ods. 6 zákona tak, aby sa so zamestnancom, ktorý je vyslaný na výkon prác pri poskytovaní služieb do iného členského štátu Európskej únie, napríklad do Nemecka, Francúzska a podobne, kedy mu patrí minimálna mzda podľa predpisov príslušného členského štátu Európskej únie, ktorá je vyššia ako slovenská dohodnutá hodinová mzda, mohlo dohodnúť zníženie stravného aj o viac ako 5 %, a to najviac o 25 %. Táto možnosť dohody so zamestnancom sa samozrejme bude môcť použiť len na stravné, na ktoré sa vzťahuje osobitná základná sadzba stravného, ktorá je vyššia ako základná sadzba stravného, pričom v prípade základnej sadzby stravného doterajšia maximálna 5%-ná hranica zníženia zostane zachovaná pre všetkých zamestnancov. </w:t>
      </w:r>
    </w:p>
    <w:p w14:paraId="59FAB1A4" w14:textId="77777777" w:rsidR="00D550F1" w:rsidRPr="00D550F1" w:rsidRDefault="00D550F1" w:rsidP="00D550F1">
      <w:pPr>
        <w:spacing w:after="0" w:line="240" w:lineRule="auto"/>
        <w:jc w:val="both"/>
        <w:rPr>
          <w:rFonts w:ascii="Times New Roman" w:hAnsi="Times New Roman" w:cs="Times New Roman"/>
          <w:b/>
          <w:bCs/>
          <w:u w:val="single"/>
        </w:rPr>
      </w:pPr>
    </w:p>
    <w:p w14:paraId="017DD41F" w14:textId="77777777" w:rsidR="00D550F1" w:rsidRPr="00D550F1" w:rsidRDefault="00D550F1" w:rsidP="00D550F1">
      <w:pPr>
        <w:spacing w:after="0" w:line="240" w:lineRule="auto"/>
        <w:jc w:val="both"/>
        <w:rPr>
          <w:rFonts w:ascii="Times New Roman" w:hAnsi="Times New Roman" w:cs="Times New Roman"/>
          <w:b/>
          <w:bCs/>
          <w:u w:val="single"/>
        </w:rPr>
      </w:pPr>
    </w:p>
    <w:p w14:paraId="533F602F" w14:textId="77777777" w:rsidR="00D550F1" w:rsidRPr="00D550F1" w:rsidRDefault="00D550F1" w:rsidP="00D550F1">
      <w:pPr>
        <w:spacing w:line="240" w:lineRule="auto"/>
        <w:jc w:val="both"/>
        <w:rPr>
          <w:rFonts w:ascii="Times New Roman" w:hAnsi="Times New Roman" w:cs="Times New Roman"/>
          <w:b/>
        </w:rPr>
      </w:pPr>
      <w:r w:rsidRPr="00D550F1">
        <w:rPr>
          <w:rFonts w:ascii="Times New Roman" w:hAnsi="Times New Roman" w:cs="Times New Roman"/>
          <w:b/>
          <w:bCs/>
          <w:u w:val="single"/>
        </w:rPr>
        <w:t>K čl. V (zákon č. 461/2003 Z. z.)</w:t>
      </w:r>
    </w:p>
    <w:p w14:paraId="4159CA62" w14:textId="77777777" w:rsidR="00D550F1" w:rsidRPr="00D550F1" w:rsidRDefault="00D550F1" w:rsidP="00D550F1">
      <w:pPr>
        <w:spacing w:before="240" w:after="0" w:line="240" w:lineRule="auto"/>
        <w:jc w:val="both"/>
        <w:rPr>
          <w:rFonts w:ascii="Times New Roman" w:hAnsi="Times New Roman" w:cs="Times New Roman"/>
          <w:b/>
        </w:rPr>
      </w:pPr>
      <w:r w:rsidRPr="00D550F1">
        <w:rPr>
          <w:rFonts w:ascii="Times New Roman" w:hAnsi="Times New Roman" w:cs="Times New Roman"/>
          <w:b/>
        </w:rPr>
        <w:t xml:space="preserve">K bodom 1 a 34 </w:t>
      </w:r>
      <w:r w:rsidRPr="00D550F1">
        <w:rPr>
          <w:rFonts w:ascii="Times New Roman" w:hAnsi="Times New Roman" w:cs="Times New Roman"/>
          <w:bCs/>
        </w:rPr>
        <w:t>[§ 5 a poznámka pod čiarou k odkazu 96a]</w:t>
      </w:r>
    </w:p>
    <w:p w14:paraId="2CB5F8B4"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Navrhuje sa nová definícia samostatne zárobkovo činnej osoby (SZČO) na účely sociálneho poistenia. Postavenie SZČO už nebude viazané na dosahovanie príjmov z podnikania a z inej samostatnej zárobkovej činnosti v kalendárnom roku rozhodujúcom na vznik alebo trvanie povinného sociálneho poistenia SZČO. Podľa navrhovaného znenia § 5 SZČO je fyzická osoba, ktorá dovŕšila 18 rokov veku a je oprávnená na výkon alebo na prevádzkovanie zárobkovej činnosti, ktorá zakladá dosahovanie príjmu z podnikania a z inej samostatnej zárobkovej činnosti podľa § 6 ods. 1 a 2 zákona č. 595/2003 Z. z. o dani z príjmov v znení neskorších predpisov</w:t>
      </w:r>
      <w:bookmarkStart w:id="14" w:name="paragraf-5.odsek-1.text"/>
      <w:r w:rsidRPr="00D550F1">
        <w:rPr>
          <w:rFonts w:ascii="Times New Roman" w:hAnsi="Times New Roman" w:cs="Times New Roman"/>
        </w:rPr>
        <w:t>, alebo ktorá podľa svojho čestného vyhlásenia vykonáva samostatnú  zárobkovú činnosť, na výkon ktorej sa nevyžaduje oprávnenie, ktorým je napr. živnostenské oprávnenie, osvedčenie o zápise samostatne hospodáriaceho roľníka do evidencie, alebo postup podľa osobitného predpisu napr. zápis fyzickej osoby v zozname znalcov, tlmočníkov a prekladateľov podľa zákona č. 382/2004 Z. z. v znení neskorších predpisov. Naďalej je z okruhu SZČO vylúčená fyzická osoba, ktorá má podľa zmluvy o výkone osobnej asistencie vykonávať osobnú asistenciu fyzickej osobe s ťažkým zdravotným postihnutím.</w:t>
      </w:r>
      <w:bookmarkEnd w:id="14"/>
    </w:p>
    <w:p w14:paraId="5C12E8D5"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V súvislosti so zavedením odkazu na zákon č. 382/2004 Z. z. o znalcoch, tlmočníkoch a prekladateľoch je potrebné vykonať legislatívno-technickú úpravu v poznámke pod čiarou k odkazu 96a.</w:t>
      </w:r>
    </w:p>
    <w:p w14:paraId="5C7B0C3E" w14:textId="77777777"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
        </w:rPr>
        <w:t xml:space="preserve">K bodu 2 </w:t>
      </w:r>
      <w:r w:rsidRPr="00D550F1">
        <w:rPr>
          <w:rFonts w:ascii="Times New Roman" w:hAnsi="Times New Roman" w:cs="Times New Roman"/>
          <w:bCs/>
        </w:rPr>
        <w:t>[§ 14 ods. 1 písm. b)]</w:t>
      </w:r>
    </w:p>
    <w:p w14:paraId="779190B2"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Povinne nemocensky poistená bude tá SZČO, ktorej povinné nemocenské poistenie a povinné dôchodkové poistenie trvá  podľa podmienok nového § 21 (bod 3).</w:t>
      </w:r>
    </w:p>
    <w:p w14:paraId="2668E544" w14:textId="77777777"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
        </w:rPr>
        <w:t xml:space="preserve">K bodom 3 a 4 </w:t>
      </w:r>
      <w:r w:rsidRPr="00D550F1">
        <w:rPr>
          <w:rFonts w:ascii="Times New Roman" w:hAnsi="Times New Roman" w:cs="Times New Roman"/>
          <w:bCs/>
        </w:rPr>
        <w:t>[§ 21]</w:t>
      </w:r>
    </w:p>
    <w:p w14:paraId="21302B0F"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 xml:space="preserve">Navrhuje sa komplexná úprava ustanovenia o vzniku a zániku povinného nemocenského poistenia a povinného dôchodkového poistenia (ďalej len „povinné poistenie“) SZČO, ktorá už nebude podmienená dosiahnutím určitej hranice príjmu z podnikania a z inej samostatnej zárobkovej činnosti. </w:t>
      </w:r>
    </w:p>
    <w:p w14:paraId="4FF0B19E"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 xml:space="preserve">V odseku 1 sa zavádza pravidlo, že povinné poistenie SZČO vzniká od prvého dňa šiesteho kalendárneho mesiaca nasledujúceho po mesiaci, od ktorého je oprávnená na výkon alebo na prevádzkovanie podnikania a inej samostatnej zárobkovej činnosti. Ak ide o SZČO, u ktorej sa na výkon samostatnej zárobkovej činnosti nevyžaduje oprávnenie alebo postup podľa osobitného predpisu </w:t>
      </w:r>
      <w:r w:rsidRPr="00D550F1">
        <w:rPr>
          <w:rFonts w:ascii="Times New Roman" w:hAnsi="Times New Roman" w:cs="Times New Roman"/>
        </w:rPr>
        <w:sym w:font="Symbol" w:char="F05B"/>
      </w:r>
      <w:r w:rsidRPr="00D550F1">
        <w:rPr>
          <w:rFonts w:ascii="Times New Roman" w:hAnsi="Times New Roman" w:cs="Times New Roman"/>
        </w:rPr>
        <w:t>tzv. SZČO bez oprávnenia (napr. umelec, autor a pod.)</w:t>
      </w:r>
      <w:r w:rsidRPr="00D550F1">
        <w:rPr>
          <w:rFonts w:ascii="Times New Roman" w:hAnsi="Times New Roman" w:cs="Times New Roman"/>
        </w:rPr>
        <w:sym w:font="Symbol" w:char="F05D"/>
      </w:r>
      <w:r w:rsidRPr="00D550F1">
        <w:rPr>
          <w:rFonts w:ascii="Times New Roman" w:hAnsi="Times New Roman" w:cs="Times New Roman"/>
        </w:rPr>
        <w:t>, tak povinné poistenie SZČO vzniká od prvého dňa šiesteho kalendárneho mesiaca nasledujúceho po mesiaci, od ktorého SZČO podľa svojho čestného vyhlásenia vykonáva túto zárobkovú činnosť, ale najskôr od prvého dňa šiesteho kalendárneho mesiaca nasledujúceho po mesiaci, v ktorom bolo vyhlásenie doručené Sociálnej poisťovni. Toto pravidlo nahrádza doterajší spôsob vzniku povinného poistenia SZČO od 1. júla resp. od 1. októbra (ak mala SZČO predĺženú lehotu na podanie daňového priznania) kalendárneho roka nasledujúceho po kalendárnom roku, za ktorý jej príjem z podnikania a z inej samostatnej zárobkovej činnosti bol vyšší ako zákonom ustanovená hranica príjmu.</w:t>
      </w:r>
    </w:p>
    <w:p w14:paraId="5FDAEC10"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Odsek 2 upravuje zánik povinného poistenia SZČO, ktorý nastáva odo dňa, od ktorého SZČO nie je oprávnená na výkon alebo na prevádzkovanie podnikania a inej samostatnej zárobkovej činnosti, alebo ak ide o SZČO bez oprávnenia, tak odo dňa, od ktorého podľa svojho čestného vyhlásenia nevykonáva túto činnosť, najskôr odo dňa doručenia  svojho čestného vyhlásenia o nevykonávaní samostatnej zárobkovej činnosti Sociálnej poisťovni. Uvedené znamená, že ak povinné poistenie SZČO už raz vznikne, bude trvať pokým jej nezanikne oprávnenie na výkon alebo na prevádzkovanie podnikania a inej samostatnej zárobkovej činnosti, alebo pokým SZČO bez oprávnenia čestne nevyhlási ukončenie vykonávania tejto činnosti.</w:t>
      </w:r>
    </w:p>
    <w:p w14:paraId="6C9F10B4"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V odseku 3 sa zavádza osobitná úprava pre opätovný vznik povinného poistenia SZČO,  ktorej v predchádzajúcom období zaniklo oprávnenie na výkon alebo prevádzkovanie podnikania a inej samostatnej zárobkovej činnosti/SZČO bez oprávnenia, ktorá podľa svojho čestného vyhlásenia prestala vykonávať samostatnú zárobkovú činnosť  a následne je znovu  oprávnená na výkon alebo prevádzkovanie podnikania a inej samostatnej zárobkovej činnosti/ podľa svojho čestného vyhlásenia znovu začala vykonávať samostatnú zárobkovú činnosť, a teda opätovne nadobudla postavenie SZČO. Navrhovaná úprava rozlišuje prípady, keď k opätovnému výkonu alebo prevádzkovaniu podnikania alebo inej samostatnej zárobkovej činnosti dôjde do 60 mesiacov od zániku posledného oprávnenia/ukončenia vykonávania poslednej samostatnej zárobkovej činnosti, ak ide o SZČO bez oprávnenia. V takom prípade vzniká povinné poistenie odo dňa, od ktorého  opätovne nadobudne postavenie SZČO, napr. na základe oprávnenia na výkon alebo na prevádzkovanie podnikania a inej samostatnej zárobkovej činnosti/SZČO bez oprávnenia na základe čestného vyhlásenia o začatí vykonávania samostatnej zárobkovej činnosti. Napr. SZČO zaniklo jediné  oprávnenie na vykonávanie samostatnej zárobkovej činnosti (živnostenské oprávnenie) 30. augusta 2026. Od 1. septembra 2026 teda nie je oprávnená na prevádzkovanie samostatnej zárobkovej činnosti, a od tohto dňa jej zaniká povinné nemocenské poistenie a povinné dôchodkové poistenie SZČO. Takáto fyzická osoba nemá od 1. septembra 2026 na účely sociálneho poistenia postavenie SZČO. 20. novembra 2006 doručí Sociálnej poisťovni svoje čestné vyhlásenie o vykonávaní samostatnej zárobkovej činnosti, na výkon ktorej sa nevyžaduje oprávnenie alebo postup podľa osobitného predpisu (vykonávanie zárobkovej činnosti umelca), od 1. decembra 2026. To znamená, že od 1. decembra 2026 je opätovne v postavení SZČO (SZČO bez oprávnenia). Jej povinné nemocenské poistenie a povinné dôchodkové poistenie vzniká od 1. decembra 2026, t. j. odo dňa, od ktorého podľa svojho čestného vyhlásenia začala vykonávať samostatnú zárobkovú činnosť.</w:t>
      </w:r>
    </w:p>
    <w:p w14:paraId="2D50C300"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Ak od zániku posledného oprávnenia/skončenia vykonávania poslednej samostatnej zárobkovej činnosti SZČO bez oprávnenia uplynulo viac ako 60 mesiacov, považuje sa to za nový začiatok podnikania alebo inej samostatnej zárobkovej činnosti. V takomto prípade sa na vznik povinného poistenia uplatní rovnaký režim ako v odseku 1. Teda povinné poistenie SZČO vznikne od prvého dňa šiesteho kalendárneho mesiaca nasledujúceho po mesiaci, od ktorého je oprávnená na výkon alebo na prevádzkovanie podnikania a inej samostatnej zárobkovej činnosti/od šiesteho kalendárneho mesiaca nasledujúceho po mesiaci, od ktorého SZČO bez oprávnenia podľa svojho čestného vyhlásenia vykonáva túto zárobkovú činnosť, ale najskôr od prvého dňa šiesteho kalendárneho mesiaca nasledujúceho po mesiaci, v ktorom bolo vyhlásenie doručené Sociálnej poisťovni.</w:t>
      </w:r>
    </w:p>
    <w:p w14:paraId="0E55A959"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Upravuje sa tiež vznik povinného poistenia SZČO, ktorá mala prerušené povinné poistenie napr. z dôvodu pozastavenia prevádzkovania živnosti, výkonu činnosti, nároku na rodičovský príspevok alebo  práceneschopnosti dlhšej ako 52 týždňov. Takejto SZČO vzniká povinné poistenie odo dňa nasledujúceho po dni skončenia prerušenia povinného nemocenského poistenia a povinného dôchodkového poistenia.</w:t>
      </w:r>
    </w:p>
    <w:p w14:paraId="074E86B7"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Navrhovaná úprava v odseku 1 a 3 vytvára priestor aj na zachovanie tzv. odvodových prázdnin, ktoré majú slúžiť ako podpora pri prvom začatí prevádzkovania podnikania alebo vykonávania inej samostatnej zárobkovej činnosti, alebo pri ich opätovnom začatí po dlhšom čase (60 mesiacov od zániku posledného oprávnenia alebo ukončenia vykonávania poslednej samostatnej zárobkovej činnosti).</w:t>
      </w:r>
    </w:p>
    <w:p w14:paraId="6A92C39D"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V dôsledku navrhovanej právnej úpravy v zmysle, ktorej vznikne povinné dôchodkové poistenie SZČO skôr ako  podľa súčasnej právnej úpravy, a to od prvého dňa šiesteho </w:t>
      </w:r>
      <w:r w:rsidRPr="00D550F1">
        <w:rPr>
          <w:rFonts w:ascii="Times New Roman" w:hAnsi="Times New Roman" w:cs="Times New Roman"/>
          <w:b/>
          <w:lang w:eastAsia="sk-SK"/>
        </w:rPr>
        <w:t>kalendárneho mesiaca nasledujúceho po mesiaci, od ktorého je oprávnená na výkon alebo</w:t>
      </w:r>
      <w:r w:rsidRPr="00D550F1">
        <w:rPr>
          <w:rFonts w:ascii="Times New Roman" w:hAnsi="Times New Roman" w:cs="Times New Roman"/>
        </w:rPr>
        <w:t xml:space="preserve"> na prevádzkovanie podnikania a inej samostatnej zárobkovej činnosti, SZČO zanikne nárok na výplatu predčasného starobného dôchodku, ak SZČO nárok na jeho výplatu má, a to od vzniku povinného dôchodkového poistenia, najskôr od 1. júla 2026.</w:t>
      </w:r>
    </w:p>
    <w:p w14:paraId="1B675386" w14:textId="77777777" w:rsidR="00D550F1" w:rsidRPr="00D550F1" w:rsidRDefault="00D550F1" w:rsidP="00D550F1">
      <w:pPr>
        <w:pStyle w:val="Odsekzoznamu"/>
        <w:spacing w:before="240" w:after="0" w:line="240" w:lineRule="auto"/>
        <w:ind w:left="0"/>
        <w:jc w:val="both"/>
        <w:rPr>
          <w:rFonts w:ascii="Times New Roman" w:hAnsi="Times New Roman" w:cs="Times New Roman"/>
        </w:rPr>
      </w:pPr>
      <w:r w:rsidRPr="00D550F1">
        <w:rPr>
          <w:rFonts w:ascii="Times New Roman" w:hAnsi="Times New Roman" w:cs="Times New Roman"/>
        </w:rPr>
        <w:t>V súvislosti s úpravami v § 21 sa navrhuje vypustenie poznámky pod čiarou k odkazu 43 z dôvodu jeho vypustenia na všetkých miestach zákona č. 461/2003 Z. z. o sociálnom poistení v znení neskorších predpisov.</w:t>
      </w:r>
    </w:p>
    <w:p w14:paraId="65FC0E53" w14:textId="77777777" w:rsidR="00D550F1" w:rsidRPr="00D550F1" w:rsidRDefault="00D550F1" w:rsidP="00D550F1">
      <w:pPr>
        <w:pStyle w:val="Odsekzoznamu"/>
        <w:spacing w:before="240" w:after="0" w:line="240" w:lineRule="auto"/>
        <w:ind w:left="0"/>
        <w:jc w:val="both"/>
        <w:rPr>
          <w:rFonts w:ascii="Times New Roman" w:hAnsi="Times New Roman" w:cs="Times New Roman"/>
        </w:rPr>
      </w:pPr>
    </w:p>
    <w:p w14:paraId="11BE6D68" w14:textId="77777777" w:rsidR="00D550F1" w:rsidRPr="00D550F1" w:rsidRDefault="00D550F1" w:rsidP="00D550F1">
      <w:pPr>
        <w:pStyle w:val="Odsekzoznamu"/>
        <w:spacing w:before="240" w:after="0" w:line="240" w:lineRule="auto"/>
        <w:ind w:left="0"/>
        <w:jc w:val="both"/>
        <w:rPr>
          <w:rFonts w:ascii="Times New Roman" w:hAnsi="Times New Roman" w:cs="Times New Roman"/>
          <w:b/>
          <w:lang w:eastAsia="sk-SK"/>
        </w:rPr>
      </w:pPr>
      <w:r w:rsidRPr="00D550F1">
        <w:rPr>
          <w:rFonts w:ascii="Times New Roman" w:hAnsi="Times New Roman" w:cs="Times New Roman"/>
          <w:b/>
          <w:lang w:eastAsia="sk-SK"/>
        </w:rPr>
        <w:t xml:space="preserve">K bodu 5 </w:t>
      </w:r>
      <w:r w:rsidRPr="00D550F1">
        <w:rPr>
          <w:rFonts w:ascii="Times New Roman" w:hAnsi="Times New Roman" w:cs="Times New Roman"/>
          <w:bCs/>
          <w:lang w:eastAsia="sk-SK"/>
        </w:rPr>
        <w:t>[§ 26 ods. 1 písm. e)]</w:t>
      </w:r>
    </w:p>
    <w:p w14:paraId="5177EDCC" w14:textId="77777777" w:rsidR="00D550F1" w:rsidRPr="00D550F1" w:rsidRDefault="00D550F1" w:rsidP="00D550F1">
      <w:pPr>
        <w:spacing w:line="240" w:lineRule="auto"/>
        <w:jc w:val="both"/>
        <w:rPr>
          <w:rFonts w:ascii="Times New Roman" w:hAnsi="Times New Roman" w:cs="Times New Roman"/>
          <w:lang w:eastAsia="sk-SK"/>
        </w:rPr>
      </w:pPr>
      <w:r w:rsidRPr="00D550F1">
        <w:rPr>
          <w:rFonts w:ascii="Times New Roman" w:hAnsi="Times New Roman" w:cs="Times New Roman"/>
          <w:lang w:eastAsia="sk-SK"/>
        </w:rPr>
        <w:t>Ide o legislatívno-technickú úpravu, ktorá súvisí s vypustením výnimky z platenia poistného na nemocenské poistenie, dôchodkové poistenie a poistenie v nezamestnanosti zamestnancom z § 140. Na základe tejto úpravy zostane zachované, že sociálne poistenie zamestnanca sa nepreruší v období, v ktorom mu trvá nárok na výplatu materského, alebo by mu trval nárok na materské, ak nárok na materské nevznikol z dôvodu nesplnenia podmienky získania najmenej 270 dní nemocenského poistenia.</w:t>
      </w:r>
    </w:p>
    <w:p w14:paraId="00EA7BBD" w14:textId="77777777" w:rsidR="00D550F1" w:rsidRPr="00D550F1" w:rsidRDefault="00D550F1" w:rsidP="00D550F1">
      <w:pPr>
        <w:pStyle w:val="Odsekzoznamu"/>
        <w:spacing w:after="0" w:line="240" w:lineRule="auto"/>
        <w:ind w:left="0"/>
        <w:jc w:val="both"/>
        <w:rPr>
          <w:rFonts w:ascii="Times New Roman" w:hAnsi="Times New Roman" w:cs="Times New Roman"/>
          <w:b/>
          <w:lang w:eastAsia="sk-SK"/>
        </w:rPr>
      </w:pPr>
      <w:r w:rsidRPr="00D550F1">
        <w:rPr>
          <w:rFonts w:ascii="Times New Roman" w:hAnsi="Times New Roman" w:cs="Times New Roman"/>
          <w:b/>
          <w:lang w:eastAsia="sk-SK"/>
        </w:rPr>
        <w:t xml:space="preserve">K bodu 6 </w:t>
      </w:r>
      <w:r w:rsidRPr="00D550F1">
        <w:rPr>
          <w:rFonts w:ascii="Times New Roman" w:hAnsi="Times New Roman" w:cs="Times New Roman"/>
          <w:bCs/>
          <w:lang w:eastAsia="sk-SK"/>
        </w:rPr>
        <w:t>[§ 26 ods. 4 písm. d)]</w:t>
      </w:r>
    </w:p>
    <w:p w14:paraId="3E999FDB" w14:textId="77777777" w:rsidR="00D550F1" w:rsidRPr="00D550F1" w:rsidRDefault="00D550F1" w:rsidP="00D550F1">
      <w:pPr>
        <w:pStyle w:val="Odsekzoznamu"/>
        <w:spacing w:before="240" w:line="240" w:lineRule="auto"/>
        <w:ind w:left="0"/>
        <w:jc w:val="both"/>
        <w:rPr>
          <w:rFonts w:ascii="Times New Roman" w:hAnsi="Times New Roman" w:cs="Times New Roman"/>
          <w:lang w:eastAsia="sk-SK"/>
        </w:rPr>
      </w:pPr>
      <w:r w:rsidRPr="00D550F1">
        <w:rPr>
          <w:rFonts w:ascii="Times New Roman" w:hAnsi="Times New Roman" w:cs="Times New Roman"/>
          <w:lang w:eastAsia="sk-SK"/>
        </w:rPr>
        <w:t>Legislatívno-technická úprava, ktorá súvisí s vypustením výnimky z platenia poistného na nemocenské poistenie, dôchodkové poistenie a poistenie v nezamestnanosti zamestnancom z § 140.</w:t>
      </w:r>
    </w:p>
    <w:p w14:paraId="2696761E" w14:textId="77777777" w:rsidR="00D550F1" w:rsidRPr="00D550F1" w:rsidRDefault="00D550F1" w:rsidP="00D550F1">
      <w:pPr>
        <w:pStyle w:val="Odsekzoznamu"/>
        <w:spacing w:before="240" w:line="240" w:lineRule="auto"/>
        <w:ind w:left="0"/>
        <w:jc w:val="both"/>
        <w:rPr>
          <w:rFonts w:ascii="Times New Roman" w:hAnsi="Times New Roman" w:cs="Times New Roman"/>
          <w:lang w:eastAsia="sk-SK"/>
        </w:rPr>
      </w:pPr>
    </w:p>
    <w:p w14:paraId="753E2EDE" w14:textId="77777777" w:rsidR="00D550F1" w:rsidRPr="00D550F1" w:rsidRDefault="00D550F1" w:rsidP="00D550F1">
      <w:pPr>
        <w:pStyle w:val="Odsekzoznamu"/>
        <w:spacing w:before="240" w:after="0" w:line="240" w:lineRule="auto"/>
        <w:ind w:left="0"/>
        <w:jc w:val="both"/>
        <w:rPr>
          <w:rFonts w:ascii="Times New Roman" w:hAnsi="Times New Roman" w:cs="Times New Roman"/>
          <w:b/>
          <w:lang w:eastAsia="sk-SK"/>
        </w:rPr>
      </w:pPr>
      <w:r w:rsidRPr="00D550F1">
        <w:rPr>
          <w:rFonts w:ascii="Times New Roman" w:hAnsi="Times New Roman" w:cs="Times New Roman"/>
          <w:b/>
          <w:lang w:eastAsia="sk-SK"/>
        </w:rPr>
        <w:t xml:space="preserve">K bodom 7 a 8 </w:t>
      </w:r>
      <w:r w:rsidRPr="00D550F1">
        <w:rPr>
          <w:rFonts w:ascii="Times New Roman" w:hAnsi="Times New Roman" w:cs="Times New Roman"/>
          <w:bCs/>
          <w:lang w:eastAsia="sk-SK"/>
        </w:rPr>
        <w:t>[§ 34 ods. 1 a ods. 3]</w:t>
      </w:r>
    </w:p>
    <w:p w14:paraId="6D98EFE9" w14:textId="77777777" w:rsidR="00D550F1" w:rsidRPr="00D550F1" w:rsidRDefault="00D550F1" w:rsidP="00D550F1">
      <w:pPr>
        <w:shd w:val="clear" w:color="auto" w:fill="FFFFFF"/>
        <w:spacing w:after="0" w:line="240" w:lineRule="auto"/>
        <w:jc w:val="both"/>
        <w:rPr>
          <w:rFonts w:ascii="Times New Roman" w:hAnsi="Times New Roman" w:cs="Times New Roman"/>
          <w:lang w:eastAsia="sk-SK"/>
        </w:rPr>
      </w:pPr>
      <w:r w:rsidRPr="00D550F1">
        <w:rPr>
          <w:rFonts w:ascii="Times New Roman" w:hAnsi="Times New Roman" w:cs="Times New Roman"/>
          <w:lang w:eastAsia="sk-SK"/>
        </w:rPr>
        <w:t>Navrhuje sa, aby zamestnancovi vznikol nárok na nemocenské od 15. dňa dočasnej pracovnej neschopnosti z dôvodu, že sa predlžuje obdobie poskytovania náhrady príjmu pri dočasnej pracovnej neschopnosti, a to z 10 na 14 dní. Z rovnakého dôvodu sa navrhuje zamestnancovi, ktorému zaniklo nemocenské poistenie, predĺžiť obdobie počas prvých dní dočasnej pracovnej neschopnosti, kedy mu môže vzniknúť nárok na nemocenské. Toto obdobie sa má zmeniť zo súčasných prvých 10 dní na prvých 14 dní dočasnej pracovnej neschopnosti.</w:t>
      </w:r>
    </w:p>
    <w:p w14:paraId="1F38A1D3"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65C6E9F6" w14:textId="77777777" w:rsidR="007F3D46" w:rsidRDefault="007F3D46" w:rsidP="00D550F1">
      <w:pPr>
        <w:pStyle w:val="Odsekzoznamu"/>
        <w:spacing w:after="0" w:line="240" w:lineRule="auto"/>
        <w:ind w:left="0"/>
        <w:contextualSpacing w:val="0"/>
        <w:jc w:val="both"/>
        <w:rPr>
          <w:rFonts w:ascii="Times New Roman" w:hAnsi="Times New Roman" w:cs="Times New Roman"/>
          <w:b/>
          <w:lang w:eastAsia="sk-SK"/>
        </w:rPr>
      </w:pPr>
    </w:p>
    <w:p w14:paraId="5AA4EFF2" w14:textId="0A0E6860" w:rsidR="00D550F1" w:rsidRPr="00D550F1" w:rsidRDefault="00D550F1" w:rsidP="00D550F1">
      <w:pPr>
        <w:pStyle w:val="Odsekzoznamu"/>
        <w:spacing w:after="0" w:line="240" w:lineRule="auto"/>
        <w:ind w:left="0"/>
        <w:contextualSpacing w:val="0"/>
        <w:jc w:val="both"/>
        <w:rPr>
          <w:rFonts w:ascii="Times New Roman" w:hAnsi="Times New Roman" w:cs="Times New Roman"/>
          <w:bCs/>
          <w:lang w:eastAsia="sk-SK"/>
        </w:rPr>
      </w:pPr>
      <w:r w:rsidRPr="00D550F1">
        <w:rPr>
          <w:rFonts w:ascii="Times New Roman" w:hAnsi="Times New Roman" w:cs="Times New Roman"/>
          <w:b/>
          <w:lang w:eastAsia="sk-SK"/>
        </w:rPr>
        <w:t xml:space="preserve">K bodu 9 </w:t>
      </w:r>
      <w:r w:rsidRPr="00D550F1">
        <w:rPr>
          <w:rFonts w:ascii="Times New Roman" w:hAnsi="Times New Roman" w:cs="Times New Roman"/>
          <w:bCs/>
          <w:lang w:eastAsia="sk-SK"/>
        </w:rPr>
        <w:t>[§ 49a ods. 2, § 60 ods. 6 a § 104 ods. 4 písm. b)]</w:t>
      </w:r>
    </w:p>
    <w:p w14:paraId="0495FE05"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lang w:eastAsia="sk-SK"/>
        </w:rPr>
      </w:pPr>
      <w:r w:rsidRPr="00D550F1">
        <w:rPr>
          <w:rFonts w:ascii="Times New Roman" w:hAnsi="Times New Roman" w:cs="Times New Roman"/>
          <w:lang w:eastAsia="sk-SK"/>
        </w:rPr>
        <w:t>Legislatívno-technická úprava, ktorá súvisí s vypustením výnimky z platenia poistného na nemocenské poistenie, dôchodkové poistenie a poistenie v nezamestnanosti zamestnancom z § 140.</w:t>
      </w:r>
    </w:p>
    <w:p w14:paraId="093EB6E6"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45FB480E"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54082B42"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Cs/>
          <w:lang w:eastAsia="sk-SK"/>
        </w:rPr>
      </w:pPr>
      <w:r w:rsidRPr="00D550F1">
        <w:rPr>
          <w:rFonts w:ascii="Times New Roman" w:hAnsi="Times New Roman" w:cs="Times New Roman"/>
          <w:b/>
          <w:lang w:eastAsia="sk-SK"/>
        </w:rPr>
        <w:t xml:space="preserve">K bodu 10 </w:t>
      </w:r>
      <w:r w:rsidRPr="00D550F1">
        <w:rPr>
          <w:rFonts w:ascii="Times New Roman" w:hAnsi="Times New Roman" w:cs="Times New Roman"/>
          <w:bCs/>
          <w:lang w:eastAsia="sk-SK"/>
        </w:rPr>
        <w:t>[§ 54 ods. 10]</w:t>
      </w:r>
    </w:p>
    <w:p w14:paraId="58706B93"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r w:rsidRPr="00D550F1">
        <w:rPr>
          <w:rFonts w:ascii="Times New Roman" w:hAnsi="Times New Roman" w:cs="Times New Roman"/>
          <w:lang w:eastAsia="sk-SK"/>
        </w:rPr>
        <w:t>V súvislosti s vypustením vylúčenia povinnosti platiť poistné zamestnancom z § 140, sa navrhuje, aby sa v prípade zamestnanca z rozhodujúceho obdobia na určenie denného vymeriavacieho základu, z ktorého sa určí suma nemocenskej dávky, vylúčili  tie obdobia, ktoré sa z rozhodujúceho obdobia vylučujú aj v zmysle aktuálne účinnej právnej úpravy  (aktuálne definované ako obdobia, v ktorých zamestnanec nie je povinný platiť poistné na nemocenské poistenie). Zároveň sa navrhuje, aby sa z rozhodujúceho obdobia na určenie denného vymeriavacieho základu, z ktorého sa určí suma dávky, tak ako doteraz vylučovalo  aj obdobie nemocenského poistenia, za ktoré povinne nemocensky poistená SZČO a dobrovoľne nemocensky poistená osoba nie sú povinné platiť poistné na nemocenské poistenie a obdobia prerušenia povinného nemocenského poistenia.</w:t>
      </w:r>
    </w:p>
    <w:p w14:paraId="6BDBD61E"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6BB2366E" w14:textId="77777777" w:rsidR="00D550F1" w:rsidRPr="00D550F1" w:rsidRDefault="00D550F1" w:rsidP="00D550F1">
      <w:pPr>
        <w:spacing w:after="0" w:line="240" w:lineRule="auto"/>
        <w:rPr>
          <w:rFonts w:ascii="Times New Roman" w:hAnsi="Times New Roman" w:cs="Times New Roman"/>
          <w:b/>
          <w:lang w:eastAsia="sk-SK"/>
        </w:rPr>
      </w:pPr>
      <w:r w:rsidRPr="00D550F1">
        <w:rPr>
          <w:rFonts w:ascii="Times New Roman" w:hAnsi="Times New Roman" w:cs="Times New Roman"/>
          <w:b/>
          <w:lang w:eastAsia="sk-SK"/>
        </w:rPr>
        <w:t xml:space="preserve">K bodu 11 </w:t>
      </w:r>
      <w:r w:rsidRPr="00D550F1">
        <w:rPr>
          <w:rFonts w:ascii="Times New Roman" w:hAnsi="Times New Roman" w:cs="Times New Roman"/>
          <w:bCs/>
          <w:lang w:eastAsia="sk-SK"/>
        </w:rPr>
        <w:t>[§ 57 ods. 3]</w:t>
      </w:r>
    </w:p>
    <w:p w14:paraId="2EDF0BC7" w14:textId="77777777" w:rsidR="00D550F1" w:rsidRPr="00D550F1" w:rsidRDefault="00D550F1" w:rsidP="00D550F1">
      <w:pPr>
        <w:spacing w:after="0" w:line="240" w:lineRule="auto"/>
        <w:jc w:val="both"/>
        <w:rPr>
          <w:rFonts w:ascii="Times New Roman" w:hAnsi="Times New Roman" w:cs="Times New Roman"/>
          <w:lang w:eastAsia="sk-SK"/>
        </w:rPr>
      </w:pPr>
      <w:r w:rsidRPr="00D550F1">
        <w:rPr>
          <w:rFonts w:ascii="Times New Roman" w:hAnsi="Times New Roman" w:cs="Times New Roman"/>
          <w:lang w:eastAsia="sk-SK"/>
        </w:rPr>
        <w:t>V súvislosti s legislatívnou zmenou v § 138 ods. 9 písm. a) sa navrhuje zachovať súčasnú sumu, z ktorej sa určí denný vymeriavací základ na výpočet sumy nemocenskej dávky v prípade, ak pravdepodobný denný vymeriavací základ určený podľa odseku 2 presiahne zákonom stanovenú hranicu. Navrhuje sa ju ponechať na sume zodpovedajúcej 50 % jednej dvanástiny všeobecného vymeriavacieho základu za kalendárny rok, ktorý dva roky predchádza kalendárnemu roku, v ktorom vznikol nárok na nemocenskú dávku.</w:t>
      </w:r>
    </w:p>
    <w:p w14:paraId="3DD3A7D6"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7BDA8EB6"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bodu 12 </w:t>
      </w:r>
      <w:r w:rsidRPr="00D550F1">
        <w:rPr>
          <w:rFonts w:ascii="Times New Roman" w:hAnsi="Times New Roman" w:cs="Times New Roman"/>
          <w:bCs/>
          <w:lang w:eastAsia="sk-SK"/>
        </w:rPr>
        <w:t>[§ 60 ods. 1]</w:t>
      </w:r>
    </w:p>
    <w:p w14:paraId="0AA1D162"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r w:rsidRPr="00D550F1">
        <w:rPr>
          <w:rFonts w:ascii="Times New Roman" w:hAnsi="Times New Roman" w:cs="Times New Roman"/>
          <w:lang w:eastAsia="sk-SK"/>
        </w:rPr>
        <w:t>Legislatívno-technická úprava, ktorá súvisí s vypustením výnimky z platenia poistného na nemocenské poistenie, dôchodkové poistenie a poistenie v nezamestnanosti zamestnancom z § 140. Zároveň sa ustanovuje, že zamestnancovi, ktorý počas obdobia podľa § 54 ods. 10 dosiahne vymeriavací základ, sa tento vymeriavací základ premietne do výpočtu na určenie sumy dôchodkovej dávky.</w:t>
      </w:r>
    </w:p>
    <w:p w14:paraId="7CEA5A6A"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459B8F17"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bodu 13 </w:t>
      </w:r>
      <w:r w:rsidRPr="00D550F1">
        <w:rPr>
          <w:rFonts w:ascii="Times New Roman" w:hAnsi="Times New Roman" w:cs="Times New Roman"/>
          <w:bCs/>
          <w:lang w:eastAsia="sk-SK"/>
        </w:rPr>
        <w:t>[§ 66 ods. 7]</w:t>
      </w:r>
    </w:p>
    <w:p w14:paraId="7BCD457C"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r w:rsidRPr="00D550F1">
        <w:rPr>
          <w:rFonts w:ascii="Times New Roman" w:hAnsi="Times New Roman" w:cs="Times New Roman"/>
          <w:lang w:eastAsia="sk-SK"/>
        </w:rPr>
        <w:t>Legislatívno-technická úprava, ktorá súvisí s vypustením výnimky z platenia poistného na nemocenské poistenie, dôchodkové poistenie a poistenie v nezamestnanosti zamestnancom z § 140.</w:t>
      </w:r>
    </w:p>
    <w:p w14:paraId="0CEFA7FA"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610BD418" w14:textId="77777777" w:rsidR="00D550F1" w:rsidRPr="00D550F1" w:rsidRDefault="00D550F1" w:rsidP="00D550F1">
      <w:pPr>
        <w:spacing w:after="0" w:line="240" w:lineRule="auto"/>
        <w:rPr>
          <w:rFonts w:ascii="Times New Roman" w:hAnsi="Times New Roman" w:cs="Times New Roman"/>
          <w:b/>
          <w:lang w:eastAsia="sk-SK"/>
        </w:rPr>
      </w:pPr>
      <w:r w:rsidRPr="00D550F1">
        <w:rPr>
          <w:rFonts w:ascii="Times New Roman" w:hAnsi="Times New Roman" w:cs="Times New Roman"/>
          <w:b/>
          <w:lang w:eastAsia="sk-SK"/>
        </w:rPr>
        <w:t>K bodu 14</w:t>
      </w:r>
      <w:r w:rsidRPr="00D550F1">
        <w:rPr>
          <w:rFonts w:ascii="Times New Roman" w:hAnsi="Times New Roman" w:cs="Times New Roman"/>
          <w:lang w:eastAsia="sk-SK"/>
        </w:rPr>
        <w:t xml:space="preserve"> </w:t>
      </w:r>
      <w:r w:rsidRPr="00D550F1">
        <w:rPr>
          <w:rFonts w:ascii="Times New Roman" w:hAnsi="Times New Roman" w:cs="Times New Roman"/>
          <w:bCs/>
          <w:lang w:eastAsia="sk-SK"/>
        </w:rPr>
        <w:t>[§ 84 ods. 4]</w:t>
      </w:r>
    </w:p>
    <w:p w14:paraId="1DD4985A" w14:textId="77777777" w:rsidR="00D550F1" w:rsidRPr="00D550F1" w:rsidRDefault="00D550F1" w:rsidP="00D550F1">
      <w:pPr>
        <w:spacing w:after="0" w:line="240" w:lineRule="auto"/>
        <w:jc w:val="both"/>
        <w:rPr>
          <w:rFonts w:ascii="Times New Roman" w:hAnsi="Times New Roman" w:cs="Times New Roman"/>
          <w:lang w:eastAsia="sk-SK"/>
        </w:rPr>
      </w:pPr>
      <w:r w:rsidRPr="00D550F1">
        <w:rPr>
          <w:rFonts w:ascii="Times New Roman" w:hAnsi="Times New Roman" w:cs="Times New Roman"/>
          <w:lang w:eastAsia="sk-SK"/>
        </w:rPr>
        <w:t>V súvislosti s legislatívnou zmenou v § 138 ods. 9 písm. a) sa navrhuje zachovať súčasnú sumu, z ktorej sa určí denný vymeriavací základ na výpočet sumy úrazovej dávky v prípade fyzickej osoby podľa § 17 ods. 2, ktorá nemala príjem zo zárobkovej činnosti zamestnanca a to tak, že aj naďalej bude určenie denného vymeriavacieho základu naviazané na sumu zodpovedajúcu 50 % jednej dvanástiny všeobecného vymeriavacieho základu za kalendárny rok, ktorý dva roky predchádza kalendárnemu roku, v ktorom vznikol nárok na úrazovú dávku.</w:t>
      </w:r>
    </w:p>
    <w:p w14:paraId="7FE5834B"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22EAC2D8"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bodu 15 </w:t>
      </w:r>
      <w:r w:rsidRPr="00D550F1">
        <w:rPr>
          <w:rFonts w:ascii="Times New Roman" w:hAnsi="Times New Roman" w:cs="Times New Roman"/>
          <w:bCs/>
          <w:lang w:eastAsia="sk-SK"/>
        </w:rPr>
        <w:t>[§ 84 ods. 5]</w:t>
      </w:r>
    </w:p>
    <w:p w14:paraId="23418FD8"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r w:rsidRPr="00D550F1">
        <w:rPr>
          <w:rFonts w:ascii="Times New Roman" w:hAnsi="Times New Roman" w:cs="Times New Roman"/>
          <w:lang w:eastAsia="sk-SK"/>
        </w:rPr>
        <w:t>Legislatívno-technická úprava, ktorá súvisí s vypustením výnimky z platenia poistného na nemocenské poistenie, dôchodkové poistenie a poistenie v nezamestnanosti zamestnancom z § 140.</w:t>
      </w:r>
    </w:p>
    <w:p w14:paraId="25380DDD"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72789A32" w14:textId="77777777"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
        </w:rPr>
        <w:t xml:space="preserve">K bodu 16 </w:t>
      </w:r>
      <w:r w:rsidRPr="00D550F1">
        <w:rPr>
          <w:rFonts w:ascii="Times New Roman" w:hAnsi="Times New Roman" w:cs="Times New Roman"/>
          <w:bCs/>
        </w:rPr>
        <w:t>[§ 105 ods. 3]</w:t>
      </w:r>
    </w:p>
    <w:p w14:paraId="17C051E0"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V súvislosti s navrhovanou právnou úpravou, ktorou sa zavádza postupné percentuálne vyklesávanie dávky v nezamestnanosti v závislosti od dĺžky poberania dávky v nezamestnanosti, sa navrhuje v prípade poistenca, ktorý je vyradený z evidencie uchádzačov o zamestnanie počas poberania dávky v nezamestnanosti a v období dvoch rokov je opätovne zaradený do evidencie uchádzačov o zamestnanie, stanoviť, aby výška dávky v nezamestnanosti v rámci zostávajúceho podporného obdobia, ktoré nebolo vyčerpané pri predchádzajúcej výplate dávky v nezamestnanosti, postupne vyklesávala od štvrtého mesiaca podporného obdobia, pričom denný vymeriavací základ zostáva rovnaký.</w:t>
      </w:r>
    </w:p>
    <w:p w14:paraId="4811AC75"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6911D32D" w14:textId="77777777"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
        </w:rPr>
        <w:t xml:space="preserve">K bodu 17 </w:t>
      </w:r>
      <w:r w:rsidRPr="00D550F1">
        <w:rPr>
          <w:rFonts w:ascii="Times New Roman" w:hAnsi="Times New Roman" w:cs="Times New Roman"/>
          <w:bCs/>
        </w:rPr>
        <w:t>[§ 108 ods. 1]</w:t>
      </w:r>
    </w:p>
    <w:p w14:paraId="6BDF5AE8"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Navrhuje sa zaviesť postupné percentuálne vyklesávanie dávky v nezamestnanosti v závislosti od dĺžky poberania dávky v nezamestnanosti. Počas prvých troch mesiacov podporného obdobia sa navrhuje ponechať súčasnú výšku dávky v nezamestnanosti, t. j. 50 % denného vymeriavacieho základu. Ďalšie mesiace počas podporného obdobia sa navrhuje postupné znižovanie dávky v nezamestnanosti, pričom posledný mesiac podporného obdobia sa bude výška dávky v nezamestnanosti určovať z 20 % denného vymeriavacieho základu. Cieľom je motivovať poberateľov dávky v nezamestnanosti k skoršiemu návratu na trh práce.</w:t>
      </w:r>
    </w:p>
    <w:p w14:paraId="72AF7642"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5058A51B"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bodu 18 </w:t>
      </w:r>
      <w:r w:rsidRPr="00D550F1">
        <w:rPr>
          <w:rFonts w:ascii="Times New Roman" w:hAnsi="Times New Roman" w:cs="Times New Roman"/>
          <w:bCs/>
          <w:lang w:eastAsia="sk-SK"/>
        </w:rPr>
        <w:t>[§ 108 ods. 2]</w:t>
      </w:r>
    </w:p>
    <w:p w14:paraId="73C2E2A2"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r w:rsidRPr="00D550F1">
        <w:rPr>
          <w:rFonts w:ascii="Times New Roman" w:hAnsi="Times New Roman" w:cs="Times New Roman"/>
          <w:lang w:eastAsia="sk-SK"/>
        </w:rPr>
        <w:t>Legislatívno-technická úprava, ktorá súvisí s vypustením výnimky z platenia poistného na nemocenské poistenie, dôchodkové poistenie a poistenie v nezamestnanosti zamestnancom z § 140.</w:t>
      </w:r>
    </w:p>
    <w:p w14:paraId="167D5B4A"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6223D1DD" w14:textId="77777777" w:rsidR="00D550F1" w:rsidRPr="00D550F1" w:rsidRDefault="00D550F1" w:rsidP="00D550F1">
      <w:pPr>
        <w:spacing w:after="0" w:line="240" w:lineRule="auto"/>
        <w:rPr>
          <w:rFonts w:ascii="Times New Roman" w:hAnsi="Times New Roman" w:cs="Times New Roman"/>
          <w:b/>
          <w:lang w:eastAsia="sk-SK"/>
        </w:rPr>
      </w:pPr>
      <w:r w:rsidRPr="00D550F1">
        <w:rPr>
          <w:rFonts w:ascii="Times New Roman" w:hAnsi="Times New Roman" w:cs="Times New Roman"/>
          <w:b/>
          <w:lang w:eastAsia="sk-SK"/>
        </w:rPr>
        <w:t>K bodu 19</w:t>
      </w:r>
      <w:r w:rsidRPr="00D550F1">
        <w:rPr>
          <w:rFonts w:ascii="Times New Roman" w:hAnsi="Times New Roman" w:cs="Times New Roman"/>
          <w:lang w:eastAsia="sk-SK"/>
        </w:rPr>
        <w:t xml:space="preserve"> </w:t>
      </w:r>
      <w:r w:rsidRPr="00D550F1">
        <w:rPr>
          <w:rFonts w:ascii="Times New Roman" w:hAnsi="Times New Roman" w:cs="Times New Roman"/>
          <w:bCs/>
          <w:lang w:eastAsia="sk-SK"/>
        </w:rPr>
        <w:t>[§ 108 ods. 3]</w:t>
      </w:r>
    </w:p>
    <w:p w14:paraId="1336FD08" w14:textId="77777777" w:rsidR="00D550F1" w:rsidRPr="00D550F1" w:rsidRDefault="00D550F1" w:rsidP="00D550F1">
      <w:pPr>
        <w:spacing w:after="0" w:line="240" w:lineRule="auto"/>
        <w:jc w:val="both"/>
        <w:rPr>
          <w:rFonts w:ascii="Times New Roman" w:hAnsi="Times New Roman" w:cs="Times New Roman"/>
          <w:lang w:eastAsia="sk-SK"/>
        </w:rPr>
      </w:pPr>
      <w:r w:rsidRPr="00D550F1">
        <w:rPr>
          <w:rFonts w:ascii="Times New Roman" w:hAnsi="Times New Roman" w:cs="Times New Roman"/>
          <w:lang w:eastAsia="sk-SK"/>
        </w:rPr>
        <w:t>V súvislosti s legislatívnou zmenou v § 138 ods. 9 písm. a) sa navrhuje zachovať súčasnú sumu, z ktorej sa určí denný vymeriavací základ na výpočet sumy dávky v nezamestnanosti, ak poistenec v rozhodujúcom období nemal príjem zo zárobkovej činnosti, pričom určenie denného vymeriavacieho základu bude aj naďalej naviazané na sumu zodpovedajúcu 50 % jednej dvanástiny všeobecného vymeriavacieho základu za kalendárny rok, ktorý dva roky predchádza kalendárnemu roku, v ktorom vznikol nárok na dávku v nezamestnanosti.</w:t>
      </w:r>
    </w:p>
    <w:p w14:paraId="3F95C50B" w14:textId="77777777" w:rsidR="00D550F1" w:rsidRPr="00D550F1" w:rsidRDefault="00D550F1" w:rsidP="00D550F1">
      <w:pPr>
        <w:spacing w:after="0" w:line="240" w:lineRule="auto"/>
        <w:jc w:val="both"/>
        <w:rPr>
          <w:rFonts w:ascii="Times New Roman" w:hAnsi="Times New Roman" w:cs="Times New Roman"/>
          <w:lang w:eastAsia="sk-SK"/>
        </w:rPr>
      </w:pPr>
    </w:p>
    <w:p w14:paraId="6FB5061E" w14:textId="77777777" w:rsidR="00D550F1" w:rsidRPr="00D550F1" w:rsidRDefault="00D550F1" w:rsidP="00D550F1">
      <w:pPr>
        <w:spacing w:after="0" w:line="240" w:lineRule="auto"/>
        <w:jc w:val="both"/>
        <w:rPr>
          <w:rFonts w:ascii="Times New Roman" w:hAnsi="Times New Roman" w:cs="Times New Roman"/>
          <w:b/>
          <w:lang w:eastAsia="sk-SK"/>
        </w:rPr>
      </w:pPr>
      <w:r w:rsidRPr="00D550F1">
        <w:rPr>
          <w:rFonts w:ascii="Times New Roman" w:hAnsi="Times New Roman" w:cs="Times New Roman"/>
          <w:b/>
          <w:lang w:eastAsia="sk-SK"/>
        </w:rPr>
        <w:t xml:space="preserve">K bodu 20 </w:t>
      </w:r>
      <w:r w:rsidRPr="00D550F1">
        <w:rPr>
          <w:rFonts w:ascii="Times New Roman" w:hAnsi="Times New Roman" w:cs="Times New Roman"/>
          <w:bCs/>
          <w:lang w:eastAsia="sk-SK"/>
        </w:rPr>
        <w:t>[§ 138 ods. 2]</w:t>
      </w:r>
    </w:p>
    <w:p w14:paraId="0EB8A5E9" w14:textId="77777777" w:rsidR="00D550F1" w:rsidRPr="00D550F1" w:rsidRDefault="00D550F1" w:rsidP="00D550F1">
      <w:pPr>
        <w:spacing w:after="0" w:line="240" w:lineRule="auto"/>
        <w:jc w:val="both"/>
        <w:rPr>
          <w:rStyle w:val="Odkaznakomentr"/>
          <w:rFonts w:ascii="Times New Roman" w:eastAsiaTheme="majorEastAsia" w:hAnsi="Times New Roman" w:cs="Times New Roman"/>
          <w:sz w:val="24"/>
          <w:szCs w:val="24"/>
        </w:rPr>
      </w:pPr>
      <w:r w:rsidRPr="00D550F1">
        <w:rPr>
          <w:rFonts w:ascii="Times New Roman" w:hAnsi="Times New Roman" w:cs="Times New Roman"/>
        </w:rPr>
        <w:t>Navrhujú sa dva spôsoby určenia vymeriavacieho základu povinne poistenej SZČO. Pre tú povinne poistenú SZČO, ktorá dosiahla príjem z podnikania a z inej samostatnej zárobkovej činnosti vyšší ako 50 % všeobecného vymeriavacieho základu platného v kalendárnom roku, ktorý dva roky predchádza kalendárnemu roku (t. j. 6-násobok priemernej mesačnej mzdy v hospodárstve Slovenskej republiky spred dvoch rokov), od ktorého sa  určený vymeriavací základ použije (ďalej len „50 % všeobecného vymeriavacieho základu“), sa navrhuje ponechať doterajší spôsob výpočtu vymeriavacieho základu. Naďalej sa bude určovať ako podiel jednej dvanástiny základu dane z príjmov fyzických osôb dosiahnutého vykonávaním podnikania a inej samostatnej zárobkovej činnosti upraveného o zákonom vymedzené položky, a koeficientu 1,486. Takto určený vymeriavací základ sa použije od 1. júla/1. októbra (ak mala SZČO predĺženú lehotu na podanie daňového priznania) kalendárneho roka nasledujúceho po kalendárnom roku, za ktorý jej príjem z podnikania a z inej samostatnej zárobkovej činnosti bol vyšší ako 50 % všeobecného vymeriavacieho základu, do 30. júna/30. septembra nasledujúceho kalendárneho roka. Hranica príjmu je ponechaná v sume zodpovedajúcej 12-násobku súčasného minimálneho vymeriavacieho základu, ktorý je vo výške 50 % priemernej mesačnej mzdy v hospodárstve Slovenskej republiky spred dvoch rokov. Na účely určenia vymeriavacieho základu uvedenej SZČO od 1. júla/1. októbra 2026 (ak mala SZČO predĺženú lehotu na podanie daňového priznania) to je suma 9 144 eur. Pre ostatné povinne poistné SZČO sa zavádza „osobitný“ vymeriavací základ, ktorý je 26 % jednej dvanástiny všeobecného vymeriavacieho základu platného v kalendárnom roku, ktorý dva roky predchádza kalendárnemu roku (t. j. 26 % priemernej mesačnej mzdy v hospodárstve Slovenskej republiky spred dvoch rokov), za ktorý sa platí poistné. Za obdobie od 1. januára 2026 do 31. decembra 2026 to bude 396,24 eur. Z takto určeného vymeriavacieho základu bude platiť poistné na sociálne poistenie povinne poistená SZČO, ktorá k 1. júlu/1. októbru (ak mala predĺženú lehotu na podanie daňového priznania) kalendárneho roka nedosiahne príjem z podnikania a z inej samostatnej zárobkovej činnosti za predchádzajúci kalendárny rok vyšší ako 50 % všeobecného vymeriavacieho základu, ako aj SZČO, ktorej povinné poistenie vznikne od prvého dňa šiesteho kalendárneho mesiaca nasledujúceho po mesiaci, od ktorého je oprávnená na výkon alebo na prevádzkovanie podnikania a inej samostatnej zárobkovej činnosti/od prvého dňa šiesteho kalendárneho mesiaca nasledujúceho po mesiaci, od ktorého SZČO bez oprávnenia podľa svojho čestného vyhlásenia vykonáva túto zárobkovú činnosť, ale najskôr od prvého dňa šiesteho kalendárneho mesiaca nasledujúceho po mesiaci, v ktorom bolo vyhlásenie doručené Sociálnej poisťovni.</w:t>
      </w:r>
    </w:p>
    <w:p w14:paraId="5CC19C9B" w14:textId="77777777" w:rsidR="00D550F1" w:rsidRPr="00D550F1" w:rsidRDefault="00D550F1" w:rsidP="00D550F1">
      <w:pPr>
        <w:spacing w:after="0" w:line="240" w:lineRule="auto"/>
        <w:jc w:val="both"/>
        <w:rPr>
          <w:rStyle w:val="Odkaznakomentr"/>
          <w:rFonts w:ascii="Times New Roman" w:eastAsiaTheme="majorEastAsia" w:hAnsi="Times New Roman" w:cs="Times New Roman"/>
          <w:sz w:val="24"/>
          <w:szCs w:val="24"/>
        </w:rPr>
      </w:pPr>
    </w:p>
    <w:p w14:paraId="0AA1D2A9" w14:textId="77777777" w:rsidR="00D550F1" w:rsidRPr="00D550F1" w:rsidRDefault="00D550F1" w:rsidP="00D550F1">
      <w:pPr>
        <w:spacing w:after="0" w:line="240" w:lineRule="auto"/>
        <w:jc w:val="both"/>
        <w:rPr>
          <w:rFonts w:ascii="Times New Roman" w:hAnsi="Times New Roman" w:cs="Times New Roman"/>
          <w:b/>
          <w:lang w:eastAsia="sk-SK"/>
        </w:rPr>
      </w:pPr>
      <w:r w:rsidRPr="00D550F1">
        <w:rPr>
          <w:rFonts w:ascii="Times New Roman" w:hAnsi="Times New Roman" w:cs="Times New Roman"/>
          <w:b/>
          <w:lang w:eastAsia="sk-SK"/>
        </w:rPr>
        <w:t xml:space="preserve">K bodu 21 </w:t>
      </w:r>
      <w:r w:rsidRPr="00D550F1">
        <w:rPr>
          <w:rFonts w:ascii="Times New Roman" w:hAnsi="Times New Roman" w:cs="Times New Roman"/>
          <w:bCs/>
          <w:lang w:eastAsia="sk-SK"/>
        </w:rPr>
        <w:t>[§ 138 ods. 3 a § 233 ods. 6 písm. a)]</w:t>
      </w:r>
    </w:p>
    <w:p w14:paraId="7D1B4388" w14:textId="77777777" w:rsidR="00D550F1" w:rsidRPr="00D550F1" w:rsidRDefault="00D550F1" w:rsidP="00D550F1">
      <w:pPr>
        <w:spacing w:after="0" w:line="240" w:lineRule="auto"/>
        <w:jc w:val="both"/>
        <w:rPr>
          <w:rFonts w:ascii="Times New Roman" w:hAnsi="Times New Roman" w:cs="Times New Roman"/>
          <w:lang w:eastAsia="sk-SK"/>
        </w:rPr>
      </w:pPr>
      <w:r w:rsidRPr="00D550F1">
        <w:rPr>
          <w:rFonts w:ascii="Times New Roman" w:hAnsi="Times New Roman" w:cs="Times New Roman"/>
          <w:lang w:eastAsia="sk-SK"/>
        </w:rPr>
        <w:t>Navrhuje sa vypustenie odkazu 43.</w:t>
      </w:r>
    </w:p>
    <w:p w14:paraId="19FAA3B5" w14:textId="77777777" w:rsidR="00D550F1" w:rsidRPr="00D550F1" w:rsidRDefault="00D550F1" w:rsidP="00D550F1">
      <w:pPr>
        <w:spacing w:after="0" w:line="240" w:lineRule="auto"/>
        <w:jc w:val="both"/>
        <w:rPr>
          <w:rFonts w:ascii="Times New Roman" w:hAnsi="Times New Roman" w:cs="Times New Roman"/>
        </w:rPr>
      </w:pPr>
    </w:p>
    <w:p w14:paraId="3F670E6D" w14:textId="77777777" w:rsidR="00D550F1" w:rsidRPr="00D550F1" w:rsidRDefault="00D550F1" w:rsidP="00D550F1">
      <w:pPr>
        <w:spacing w:after="0" w:line="240" w:lineRule="auto"/>
        <w:jc w:val="both"/>
        <w:rPr>
          <w:rFonts w:ascii="Times New Roman" w:hAnsi="Times New Roman" w:cs="Times New Roman"/>
          <w:b/>
          <w:lang w:eastAsia="sk-SK"/>
        </w:rPr>
      </w:pPr>
      <w:r w:rsidRPr="00D550F1">
        <w:rPr>
          <w:rFonts w:ascii="Times New Roman" w:hAnsi="Times New Roman" w:cs="Times New Roman"/>
          <w:b/>
          <w:lang w:eastAsia="sk-SK"/>
        </w:rPr>
        <w:t xml:space="preserve">K bodom 22 a 23 </w:t>
      </w:r>
      <w:r w:rsidRPr="00D550F1">
        <w:rPr>
          <w:rFonts w:ascii="Times New Roman" w:hAnsi="Times New Roman" w:cs="Times New Roman"/>
          <w:bCs/>
          <w:lang w:eastAsia="sk-SK"/>
        </w:rPr>
        <w:t>[§ 138 ods. 9]</w:t>
      </w:r>
    </w:p>
    <w:p w14:paraId="6FA143DC"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Navrhuje sa zvýšenie minimálneho mesačného vymeriavacieho základu na platenie poistného na nemocenské poistenie, dôchodkové poistenie (starobné poistenie, invalidné poistenie), poistenie v nezamestnanosti a na platenie poistného do rezervného fondu solidarity z 50 % na 60 % priemernej mesačnej mzdy v hospodárstve Slovenskej republiky spred dvoch rokov. Za obdobie od 1. januára 2026 do 31. decembra 2026 to bude 914,40 eur. Zvýšený minimálny mesačný vymeriavací základ sa navrhuje pre povinne poistenú SZČO, ktorá má vymeriavací základ určený ako podiel jednej dvanástiny základu dane z príjmov fyzických osôb dosiahnutého vykonávaním podnikania a inej samostatnej zárobkovej činnosti upraveného o zákonom vymedzené položky a koeficientu 1,486, dobrovoľne nemocensky poistenú osobu, dobrovoľne dôchodkovo poistenú osobu alebo dobrovoľne poistenú osobu v nezamestnanosti a pre dodatočné doplatenie poistného na dôchodkové poistenie.</w:t>
      </w:r>
    </w:p>
    <w:p w14:paraId="18B54E14"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7E81122E"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bodu 24 </w:t>
      </w:r>
      <w:r w:rsidRPr="00D550F1">
        <w:rPr>
          <w:rFonts w:ascii="Times New Roman" w:hAnsi="Times New Roman" w:cs="Times New Roman"/>
          <w:bCs/>
          <w:lang w:eastAsia="sk-SK"/>
        </w:rPr>
        <w:t>[§ 138 ods. 14]</w:t>
      </w:r>
    </w:p>
    <w:p w14:paraId="38A36267"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r w:rsidRPr="00D550F1">
        <w:rPr>
          <w:rFonts w:ascii="Times New Roman" w:hAnsi="Times New Roman" w:cs="Times New Roman"/>
          <w:lang w:eastAsia="sk-SK"/>
        </w:rPr>
        <w:t>Legislatívno-technická úprava, ktorá súvisí s vypustením výnimky z platenia poistného na nemocenské poistenie, dôchodkové poistenie a poistenie v nezamestnanosti zamestnancom z § 140.</w:t>
      </w:r>
    </w:p>
    <w:p w14:paraId="6F02CE46"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59B050DC"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bodom 25 až 28 </w:t>
      </w:r>
      <w:r w:rsidRPr="00D550F1">
        <w:rPr>
          <w:rFonts w:ascii="Times New Roman" w:hAnsi="Times New Roman" w:cs="Times New Roman"/>
          <w:bCs/>
          <w:lang w:eastAsia="sk-SK"/>
        </w:rPr>
        <w:t>[§ 140]</w:t>
      </w:r>
    </w:p>
    <w:p w14:paraId="5C1AE475"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r w:rsidRPr="00D550F1">
        <w:rPr>
          <w:rFonts w:ascii="Times New Roman" w:hAnsi="Times New Roman" w:cs="Times New Roman"/>
          <w:lang w:eastAsia="sk-SK"/>
        </w:rPr>
        <w:t>Navrhuje sa vypustiť súčasnú právnu úpravu vylúčenia povinnosti zamestnanca platiť poistné na nemocenské poistenie, dôchodkové poistenie a poistenie v nezamestnanosti z dôvodov, ktoré stanovuje zákon o sociálnom poistení. Zjednotí sa tým postup platenia poistného na sociálne poistenie so zdaňovaním príjmu zo závislej činnosti. Nie je opodstatnené, aby z príjmu zo závislej činnosti poskytnutého v čase, keď je zamestnanec napr. uznaný za dočasne práceneschopného alebo sa mu poskytuje materské, a tento príjem súvisí s výkonom činnosti zamestnanca pred týmto obdobím, nebolo platené poistné.</w:t>
      </w:r>
    </w:p>
    <w:p w14:paraId="0EBB42DC"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r w:rsidRPr="00D550F1">
        <w:rPr>
          <w:rFonts w:ascii="Times New Roman" w:hAnsi="Times New Roman" w:cs="Times New Roman"/>
          <w:lang w:eastAsia="sk-SK"/>
        </w:rPr>
        <w:t>Ak zamestnanec v období, ktoré sa dnes považuje za obdobie vylúčenia povinnosti platiť poistné na sociálne poistenie, napr. v čase dočasnej práceneschopnosti, nebude pracovať a nebude mať príjem zo závislej činnosti, potom za toto obdobie nebude mať ani vymeriavací základ na platenie poistného na sociálne poistenie. Teda naďalej za obdobie dočasnej pracovnej neschopnosti de facto nebude platiť poistné na sociálne poistenie.</w:t>
      </w:r>
    </w:p>
    <w:p w14:paraId="4100AA0B"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r w:rsidRPr="00D550F1">
        <w:rPr>
          <w:rFonts w:ascii="Times New Roman" w:hAnsi="Times New Roman" w:cs="Times New Roman"/>
          <w:lang w:eastAsia="sk-SK"/>
        </w:rPr>
        <w:t>V súvislosti s návrhom na vypustenie právnej úpravy vylúčenia povinnosti zamestnanca platiť poistné na sociálne poistenie sa navrhuje vypustiť aj úpravu, podľa ktorej zamestnávateľ nie je povinný platiť poistné na nemocenské poistenie, poistné na dôchodkové poistenie, poistné na garančné poistenie, poistné na poistenie v nezamestnanosti, poistné na financovanie podpory a poistné do rezervného fondu solidarity v období, počas ktorého jeho zamestnanec nie je povinný platiť poistné na nemocenské poistenie, poistné na dôchodkové poistenie a poistné na poistenie v nezamestnanosti.</w:t>
      </w:r>
    </w:p>
    <w:p w14:paraId="518843B5"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r w:rsidRPr="00D550F1">
        <w:rPr>
          <w:rFonts w:ascii="Times New Roman" w:hAnsi="Times New Roman" w:cs="Times New Roman"/>
          <w:lang w:eastAsia="sk-SK"/>
        </w:rPr>
        <w:t>Zároveň sa v § 140 navrhujú legislatívno-technické úpravy, ktoré súvisia s vypustením výnimky z platenia poistného na nemocenské poistenie, dôchodkové poistenie a poistenie v nezamestnanosti zamestnancom z tohto ustanovenia.</w:t>
      </w:r>
    </w:p>
    <w:p w14:paraId="739A5D2E"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03F5932B" w14:textId="77777777" w:rsidR="00D550F1" w:rsidRPr="00D550F1" w:rsidRDefault="00D550F1" w:rsidP="00D550F1">
      <w:pPr>
        <w:pStyle w:val="Odsekzoznamu"/>
        <w:spacing w:after="0" w:line="240" w:lineRule="auto"/>
        <w:ind w:left="0"/>
        <w:jc w:val="both"/>
        <w:rPr>
          <w:rFonts w:ascii="Times New Roman" w:hAnsi="Times New Roman" w:cs="Times New Roman"/>
          <w:bCs/>
          <w:lang w:eastAsia="sk-SK"/>
        </w:rPr>
      </w:pPr>
      <w:r w:rsidRPr="00D550F1">
        <w:rPr>
          <w:rFonts w:ascii="Times New Roman" w:hAnsi="Times New Roman" w:cs="Times New Roman"/>
          <w:b/>
          <w:lang w:eastAsia="sk-SK"/>
        </w:rPr>
        <w:t xml:space="preserve">K bodom 29 a 30 </w:t>
      </w:r>
      <w:r w:rsidRPr="00D550F1">
        <w:rPr>
          <w:rFonts w:ascii="Times New Roman" w:hAnsi="Times New Roman" w:cs="Times New Roman"/>
          <w:bCs/>
          <w:lang w:eastAsia="sk-SK"/>
        </w:rPr>
        <w:t>[§ 147 ods. 2, § 168 ods. 2 písm. h),</w:t>
      </w:r>
      <w:r w:rsidRPr="00D550F1">
        <w:rPr>
          <w:rFonts w:ascii="Times New Roman" w:hAnsi="Times New Roman" w:cs="Times New Roman"/>
          <w:bCs/>
        </w:rPr>
        <w:t xml:space="preserve"> </w:t>
      </w:r>
      <w:r w:rsidRPr="00D550F1">
        <w:rPr>
          <w:rFonts w:ascii="Times New Roman" w:hAnsi="Times New Roman" w:cs="Times New Roman"/>
          <w:bCs/>
          <w:lang w:eastAsia="sk-SK"/>
        </w:rPr>
        <w:t>§ 170 ods. 21 a § 171 ods. 1 a ods. 2 písm. d)]</w:t>
      </w:r>
    </w:p>
    <w:p w14:paraId="7F1B89FF" w14:textId="77777777" w:rsidR="00D550F1" w:rsidRPr="00D550F1" w:rsidRDefault="00D550F1" w:rsidP="00D550F1">
      <w:pPr>
        <w:shd w:val="clear" w:color="auto" w:fill="FFFFFF"/>
        <w:spacing w:after="0" w:line="240" w:lineRule="auto"/>
        <w:jc w:val="both"/>
        <w:rPr>
          <w:rFonts w:ascii="Times New Roman" w:hAnsi="Times New Roman" w:cs="Times New Roman"/>
          <w:lang w:eastAsia="sk-SK"/>
        </w:rPr>
      </w:pPr>
      <w:r w:rsidRPr="00D550F1">
        <w:rPr>
          <w:rFonts w:ascii="Times New Roman" w:hAnsi="Times New Roman" w:cs="Times New Roman"/>
          <w:lang w:eastAsia="sk-SK"/>
        </w:rPr>
        <w:t>Legislatívno-technická úprava, ktorá súvisí s navrhovanými zmenami v § 228 ods. 1.</w:t>
      </w:r>
    </w:p>
    <w:p w14:paraId="5E89F060"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6CD76CB6" w14:textId="77777777" w:rsidR="00D550F1" w:rsidRPr="00D550F1" w:rsidRDefault="00D550F1" w:rsidP="00D550F1">
      <w:pPr>
        <w:pStyle w:val="Odsekzoznamu"/>
        <w:spacing w:after="0" w:line="240" w:lineRule="auto"/>
        <w:ind w:left="0"/>
        <w:jc w:val="both"/>
        <w:rPr>
          <w:rFonts w:ascii="Times New Roman" w:hAnsi="Times New Roman" w:cs="Times New Roman"/>
          <w:b/>
          <w:lang w:eastAsia="sk-SK"/>
        </w:rPr>
      </w:pPr>
      <w:r w:rsidRPr="00D550F1">
        <w:rPr>
          <w:rFonts w:ascii="Times New Roman" w:hAnsi="Times New Roman" w:cs="Times New Roman"/>
          <w:b/>
          <w:lang w:eastAsia="sk-SK"/>
        </w:rPr>
        <w:t xml:space="preserve">K bodu 31 </w:t>
      </w:r>
      <w:r w:rsidRPr="00D550F1">
        <w:rPr>
          <w:rFonts w:ascii="Times New Roman" w:hAnsi="Times New Roman" w:cs="Times New Roman"/>
          <w:bCs/>
          <w:lang w:eastAsia="sk-SK"/>
        </w:rPr>
        <w:t>[§ 184 ods. 13 písm. a)]</w:t>
      </w:r>
    </w:p>
    <w:p w14:paraId="1F727A28" w14:textId="77777777" w:rsidR="00D550F1" w:rsidRPr="00D550F1" w:rsidRDefault="00D550F1" w:rsidP="00D550F1">
      <w:pPr>
        <w:shd w:val="clear" w:color="auto" w:fill="FFFFFF"/>
        <w:spacing w:after="0" w:line="240" w:lineRule="auto"/>
        <w:jc w:val="both"/>
        <w:rPr>
          <w:rFonts w:ascii="Times New Roman" w:hAnsi="Times New Roman" w:cs="Times New Roman"/>
          <w:lang w:eastAsia="sk-SK"/>
        </w:rPr>
      </w:pPr>
      <w:r w:rsidRPr="00D550F1">
        <w:rPr>
          <w:rFonts w:ascii="Times New Roman" w:hAnsi="Times New Roman" w:cs="Times New Roman"/>
          <w:lang w:eastAsia="sk-SK"/>
        </w:rPr>
        <w:t>Legislatívno-technická úprava, ktorá súvisí s predĺžením poskytovania náhrady príjmu pri dočasnej pracovnej neschopnosti.</w:t>
      </w:r>
    </w:p>
    <w:p w14:paraId="05C503B6"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722C12EA"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bodom 32 a 33 </w:t>
      </w:r>
      <w:r w:rsidRPr="00D550F1">
        <w:rPr>
          <w:rFonts w:ascii="Times New Roman" w:hAnsi="Times New Roman" w:cs="Times New Roman"/>
          <w:bCs/>
          <w:lang w:eastAsia="sk-SK"/>
        </w:rPr>
        <w:t>[§ 185 ods. 1 písm. a) a písm. b)]</w:t>
      </w:r>
    </w:p>
    <w:p w14:paraId="1FDE84E2" w14:textId="77777777" w:rsidR="00D550F1" w:rsidRPr="00D550F1" w:rsidRDefault="00D550F1" w:rsidP="00D550F1">
      <w:pPr>
        <w:shd w:val="clear" w:color="auto" w:fill="FFFFFF"/>
        <w:spacing w:after="0" w:line="240" w:lineRule="auto"/>
        <w:jc w:val="both"/>
        <w:rPr>
          <w:rFonts w:ascii="Times New Roman" w:hAnsi="Times New Roman" w:cs="Times New Roman"/>
          <w:lang w:eastAsia="sk-SK"/>
        </w:rPr>
      </w:pPr>
      <w:r w:rsidRPr="00D550F1">
        <w:rPr>
          <w:rFonts w:ascii="Times New Roman" w:hAnsi="Times New Roman" w:cs="Times New Roman"/>
          <w:lang w:eastAsia="sk-SK"/>
        </w:rPr>
        <w:t>Legislatívno-technická úprava, ktorá súvisí s predĺžením poskytovania náhrady príjmu pri dočasnej pracovnej neschopnosti.</w:t>
      </w:r>
    </w:p>
    <w:p w14:paraId="369C9EE7" w14:textId="77777777" w:rsidR="00D550F1" w:rsidRPr="00D550F1" w:rsidRDefault="00D550F1" w:rsidP="00D550F1">
      <w:pPr>
        <w:shd w:val="clear" w:color="auto" w:fill="FFFFFF"/>
        <w:spacing w:after="0" w:line="240" w:lineRule="auto"/>
        <w:jc w:val="both"/>
        <w:rPr>
          <w:rFonts w:ascii="Times New Roman" w:hAnsi="Times New Roman" w:cs="Times New Roman"/>
          <w:lang w:eastAsia="sk-SK"/>
        </w:rPr>
      </w:pPr>
    </w:p>
    <w:p w14:paraId="3188E4BA"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bodu 35 </w:t>
      </w:r>
      <w:r w:rsidRPr="00D550F1">
        <w:rPr>
          <w:rFonts w:ascii="Times New Roman" w:hAnsi="Times New Roman" w:cs="Times New Roman"/>
          <w:bCs/>
          <w:lang w:eastAsia="sk-SK"/>
        </w:rPr>
        <w:t>[§ 226 ods. 6]</w:t>
      </w:r>
    </w:p>
    <w:p w14:paraId="6BBB811E"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r w:rsidRPr="00D550F1">
        <w:rPr>
          <w:rFonts w:ascii="Times New Roman" w:hAnsi="Times New Roman" w:cs="Times New Roman"/>
          <w:lang w:eastAsia="sk-SK"/>
        </w:rPr>
        <w:t>Legislatívno-technická úprava, ktorá súvisí s vypustením výnimky z platenia poistného na nemocenské poistenie, dôchodkové poistenie a poistenie v nezamestnanosti zamestnancom z § 140. Zároveň sa spresňuje, že Sociálna poisťovňa zamestnávateľovi sprístupňuje informácie o jeho zamestnancovi, ktoré spracúva vo svojom informačnom systéme, aj na posúdenie vzniku, trvania alebo zániku nemocenského poistenia, dôchodkového poistenia a poistenia v nezamestnanosti jeho zamestnanca. Taktiež informácie o období, v ktorom zamestnancovi trvá nárok na výplatu materského, alebo by mu trval nárok na materské, ak nárok na materské nevznikol z dôvodu nesplnenia podmienky získania najmenej 270 dní nemocenského poistenia, o období osobného a celodenného ošetrovania alebo osobnej a celodennej starostlivosti. Tieto informácie sú potrebné pre splnenie povinnosti zamestnávateľom oznámiť prerušenie povinného nemocenského poistenia, povinného dôchodkového poistenia a povinného poistenia v nezamestnanosti jeho zamestnanca.</w:t>
      </w:r>
    </w:p>
    <w:p w14:paraId="13555C07" w14:textId="77777777" w:rsidR="00D550F1" w:rsidRPr="00D550F1" w:rsidRDefault="00D550F1" w:rsidP="00D550F1">
      <w:pPr>
        <w:shd w:val="clear" w:color="auto" w:fill="FFFFFF"/>
        <w:spacing w:after="0" w:line="240" w:lineRule="auto"/>
        <w:jc w:val="both"/>
        <w:rPr>
          <w:rFonts w:ascii="Times New Roman" w:hAnsi="Times New Roman" w:cs="Times New Roman"/>
          <w:lang w:eastAsia="sk-SK"/>
        </w:rPr>
      </w:pPr>
    </w:p>
    <w:p w14:paraId="4CB84365"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bodu 36 </w:t>
      </w:r>
      <w:r w:rsidRPr="00D550F1">
        <w:rPr>
          <w:rFonts w:ascii="Times New Roman" w:hAnsi="Times New Roman" w:cs="Times New Roman"/>
          <w:bCs/>
          <w:lang w:eastAsia="sk-SK"/>
        </w:rPr>
        <w:t>[§ 227 ods. 2 písm. i)]</w:t>
      </w:r>
    </w:p>
    <w:p w14:paraId="53FE6523" w14:textId="77777777" w:rsidR="00D550F1" w:rsidRPr="00D550F1" w:rsidRDefault="00D550F1" w:rsidP="00D550F1">
      <w:pPr>
        <w:shd w:val="clear" w:color="auto" w:fill="FFFFFF"/>
        <w:spacing w:after="0" w:line="240" w:lineRule="auto"/>
        <w:jc w:val="both"/>
        <w:rPr>
          <w:rFonts w:ascii="Times New Roman" w:hAnsi="Times New Roman" w:cs="Times New Roman"/>
          <w:lang w:eastAsia="sk-SK"/>
        </w:rPr>
      </w:pPr>
      <w:r w:rsidRPr="00D550F1">
        <w:rPr>
          <w:rFonts w:ascii="Times New Roman" w:hAnsi="Times New Roman" w:cs="Times New Roman"/>
          <w:lang w:eastAsia="sk-SK"/>
        </w:rPr>
        <w:t xml:space="preserve">Legislatívno-technická úprava, ktorá súvisí s predĺžením poskytovania náhrady príjmu pri dočasnej pracovnej neschopnosti. </w:t>
      </w:r>
    </w:p>
    <w:p w14:paraId="617ADBAF"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414ABEF6" w14:textId="77777777" w:rsidR="00D550F1" w:rsidRPr="00D550F1" w:rsidRDefault="00D550F1" w:rsidP="00D550F1">
      <w:pPr>
        <w:spacing w:after="0" w:line="240" w:lineRule="auto"/>
        <w:jc w:val="both"/>
        <w:rPr>
          <w:rFonts w:ascii="Times New Roman" w:hAnsi="Times New Roman" w:cs="Times New Roman"/>
          <w:bCs/>
          <w:lang w:eastAsia="sk-SK"/>
        </w:rPr>
      </w:pPr>
      <w:r w:rsidRPr="00D550F1">
        <w:rPr>
          <w:rFonts w:ascii="Times New Roman" w:hAnsi="Times New Roman" w:cs="Times New Roman"/>
          <w:b/>
          <w:lang w:eastAsia="sk-SK"/>
        </w:rPr>
        <w:t xml:space="preserve">K bodu 37 </w:t>
      </w:r>
      <w:r w:rsidRPr="00D550F1">
        <w:rPr>
          <w:rFonts w:ascii="Times New Roman" w:hAnsi="Times New Roman" w:cs="Times New Roman"/>
          <w:bCs/>
          <w:lang w:eastAsia="sk-SK"/>
        </w:rPr>
        <w:t>[§ 228 ods. 1]</w:t>
      </w:r>
    </w:p>
    <w:p w14:paraId="6B8CBCE7" w14:textId="77777777" w:rsidR="00D550F1" w:rsidRPr="00D550F1" w:rsidRDefault="00D550F1" w:rsidP="00D550F1">
      <w:pPr>
        <w:spacing w:after="0" w:line="240" w:lineRule="auto"/>
        <w:jc w:val="both"/>
        <w:rPr>
          <w:rFonts w:ascii="Times New Roman" w:hAnsi="Times New Roman" w:cs="Times New Roman"/>
          <w:lang w:eastAsia="sk-SK"/>
        </w:rPr>
      </w:pPr>
      <w:r w:rsidRPr="00D550F1">
        <w:rPr>
          <w:rFonts w:ascii="Times New Roman" w:hAnsi="Times New Roman" w:cs="Times New Roman"/>
          <w:lang w:eastAsia="sk-SK"/>
        </w:rPr>
        <w:t>V súvislosti s navrhovanými úpravami v § 21 sa zavádza pre SZČO bez oprávnenia, povinnosť oznámiť príslušnej pobočke Sociálnej poisťovne skutočnosti rozhodujúce na posúdenie vzniku a zániku jej povinného poistenia, a to do ôsmich dní odo dňa, v ktorom nastali.</w:t>
      </w:r>
    </w:p>
    <w:p w14:paraId="1137EC72"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7CE9B096" w14:textId="77777777" w:rsidR="007F3D46" w:rsidRDefault="007F3D46" w:rsidP="00D550F1">
      <w:pPr>
        <w:pStyle w:val="Odsekzoznamu"/>
        <w:spacing w:after="0" w:line="240" w:lineRule="auto"/>
        <w:ind w:left="0"/>
        <w:contextualSpacing w:val="0"/>
        <w:jc w:val="both"/>
        <w:rPr>
          <w:rFonts w:ascii="Times New Roman" w:hAnsi="Times New Roman" w:cs="Times New Roman"/>
          <w:b/>
          <w:lang w:eastAsia="sk-SK"/>
        </w:rPr>
      </w:pPr>
    </w:p>
    <w:p w14:paraId="26C87272" w14:textId="77777777" w:rsidR="007F3D46" w:rsidRDefault="007F3D46" w:rsidP="00D550F1">
      <w:pPr>
        <w:pStyle w:val="Odsekzoznamu"/>
        <w:spacing w:after="0" w:line="240" w:lineRule="auto"/>
        <w:ind w:left="0"/>
        <w:contextualSpacing w:val="0"/>
        <w:jc w:val="both"/>
        <w:rPr>
          <w:rFonts w:ascii="Times New Roman" w:hAnsi="Times New Roman" w:cs="Times New Roman"/>
          <w:b/>
          <w:lang w:eastAsia="sk-SK"/>
        </w:rPr>
      </w:pPr>
    </w:p>
    <w:p w14:paraId="29769513" w14:textId="2C2872CA"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bodu 38 </w:t>
      </w:r>
      <w:r w:rsidRPr="00D550F1">
        <w:rPr>
          <w:rFonts w:ascii="Times New Roman" w:hAnsi="Times New Roman" w:cs="Times New Roman"/>
          <w:bCs/>
          <w:lang w:eastAsia="sk-SK"/>
        </w:rPr>
        <w:t>[§ 231 ods. 1 písm. e)]</w:t>
      </w:r>
    </w:p>
    <w:p w14:paraId="4541D491" w14:textId="77777777" w:rsidR="00D550F1" w:rsidRPr="00D550F1" w:rsidRDefault="00D550F1" w:rsidP="00D550F1">
      <w:pPr>
        <w:shd w:val="clear" w:color="auto" w:fill="FFFFFF"/>
        <w:spacing w:after="0" w:line="240" w:lineRule="auto"/>
        <w:jc w:val="both"/>
        <w:rPr>
          <w:rFonts w:ascii="Times New Roman" w:hAnsi="Times New Roman" w:cs="Times New Roman"/>
          <w:lang w:eastAsia="sk-SK"/>
        </w:rPr>
      </w:pPr>
      <w:r w:rsidRPr="00D550F1">
        <w:rPr>
          <w:rFonts w:ascii="Times New Roman" w:hAnsi="Times New Roman" w:cs="Times New Roman"/>
          <w:lang w:eastAsia="sk-SK"/>
        </w:rPr>
        <w:t>Legislatívno-technická úprava, ktorá súvisí s predĺžením poskytovania náhrady príjmu pri dočasnej pracovnej neschopnosti.</w:t>
      </w:r>
    </w:p>
    <w:p w14:paraId="09849047" w14:textId="77777777" w:rsidR="00D550F1" w:rsidRPr="00D550F1" w:rsidRDefault="00D550F1" w:rsidP="00D550F1">
      <w:pPr>
        <w:shd w:val="clear" w:color="auto" w:fill="FFFFFF"/>
        <w:spacing w:after="0" w:line="240" w:lineRule="auto"/>
        <w:jc w:val="both"/>
        <w:rPr>
          <w:rFonts w:ascii="Times New Roman" w:hAnsi="Times New Roman" w:cs="Times New Roman"/>
          <w:lang w:eastAsia="sk-SK"/>
        </w:rPr>
      </w:pPr>
    </w:p>
    <w:p w14:paraId="3D9F9FDA"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bodom 39 a 40 </w:t>
      </w:r>
      <w:r w:rsidRPr="00D550F1">
        <w:rPr>
          <w:rFonts w:ascii="Times New Roman" w:hAnsi="Times New Roman" w:cs="Times New Roman"/>
          <w:bCs/>
          <w:lang w:eastAsia="sk-SK"/>
        </w:rPr>
        <w:t>[§ 293gl]</w:t>
      </w:r>
    </w:p>
    <w:p w14:paraId="2FC4408B"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Legislatívno-technická úprava súvisiaca so zmenou nadpisu.</w:t>
      </w:r>
    </w:p>
    <w:p w14:paraId="16ECDFE0"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185563E0"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bodu 41 </w:t>
      </w:r>
      <w:r w:rsidRPr="00D550F1">
        <w:rPr>
          <w:rFonts w:ascii="Times New Roman" w:hAnsi="Times New Roman" w:cs="Times New Roman"/>
          <w:bCs/>
          <w:lang w:eastAsia="sk-SK"/>
        </w:rPr>
        <w:t>[§ 293gm až § 293gp]</w:t>
      </w:r>
    </w:p>
    <w:p w14:paraId="1EE55780" w14:textId="77777777" w:rsidR="00D550F1" w:rsidRPr="00D550F1" w:rsidRDefault="00D550F1" w:rsidP="00D550F1">
      <w:pPr>
        <w:shd w:val="clear" w:color="auto" w:fill="FFFFFF"/>
        <w:spacing w:after="0" w:line="240" w:lineRule="auto"/>
        <w:jc w:val="both"/>
        <w:rPr>
          <w:rFonts w:ascii="Times New Roman" w:hAnsi="Times New Roman" w:cs="Times New Roman"/>
          <w:u w:val="single"/>
        </w:rPr>
      </w:pPr>
      <w:r w:rsidRPr="00D550F1">
        <w:rPr>
          <w:rFonts w:ascii="Times New Roman" w:hAnsi="Times New Roman" w:cs="Times New Roman"/>
          <w:u w:val="single"/>
        </w:rPr>
        <w:t>K § 293gm</w:t>
      </w:r>
    </w:p>
    <w:p w14:paraId="5F5A9C25" w14:textId="77777777" w:rsidR="00D550F1" w:rsidRPr="00D550F1" w:rsidRDefault="00D550F1" w:rsidP="00D550F1">
      <w:pPr>
        <w:pStyle w:val="Normlnywebov"/>
        <w:spacing w:before="0" w:beforeAutospacing="0" w:after="0" w:afterAutospacing="0"/>
        <w:jc w:val="both"/>
      </w:pPr>
      <w:r w:rsidRPr="00D550F1">
        <w:t>Navrhuje sa zavedenie prechodného ustanovenia, ktorého cieľom je zabezpečiť postupný prechod SZČO, ktoré začali podnikať alebo vykonávať samostatnú zárobkovú činnosť do 31. decembra 2025, na novú právnu úpravu povinného poistenia SZČO účinnú od 1. januára 2026. Prechodný režim tiež umožní dotknutým subjektom lepšie sa pripraviť na aplikačné zmeny v povinnom poistení SZČO. Počas prechodného obdobia od 1. januára 2026 do 30. júna 2026 sa na posudzovanie povinného poistenia fyzickej osoby, ktorá dovŕšila 18 rokov veku, mala oprávnenie na výkon alebo prevádzkovanie podnikania a inej samostatnej zárobkovej činnosti v období pred 1. januárom 2026 a má oprávnenie aj po 31. decembri 2025, bude vzťahovať právna úprava účinná do 31. decembra 2025. Rovnaký režim sa zavádza aj pre posúdenie povinného poistenia SZČO, ktorá vykonáva zárobkovú činnosť bez oprávnenia. Ak však od zániku posledného oprávnenia, alebo ukončenia vykonávania poslednej zárobkovej činnosti, v prípade SZČO bez oprávnenia, uplynulo viac ako 60 mesiacov, na posúdenie povinného poistenia SZČO sa neuplatní právna úprava účinná do 31. decembra 2025, ale právna úprava účinná od 1. januára 2026. To znamená, že povinné poistenie SZČO vznikne od prvého dňa šiesteho kalendárneho mesiaca nasledujúceho po mesiaci, od ktorého je oprávnená na výkon alebo na prevádzkovanie podnikania a inej samostatnej zárobkovej činnosti/od ktorého podľa svojho čestného vyhlásenia vykonáva túto činnosť, ak ide o SZČO bez oprávnenia.</w:t>
      </w:r>
    </w:p>
    <w:p w14:paraId="32251EB2" w14:textId="77777777" w:rsidR="00D550F1" w:rsidRPr="00D550F1" w:rsidRDefault="00D550F1" w:rsidP="00D550F1">
      <w:pPr>
        <w:pStyle w:val="Normlnywebov"/>
        <w:spacing w:before="0" w:beforeAutospacing="0" w:after="0" w:afterAutospacing="0"/>
        <w:jc w:val="both"/>
      </w:pPr>
      <w:r w:rsidRPr="00D550F1">
        <w:t>Zároveň sa v odseku 2 navrhuje, aby vyššie uvedenej fyzickej osobe, ktorá bude mať postavenie SZČO 1. júla 2026 podľa navrhovaného znenia zákona, povinné poistenie vzniklo 1. júla 2026. Výnimkou bude fyzická osoba, ktorej povinné poistenie trvalo k 30. júnu 2026 a zároveň 1. júla 2026 má postavenie SZČO podľa novej právnej úpravy. Takejto SZČO povinné poistenie plynulo trvá aj po 30. júni 2026 bez ohľadu na to, či jej povinné poistenie SZČO 30. júna 2026 zanikne podľa právnej úpravy účinnej do 31. decembra 2025 na základe výšky príjmu z podnikania a z inej samostatnej zárobkovej činnosti, ktorý dosiahla za rok 2025, alebo nezanikne (úprava v odseku 3).</w:t>
      </w:r>
    </w:p>
    <w:p w14:paraId="551751AE" w14:textId="77777777" w:rsidR="00D550F1" w:rsidRPr="00D550F1" w:rsidRDefault="00D550F1" w:rsidP="00D550F1">
      <w:pPr>
        <w:pStyle w:val="Normlnywebov"/>
        <w:spacing w:before="0" w:beforeAutospacing="0" w:after="0" w:afterAutospacing="0"/>
        <w:jc w:val="both"/>
      </w:pPr>
      <w:r w:rsidRPr="00D550F1">
        <w:t>V odseku 4 sa navrhuje, aby SZČO, ktorá bude povinne nemocensky poistená a povinne dôchodkovo poistená v období  od 1. januára 2026, platila  poistné na nemocenské poistenie, dôchodkové poistenie (starobné poistenie, invalidné poistenie) a poistné do rezervného fondu solidarity z vymeriavacieho základu mesačne minimálne vo výške 60 % priemernej mesačnej mzdy v hospodárstve Slovenskej republiky spred dvoch rokov (v roku 2026 to bude 914,40 eur). Ide o rovnaký minimálny mesačný vymeriavací základ aký sa navrhuje upraviť v § 138 ods. 9 pre povinne poistenú SZČO, ktorá má vymeriavací základ určený ako podiel jednej dvanástiny základu dane z príjmov fyzických osôb dosiahnutého vykonávaním podnikania a inej samostatnej zárobkovej činnosti upraveného o zákonom vymedzené položky a koeficientu 1,486, dobrovoľne nemocensky poistenú osobu, dobrovoľne dôchodkovo poistenú osobu alebo dobrovoľne poistenú osobu v nezamestnanosti a pre dodatočné doplatenie poistného na dôchodkové poistenie.</w:t>
      </w:r>
    </w:p>
    <w:p w14:paraId="7AA550D5" w14:textId="77777777" w:rsidR="00D550F1" w:rsidRPr="00D550F1" w:rsidRDefault="00D550F1" w:rsidP="00D550F1">
      <w:pPr>
        <w:pStyle w:val="Normlnywebov"/>
        <w:spacing w:before="0" w:beforeAutospacing="0" w:after="0" w:afterAutospacing="0"/>
        <w:jc w:val="both"/>
      </w:pPr>
      <w:r w:rsidRPr="00D550F1">
        <w:t>Zároveň sa v odseku 5 navrhuje úprava určenia vymeriavacieho základu povinne poistenej SZČO od 1. júla 2026 do 30. septembra 2026, ktorá má predĺženú lehotu na podanie daňového priznania za rok 2025. Pre takú SZČO, sa navrhuje rovnaký vymeriavací základ, z akého platila poistné do 30. júna 2026. Pre SZČO, ktorá takýto vymeriavací základ nemala, sa navrhuje vymeriavací základ v sume 26 % jednej dvanástiny všeobecného vymeriavacieho základu platného v kalendárnom roku 2024 (26 % priemernej mesačnej mzdy v hospodárstve Slovenskej republiky za rok 2024).</w:t>
      </w:r>
    </w:p>
    <w:p w14:paraId="331AE64D" w14:textId="77777777" w:rsidR="00D550F1" w:rsidRPr="00D550F1" w:rsidRDefault="00D550F1" w:rsidP="00D550F1">
      <w:pPr>
        <w:pStyle w:val="Normlnywebov"/>
        <w:spacing w:before="0" w:beforeAutospacing="0" w:after="0" w:afterAutospacing="0"/>
        <w:jc w:val="both"/>
      </w:pPr>
      <w:r w:rsidRPr="00D550F1">
        <w:t xml:space="preserve">V odseku 6 sa navrhuje výnimka zo vzniku povinného poistenia pre SZČO, ktorá v období od 1. januára 2026 do 30. júna 2026 opätovne nadobudla postavenie SZČO, teda znovu je oprávnená na výkon alebo prevádzkovanie podnikania a inej samostatnej zárobkovej činnosti/znovu podľa svojho čestného vyhlásenia začala vykonávať samostatnú zárobkovú činnosť, a nevzťahuje sa na ňu prechodná právna úprava podľa odseku 1. Takejto SZČO povinné poistenie podľa navrhovanej právnej úpravy § 21 ods. 3 vzniká 1. júla 2026. </w:t>
      </w:r>
    </w:p>
    <w:p w14:paraId="2A01F99B" w14:textId="77777777" w:rsidR="00D550F1" w:rsidRPr="00D550F1" w:rsidRDefault="00D550F1" w:rsidP="00D550F1">
      <w:pPr>
        <w:pStyle w:val="Normlnywebov"/>
        <w:spacing w:before="0" w:beforeAutospacing="0" w:after="0" w:afterAutospacing="0"/>
        <w:jc w:val="both"/>
      </w:pPr>
    </w:p>
    <w:p w14:paraId="28D17CC9" w14:textId="77777777" w:rsidR="00D550F1" w:rsidRPr="00D550F1" w:rsidRDefault="00D550F1" w:rsidP="00D550F1">
      <w:pPr>
        <w:pStyle w:val="Normlnywebov"/>
        <w:spacing w:before="0" w:beforeAutospacing="0" w:after="0" w:afterAutospacing="0"/>
        <w:jc w:val="both"/>
      </w:pPr>
      <w:r w:rsidRPr="00D550F1">
        <w:t>Pre lepšie pochopenie praktických dopadov navrhovaného prechodného režimu v odsekoch 1 až 3 uvádzame nasledovné ilustračné príklady:</w:t>
      </w:r>
    </w:p>
    <w:p w14:paraId="07ACFDD2" w14:textId="77777777" w:rsidR="00D550F1" w:rsidRPr="00D550F1" w:rsidRDefault="00D550F1" w:rsidP="00D550F1">
      <w:pPr>
        <w:pStyle w:val="Normlnywebov"/>
        <w:spacing w:before="0" w:beforeAutospacing="0" w:after="0" w:afterAutospacing="0"/>
        <w:jc w:val="both"/>
      </w:pPr>
      <w:r w:rsidRPr="00D550F1">
        <w:rPr>
          <w:i/>
        </w:rPr>
        <w:t>Príklad 1:</w:t>
      </w:r>
      <w:r w:rsidRPr="00D550F1">
        <w:t xml:space="preserve"> Fyzická osoba má živnostenské oprávnenie od roku 2022 a 31. decembra 2025 je povinne poistenou SZČO. Počas prechodného obdobia od 1. januára do 30. júna 2026 (vrátane) sa pri posudzovaní povinného poistenia SZČO aplikuje úprava účinná do 31. decembra 2025. Ak tejto osobe nezanikne povinné poistenie SZČO 30. júna 2026 (na základe výšky príjmu z podnikania), t. j. trvá, a </w:t>
      </w:r>
      <w:r w:rsidRPr="00D550F1" w:rsidDel="00EA2E10">
        <w:t xml:space="preserve"> </w:t>
      </w:r>
      <w:r w:rsidRPr="00D550F1">
        <w:t>1. júla 2026 bude mať postavenie SZČO podľa navrhovanej úpravy, povinné poistenie SZČO bude plynulo pokračovať po 30. júni 2026 (§ 293gm ods. 3). Ak jej povinné poistenie SZČO zanikne 30. júna 2026 na základe výšky príjmu z podnikania a 1. júla 2026 bude mať postavenie SZČO podľa navrhovanej úpravy, bude povinne poistená SZČO aj po 30. júni 2026 (§ 293gm ods. 3).</w:t>
      </w:r>
    </w:p>
    <w:p w14:paraId="129209C1" w14:textId="77777777" w:rsidR="00D550F1" w:rsidRPr="00D550F1" w:rsidRDefault="00D550F1" w:rsidP="00D550F1">
      <w:pPr>
        <w:pStyle w:val="Normlnywebov"/>
        <w:spacing w:before="0" w:beforeAutospacing="0" w:after="0" w:afterAutospacing="0"/>
        <w:jc w:val="both"/>
      </w:pPr>
      <w:r w:rsidRPr="00D550F1">
        <w:rPr>
          <w:i/>
        </w:rPr>
        <w:t>Príklad 2:</w:t>
      </w:r>
      <w:r w:rsidRPr="00D550F1">
        <w:t xml:space="preserve"> Fyzická osoba zrušila živnostenské oprávnenie v roku 2018. Od 5. marca 2026 má nové živnostenské oprávnenie, teda viac než 60 mesiacov od zániku posledného živnostenského oprávnenia. Vzhľadom na to sa pri posudzovaní vzniku jej povinného poistenia SZČO od 1. januára 2026 aplikuje nová právna úprava, bez použitia prechodného režimu. Povinné poistenie SZČO vznikne tejto osobe 1. septembra 2026 za predpokladu, že v tento deň bude mať postavenie SZČO (§ 21 ods. 1 v spojení s ods. 3).</w:t>
      </w:r>
    </w:p>
    <w:p w14:paraId="078CE7E4" w14:textId="77777777" w:rsidR="00D550F1" w:rsidRPr="00D550F1" w:rsidRDefault="00D550F1" w:rsidP="00D550F1">
      <w:pPr>
        <w:pStyle w:val="Normlnywebov"/>
        <w:spacing w:before="0" w:beforeAutospacing="0" w:after="0" w:afterAutospacing="0"/>
        <w:jc w:val="both"/>
      </w:pPr>
      <w:r w:rsidRPr="00D550F1">
        <w:rPr>
          <w:i/>
        </w:rPr>
        <w:t xml:space="preserve">Príklad 3: </w:t>
      </w:r>
      <w:r w:rsidRPr="00D550F1">
        <w:t>Fyzická osoba zrušila živnostenské oprávnenie v roku 2024. Jej príjem z podnikania za rok 2024 bol 12 000 eur, teda vyšší ako zákonom stanovená hranica príjmu na vznik povinného poistenia SZČO (8 580 eur). Od 20. marca 2026 má nové živnostenské oprávnenie, teda menej než 60 mesiacov od zrušenia posledného živnostenského oprávnenia. Vzhľadom na to sa pri posudzovaní vzniku povinného poistenia SZČO v prechodnom období od 1. januára 2026 do 30. júna 2026 (vrátane) aplikuje úprava účinná do 31. decembra 2025. Povinné poistenie SZČO vznikne 20. marca 2026. Ak povinné poistenie SZČO nezanikne 30. júna 2026, t. j. trvá, a 1. júla 2026 bude mať postavenie SZČO podľa navrhovanej úpravy, bude povinné poistenie trvať aj po 30. júni 2026 (§ 293gm ods. 3). Ak povinné poistenie SZČO zanikne 30. júna 2026 na základe výšky príjmu z podnikania, ale k 30. júnu 2026 trvalo, a 1. júla 2026 bude mať postavenie SZČO podľa navrhovanej úpravy, tak bude povinne poistená SZČO aj po 30. júni 2026 (§ 293gm ods. 3).</w:t>
      </w:r>
    </w:p>
    <w:p w14:paraId="43A8C0D6" w14:textId="77777777" w:rsidR="00D550F1" w:rsidRPr="00D550F1" w:rsidRDefault="00D550F1" w:rsidP="00D550F1">
      <w:pPr>
        <w:pStyle w:val="Normlnywebov"/>
        <w:spacing w:before="0" w:beforeAutospacing="0" w:after="0" w:afterAutospacing="0"/>
        <w:jc w:val="both"/>
      </w:pPr>
      <w:r w:rsidRPr="00D550F1">
        <w:rPr>
          <w:i/>
        </w:rPr>
        <w:t>Príklad 4:</w:t>
      </w:r>
      <w:r w:rsidRPr="00D550F1">
        <w:t xml:space="preserve"> Fyzická osoba má jediné oprávnenie na vykonávanie samostatnej zárobkovej činnosti od marca 2025, teda za rok 2024 nedosahovala žiadne príjmy z podnikania alebo z inej samostatnej zárobkovej činnosti. Počas prechodného obdobia od 1. januára do 30. júna 2026 sa na posúdenie povinného poistenia SZČO vzťahuje úprava účinná do 31. decembra 2025. Ak bude mať 1. júla 2026 postavenie SZČO podľa navrhovanej úpravy, povinné poistenie jej vznikne 1. júla 2026 (§ 293gm ods. 2).</w:t>
      </w:r>
    </w:p>
    <w:p w14:paraId="3BFAB59F" w14:textId="77777777" w:rsidR="00D550F1" w:rsidRPr="00D550F1" w:rsidRDefault="00D550F1" w:rsidP="00D550F1">
      <w:pPr>
        <w:pStyle w:val="Normlnywebov"/>
        <w:spacing w:before="0" w:beforeAutospacing="0" w:after="0" w:afterAutospacing="0"/>
        <w:jc w:val="both"/>
      </w:pPr>
      <w:r w:rsidRPr="00D550F1">
        <w:rPr>
          <w:i/>
        </w:rPr>
        <w:t>Príklad 5:</w:t>
      </w:r>
      <w:r w:rsidRPr="00D550F1">
        <w:t xml:space="preserve"> Fyzická osoba vykonáva samostatnú zárobkovú činnosť ako SZČO bez oprávnenia od roku 2023. 31. decembra 2025 je povinne poistenou SZČO. Počas prechodného obdobia od 1. januára do 30. júna 2026 sa pri posudzovaní jej povinného poistenia SZČO aplikuje úprava účinná do 31. decembra 2025. 12. februára 2026 doručí Sociálnej poisťovni čestné vyhlásenie o nevykonávaní samostatnej zárobkovej činnosti od 1. januára 2026. Povinné poistenie SZČO zaniká 12. februára 2026. Ak bude mať 1. júla 2026 postavenie SZČO podľa navrhovanej úpravy (18 rokov veku a podľa svojho čestného vyhlásenia vykonáva samostatnú zárobkovú činnosť), jej povinné poistenie vznikne 1. júla 2026 (§ 293gm ods. 2).</w:t>
      </w:r>
    </w:p>
    <w:p w14:paraId="1C167379" w14:textId="77777777" w:rsidR="00D550F1" w:rsidRPr="00D550F1" w:rsidRDefault="00D550F1" w:rsidP="00D550F1">
      <w:pPr>
        <w:pStyle w:val="Normlnywebov"/>
        <w:spacing w:before="0" w:beforeAutospacing="0" w:after="0" w:afterAutospacing="0"/>
        <w:jc w:val="both"/>
      </w:pPr>
    </w:p>
    <w:p w14:paraId="2458B337" w14:textId="77777777" w:rsidR="00D550F1" w:rsidRPr="00D550F1" w:rsidRDefault="00D550F1" w:rsidP="00D550F1">
      <w:pPr>
        <w:shd w:val="clear" w:color="auto" w:fill="FFFFFF"/>
        <w:spacing w:after="0" w:line="240" w:lineRule="auto"/>
        <w:jc w:val="both"/>
        <w:rPr>
          <w:rFonts w:ascii="Times New Roman" w:hAnsi="Times New Roman" w:cs="Times New Roman"/>
          <w:u w:val="single"/>
        </w:rPr>
      </w:pPr>
      <w:r w:rsidRPr="00D550F1">
        <w:rPr>
          <w:rFonts w:ascii="Times New Roman" w:hAnsi="Times New Roman" w:cs="Times New Roman"/>
          <w:u w:val="single"/>
        </w:rPr>
        <w:t>K § 293gn</w:t>
      </w:r>
    </w:p>
    <w:p w14:paraId="79DFF8AE" w14:textId="77777777" w:rsidR="00D550F1" w:rsidRPr="00D550F1" w:rsidRDefault="00D550F1" w:rsidP="00D550F1">
      <w:pPr>
        <w:shd w:val="clear" w:color="auto" w:fill="FFFFFF"/>
        <w:spacing w:after="0" w:line="240" w:lineRule="auto"/>
        <w:jc w:val="both"/>
        <w:rPr>
          <w:rFonts w:ascii="Times New Roman" w:hAnsi="Times New Roman" w:cs="Times New Roman"/>
          <w:u w:val="single"/>
        </w:rPr>
      </w:pPr>
      <w:r w:rsidRPr="00D550F1">
        <w:rPr>
          <w:rFonts w:ascii="Times New Roman" w:hAnsi="Times New Roman" w:cs="Times New Roman"/>
        </w:rPr>
        <w:t>V § 293gn sa navrhuje zaviesť prechodné ustanovenia v súvislosti s úpravou vzniku nároku na nemocenské, a to z dôvodu zabezpečenia právnej istoty a predvídateľnosti právnych vzťahov pre poistencov, ktorým vznikla dočasná pracovná neschopnosť pred účinnosťou novely zákona.</w:t>
      </w:r>
    </w:p>
    <w:p w14:paraId="205411CA" w14:textId="77777777" w:rsidR="00D550F1" w:rsidRPr="00D550F1" w:rsidRDefault="00D550F1" w:rsidP="00D550F1">
      <w:pPr>
        <w:shd w:val="clear" w:color="auto" w:fill="FFFFFF"/>
        <w:spacing w:after="0" w:line="240" w:lineRule="auto"/>
        <w:jc w:val="both"/>
        <w:rPr>
          <w:rFonts w:ascii="Times New Roman" w:hAnsi="Times New Roman" w:cs="Times New Roman"/>
          <w:lang w:eastAsia="sk-SK"/>
        </w:rPr>
      </w:pPr>
      <w:r w:rsidRPr="00D550F1">
        <w:rPr>
          <w:rFonts w:ascii="Times New Roman" w:hAnsi="Times New Roman" w:cs="Times New Roman"/>
        </w:rPr>
        <w:t xml:space="preserve">Cieľom je vyhnúť sa retroaktívnym účinkom novej právnej úpravy, ktoré by mohli mať negatívny dopad na už vzniknuté nároky poistencov. Z uvedeného dôvodu sa navrhuje, aby sa na prípady dočasnej pracovnej neschopnosti, ktoré vznikli pred 31. decembrom 2025 a trvajú aj po tomto dátume, naďalej vzťahovala právna úprava účinná do 31. decembra 2025. </w:t>
      </w:r>
      <w:r w:rsidRPr="00D550F1">
        <w:rPr>
          <w:rFonts w:ascii="Times New Roman" w:hAnsi="Times New Roman" w:cs="Times New Roman"/>
          <w:lang w:eastAsia="sk-SK"/>
        </w:rPr>
        <w:t>To znamená, že ak zamestnancovi vznikla dočasná pracovná neschopnosť 29. decembra 2025, podľa právnej úpravy účinnej do 31. decembra 2025 mu vznikne nárok na nemocenské od 11. dňa dočasnej pracovnej neschopnosti, teda od 8. januára 2026.</w:t>
      </w:r>
    </w:p>
    <w:p w14:paraId="543B3F7C"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p>
    <w:p w14:paraId="7FFF4E5C" w14:textId="77777777" w:rsidR="00D550F1" w:rsidRPr="00D550F1" w:rsidRDefault="00D550F1" w:rsidP="00D550F1">
      <w:pPr>
        <w:shd w:val="clear" w:color="auto" w:fill="FFFFFF"/>
        <w:spacing w:after="0" w:line="240" w:lineRule="auto"/>
        <w:jc w:val="both"/>
        <w:rPr>
          <w:rFonts w:ascii="Times New Roman" w:hAnsi="Times New Roman" w:cs="Times New Roman"/>
          <w:u w:val="single"/>
        </w:rPr>
      </w:pPr>
      <w:r w:rsidRPr="00D550F1">
        <w:rPr>
          <w:rFonts w:ascii="Times New Roman" w:hAnsi="Times New Roman" w:cs="Times New Roman"/>
          <w:u w:val="single"/>
        </w:rPr>
        <w:t>K § 293go</w:t>
      </w:r>
    </w:p>
    <w:p w14:paraId="006E2938" w14:textId="77777777" w:rsidR="00D550F1" w:rsidRPr="00D550F1" w:rsidRDefault="00D550F1" w:rsidP="00D550F1">
      <w:pPr>
        <w:shd w:val="clear" w:color="auto" w:fill="FFFFFF"/>
        <w:spacing w:after="0" w:line="240" w:lineRule="auto"/>
        <w:jc w:val="both"/>
        <w:rPr>
          <w:rFonts w:ascii="Times New Roman" w:hAnsi="Times New Roman" w:cs="Times New Roman"/>
        </w:rPr>
      </w:pPr>
      <w:r w:rsidRPr="00D550F1">
        <w:rPr>
          <w:rFonts w:ascii="Times New Roman" w:hAnsi="Times New Roman" w:cs="Times New Roman"/>
        </w:rPr>
        <w:t>V § 293go sa navrhuje zaviesť prechodné ustanovenie, a to z dôvodu vyhnúť sa retroaktívnym účinkom novej právnej úpravy, ktoré by mohli mať negatívny dopad na už vzniknuté nároky poistencov, ktorým vznikol dôvod na poskytnutie dávky v nezamestnanosti pred účinnosťou novely zákona. Z uvedeného dôvodu sa navrhuje, že ak poistencovi vznikne nárok na poskytnutie dávky v nezamestnanosti pred 1. januárom 2026, aby sa na neho vzťahovala právna úprava účinná do 31. decembra 2025 (zachováva sa jednotná suma dávky v nezamestnanosti počas podporného obdobia) a nedôjde ani k postupnému vyklesávaniu dávky v nezamestnanosti v prípade, ak poistenec bol vyradený z evidencie uchádzačov o zamestnanie počas poberania dávky v nezamestnanosti do konca roka 2025 a v období najviac dvoch rokov bol opätovne zaradený do evidencie uchádzačov o zamestnanie.</w:t>
      </w:r>
    </w:p>
    <w:p w14:paraId="1D2FFE52" w14:textId="77777777" w:rsidR="00D550F1" w:rsidRPr="00D550F1" w:rsidRDefault="00D550F1" w:rsidP="00D550F1">
      <w:pPr>
        <w:shd w:val="clear" w:color="auto" w:fill="FFFFFF"/>
        <w:spacing w:after="0" w:line="240" w:lineRule="auto"/>
        <w:jc w:val="both"/>
        <w:rPr>
          <w:rFonts w:ascii="Times New Roman" w:hAnsi="Times New Roman" w:cs="Times New Roman"/>
        </w:rPr>
      </w:pPr>
    </w:p>
    <w:p w14:paraId="553C5360" w14:textId="77777777" w:rsidR="00D550F1" w:rsidRPr="00D550F1" w:rsidRDefault="00D550F1" w:rsidP="00D550F1">
      <w:pPr>
        <w:shd w:val="clear" w:color="auto" w:fill="FFFFFF"/>
        <w:spacing w:after="0" w:line="240" w:lineRule="auto"/>
        <w:jc w:val="both"/>
        <w:rPr>
          <w:rFonts w:ascii="Times New Roman" w:hAnsi="Times New Roman" w:cs="Times New Roman"/>
          <w:u w:val="single"/>
        </w:rPr>
      </w:pPr>
      <w:r w:rsidRPr="00D550F1">
        <w:rPr>
          <w:rFonts w:ascii="Times New Roman" w:hAnsi="Times New Roman" w:cs="Times New Roman"/>
          <w:u w:val="single"/>
        </w:rPr>
        <w:t>K § 293gp</w:t>
      </w:r>
    </w:p>
    <w:p w14:paraId="06576913"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V rokoch 2026 až 2028 sa navrhuje v odseku 1 zachovať sumu 13. dôchodku na úrovni sumy 13. dôchodku určenej pre rok 2025. Zároveň sa v odseku 2 navrhuje pre roky 2026 až 2028 zrušiť povinnosť pre Sociálnu poisťovňu zverejňovať na svojom webovom sídle na účely určenia sumy 13. dôchodku priemerné mesačné sumy príslušných dôchodkových dávok.</w:t>
      </w:r>
    </w:p>
    <w:p w14:paraId="6266BBF1" w14:textId="77777777" w:rsidR="00D550F1" w:rsidRPr="00D550F1" w:rsidRDefault="00D550F1" w:rsidP="00D550F1">
      <w:pPr>
        <w:spacing w:before="240" w:line="240" w:lineRule="auto"/>
        <w:contextualSpacing/>
        <w:jc w:val="both"/>
        <w:rPr>
          <w:rFonts w:ascii="Times New Roman" w:hAnsi="Times New Roman" w:cs="Times New Roman"/>
          <w:b/>
          <w:bCs/>
          <w:u w:val="single"/>
        </w:rPr>
      </w:pPr>
    </w:p>
    <w:p w14:paraId="1A44F5AE" w14:textId="77777777" w:rsidR="00D550F1" w:rsidRPr="00D550F1" w:rsidRDefault="00D550F1" w:rsidP="00D550F1">
      <w:pPr>
        <w:spacing w:before="240" w:line="240" w:lineRule="auto"/>
        <w:contextualSpacing/>
        <w:jc w:val="both"/>
        <w:rPr>
          <w:rFonts w:ascii="Times New Roman" w:hAnsi="Times New Roman" w:cs="Times New Roman"/>
          <w:b/>
          <w:bCs/>
          <w:u w:val="single"/>
        </w:rPr>
      </w:pPr>
    </w:p>
    <w:p w14:paraId="6291C19E" w14:textId="77777777" w:rsidR="00D550F1" w:rsidRPr="00D550F1" w:rsidRDefault="00D550F1" w:rsidP="00D550F1">
      <w:pPr>
        <w:spacing w:before="240" w:line="240" w:lineRule="auto"/>
        <w:contextualSpacing/>
        <w:jc w:val="both"/>
        <w:rPr>
          <w:rFonts w:ascii="Times New Roman" w:hAnsi="Times New Roman" w:cs="Times New Roman"/>
          <w:b/>
          <w:bCs/>
          <w:u w:val="single"/>
        </w:rPr>
      </w:pPr>
      <w:r w:rsidRPr="00D550F1">
        <w:rPr>
          <w:rFonts w:ascii="Times New Roman" w:hAnsi="Times New Roman" w:cs="Times New Roman"/>
          <w:b/>
          <w:bCs/>
          <w:u w:val="single"/>
        </w:rPr>
        <w:t>K čl. VI (zákon č. 462/2003 Z. z.)</w:t>
      </w:r>
    </w:p>
    <w:p w14:paraId="0CBDA717"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Cs/>
          <w:lang w:eastAsia="sk-SK"/>
        </w:rPr>
      </w:pPr>
      <w:r w:rsidRPr="00D550F1">
        <w:rPr>
          <w:rFonts w:ascii="Times New Roman" w:hAnsi="Times New Roman" w:cs="Times New Roman"/>
          <w:b/>
          <w:lang w:eastAsia="sk-SK"/>
        </w:rPr>
        <w:t xml:space="preserve">K bodu 1 </w:t>
      </w:r>
      <w:r w:rsidRPr="00D550F1">
        <w:rPr>
          <w:rFonts w:ascii="Times New Roman" w:hAnsi="Times New Roman" w:cs="Times New Roman"/>
          <w:bCs/>
          <w:lang w:eastAsia="sk-SK"/>
        </w:rPr>
        <w:t>[§ 7 ods. 2, § 8 ods. 1 písm. b) a ods. 3]</w:t>
      </w:r>
    </w:p>
    <w:p w14:paraId="62BFC4EA" w14:textId="77777777" w:rsidR="00D550F1" w:rsidRPr="00D550F1" w:rsidRDefault="00D550F1" w:rsidP="00D550F1">
      <w:pPr>
        <w:shd w:val="clear" w:color="auto" w:fill="FFFFFF"/>
        <w:spacing w:after="0" w:line="240" w:lineRule="auto"/>
        <w:jc w:val="both"/>
        <w:rPr>
          <w:rFonts w:ascii="Times New Roman" w:hAnsi="Times New Roman" w:cs="Times New Roman"/>
          <w:lang w:eastAsia="sk-SK"/>
        </w:rPr>
      </w:pPr>
      <w:r w:rsidRPr="00D550F1">
        <w:rPr>
          <w:rFonts w:ascii="Times New Roman" w:hAnsi="Times New Roman" w:cs="Times New Roman"/>
          <w:lang w:eastAsia="sk-SK"/>
        </w:rPr>
        <w:t>Navrhuje sa predĺžiť obdobie poberania náhrady príjmu pri dočasnej pracovnej neschopnosti, a to na 14 kalendárnych dní.</w:t>
      </w:r>
    </w:p>
    <w:p w14:paraId="71F2419C"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p>
    <w:p w14:paraId="75CC007E"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bodu 2 </w:t>
      </w:r>
      <w:r w:rsidRPr="00D550F1">
        <w:rPr>
          <w:rFonts w:ascii="Times New Roman" w:hAnsi="Times New Roman" w:cs="Times New Roman"/>
          <w:bCs/>
          <w:lang w:eastAsia="sk-SK"/>
        </w:rPr>
        <w:t>[§ 13d]</w:t>
      </w:r>
    </w:p>
    <w:p w14:paraId="2E3BE7AC" w14:textId="77777777" w:rsidR="00D550F1" w:rsidRPr="00D550F1" w:rsidRDefault="00D550F1" w:rsidP="00D550F1">
      <w:pPr>
        <w:pStyle w:val="Normlnywebov"/>
        <w:spacing w:before="0" w:beforeAutospacing="0" w:after="0" w:afterAutospacing="0"/>
        <w:jc w:val="both"/>
      </w:pPr>
      <w:r w:rsidRPr="00D550F1">
        <w:t>V súvislosti s predĺžením poskytovania náhrady príjmu pri dočasnej pracovnej neschopnosti sa navrhuje aby, ak nárok na náhradu príjmu vznikol ku koncu roka 2025 a tento nárok trvá aj po tomto dátume, naďalej sa uplatňovala právna úprava účinná do 31. decembra 2025.</w:t>
      </w:r>
    </w:p>
    <w:p w14:paraId="4B337BBD" w14:textId="77777777" w:rsidR="00D550F1" w:rsidRPr="00D550F1" w:rsidRDefault="00D550F1" w:rsidP="00D550F1">
      <w:pPr>
        <w:pStyle w:val="Normlnywebov"/>
        <w:spacing w:before="0" w:beforeAutospacing="0" w:after="0" w:afterAutospacing="0"/>
        <w:jc w:val="both"/>
      </w:pPr>
      <w:r w:rsidRPr="00D550F1">
        <w:t>Cieľom je zachovať pôvodné podmienky nároku pre zamestnancov, ktorým vznikla dočasná pracovná neschopnosť ešte podľa pôvodných pravidiel, a zabezpečiť tak kontinuitu a právnu istotu pri prechode na nový režim poskytovania náhrady príjmu.</w:t>
      </w:r>
    </w:p>
    <w:p w14:paraId="111EDBBA" w14:textId="77777777" w:rsidR="00D550F1" w:rsidRPr="00D550F1" w:rsidRDefault="00D550F1" w:rsidP="00D550F1">
      <w:pPr>
        <w:spacing w:line="240" w:lineRule="auto"/>
        <w:contextualSpacing/>
        <w:jc w:val="both"/>
        <w:rPr>
          <w:rFonts w:ascii="Times New Roman" w:hAnsi="Times New Roman" w:cs="Times New Roman"/>
          <w:b/>
          <w:bCs/>
          <w:u w:val="single"/>
        </w:rPr>
      </w:pPr>
    </w:p>
    <w:p w14:paraId="67E02EC8" w14:textId="77777777" w:rsidR="00D550F1" w:rsidRPr="00D550F1" w:rsidRDefault="00D550F1" w:rsidP="00D550F1">
      <w:pPr>
        <w:spacing w:line="240" w:lineRule="auto"/>
        <w:contextualSpacing/>
        <w:jc w:val="both"/>
        <w:rPr>
          <w:rFonts w:ascii="Times New Roman" w:hAnsi="Times New Roman" w:cs="Times New Roman"/>
          <w:b/>
          <w:bCs/>
          <w:u w:val="single"/>
        </w:rPr>
      </w:pPr>
    </w:p>
    <w:p w14:paraId="1E6FA20C" w14:textId="77777777" w:rsidR="00D550F1" w:rsidRPr="00D550F1" w:rsidRDefault="00D550F1" w:rsidP="00D550F1">
      <w:pPr>
        <w:spacing w:line="240" w:lineRule="auto"/>
        <w:contextualSpacing/>
        <w:jc w:val="both"/>
        <w:rPr>
          <w:rFonts w:ascii="Times New Roman" w:hAnsi="Times New Roman" w:cs="Times New Roman"/>
          <w:b/>
          <w:bCs/>
          <w:u w:val="single"/>
        </w:rPr>
      </w:pPr>
    </w:p>
    <w:p w14:paraId="48B8884E" w14:textId="77777777" w:rsidR="00D550F1" w:rsidRPr="00D550F1" w:rsidRDefault="00D550F1" w:rsidP="00D550F1">
      <w:pPr>
        <w:spacing w:line="240" w:lineRule="auto"/>
        <w:contextualSpacing/>
        <w:jc w:val="both"/>
        <w:rPr>
          <w:rFonts w:ascii="Times New Roman" w:hAnsi="Times New Roman" w:cs="Times New Roman"/>
          <w:b/>
          <w:bCs/>
          <w:u w:val="single"/>
        </w:rPr>
      </w:pPr>
      <w:r w:rsidRPr="00D550F1">
        <w:rPr>
          <w:rFonts w:ascii="Times New Roman" w:hAnsi="Times New Roman" w:cs="Times New Roman"/>
          <w:b/>
          <w:bCs/>
          <w:u w:val="single"/>
        </w:rPr>
        <w:t>K čl. VII (zákon č. 595/2003 Z. z.)</w:t>
      </w:r>
    </w:p>
    <w:p w14:paraId="6A51F339" w14:textId="77777777" w:rsidR="00D550F1" w:rsidRPr="00D550F1" w:rsidRDefault="00D550F1" w:rsidP="00D550F1">
      <w:pPr>
        <w:spacing w:after="0" w:line="240" w:lineRule="auto"/>
        <w:jc w:val="both"/>
        <w:rPr>
          <w:rFonts w:ascii="Times New Roman" w:hAnsi="Times New Roman" w:cs="Times New Roman"/>
          <w:b/>
          <w:bCs/>
        </w:rPr>
      </w:pPr>
    </w:p>
    <w:p w14:paraId="64ECB835" w14:textId="77777777" w:rsidR="00D550F1" w:rsidRPr="00D550F1" w:rsidRDefault="00D550F1" w:rsidP="00D550F1">
      <w:pPr>
        <w:spacing w:after="0" w:line="240" w:lineRule="auto"/>
        <w:jc w:val="both"/>
        <w:rPr>
          <w:rFonts w:ascii="Times New Roman" w:hAnsi="Times New Roman" w:cs="Times New Roman"/>
          <w:b/>
          <w:bCs/>
        </w:rPr>
      </w:pPr>
      <w:r w:rsidRPr="00D550F1">
        <w:rPr>
          <w:rFonts w:ascii="Times New Roman" w:hAnsi="Times New Roman" w:cs="Times New Roman"/>
          <w:b/>
          <w:bCs/>
        </w:rPr>
        <w:t xml:space="preserve">K bodom 1 až 6, 8 a 11 </w:t>
      </w:r>
      <w:r w:rsidRPr="00D550F1">
        <w:rPr>
          <w:rFonts w:ascii="Times New Roman" w:hAnsi="Times New Roman" w:cs="Times New Roman"/>
        </w:rPr>
        <w:t xml:space="preserve">[§ 11 ods. 2 písm. a) a b), § 11 ods. 3 písm. a) a b),  § 15 písm. a), </w:t>
      </w:r>
      <w:r w:rsidRPr="00D550F1">
        <w:rPr>
          <w:rFonts w:ascii="Times New Roman" w:hAnsi="Times New Roman" w:cs="Times New Roman"/>
        </w:rPr>
        <w:br/>
        <w:t>§ 15a ods. 1 a § 35 ods. 2]</w:t>
      </w:r>
    </w:p>
    <w:p w14:paraId="6863B5AC"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V rámci konsolidácie verejných financií sa navrhuje zmena v pôvodných sadzbách dane a zavedenie ďalších pásiem progresívneho zdanenia príjmov fyzických osôb a to vo výške 30 % a 35 %. Tieto vyššie sadzby dane sa budú vzťahovať na základ dane prevyšujúci 60 000 eur, resp. 75 000 eur. </w:t>
      </w:r>
    </w:p>
    <w:p w14:paraId="543D8151"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V tejto súvislosti sa mení a dopĺňa aj ustanovenie § 35 ods. 2 zákona týkajúce sa vyberania a platenia preddavkov na daň zo závislej činnosti, pričom tento spôsob výpočtu preddavkov na daň zo zdaniteľnej mzdy sa prvýkrát použije pri výpočte preddavkov na daň zo zdaniteľnej mzdy za mesiac január 2026 (§ 52zzzj ods. 4 návrhu zákona).</w:t>
      </w:r>
    </w:p>
    <w:p w14:paraId="5696E79A"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Zároveň sa zvyšuje osobitná sadzba dane z príjmov zo závislej činnosti vybraných ústavných činiteľov plynúcich týmto daňovníkom podľa zákona č. 120/1993 Z. z. o platových pomeroch ústavných činiteľov v znení neskorších predpisov (napr. poslanci, prezident, členovia vlády, predseda a podpredseda NKÚ) a to z 5 % na 10 %. </w:t>
      </w:r>
    </w:p>
    <w:p w14:paraId="763FDD5A"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V nadväznosti na zmenu a zavedenie ďalších pásiem zdanenia príjmov fyzických osôb došlo k úprave ustanovenia týkajúceho sa vyklesávania výšky nezdaniteľnej časti základu dane na daňovníka a na manželku (manžela) daňovníka v závislosti od dosiahnutého základu dane.</w:t>
      </w:r>
    </w:p>
    <w:p w14:paraId="0B1BC0CE"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Predmetné zmeny sa v nadväznosti na § 52zzzj ods. 1 prvýkrát uplatnia za zdaňovacie obdobie 2026. Pri ročnom zúčtovaní príjmov za zdaňovacie obdobie 2025 a zdanení prostredníctvom daňového priznania za zdaňovacie obdobie 2025 sa uplatnia ustanovenia zákona platné a účinné do 31. decembra 2025. </w:t>
      </w:r>
    </w:p>
    <w:p w14:paraId="42C06319" w14:textId="77777777" w:rsidR="00D550F1" w:rsidRPr="00D550F1" w:rsidRDefault="00D550F1" w:rsidP="00D550F1">
      <w:pPr>
        <w:spacing w:after="0" w:line="240" w:lineRule="auto"/>
        <w:jc w:val="both"/>
        <w:rPr>
          <w:rFonts w:ascii="Times New Roman" w:hAnsi="Times New Roman" w:cs="Times New Roman"/>
          <w:b/>
          <w:bCs/>
        </w:rPr>
      </w:pPr>
      <w:r w:rsidRPr="00D550F1">
        <w:rPr>
          <w:rFonts w:ascii="Times New Roman" w:hAnsi="Times New Roman" w:cs="Times New Roman"/>
          <w:b/>
          <w:bCs/>
        </w:rPr>
        <w:t xml:space="preserve">K bodom 7, 9 a 13 </w:t>
      </w:r>
      <w:r w:rsidRPr="00D550F1">
        <w:rPr>
          <w:rFonts w:ascii="Times New Roman" w:hAnsi="Times New Roman" w:cs="Times New Roman"/>
        </w:rPr>
        <w:t>[§ 15 písm. b), § 17 ods. 3 písm. q)  a § 51eb]</w:t>
      </w:r>
    </w:p>
    <w:p w14:paraId="69A67BC3"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Návrhom zákona sa zavádza osobitný základ dane, do ktorého sa zahrnie príjem (výnos) z poplatkov za vykonanie platobnej operácie prostredníctvom platobnej karty v prospech hráčskeho účtu. Ide o poplatky, ktoré banka alebo pobočka zahraničnej banky účtuje svojim klientom, t.j. daňovníkom je banka alebo pobočka zahraničnej banky. Osobitný základ dane bude podliehať zdaneniu pri použití sadzby dane vo výške 54 %. Nakoľko tieto príjmy (výnosy) budú súčasťou osobitného základu dane, prostredníctvom ustanovenia § 17 ods. 3 písm. q) sa vynímajú zo základu dane vyčísleného podľa § 17 až 29 zákona o dani z príjmov.</w:t>
      </w:r>
    </w:p>
    <w:p w14:paraId="32E6E532"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Zdanenie príjmov (výnosov) z poplatkov za vykonanie platobnej operácie prostredníctvom platobnej karty v prospech hráčskeho účtu prostredníctvom osobitného základu dane sa uplatní na poplatky účtované bankou alebo pobočkou zahraničnej banky po 31. decembri 2025 (§ 52zzzj ods. 2 návrhu zákona).</w:t>
      </w:r>
    </w:p>
    <w:p w14:paraId="5EF38495" w14:textId="77777777" w:rsidR="00D550F1" w:rsidRPr="00D550F1" w:rsidRDefault="00D550F1" w:rsidP="00D550F1">
      <w:pPr>
        <w:spacing w:after="0" w:line="240" w:lineRule="auto"/>
        <w:jc w:val="both"/>
        <w:rPr>
          <w:rFonts w:ascii="Times New Roman" w:hAnsi="Times New Roman" w:cs="Times New Roman"/>
          <w:b/>
          <w:bCs/>
        </w:rPr>
      </w:pPr>
      <w:r w:rsidRPr="00D550F1">
        <w:rPr>
          <w:rFonts w:ascii="Times New Roman" w:hAnsi="Times New Roman" w:cs="Times New Roman"/>
          <w:b/>
          <w:bCs/>
        </w:rPr>
        <w:t xml:space="preserve">K bodu 10 </w:t>
      </w:r>
      <w:r w:rsidRPr="00D550F1">
        <w:rPr>
          <w:rFonts w:ascii="Times New Roman" w:hAnsi="Times New Roman" w:cs="Times New Roman"/>
        </w:rPr>
        <w:t>[§ 30e ods. 8]</w:t>
      </w:r>
    </w:p>
    <w:p w14:paraId="3F3224AA"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S cieľom podpory uplatnenia odpočtu výdavkov (nákladov) na investície sa predlžuje investičné obdobie zo súčasných 6 rokov (2022 až 2027) na 9 rokov (2022 – 2030). Predlženie investičného obdobia sa bude vzťahovať tak na už existujúce investičné plány ako aj nové investičné plány. </w:t>
      </w:r>
    </w:p>
    <w:p w14:paraId="01B5741D" w14:textId="77777777" w:rsidR="00D550F1" w:rsidRPr="00D550F1" w:rsidRDefault="00D550F1" w:rsidP="00D550F1">
      <w:pPr>
        <w:spacing w:after="0" w:line="240" w:lineRule="auto"/>
        <w:jc w:val="both"/>
        <w:rPr>
          <w:rFonts w:ascii="Times New Roman" w:hAnsi="Times New Roman" w:cs="Times New Roman"/>
          <w:b/>
          <w:bCs/>
        </w:rPr>
      </w:pPr>
      <w:r w:rsidRPr="00D550F1">
        <w:rPr>
          <w:rFonts w:ascii="Times New Roman" w:hAnsi="Times New Roman" w:cs="Times New Roman"/>
          <w:b/>
          <w:bCs/>
        </w:rPr>
        <w:t xml:space="preserve">K bodu 12 </w:t>
      </w:r>
      <w:r w:rsidRPr="00D550F1">
        <w:rPr>
          <w:rFonts w:ascii="Times New Roman" w:hAnsi="Times New Roman" w:cs="Times New Roman"/>
        </w:rPr>
        <w:t>[§ 46b ods. 2]</w:t>
      </w:r>
    </w:p>
    <w:p w14:paraId="293434A8"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V rámci konsolidácie verejných financií sa zavádza nové pásmo minimálnej dane vo výške 11 520 eur pre daňovníka – právnickú osobu, ktorej zdaniteľné príjmy za príslušné zdaňovacie obdobie prevýšia sumu 5 mil. eur. </w:t>
      </w:r>
    </w:p>
    <w:p w14:paraId="52D4ECBF" w14:textId="77777777" w:rsidR="00D550F1" w:rsidRPr="00D550F1" w:rsidRDefault="00D550F1" w:rsidP="00D550F1">
      <w:pPr>
        <w:spacing w:after="0" w:line="240" w:lineRule="auto"/>
        <w:jc w:val="both"/>
        <w:rPr>
          <w:rFonts w:ascii="Times New Roman" w:hAnsi="Times New Roman" w:cs="Times New Roman"/>
          <w:b/>
          <w:bCs/>
        </w:rPr>
      </w:pPr>
    </w:p>
    <w:p w14:paraId="4D8B3274"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b/>
          <w:bCs/>
        </w:rPr>
        <w:t>K bodu 14</w:t>
      </w:r>
      <w:r w:rsidRPr="00D550F1">
        <w:rPr>
          <w:rFonts w:ascii="Times New Roman" w:hAnsi="Times New Roman" w:cs="Times New Roman"/>
        </w:rPr>
        <w:t xml:space="preserve"> [§ 52zzzj a § 52zzzk]</w:t>
      </w:r>
    </w:p>
    <w:p w14:paraId="701B6886" w14:textId="77777777" w:rsidR="00D550F1" w:rsidRPr="00D550F1" w:rsidRDefault="00D550F1" w:rsidP="00D550F1">
      <w:pPr>
        <w:spacing w:line="240" w:lineRule="auto"/>
        <w:jc w:val="both"/>
        <w:rPr>
          <w:rFonts w:ascii="Times New Roman" w:hAnsi="Times New Roman" w:cs="Times New Roman"/>
          <w:u w:val="single"/>
        </w:rPr>
      </w:pPr>
      <w:r w:rsidRPr="00D550F1">
        <w:rPr>
          <w:rFonts w:ascii="Times New Roman" w:hAnsi="Times New Roman" w:cs="Times New Roman"/>
          <w:u w:val="single"/>
        </w:rPr>
        <w:t>§ 52zzzj</w:t>
      </w:r>
    </w:p>
    <w:p w14:paraId="6685DB75"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Odsek 1 – Zmena doteraz platných pásiem a zavedenie nových pásiem pre progresívne zdanenie príjmov fyzických osôb a zmena spôsobu vyklesávania výšky nezdaniteľnej časti základu dane sa prvýkrát uplatní za zdaňovacie obdobie 2026. Pri ročnom zúčtovaní príjmov za zdaňovacie obdobie 2025 a zdanení prostredníctvom daňového priznania za zdaňovacie obdobie 2025 sa uplatnia ustanovenia zákona platné a účinné do 31. decembra 2025.  </w:t>
      </w:r>
    </w:p>
    <w:p w14:paraId="3840FE3B"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Odsek 2 – Zdanenie príjmov (výnosov) z poplatkov za vykonanie platobnej operácie prostredníctvom platobnej karty v prospech hráčskeho účtu prostredníctvom osobitného základu dane sa uplatní na poplatky účtované bankou alebo pobočkou zahraničnej banky po 31. decembri 2025.</w:t>
      </w:r>
    </w:p>
    <w:p w14:paraId="3065F866"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Odsek 3 - Zvýšenie osobitnej sadzby dane z príjmov zo závislej činnosti pre vybraných ústavných činiteľov plynúcich týmto daňovníkom podľa zákona č. 120/1993 Z. z. z 5 % na 10 % sa použije prvýkrát pri výpočte osobitnej dane zo zdaniteľného príjmu za mesiac január 2026. </w:t>
      </w:r>
    </w:p>
    <w:p w14:paraId="52F72829"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Odsek 4 – Spôsob výpočtu preddavkov na daň zo zdaniteľnej mzdy pri použití sadzieb dane z príjmov z fyzických osôb vo výške od 19 % do 35 % sa prvýkrát použije pri výpočte preddavkov na daň zo zdaniteľnej mzdy za mesiac január 2026.</w:t>
      </w:r>
    </w:p>
    <w:p w14:paraId="6ECC9531"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Odsek 5 – Nové pásmo minimálnej dane vo výške 11 520 eur sa prvýkrát použije za zdaňovacie obdobie, ktoré začína najskôr 1. januára 2026, t.j. prvýkrát za zdaňovacie obdobie kalendárny rok 2026 a za hospodársky rok, ktorý začína v priebehu kalendárneho roka 2026.</w:t>
      </w:r>
    </w:p>
    <w:p w14:paraId="39847302" w14:textId="77777777" w:rsidR="00D550F1" w:rsidRPr="00D550F1" w:rsidRDefault="00D550F1" w:rsidP="00D550F1">
      <w:pPr>
        <w:spacing w:line="240" w:lineRule="auto"/>
        <w:jc w:val="both"/>
        <w:rPr>
          <w:rFonts w:ascii="Times New Roman" w:hAnsi="Times New Roman" w:cs="Times New Roman"/>
          <w:u w:val="single"/>
        </w:rPr>
      </w:pPr>
      <w:r w:rsidRPr="00D550F1">
        <w:rPr>
          <w:rFonts w:ascii="Times New Roman" w:hAnsi="Times New Roman" w:cs="Times New Roman"/>
          <w:u w:val="single"/>
        </w:rPr>
        <w:t>§ 52zzzk</w:t>
      </w:r>
    </w:p>
    <w:p w14:paraId="293CF775"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 xml:space="preserve">Prechodným ustanovením sa vymedzuje, že v období ktoré ustanovuje § 85n zákona č. 222/2004 Z. z. o dani z pridanej hodnoty, sa daň z pridanej hodnoty, na ktorú  nemá daňovník nárok na odpočet vo vymedzených prípadoch, sa nepovažuje za daňový výdavok. </w:t>
      </w:r>
    </w:p>
    <w:p w14:paraId="22EE1447" w14:textId="77777777" w:rsidR="00D550F1" w:rsidRPr="00D550F1" w:rsidRDefault="00D550F1" w:rsidP="00D550F1">
      <w:pPr>
        <w:spacing w:after="0" w:line="240" w:lineRule="auto"/>
        <w:jc w:val="both"/>
        <w:rPr>
          <w:rFonts w:ascii="Times New Roman" w:hAnsi="Times New Roman" w:cs="Times New Roman"/>
        </w:rPr>
      </w:pPr>
    </w:p>
    <w:p w14:paraId="228CBA4B" w14:textId="77777777" w:rsidR="00D550F1" w:rsidRPr="00D550F1" w:rsidRDefault="00D550F1" w:rsidP="00D550F1">
      <w:pPr>
        <w:spacing w:after="0" w:line="240" w:lineRule="auto"/>
        <w:jc w:val="both"/>
        <w:rPr>
          <w:rFonts w:ascii="Times New Roman" w:hAnsi="Times New Roman" w:cs="Times New Roman"/>
        </w:rPr>
      </w:pPr>
    </w:p>
    <w:p w14:paraId="0BD38233" w14:textId="77777777" w:rsidR="00D550F1" w:rsidRPr="00D550F1" w:rsidRDefault="00D550F1" w:rsidP="00D550F1">
      <w:pPr>
        <w:spacing w:line="240" w:lineRule="auto"/>
        <w:contextualSpacing/>
        <w:jc w:val="both"/>
        <w:rPr>
          <w:rFonts w:ascii="Times New Roman" w:hAnsi="Times New Roman" w:cs="Times New Roman"/>
          <w:b/>
          <w:bCs/>
          <w:u w:val="single"/>
        </w:rPr>
      </w:pPr>
      <w:r w:rsidRPr="00D550F1">
        <w:rPr>
          <w:rFonts w:ascii="Times New Roman" w:hAnsi="Times New Roman" w:cs="Times New Roman"/>
          <w:b/>
          <w:bCs/>
          <w:u w:val="single"/>
        </w:rPr>
        <w:t>K čl. VIII (zákon č. 43/2004 Z. z.)</w:t>
      </w:r>
    </w:p>
    <w:p w14:paraId="4C36A5C9"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K § 25</w:t>
      </w:r>
    </w:p>
    <w:p w14:paraId="6782DFE4" w14:textId="77777777" w:rsidR="00D550F1" w:rsidRPr="00D550F1" w:rsidRDefault="00D550F1" w:rsidP="00D550F1">
      <w:pPr>
        <w:pStyle w:val="Odsekzoznamu"/>
        <w:spacing w:after="0" w:line="240" w:lineRule="auto"/>
        <w:ind w:left="0"/>
        <w:jc w:val="both"/>
        <w:rPr>
          <w:rFonts w:ascii="Times New Roman" w:hAnsi="Times New Roman" w:cs="Times New Roman"/>
          <w:lang w:eastAsia="sk-SK"/>
        </w:rPr>
      </w:pPr>
      <w:r w:rsidRPr="00D550F1">
        <w:rPr>
          <w:rFonts w:ascii="Times New Roman" w:hAnsi="Times New Roman" w:cs="Times New Roman"/>
          <w:lang w:eastAsia="sk-SK"/>
        </w:rPr>
        <w:t>Navrhujú sa nevyhnutné legislatívno-technické úpravy (vypustenie odseku 3 a zlúčenie pôvodného odseku 1 a 2, úprava poznámky pod čiarou k odkazu 30, vypustenie poznámky pod čiarou 31 a 32), a to v súvislosti s návrhom na vypustenie právnej úpravy vylúčenia povinnosti zamestnanca platiť poistné na sociálne poistenie v navrhovanom § 140 zákona o sociálnom poistení  a previazanie príslušných ustanovení o vylúčení povinnosti platiť povinné príspevky na zákon o sociálnom poistení, čím sa zamedzí odchylná právna úprava.</w:t>
      </w:r>
    </w:p>
    <w:p w14:paraId="22D41FCC" w14:textId="77777777" w:rsidR="00D550F1" w:rsidRPr="00D550F1" w:rsidRDefault="00D550F1" w:rsidP="00D550F1">
      <w:pPr>
        <w:spacing w:line="240" w:lineRule="auto"/>
        <w:contextualSpacing/>
        <w:jc w:val="both"/>
        <w:rPr>
          <w:rFonts w:ascii="Times New Roman" w:hAnsi="Times New Roman" w:cs="Times New Roman"/>
          <w:b/>
          <w:bCs/>
          <w:u w:val="single"/>
        </w:rPr>
      </w:pPr>
    </w:p>
    <w:p w14:paraId="3ED49327" w14:textId="77777777" w:rsidR="00D550F1" w:rsidRPr="00D550F1" w:rsidRDefault="00D550F1" w:rsidP="00D550F1">
      <w:pPr>
        <w:spacing w:line="240" w:lineRule="auto"/>
        <w:contextualSpacing/>
        <w:jc w:val="both"/>
        <w:rPr>
          <w:rFonts w:ascii="Times New Roman" w:hAnsi="Times New Roman" w:cs="Times New Roman"/>
          <w:b/>
          <w:bCs/>
          <w:u w:val="single"/>
        </w:rPr>
      </w:pPr>
    </w:p>
    <w:p w14:paraId="7C1E01ED" w14:textId="77777777" w:rsidR="00D550F1" w:rsidRPr="00D550F1" w:rsidRDefault="00D550F1" w:rsidP="00D550F1">
      <w:pPr>
        <w:spacing w:before="240" w:line="240" w:lineRule="auto"/>
        <w:contextualSpacing/>
        <w:jc w:val="both"/>
        <w:rPr>
          <w:rFonts w:ascii="Times New Roman" w:hAnsi="Times New Roman" w:cs="Times New Roman"/>
          <w:b/>
          <w:bCs/>
          <w:u w:val="single"/>
        </w:rPr>
      </w:pPr>
      <w:r w:rsidRPr="00D550F1">
        <w:rPr>
          <w:rFonts w:ascii="Times New Roman" w:hAnsi="Times New Roman" w:cs="Times New Roman"/>
          <w:b/>
          <w:bCs/>
          <w:u w:val="single"/>
        </w:rPr>
        <w:t>K čl. XI (zákon č. 222/2004 Z. z.)</w:t>
      </w:r>
    </w:p>
    <w:p w14:paraId="263CDB3C" w14:textId="77777777" w:rsidR="00D550F1" w:rsidRPr="00D550F1" w:rsidRDefault="00D550F1" w:rsidP="00D550F1">
      <w:pPr>
        <w:spacing w:after="0" w:line="240" w:lineRule="auto"/>
        <w:jc w:val="both"/>
        <w:rPr>
          <w:rFonts w:ascii="Times New Roman" w:hAnsi="Times New Roman" w:cs="Times New Roman"/>
          <w:b/>
          <w:bCs/>
          <w:shd w:val="clear" w:color="auto" w:fill="FFFFFF"/>
        </w:rPr>
      </w:pPr>
      <w:r w:rsidRPr="00D550F1">
        <w:rPr>
          <w:rFonts w:ascii="Times New Roman" w:hAnsi="Times New Roman" w:cs="Times New Roman"/>
          <w:b/>
          <w:bCs/>
          <w:shd w:val="clear" w:color="auto" w:fill="FFFFFF"/>
        </w:rPr>
        <w:t>K bodu 1</w:t>
      </w:r>
      <w:r w:rsidRPr="00D550F1">
        <w:rPr>
          <w:rFonts w:ascii="Times New Roman" w:hAnsi="Times New Roman" w:cs="Times New Roman"/>
          <w:shd w:val="clear" w:color="auto" w:fill="FFFFFF"/>
        </w:rPr>
        <w:t xml:space="preserve"> [§ 49 ods. 5]</w:t>
      </w:r>
    </w:p>
    <w:p w14:paraId="07B34346"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shd w:val="clear" w:color="auto" w:fill="FFFFFF"/>
        </w:rPr>
        <w:t>Navrhuje sa vypustiť možnosť platiteľa odpočítať daň z kúpy pohonných látok do výšky paušálnych výdavkov podľa</w:t>
      </w:r>
      <w:r w:rsidRPr="00D550F1">
        <w:rPr>
          <w:rFonts w:ascii="Times New Roman" w:hAnsi="Times New Roman" w:cs="Times New Roman"/>
        </w:rPr>
        <w:t xml:space="preserve"> všeobecne záväzného právneho predpisu upravujúceho oblasť dane z príjmov, ak nemôže preukázať rozsah použitia pohonných látok na účely svojho podnikania a na iný účel ako na podnikanie, pretože uvedená právna úprava ide nad rámec ustanovení smernice Rady 2006/112/ES z 28. novembra 2006 o spoločnom systéme dane z pridanej hodnoty v platnom znení (ďalej len „smernica 2006/112/ES v platnom znení“).</w:t>
      </w:r>
    </w:p>
    <w:p w14:paraId="032889EF" w14:textId="77777777" w:rsidR="00D550F1" w:rsidRPr="00D550F1" w:rsidRDefault="00D550F1" w:rsidP="00D550F1">
      <w:pPr>
        <w:spacing w:after="0" w:line="240" w:lineRule="auto"/>
        <w:jc w:val="both"/>
        <w:rPr>
          <w:rFonts w:ascii="Times New Roman" w:hAnsi="Times New Roman" w:cs="Times New Roman"/>
          <w:b/>
          <w:bCs/>
          <w:shd w:val="clear" w:color="auto" w:fill="FFFFFF"/>
        </w:rPr>
      </w:pPr>
    </w:p>
    <w:p w14:paraId="45403D76" w14:textId="77777777" w:rsidR="00D550F1" w:rsidRPr="00D550F1" w:rsidRDefault="00D550F1" w:rsidP="00D550F1">
      <w:pPr>
        <w:spacing w:after="0" w:line="240" w:lineRule="auto"/>
        <w:jc w:val="both"/>
        <w:rPr>
          <w:rFonts w:ascii="Times New Roman" w:hAnsi="Times New Roman" w:cs="Times New Roman"/>
          <w:b/>
          <w:bCs/>
          <w:shd w:val="clear" w:color="auto" w:fill="FFFFFF"/>
        </w:rPr>
      </w:pPr>
      <w:r w:rsidRPr="00D550F1">
        <w:rPr>
          <w:rFonts w:ascii="Times New Roman" w:hAnsi="Times New Roman" w:cs="Times New Roman"/>
          <w:b/>
          <w:bCs/>
          <w:shd w:val="clear" w:color="auto" w:fill="FFFFFF"/>
        </w:rPr>
        <w:t>K bodu 2 </w:t>
      </w:r>
      <w:r w:rsidRPr="00D550F1">
        <w:rPr>
          <w:rFonts w:ascii="Times New Roman" w:hAnsi="Times New Roman" w:cs="Times New Roman"/>
          <w:shd w:val="clear" w:color="auto" w:fill="FFFFFF"/>
        </w:rPr>
        <w:t>[§ 85n]</w:t>
      </w:r>
    </w:p>
    <w:p w14:paraId="4C82B514"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Podľa čl. 395 smernice 2006/112/ES v platnom znení Slovenská republika požiadala Európsku komisiu o výnimku, pokiaľ ide o obmedzenie odpočítania dane vo výške 50 % pri kúpe, nájme (s výnimkou krátkodobého nájmu), nadobudnutí z iného členského štátu Európskej únie alebo pri dovoze motorových vozidiel kategórie M1, L1e a L3e (ďalej len „osobné motorové vozidlo“) používaných na zmiešané použitie, t. j. aj na iný účel ako na podnikanie. Na iné typy motorových vozidiel ako sú uvedené v odseku 1, sa pravidlá ustanovené v navrhovanom § 85n nevzťahujú. Obdobne sa tieto pravidlá nebudú uplatňovať ani v prípade, že platiteľ nadobudnuté osobné motorové vozidlo nezaradí do investičného majetku, ale eviduje ho ako zásoby (napríklad autopredajcovia). Ide o jedno z opatrení Akčného plánu boja proti daňovým únikom, ktoré má nadobudnúť účinnosť 1. januára 2026 a má prispieť k zlepšeniu podnikateľského prostredia. V súlade s vykonávacím rozhodnutím Rady, ktorým bola Slovenskej republike táto výnimka udelená, sa navrhuje ustanoviť nové pravidlá odpočítania dane pre platiteľov pri osobných motorových vozidlách nepoužívaných výlučne na podnikanie. Primárnym cieľom tohto opatrenia je znížiť administratívnu záťaž na strane platiteľov, spojenú s povinnosťou sledovať pohyb osobného motorového vozidla, viesť podrobnú evidenciu o preukázaní rozsahu jeho používania na súkromné účely a správne určiť základ dane pre výpočet dane pripadajúcej na súkromnú spotrebu (§ 9 ods. 2 zákona o DPH), resp. eliminovať administratívne náročnú úpravu odpočítanej dane podľa § 54d zákona o DPH. Sekundárnym  cieľom je predchádzanie daňovým únikom a vyhýbaniu sa dani, ku ktorým dochádza z dôvodu nezdanenia používania týchto vozidiel na iný účel ako na podnikanie, resp. z dôvodu neoprávneného odpočítania dane pri týchto vozidlách používaných na zmiešané použitie. Navrhuje sa, aby sa paušálne odpočítanie dane na základe pevne ustanoveného percentuálneho pomeru vo výške 50 % týkalo osobných motorových vozidiel, ktoré boli nadobudnuté ako investičný majetok (navrhovaný § 85n ods. 1) alebo sa používajú (navrhovaný § 85n ods. 2) v období od 1. januára 2026 do 30. júna 2028. Paušálne odpočítanie dane vo výške 50 % sa bude vzťahovať aj na tovar a služby, ktoré budú platiteľovi dodané v súvislosti s používaním osobných motorových vozidiel, ktoré používa na podnikanie a súčasne na iný účel ako na podnikanie. Pôjde napríklad o náhradné diely, pohonné látky alebo služby autoservisu, pričom v súvislosti s navrhovaným paušálnym odpočítaním dane z  takýchto tovarov alebo služieb je potrebné zdôrazniť, že sa uplatní aj ak sú nadobudnuté, resp. prijaté v súvislosti s používaním osobných motorových vozidiel nadobudnutých pred sledovaným obdobím, resp. ktoré sa pred sledovaným obdobím začali používať. Na základe uvedeného platiteľ nebude mať povinnosť viesť evidenciu o používaní osobného motorového vozidla a uplatňovať daň na súkromnú spotrebu, s výnimkou dodania osobného motorového vozidla podľa § 8 ods. 3 zákona o  DPH, kedy sa toto dodanie bude považovať za dodanie tovaru za protihodnotu v rozsahu, v akom pri tomto tovare bola odpočítaná daň. Ak vznikne daňová povinnosť pred 1. januárom 2026 na základe § 19 ods. 4 zákona o DPH vo výške celej kúpnej ceny alebo jej časti a k nadobudnutiu osobného motorového vozidla dôjde v období od 1. januára 2026 do 30. júna 2028, platiteľ postupuje pri oprave odpočítanej dane vo vzťahu k zaplatenému preddavku podľa § 53 ods. 1 písm. c) zákona o DPH. </w:t>
      </w:r>
    </w:p>
    <w:p w14:paraId="4D69AF9C"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Z paušálneho odpočítania dane sa zároveň navrhuje vyňať osobné motorové vozidlá, ktoré platiteľ nadobudne v období od 1.1.2026 do 30.6.2028 a ktoré používa na poskytovanie vybraných služieb, u ktorých je vysoký predpoklad, že ide o používanie osobného motorového vozidla výlučne na podnikanie (odsek 4); v tomto prípade platiteľ nie je povinný viesť záznamy preukazujúce používanie osobného motorového vozidla podľa odseku 6. Okrem uvedeného sa navrhuje (odsek 5), aby sa paušálne odpočítanie dane nevzťahovalo na tie osobné motorové vozidlá, ktoré platiteľ nadobudol alebo začne používať výlučne na podnikanie v období od 1.1.2026 do 30.6.2028 /ak nejde o poskytovanie služieb uvedených v odseku 4 písm. a) a b)/. V tomto prípade je platiteľ povinný viesť dostatočne podrobné záznamy v elektronickej podobe, ktoré preukazujú rozsah použitia osobného motorového vozidla výlučne na podnikanie (odsek 6). Súčasťou záznamov bude napríklad identifikačné číslo vozidla VIN, evidencia o každom použití osobného motorového vozidla, evidencia o nadobudnutí tovarov a služieb podľa odseku 3. Záznamy podľa odseku 6 bude platiteľ povinný elektronickými prostriedkami sprístupniť na výzvu daňovému úradu. Skutočnosť použitia osobného motorového vozidla výlučne na podnikanie podľa odsekov 4 a 5 bude platiteľ povinný oznámiť daňovému úradu na osobitnom tlačive (odsek 9); v prípade, že pôjde o vozidlo, ktoré platiteľ používa na základe dlhodobej nájomnej zmluvy, napríklad operatívny leasing, odpočítanie dane z prijatej služby v rozsahu použitia výlučne na podnikanie bude povinný oznámiť daňovému úradu výlučne za prvé zdaňovacie obdobie, v ktorom v tomto rozsahu uplatnil odpočítanie dane. </w:t>
      </w:r>
    </w:p>
    <w:p w14:paraId="6A82CA5D" w14:textId="77777777" w:rsidR="00D550F1" w:rsidRPr="00D550F1" w:rsidRDefault="00D550F1" w:rsidP="00D550F1">
      <w:pPr>
        <w:pStyle w:val="Normlnywebov"/>
        <w:spacing w:before="0" w:beforeAutospacing="0" w:after="160" w:afterAutospacing="0"/>
        <w:jc w:val="both"/>
        <w:rPr>
          <w:b/>
          <w:bCs/>
        </w:rPr>
      </w:pPr>
      <w:r w:rsidRPr="00D550F1">
        <w:t>Ak platiteľ plánuje v priebehu obdobia na úpravu odpočítanej dane /§ 52a ods. 2 písm. a) zákona o DPH/ zmeniť rozsah použitia osobného motorového vozidla, pri ktorom uplatnil paušálne odpočítanie dane podľa odseku 1, na činnosti uvedené v odseku 4 alebo výlučne na podnikanie pri výkone iných činností (odsek 5), navrhovaný mechanizmus (odsek 10) mu v súlade so zásadou neutrality dane pridanej hodnoty umožňuje upraviť odpočítanú daň postupom podľa § 54d zákona o DPH za príslušný kalendárny rok za splnenia zákonom ustanovených podmienok (oznamovacia povinnosť). Ak platiteľ osobné motorové vozidlo, pri ktorom odpočítal daň podľa odseku 1, dodá v priebehu obdobia na úpravu odpočítanej dane, bude postupovať podľa § 54d ods. 4 zákona o DPH.</w:t>
      </w:r>
    </w:p>
    <w:p w14:paraId="369A31B2" w14:textId="77777777" w:rsidR="00D550F1" w:rsidRPr="00D550F1" w:rsidRDefault="00D550F1" w:rsidP="00D550F1">
      <w:pPr>
        <w:pStyle w:val="Normlnywebov"/>
        <w:spacing w:before="0" w:beforeAutospacing="0" w:after="0" w:afterAutospacing="0"/>
        <w:jc w:val="both"/>
        <w:rPr>
          <w:b/>
          <w:bCs/>
        </w:rPr>
      </w:pPr>
      <w:r w:rsidRPr="00D550F1">
        <w:rPr>
          <w:b/>
          <w:bCs/>
        </w:rPr>
        <w:t xml:space="preserve">K bodu 3 </w:t>
      </w:r>
      <w:r w:rsidRPr="00D550F1">
        <w:t>[Príloha č. 6]</w:t>
      </w:r>
    </w:p>
    <w:p w14:paraId="54714052" w14:textId="77777777" w:rsidR="00D550F1" w:rsidRPr="00D550F1" w:rsidRDefault="00D550F1" w:rsidP="00D550F1">
      <w:pPr>
        <w:pStyle w:val="Normlnywebov"/>
        <w:spacing w:before="0" w:beforeAutospacing="0" w:after="160" w:afterAutospacing="0"/>
        <w:jc w:val="both"/>
        <w:rPr>
          <w:b/>
          <w:bCs/>
        </w:rPr>
      </w:pPr>
      <w:r w:rsidRPr="00D550F1">
        <w:t>Do transpozičnej prílohy sa navrhuje doplniť vykonávacie rozhodnutie Rady, ktorého transpozícia je súčasťou návrhu zákona.</w:t>
      </w:r>
    </w:p>
    <w:p w14:paraId="17BD6EA5" w14:textId="77777777" w:rsidR="00D550F1" w:rsidRPr="00D550F1" w:rsidRDefault="00D550F1" w:rsidP="00D550F1">
      <w:pPr>
        <w:pStyle w:val="Normlnywebov"/>
        <w:spacing w:before="0" w:beforeAutospacing="0" w:after="0" w:afterAutospacing="0"/>
        <w:jc w:val="both"/>
        <w:rPr>
          <w:b/>
          <w:bCs/>
        </w:rPr>
      </w:pPr>
      <w:r w:rsidRPr="00D550F1">
        <w:rPr>
          <w:b/>
          <w:bCs/>
        </w:rPr>
        <w:t xml:space="preserve">K bodu 4 </w:t>
      </w:r>
      <w:r w:rsidRPr="00D550F1">
        <w:t>[Príloha č. 7]</w:t>
      </w:r>
    </w:p>
    <w:p w14:paraId="594A7626" w14:textId="77777777" w:rsidR="00D550F1" w:rsidRPr="00D550F1" w:rsidRDefault="00D550F1" w:rsidP="00D550F1">
      <w:pPr>
        <w:pStyle w:val="Normlnywebov"/>
        <w:spacing w:before="0" w:beforeAutospacing="0" w:after="160" w:afterAutospacing="0"/>
        <w:jc w:val="both"/>
      </w:pPr>
      <w:r w:rsidRPr="00D550F1">
        <w:t xml:space="preserve">Navrhuje sa vyňať zo zoznamu tovarov, na ktoré sa uplatňuje znížená sadzba dane vo výške 19 % zo základu dane, vybrané konečné výrobky určené na ľudskú konzumáciu, ktoré sa vyznačujú vyšším obsahom soli alebo cukru. Dané tovary tak budú podliehať základnej sadzbe dane vo výške 23 % s výnimkou tých, ktoré sú alebo budú podľa osobitného predpisu zaradené do zoznamu kategorizovaných dietetických potravín (na ktoré sa tak bude uplatňovať znížená sadzba dane vo výške 19 % zo základu dane). Návrh vychádza z programového vyhlásenia vlády Slovenskej republiky na roky 2023 – 2027 v oblasti finančnej politiky, ktoré predpokladá boj proti negatívnym externalitám v podobe vyššej miery ich zdanenia. </w:t>
      </w:r>
    </w:p>
    <w:p w14:paraId="18A37137" w14:textId="77777777" w:rsidR="00D550F1" w:rsidRPr="00D550F1" w:rsidRDefault="00D550F1" w:rsidP="00D550F1">
      <w:pPr>
        <w:pStyle w:val="Normlnywebov"/>
        <w:spacing w:before="0" w:beforeAutospacing="0" w:after="0" w:afterAutospacing="0"/>
        <w:jc w:val="both"/>
      </w:pPr>
      <w:r w:rsidRPr="00D550F1">
        <w:rPr>
          <w:b/>
          <w:bCs/>
        </w:rPr>
        <w:t xml:space="preserve">K bodu 5 </w:t>
      </w:r>
      <w:r w:rsidRPr="00D550F1">
        <w:t>[Príloha č. 7]</w:t>
      </w:r>
    </w:p>
    <w:p w14:paraId="513B038D" w14:textId="77777777" w:rsidR="00D550F1" w:rsidRPr="00D550F1" w:rsidRDefault="00D550F1" w:rsidP="00D550F1">
      <w:pPr>
        <w:pStyle w:val="Normlnywebov"/>
        <w:spacing w:before="0" w:beforeAutospacing="0" w:after="0" w:afterAutospacing="0"/>
        <w:jc w:val="both"/>
      </w:pPr>
      <w:r w:rsidRPr="00D550F1">
        <w:t>Navrhuje sa zosúladiť príslušný číselný znak spoločného colného sadzobníka s opisom tovaru zodpovedajúceho tomuto číselnému znaku. Ide o legislatívno-technické spresnenie nadväzujúce na zmenu opisu tovaru súvisiacu s rozšírením uplatňovania zníženej sadzby na tlačoviny bez ohľadu na periodicitu ich vydávania, ktoré bolo uskutočnené zákonom č. 181/2025 Z. z., s účinnosťou od 1.7.2025.</w:t>
      </w:r>
    </w:p>
    <w:p w14:paraId="60041761" w14:textId="77777777" w:rsidR="00D550F1" w:rsidRPr="00D550F1" w:rsidRDefault="00D550F1" w:rsidP="00D550F1">
      <w:pPr>
        <w:pStyle w:val="Normlnywebov"/>
        <w:spacing w:before="0" w:beforeAutospacing="0" w:after="0" w:afterAutospacing="0"/>
        <w:jc w:val="both"/>
      </w:pPr>
    </w:p>
    <w:p w14:paraId="1801D84E" w14:textId="77777777" w:rsidR="00D550F1" w:rsidRPr="00D550F1" w:rsidRDefault="00D550F1" w:rsidP="00D550F1">
      <w:pPr>
        <w:pStyle w:val="Normlnywebov"/>
        <w:spacing w:before="0" w:beforeAutospacing="0" w:after="0" w:afterAutospacing="0"/>
        <w:jc w:val="both"/>
      </w:pPr>
    </w:p>
    <w:p w14:paraId="19D3E9AD" w14:textId="77777777" w:rsidR="00D550F1" w:rsidRPr="00D550F1" w:rsidRDefault="00D550F1" w:rsidP="00D550F1">
      <w:pPr>
        <w:spacing w:line="240" w:lineRule="auto"/>
        <w:contextualSpacing/>
        <w:jc w:val="both"/>
        <w:rPr>
          <w:rFonts w:ascii="Times New Roman" w:hAnsi="Times New Roman" w:cs="Times New Roman"/>
          <w:b/>
          <w:bCs/>
          <w:u w:val="single"/>
        </w:rPr>
      </w:pPr>
      <w:r w:rsidRPr="00D550F1">
        <w:rPr>
          <w:rFonts w:ascii="Times New Roman" w:hAnsi="Times New Roman" w:cs="Times New Roman"/>
          <w:b/>
          <w:bCs/>
          <w:u w:val="single"/>
        </w:rPr>
        <w:t>K čl. X (zákon č. 564/2004 Z. z.)</w:t>
      </w:r>
    </w:p>
    <w:p w14:paraId="71B8544E" w14:textId="77777777" w:rsidR="00D550F1" w:rsidRPr="00D550F1" w:rsidRDefault="00D550F1" w:rsidP="00D550F1">
      <w:pPr>
        <w:spacing w:before="240" w:line="240" w:lineRule="auto"/>
        <w:contextualSpacing/>
        <w:jc w:val="both"/>
        <w:rPr>
          <w:rFonts w:ascii="Times New Roman" w:hAnsi="Times New Roman" w:cs="Times New Roman"/>
          <w:b/>
          <w:bCs/>
          <w:u w:val="single"/>
        </w:rPr>
      </w:pPr>
    </w:p>
    <w:p w14:paraId="478738F5" w14:textId="77777777" w:rsidR="00D550F1" w:rsidRPr="00D550F1" w:rsidRDefault="00D550F1" w:rsidP="00D550F1">
      <w:pPr>
        <w:spacing w:before="240" w:line="240" w:lineRule="auto"/>
        <w:contextualSpacing/>
        <w:jc w:val="both"/>
        <w:rPr>
          <w:rFonts w:ascii="Times New Roman" w:hAnsi="Times New Roman" w:cs="Times New Roman"/>
          <w:b/>
          <w:bCs/>
        </w:rPr>
      </w:pPr>
      <w:r w:rsidRPr="00D550F1">
        <w:rPr>
          <w:rFonts w:ascii="Times New Roman" w:hAnsi="Times New Roman" w:cs="Times New Roman"/>
          <w:b/>
        </w:rPr>
        <w:t xml:space="preserve">K bodom 1 až 3 </w:t>
      </w:r>
      <w:r w:rsidRPr="00D550F1">
        <w:rPr>
          <w:rFonts w:ascii="Times New Roman" w:hAnsi="Times New Roman" w:cs="Times New Roman"/>
          <w:bCs/>
        </w:rPr>
        <w:t>[§ 2, § 3, § 7n]</w:t>
      </w:r>
    </w:p>
    <w:p w14:paraId="29A0FC53"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Návrh v bodoch 1 a 2 zohľadňuje úpravu výšky percentuálneho podielu obcí a vyšších územných celkov na výnose dane z príjmov fyzických osôb, pričom predpokladaný vyšší výnos tejto dane bude presunutý do príjmov štátneho rozpočtu z dôvodu konsolidačných opatrení a bude smerovaný na zníženie schodku rozpočtu. </w:t>
      </w:r>
    </w:p>
    <w:p w14:paraId="1FFCD685"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 xml:space="preserve">Zároveň sa v bode 3 dopĺňa ustanovenie, ktoré  ustanovuje začiatok prvého použitia navrhovanej zmeny. </w:t>
      </w:r>
    </w:p>
    <w:p w14:paraId="41BE620A" w14:textId="77777777" w:rsidR="00D550F1" w:rsidRPr="00D550F1" w:rsidRDefault="00D550F1" w:rsidP="00D550F1">
      <w:pPr>
        <w:spacing w:before="240" w:line="240" w:lineRule="auto"/>
        <w:contextualSpacing/>
        <w:jc w:val="both"/>
        <w:rPr>
          <w:rFonts w:ascii="Times New Roman" w:hAnsi="Times New Roman" w:cs="Times New Roman"/>
          <w:b/>
          <w:bCs/>
          <w:u w:val="single"/>
        </w:rPr>
      </w:pPr>
      <w:r w:rsidRPr="00D550F1">
        <w:rPr>
          <w:rFonts w:ascii="Times New Roman" w:hAnsi="Times New Roman" w:cs="Times New Roman"/>
          <w:b/>
          <w:bCs/>
          <w:u w:val="single"/>
        </w:rPr>
        <w:t>K čl. XI (zákon č. 580/2004 Z. z.)</w:t>
      </w:r>
    </w:p>
    <w:p w14:paraId="3FC3FC8A" w14:textId="77777777" w:rsidR="00D550F1" w:rsidRPr="00D550F1" w:rsidRDefault="00D550F1" w:rsidP="00D550F1">
      <w:pPr>
        <w:spacing w:before="240" w:line="240" w:lineRule="auto"/>
        <w:contextualSpacing/>
        <w:jc w:val="both"/>
        <w:rPr>
          <w:rFonts w:ascii="Times New Roman" w:hAnsi="Times New Roman" w:cs="Times New Roman"/>
          <w:b/>
          <w:bCs/>
          <w:u w:val="single"/>
        </w:rPr>
      </w:pPr>
    </w:p>
    <w:p w14:paraId="5CBC0AFB"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b/>
          <w:bCs/>
        </w:rPr>
        <w:t xml:space="preserve">K bodom 1 až 3 </w:t>
      </w:r>
      <w:r w:rsidRPr="00D550F1">
        <w:rPr>
          <w:rFonts w:ascii="Times New Roman" w:hAnsi="Times New Roman" w:cs="Times New Roman"/>
        </w:rPr>
        <w:sym w:font="Symbol" w:char="F05B"/>
      </w:r>
      <w:r w:rsidRPr="00D550F1">
        <w:rPr>
          <w:rFonts w:ascii="Times New Roman" w:hAnsi="Times New Roman" w:cs="Times New Roman"/>
        </w:rPr>
        <w:t>§ 12 ods. 1 písm. a), b), c), e) a g)</w:t>
      </w:r>
      <w:r w:rsidRPr="00D550F1">
        <w:rPr>
          <w:rFonts w:ascii="Times New Roman" w:hAnsi="Times New Roman" w:cs="Times New Roman"/>
        </w:rPr>
        <w:sym w:font="Symbol" w:char="F05D"/>
      </w:r>
    </w:p>
    <w:p w14:paraId="34FE18A6" w14:textId="77777777" w:rsidR="00D550F1" w:rsidRPr="00D550F1" w:rsidRDefault="00D550F1" w:rsidP="00D550F1">
      <w:pPr>
        <w:pStyle w:val="Bezriadkovania"/>
        <w:spacing w:after="240"/>
        <w:rPr>
          <w:rFonts w:ascii="Times New Roman" w:hAnsi="Times New Roman"/>
          <w:bCs/>
          <w:sz w:val="24"/>
          <w:szCs w:val="24"/>
        </w:rPr>
      </w:pPr>
      <w:r w:rsidRPr="00D550F1">
        <w:rPr>
          <w:rFonts w:ascii="Times New Roman" w:hAnsi="Times New Roman"/>
          <w:bCs/>
          <w:sz w:val="24"/>
          <w:szCs w:val="24"/>
        </w:rPr>
        <w:t xml:space="preserve">Z dôvodu nutnosti konsolidácie príjmov rozpočtu verejnej správy sa zvyšuje sadzba odvodu poistného na verejné zdravotné poistenie pre fyzické osoby o 1 percentuálny bod oproti platnému stavu (pri fyzických osobách so zdravotným postihnutím je zvýšenie o 0,5 percentuálneho bodu). </w:t>
      </w:r>
    </w:p>
    <w:p w14:paraId="13046D80" w14:textId="77777777" w:rsidR="00D550F1" w:rsidRPr="00D550F1" w:rsidRDefault="00D550F1" w:rsidP="00D550F1">
      <w:pPr>
        <w:pStyle w:val="Bezriadkovania"/>
        <w:rPr>
          <w:rFonts w:ascii="Times New Roman" w:hAnsi="Times New Roman"/>
          <w:bCs/>
          <w:sz w:val="24"/>
          <w:szCs w:val="24"/>
        </w:rPr>
      </w:pPr>
      <w:r w:rsidRPr="00D550F1">
        <w:rPr>
          <w:rFonts w:ascii="Times New Roman" w:hAnsi="Times New Roman"/>
          <w:bCs/>
          <w:sz w:val="24"/>
          <w:szCs w:val="24"/>
        </w:rPr>
        <w:t>Zvýšenie sadzby pre zamestnanca a zamestnávateľa, samostatne zárobkovo činnú osobu a samoplatiteľa z 14% na 15% už bolo zavedené prechodným ustanovením § 38ezg zákona. Zvýšenú sadzbu sa navrhuje ponechať aj po tomto období, majúc za cieľ dlhodobú stabilizáciu verejných financií.</w:t>
      </w:r>
    </w:p>
    <w:p w14:paraId="2BE98F22" w14:textId="77777777" w:rsidR="00D550F1" w:rsidRPr="00D550F1" w:rsidRDefault="00D550F1" w:rsidP="00D550F1">
      <w:pPr>
        <w:pStyle w:val="Bezriadkovania"/>
        <w:spacing w:after="240"/>
        <w:rPr>
          <w:rFonts w:ascii="Times New Roman" w:hAnsi="Times New Roman"/>
          <w:bCs/>
          <w:sz w:val="24"/>
          <w:szCs w:val="24"/>
        </w:rPr>
      </w:pPr>
      <w:r w:rsidRPr="00D550F1">
        <w:rPr>
          <w:rFonts w:ascii="Times New Roman" w:hAnsi="Times New Roman"/>
          <w:bCs/>
          <w:sz w:val="24"/>
          <w:szCs w:val="24"/>
        </w:rPr>
        <w:t>Sadzba pre zamestnávateľa sa po tomto období zníži o 1% na pôvodnú úroveň 10% a zároveň aj po tomto období ostane v platnosti zvýšenie sadzby poistného pre zamestnanca z 4% na 5%.</w:t>
      </w:r>
    </w:p>
    <w:p w14:paraId="3A24D7B4" w14:textId="77777777" w:rsidR="00D550F1" w:rsidRPr="00D550F1" w:rsidRDefault="00D550F1" w:rsidP="00D550F1">
      <w:pPr>
        <w:pStyle w:val="Bezriadkovania"/>
        <w:rPr>
          <w:rFonts w:ascii="Times New Roman" w:hAnsi="Times New Roman"/>
          <w:bCs/>
          <w:sz w:val="24"/>
          <w:szCs w:val="24"/>
        </w:rPr>
      </w:pPr>
      <w:r w:rsidRPr="00D550F1">
        <w:rPr>
          <w:rFonts w:ascii="Times New Roman" w:hAnsi="Times New Roman"/>
          <w:bCs/>
          <w:sz w:val="24"/>
          <w:szCs w:val="24"/>
        </w:rPr>
        <w:t>Ak by nedošlo k tejto zmene, minimálny preddavok od 1. 1. 2028 by bol 14% z vymeriavacieho základu, ktorým je 50% z priemernej mesačnej mzdy spred 2 rokov, t. j. 839 eur  (odhad priemernej mzdy z aktuálnej makroprognózy MF SR je 1 678 eur ), teda 117,46 eur mesačne.</w:t>
      </w:r>
    </w:p>
    <w:p w14:paraId="3273F1C1" w14:textId="77777777" w:rsidR="00D550F1" w:rsidRPr="00D550F1" w:rsidRDefault="00D550F1" w:rsidP="00D550F1">
      <w:pPr>
        <w:pStyle w:val="Bezriadkovania"/>
        <w:rPr>
          <w:rFonts w:ascii="Times New Roman" w:hAnsi="Times New Roman"/>
          <w:bCs/>
          <w:sz w:val="24"/>
          <w:szCs w:val="24"/>
        </w:rPr>
      </w:pPr>
      <w:r w:rsidRPr="00D550F1">
        <w:rPr>
          <w:rFonts w:ascii="Times New Roman" w:hAnsi="Times New Roman"/>
          <w:bCs/>
          <w:sz w:val="24"/>
          <w:szCs w:val="24"/>
        </w:rPr>
        <w:t>Po tejto zmene bude minimálny preddavok od 1. 1. 2028 15% z rovnakého vymeriavacieho základu, teda 125,85 eur mesačne.</w:t>
      </w:r>
    </w:p>
    <w:p w14:paraId="250E3907" w14:textId="77777777" w:rsidR="00D550F1" w:rsidRPr="00D550F1" w:rsidRDefault="00D550F1" w:rsidP="00D550F1">
      <w:pPr>
        <w:pStyle w:val="Bezriadkovania"/>
        <w:rPr>
          <w:rFonts w:ascii="Times New Roman" w:hAnsi="Times New Roman"/>
          <w:bCs/>
          <w:sz w:val="24"/>
          <w:szCs w:val="24"/>
        </w:rPr>
      </w:pPr>
      <w:r w:rsidRPr="00D550F1">
        <w:rPr>
          <w:rFonts w:ascii="Times New Roman" w:hAnsi="Times New Roman"/>
          <w:bCs/>
          <w:sz w:val="24"/>
          <w:szCs w:val="24"/>
        </w:rPr>
        <w:t>Rozdiel predstavuje 125,85 – 117,46 = 8,39 eur mesačne.</w:t>
      </w:r>
    </w:p>
    <w:p w14:paraId="2DAE9910" w14:textId="77777777" w:rsidR="00D550F1" w:rsidRPr="00D550F1" w:rsidRDefault="00D550F1" w:rsidP="00D550F1">
      <w:pPr>
        <w:pStyle w:val="Bezriadkovania"/>
        <w:rPr>
          <w:rFonts w:ascii="Times New Roman" w:hAnsi="Times New Roman"/>
          <w:bCs/>
          <w:sz w:val="24"/>
          <w:szCs w:val="24"/>
        </w:rPr>
      </w:pPr>
      <w:r w:rsidRPr="00D550F1">
        <w:rPr>
          <w:rFonts w:ascii="Times New Roman" w:hAnsi="Times New Roman"/>
          <w:bCs/>
          <w:sz w:val="24"/>
          <w:szCs w:val="24"/>
        </w:rPr>
        <w:t>Pri SZČO alebo samoplatiteľovi bez zdravotného postihnutia teda dôjde k navýšeniu jeho mesačných preddavkov o 8,39 eur.</w:t>
      </w:r>
    </w:p>
    <w:p w14:paraId="1E32B449" w14:textId="77777777" w:rsidR="00D550F1" w:rsidRPr="00D550F1" w:rsidRDefault="00D550F1" w:rsidP="00D550F1">
      <w:pPr>
        <w:pStyle w:val="Bezriadkovania"/>
        <w:rPr>
          <w:rFonts w:ascii="Times New Roman" w:hAnsi="Times New Roman"/>
          <w:bCs/>
          <w:sz w:val="24"/>
          <w:szCs w:val="24"/>
        </w:rPr>
      </w:pPr>
      <w:r w:rsidRPr="00D550F1">
        <w:rPr>
          <w:rFonts w:ascii="Times New Roman" w:hAnsi="Times New Roman"/>
          <w:bCs/>
          <w:sz w:val="24"/>
          <w:szCs w:val="24"/>
        </w:rPr>
        <w:t xml:space="preserve">Pri zamestnancovi, ak by nedošlo k zmene, preddavok z minimálnej mzdy, za predpokladu, že by bola minimálna mzda na úrovni roku 2026 (t. j. 915 eur mesačne),  preddavok by bol 36,60 eur mesačne. Po zvýšení sadzby na 5% preddavok bude 45,75 eur. Rozdiel predstavuje 45,75 – 36,60 = 9,15 eur mesačne. </w:t>
      </w:r>
    </w:p>
    <w:p w14:paraId="1A3B1436" w14:textId="77777777" w:rsidR="00D550F1" w:rsidRPr="00D550F1" w:rsidRDefault="00D550F1" w:rsidP="00D550F1">
      <w:pPr>
        <w:pStyle w:val="Bezriadkovania"/>
        <w:rPr>
          <w:rFonts w:ascii="Times New Roman" w:hAnsi="Times New Roman"/>
          <w:bCs/>
          <w:sz w:val="24"/>
          <w:szCs w:val="24"/>
        </w:rPr>
      </w:pPr>
      <w:r w:rsidRPr="00D550F1">
        <w:rPr>
          <w:rFonts w:ascii="Times New Roman" w:hAnsi="Times New Roman"/>
          <w:bCs/>
          <w:sz w:val="24"/>
          <w:szCs w:val="24"/>
        </w:rPr>
        <w:t>Pri zamestnancovi, ak by nedošlo k zmene, minimálne poistné určené z 12- násobku životného minima (284,13 eur mesačne) predstavuje 4% z 12 x 284,13 = 136,38 eur ročne. Po zvýšení sadzby na 5%, pôjde o sumu 170,48 ročne. Rozdiel predstavuje sumu 34,10 eur ročne, t.j. 2,84 eur na mesiac.</w:t>
      </w:r>
    </w:p>
    <w:p w14:paraId="67831E3A" w14:textId="77777777" w:rsidR="00D550F1" w:rsidRPr="00D550F1" w:rsidRDefault="00D550F1" w:rsidP="00D550F1">
      <w:pPr>
        <w:pStyle w:val="Bezriadkovania"/>
        <w:rPr>
          <w:rFonts w:ascii="Times New Roman" w:hAnsi="Times New Roman"/>
          <w:bCs/>
          <w:sz w:val="24"/>
          <w:szCs w:val="24"/>
        </w:rPr>
      </w:pPr>
    </w:p>
    <w:p w14:paraId="2C2B8345" w14:textId="77777777" w:rsidR="00D550F1" w:rsidRPr="00D550F1" w:rsidRDefault="00D550F1" w:rsidP="00D550F1">
      <w:pPr>
        <w:pStyle w:val="Bezriadkovania"/>
        <w:rPr>
          <w:rFonts w:ascii="Times New Roman" w:hAnsi="Times New Roman"/>
          <w:sz w:val="24"/>
          <w:szCs w:val="24"/>
        </w:rPr>
      </w:pPr>
      <w:r w:rsidRPr="00D550F1">
        <w:rPr>
          <w:rFonts w:ascii="Times New Roman" w:hAnsi="Times New Roman"/>
          <w:b/>
          <w:bCs/>
          <w:sz w:val="24"/>
          <w:szCs w:val="24"/>
        </w:rPr>
        <w:t xml:space="preserve">K bodom 4 a 5 </w:t>
      </w:r>
      <w:r w:rsidRPr="00D550F1">
        <w:rPr>
          <w:rFonts w:ascii="Times New Roman" w:hAnsi="Times New Roman"/>
          <w:sz w:val="24"/>
          <w:szCs w:val="24"/>
        </w:rPr>
        <w:t>[§ 38ezg ods. 4 a § 38ezk]</w:t>
      </w:r>
    </w:p>
    <w:p w14:paraId="1C57ACA2" w14:textId="77777777" w:rsidR="00D550F1" w:rsidRPr="00D550F1" w:rsidRDefault="00D550F1" w:rsidP="00D550F1">
      <w:pPr>
        <w:pStyle w:val="Bezriadkovania"/>
        <w:spacing w:after="240"/>
        <w:rPr>
          <w:rFonts w:ascii="Times New Roman" w:hAnsi="Times New Roman"/>
          <w:bCs/>
          <w:sz w:val="24"/>
          <w:szCs w:val="24"/>
        </w:rPr>
      </w:pPr>
      <w:r w:rsidRPr="00D550F1">
        <w:rPr>
          <w:rFonts w:ascii="Times New Roman" w:hAnsi="Times New Roman"/>
          <w:bCs/>
          <w:sz w:val="24"/>
          <w:szCs w:val="24"/>
        </w:rPr>
        <w:t>V súvislosti s trvalou zmenou výšky sadzby odvodu poistného podľa bodov 1 až 3 sa upravuje prechodné zvýšenie sadzby na obdobie rokov 2026 a 2027 tak, aby bolo toto zvýšenie naďalej na úrovni 1 percentuálny bod nad sadzbou, určenou v § 12 ods. 1. V prechodnom ustanovení na obdobie od 1.1.2026 do 31.12.2027 sa sadzba poistného samostatne zárobkovo činnej osoby a samoplatiteľa zvyšuje z 15%  na 16% z vymeriavacieho základu.</w:t>
      </w:r>
    </w:p>
    <w:p w14:paraId="6A869007" w14:textId="77777777" w:rsidR="00D550F1" w:rsidRPr="00D550F1" w:rsidRDefault="00D550F1" w:rsidP="00D550F1">
      <w:pPr>
        <w:pStyle w:val="Bezriadkovania"/>
        <w:spacing w:after="240"/>
        <w:rPr>
          <w:rFonts w:ascii="Times New Roman" w:hAnsi="Times New Roman"/>
          <w:bCs/>
          <w:sz w:val="24"/>
          <w:szCs w:val="24"/>
        </w:rPr>
      </w:pPr>
      <w:r w:rsidRPr="00D550F1">
        <w:rPr>
          <w:rFonts w:ascii="Times New Roman" w:hAnsi="Times New Roman"/>
          <w:bCs/>
          <w:sz w:val="24"/>
          <w:szCs w:val="24"/>
        </w:rPr>
        <w:t>Ak by nedošlo k tejto zmene, minimálny preddavok od 1. 1. 2026 do 31. 12. 2027 by bol 15% z vymeriavacieho základu, ktorým je 50% z priemernej mesačnej mzdy spred 2 rokov.</w:t>
      </w:r>
    </w:p>
    <w:p w14:paraId="475039D4" w14:textId="77777777" w:rsidR="00D550F1" w:rsidRPr="00D550F1" w:rsidRDefault="00D550F1" w:rsidP="00D550F1">
      <w:pPr>
        <w:pStyle w:val="Bezriadkovania"/>
        <w:spacing w:after="240"/>
        <w:rPr>
          <w:rFonts w:ascii="Times New Roman" w:hAnsi="Times New Roman"/>
          <w:bCs/>
          <w:sz w:val="24"/>
          <w:szCs w:val="24"/>
        </w:rPr>
      </w:pPr>
      <w:r w:rsidRPr="00D550F1">
        <w:rPr>
          <w:rFonts w:ascii="Times New Roman" w:hAnsi="Times New Roman"/>
          <w:bCs/>
          <w:sz w:val="24"/>
          <w:szCs w:val="24"/>
        </w:rPr>
        <w:t>Pri minimálnom základe 50% z priemernej mesačnej mzdy spred 2 rokov (rok 2024: 1524 eur) predstavuje minimálny základ 762 eur, teda 15% predstavuje 114,30 eur mesačne a 16% predstavuje 121,92 eur mesačne.</w:t>
      </w:r>
    </w:p>
    <w:p w14:paraId="6BC75952" w14:textId="77777777" w:rsidR="00D550F1" w:rsidRPr="00D550F1" w:rsidRDefault="00D550F1" w:rsidP="00D550F1">
      <w:pPr>
        <w:pStyle w:val="Bezriadkovania"/>
        <w:rPr>
          <w:rFonts w:ascii="Times New Roman" w:hAnsi="Times New Roman"/>
          <w:bCs/>
          <w:sz w:val="24"/>
          <w:szCs w:val="24"/>
        </w:rPr>
      </w:pPr>
      <w:r w:rsidRPr="00D550F1">
        <w:rPr>
          <w:rFonts w:ascii="Times New Roman" w:hAnsi="Times New Roman"/>
          <w:bCs/>
          <w:sz w:val="24"/>
          <w:szCs w:val="24"/>
        </w:rPr>
        <w:t>Rozdiel predstavuje 121,92 – 114,30 = 7,62 eur mesačne.</w:t>
      </w:r>
    </w:p>
    <w:p w14:paraId="59BAA0CA" w14:textId="77777777" w:rsidR="00D550F1" w:rsidRPr="00D550F1" w:rsidRDefault="00D550F1" w:rsidP="00D550F1">
      <w:pPr>
        <w:pStyle w:val="Bezriadkovania"/>
        <w:rPr>
          <w:rFonts w:ascii="Times New Roman" w:hAnsi="Times New Roman"/>
          <w:bCs/>
          <w:sz w:val="24"/>
          <w:szCs w:val="24"/>
        </w:rPr>
      </w:pPr>
      <w:r w:rsidRPr="00D550F1">
        <w:rPr>
          <w:rFonts w:ascii="Times New Roman" w:hAnsi="Times New Roman"/>
          <w:bCs/>
          <w:sz w:val="24"/>
          <w:szCs w:val="24"/>
        </w:rPr>
        <w:t>Pri SZČO alebo samoplatiteľovi bez zdravotného postihnutia teda dôjde k navýšeniu jeho mesačných preddavkov o 7,62 eur.</w:t>
      </w:r>
    </w:p>
    <w:tbl>
      <w:tblPr>
        <w:tblW w:w="9918" w:type="dxa"/>
        <w:tblCellMar>
          <w:left w:w="70" w:type="dxa"/>
          <w:right w:w="70" w:type="dxa"/>
        </w:tblCellMar>
        <w:tblLook w:val="04A0" w:firstRow="1" w:lastRow="0" w:firstColumn="1" w:lastColumn="0" w:noHBand="0" w:noVBand="1"/>
      </w:tblPr>
      <w:tblGrid>
        <w:gridCol w:w="1838"/>
        <w:gridCol w:w="1985"/>
        <w:gridCol w:w="1984"/>
        <w:gridCol w:w="1985"/>
        <w:gridCol w:w="2126"/>
      </w:tblGrid>
      <w:tr w:rsidR="00D550F1" w:rsidRPr="00D550F1" w14:paraId="48C8CF33" w14:textId="77777777" w:rsidTr="003627DF">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744EA" w14:textId="77777777" w:rsidR="00D550F1" w:rsidRPr="00D550F1" w:rsidRDefault="00D550F1" w:rsidP="003627DF">
            <w:pPr>
              <w:spacing w:after="0" w:line="240" w:lineRule="auto"/>
              <w:jc w:val="both"/>
              <w:rPr>
                <w:rFonts w:ascii="Times New Roman" w:hAnsi="Times New Roman" w:cs="Times New Roman"/>
                <w:b/>
                <w:i/>
                <w:lang w:eastAsia="sk-SK"/>
              </w:rPr>
            </w:pPr>
            <w:bookmarkStart w:id="15" w:name="_Hlk207874404"/>
            <w:r w:rsidRPr="00D550F1">
              <w:rPr>
                <w:rFonts w:ascii="Times New Roman" w:hAnsi="Times New Roman" w:cs="Times New Roman"/>
                <w:b/>
                <w:i/>
                <w:lang w:eastAsia="sk-SK"/>
              </w:rPr>
              <w:t>Platiteľ poistného</w:t>
            </w:r>
          </w:p>
        </w:tc>
        <w:tc>
          <w:tcPr>
            <w:tcW w:w="39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DBB58C" w14:textId="77777777" w:rsidR="00D550F1" w:rsidRPr="00D550F1" w:rsidRDefault="00D550F1" w:rsidP="003627DF">
            <w:pPr>
              <w:spacing w:after="0" w:line="240" w:lineRule="auto"/>
              <w:jc w:val="center"/>
              <w:rPr>
                <w:rFonts w:ascii="Times New Roman" w:hAnsi="Times New Roman" w:cs="Times New Roman"/>
                <w:b/>
                <w:i/>
                <w:lang w:eastAsia="sk-SK"/>
              </w:rPr>
            </w:pPr>
            <w:r w:rsidRPr="00D550F1">
              <w:rPr>
                <w:rFonts w:ascii="Times New Roman" w:hAnsi="Times New Roman" w:cs="Times New Roman"/>
                <w:b/>
                <w:i/>
                <w:lang w:eastAsia="sk-SK"/>
              </w:rPr>
              <w:t>Sadzba do 31. 12. 2025</w:t>
            </w:r>
          </w:p>
        </w:tc>
        <w:tc>
          <w:tcPr>
            <w:tcW w:w="4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0B552" w14:textId="77777777" w:rsidR="00D550F1" w:rsidRPr="00D550F1" w:rsidRDefault="00D550F1" w:rsidP="003627DF">
            <w:pPr>
              <w:spacing w:after="0" w:line="240" w:lineRule="auto"/>
              <w:jc w:val="center"/>
              <w:rPr>
                <w:rFonts w:ascii="Times New Roman" w:hAnsi="Times New Roman" w:cs="Times New Roman"/>
                <w:b/>
                <w:i/>
                <w:lang w:eastAsia="sk-SK"/>
              </w:rPr>
            </w:pPr>
            <w:r w:rsidRPr="00D550F1">
              <w:rPr>
                <w:rFonts w:ascii="Times New Roman" w:hAnsi="Times New Roman" w:cs="Times New Roman"/>
                <w:b/>
                <w:i/>
                <w:lang w:eastAsia="sk-SK"/>
              </w:rPr>
              <w:t>Sadzba od 1. 1. 2026 do 31. 12. 2027</w:t>
            </w:r>
          </w:p>
        </w:tc>
      </w:tr>
      <w:tr w:rsidR="00D550F1" w:rsidRPr="00D550F1" w14:paraId="13AA96E0"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C1AB25" w14:textId="77777777" w:rsidR="00D550F1" w:rsidRPr="00D550F1" w:rsidRDefault="00D550F1" w:rsidP="003627DF">
            <w:pPr>
              <w:spacing w:after="0" w:line="240" w:lineRule="auto"/>
              <w:jc w:val="both"/>
              <w:rPr>
                <w:rFonts w:ascii="Times New Roman" w:hAnsi="Times New Roman" w:cs="Times New Roman"/>
                <w:b/>
                <w:i/>
                <w:lang w:eastAsia="sk-SK"/>
              </w:rPr>
            </w:pPr>
            <w:r w:rsidRPr="00D550F1">
              <w:rPr>
                <w:rFonts w:ascii="Times New Roman" w:hAnsi="Times New Roman" w:cs="Times New Roman"/>
                <w:b/>
                <w:i/>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52CF9F8E" w14:textId="77777777" w:rsidR="00D550F1" w:rsidRPr="00D550F1" w:rsidRDefault="00D550F1" w:rsidP="003627DF">
            <w:pPr>
              <w:spacing w:after="0" w:line="240" w:lineRule="auto"/>
              <w:jc w:val="both"/>
              <w:rPr>
                <w:rFonts w:ascii="Times New Roman" w:hAnsi="Times New Roman" w:cs="Times New Roman"/>
                <w:b/>
                <w:i/>
                <w:lang w:eastAsia="sk-SK"/>
              </w:rPr>
            </w:pPr>
            <w:r w:rsidRPr="00D550F1">
              <w:rPr>
                <w:rFonts w:ascii="Times New Roman" w:hAnsi="Times New Roman" w:cs="Times New Roman"/>
                <w:b/>
                <w:i/>
                <w:lang w:eastAsia="sk-SK"/>
              </w:rPr>
              <w:t>bez zdr. Postihnutia</w:t>
            </w:r>
          </w:p>
        </w:tc>
        <w:tc>
          <w:tcPr>
            <w:tcW w:w="1984" w:type="dxa"/>
            <w:tcBorders>
              <w:top w:val="nil"/>
              <w:left w:val="nil"/>
              <w:bottom w:val="single" w:sz="4" w:space="0" w:color="auto"/>
              <w:right w:val="single" w:sz="4" w:space="0" w:color="auto"/>
            </w:tcBorders>
            <w:shd w:val="clear" w:color="auto" w:fill="auto"/>
            <w:noWrap/>
            <w:vAlign w:val="bottom"/>
            <w:hideMark/>
          </w:tcPr>
          <w:p w14:paraId="0228E0C2" w14:textId="77777777" w:rsidR="00D550F1" w:rsidRPr="00D550F1" w:rsidRDefault="00D550F1" w:rsidP="003627DF">
            <w:pPr>
              <w:spacing w:after="0" w:line="240" w:lineRule="auto"/>
              <w:jc w:val="both"/>
              <w:rPr>
                <w:rFonts w:ascii="Times New Roman" w:hAnsi="Times New Roman" w:cs="Times New Roman"/>
                <w:b/>
                <w:i/>
                <w:lang w:eastAsia="sk-SK"/>
              </w:rPr>
            </w:pPr>
            <w:r w:rsidRPr="00D550F1">
              <w:rPr>
                <w:rFonts w:ascii="Times New Roman" w:hAnsi="Times New Roman" w:cs="Times New Roman"/>
                <w:b/>
                <w:i/>
                <w:lang w:eastAsia="sk-SK"/>
              </w:rPr>
              <w:t>so zdr. postihnutím</w:t>
            </w:r>
          </w:p>
        </w:tc>
        <w:tc>
          <w:tcPr>
            <w:tcW w:w="1985" w:type="dxa"/>
            <w:tcBorders>
              <w:top w:val="nil"/>
              <w:left w:val="nil"/>
              <w:bottom w:val="single" w:sz="4" w:space="0" w:color="auto"/>
              <w:right w:val="single" w:sz="4" w:space="0" w:color="auto"/>
            </w:tcBorders>
            <w:shd w:val="clear" w:color="auto" w:fill="auto"/>
            <w:noWrap/>
            <w:vAlign w:val="bottom"/>
            <w:hideMark/>
          </w:tcPr>
          <w:p w14:paraId="7543219B" w14:textId="77777777" w:rsidR="00D550F1" w:rsidRPr="00D550F1" w:rsidRDefault="00D550F1" w:rsidP="003627DF">
            <w:pPr>
              <w:spacing w:after="0" w:line="240" w:lineRule="auto"/>
              <w:jc w:val="both"/>
              <w:rPr>
                <w:rFonts w:ascii="Times New Roman" w:hAnsi="Times New Roman" w:cs="Times New Roman"/>
                <w:b/>
                <w:i/>
                <w:lang w:eastAsia="sk-SK"/>
              </w:rPr>
            </w:pPr>
            <w:r w:rsidRPr="00D550F1">
              <w:rPr>
                <w:rFonts w:ascii="Times New Roman" w:hAnsi="Times New Roman" w:cs="Times New Roman"/>
                <w:b/>
                <w:i/>
                <w:lang w:eastAsia="sk-SK"/>
              </w:rPr>
              <w:t>bez zdr. postihnutia</w:t>
            </w:r>
          </w:p>
        </w:tc>
        <w:tc>
          <w:tcPr>
            <w:tcW w:w="2126" w:type="dxa"/>
            <w:tcBorders>
              <w:top w:val="nil"/>
              <w:left w:val="nil"/>
              <w:bottom w:val="single" w:sz="4" w:space="0" w:color="auto"/>
              <w:right w:val="single" w:sz="4" w:space="0" w:color="auto"/>
            </w:tcBorders>
            <w:shd w:val="clear" w:color="auto" w:fill="auto"/>
            <w:noWrap/>
            <w:vAlign w:val="bottom"/>
            <w:hideMark/>
          </w:tcPr>
          <w:p w14:paraId="2B6D1AD1" w14:textId="77777777" w:rsidR="00D550F1" w:rsidRPr="00D550F1" w:rsidRDefault="00D550F1" w:rsidP="003627DF">
            <w:pPr>
              <w:spacing w:after="0" w:line="240" w:lineRule="auto"/>
              <w:jc w:val="both"/>
              <w:rPr>
                <w:rFonts w:ascii="Times New Roman" w:hAnsi="Times New Roman" w:cs="Times New Roman"/>
                <w:b/>
                <w:i/>
                <w:lang w:eastAsia="sk-SK"/>
              </w:rPr>
            </w:pPr>
            <w:r w:rsidRPr="00D550F1">
              <w:rPr>
                <w:rFonts w:ascii="Times New Roman" w:hAnsi="Times New Roman" w:cs="Times New Roman"/>
                <w:b/>
                <w:i/>
                <w:lang w:eastAsia="sk-SK"/>
              </w:rPr>
              <w:t>so zdr. postihnutím</w:t>
            </w:r>
          </w:p>
        </w:tc>
      </w:tr>
      <w:tr w:rsidR="00D550F1" w:rsidRPr="00D550F1" w14:paraId="230AA254"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26AC5C7"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zamestnanec</w:t>
            </w:r>
          </w:p>
        </w:tc>
        <w:tc>
          <w:tcPr>
            <w:tcW w:w="1985" w:type="dxa"/>
            <w:tcBorders>
              <w:top w:val="nil"/>
              <w:left w:val="nil"/>
              <w:bottom w:val="single" w:sz="4" w:space="0" w:color="auto"/>
              <w:right w:val="single" w:sz="4" w:space="0" w:color="auto"/>
            </w:tcBorders>
            <w:shd w:val="clear" w:color="auto" w:fill="auto"/>
            <w:noWrap/>
            <w:vAlign w:val="bottom"/>
            <w:hideMark/>
          </w:tcPr>
          <w:p w14:paraId="253211D3"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4%</w:t>
            </w:r>
          </w:p>
        </w:tc>
        <w:tc>
          <w:tcPr>
            <w:tcW w:w="1984" w:type="dxa"/>
            <w:tcBorders>
              <w:top w:val="nil"/>
              <w:left w:val="nil"/>
              <w:bottom w:val="single" w:sz="4" w:space="0" w:color="auto"/>
              <w:right w:val="single" w:sz="4" w:space="0" w:color="auto"/>
            </w:tcBorders>
            <w:shd w:val="clear" w:color="auto" w:fill="auto"/>
            <w:noWrap/>
            <w:vAlign w:val="bottom"/>
            <w:hideMark/>
          </w:tcPr>
          <w:p w14:paraId="0CE29DC7"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2%</w:t>
            </w:r>
          </w:p>
        </w:tc>
        <w:tc>
          <w:tcPr>
            <w:tcW w:w="1985" w:type="dxa"/>
            <w:tcBorders>
              <w:top w:val="nil"/>
              <w:left w:val="nil"/>
              <w:bottom w:val="single" w:sz="4" w:space="0" w:color="auto"/>
              <w:right w:val="single" w:sz="4" w:space="0" w:color="auto"/>
            </w:tcBorders>
            <w:shd w:val="clear" w:color="auto" w:fill="auto"/>
            <w:noWrap/>
            <w:vAlign w:val="bottom"/>
            <w:hideMark/>
          </w:tcPr>
          <w:p w14:paraId="6CCB91C3"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5%</w:t>
            </w:r>
          </w:p>
        </w:tc>
        <w:tc>
          <w:tcPr>
            <w:tcW w:w="2126" w:type="dxa"/>
            <w:tcBorders>
              <w:top w:val="nil"/>
              <w:left w:val="nil"/>
              <w:bottom w:val="single" w:sz="4" w:space="0" w:color="auto"/>
              <w:right w:val="single" w:sz="4" w:space="0" w:color="auto"/>
            </w:tcBorders>
            <w:shd w:val="clear" w:color="auto" w:fill="auto"/>
            <w:noWrap/>
            <w:vAlign w:val="bottom"/>
            <w:hideMark/>
          </w:tcPr>
          <w:p w14:paraId="58A3E810"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2,5%</w:t>
            </w:r>
          </w:p>
        </w:tc>
      </w:tr>
      <w:tr w:rsidR="00D550F1" w:rsidRPr="00D550F1" w14:paraId="5CB30E69"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02354C"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zamestnávateľ</w:t>
            </w:r>
          </w:p>
        </w:tc>
        <w:tc>
          <w:tcPr>
            <w:tcW w:w="1985" w:type="dxa"/>
            <w:tcBorders>
              <w:top w:val="nil"/>
              <w:left w:val="nil"/>
              <w:bottom w:val="single" w:sz="4" w:space="0" w:color="auto"/>
              <w:right w:val="single" w:sz="4" w:space="0" w:color="auto"/>
            </w:tcBorders>
            <w:shd w:val="clear" w:color="auto" w:fill="auto"/>
            <w:noWrap/>
            <w:vAlign w:val="bottom"/>
            <w:hideMark/>
          </w:tcPr>
          <w:p w14:paraId="71C39B11"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11%</w:t>
            </w:r>
          </w:p>
        </w:tc>
        <w:tc>
          <w:tcPr>
            <w:tcW w:w="1984" w:type="dxa"/>
            <w:tcBorders>
              <w:top w:val="nil"/>
              <w:left w:val="nil"/>
              <w:bottom w:val="single" w:sz="4" w:space="0" w:color="auto"/>
              <w:right w:val="single" w:sz="4" w:space="0" w:color="auto"/>
            </w:tcBorders>
            <w:shd w:val="clear" w:color="auto" w:fill="auto"/>
            <w:noWrap/>
            <w:vAlign w:val="bottom"/>
            <w:hideMark/>
          </w:tcPr>
          <w:p w14:paraId="7820E20B"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5,5%</w:t>
            </w:r>
          </w:p>
        </w:tc>
        <w:tc>
          <w:tcPr>
            <w:tcW w:w="1985" w:type="dxa"/>
            <w:tcBorders>
              <w:top w:val="nil"/>
              <w:left w:val="nil"/>
              <w:bottom w:val="single" w:sz="4" w:space="0" w:color="auto"/>
              <w:right w:val="single" w:sz="4" w:space="0" w:color="auto"/>
            </w:tcBorders>
            <w:shd w:val="clear" w:color="auto" w:fill="auto"/>
            <w:noWrap/>
            <w:vAlign w:val="bottom"/>
            <w:hideMark/>
          </w:tcPr>
          <w:p w14:paraId="208CBE67"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11%</w:t>
            </w:r>
          </w:p>
        </w:tc>
        <w:tc>
          <w:tcPr>
            <w:tcW w:w="2126" w:type="dxa"/>
            <w:tcBorders>
              <w:top w:val="nil"/>
              <w:left w:val="nil"/>
              <w:bottom w:val="single" w:sz="4" w:space="0" w:color="auto"/>
              <w:right w:val="single" w:sz="4" w:space="0" w:color="auto"/>
            </w:tcBorders>
            <w:shd w:val="clear" w:color="auto" w:fill="auto"/>
            <w:noWrap/>
            <w:vAlign w:val="bottom"/>
            <w:hideMark/>
          </w:tcPr>
          <w:p w14:paraId="52713961"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5,5%</w:t>
            </w:r>
          </w:p>
        </w:tc>
      </w:tr>
      <w:tr w:rsidR="00D550F1" w:rsidRPr="00D550F1" w14:paraId="29CFCE5A"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3CB99E"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SZČO</w:t>
            </w:r>
          </w:p>
        </w:tc>
        <w:tc>
          <w:tcPr>
            <w:tcW w:w="1985" w:type="dxa"/>
            <w:tcBorders>
              <w:top w:val="nil"/>
              <w:left w:val="nil"/>
              <w:bottom w:val="single" w:sz="4" w:space="0" w:color="auto"/>
              <w:right w:val="single" w:sz="4" w:space="0" w:color="auto"/>
            </w:tcBorders>
            <w:shd w:val="clear" w:color="auto" w:fill="auto"/>
            <w:noWrap/>
            <w:vAlign w:val="bottom"/>
            <w:hideMark/>
          </w:tcPr>
          <w:p w14:paraId="20A9DCAF"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15%</w:t>
            </w:r>
          </w:p>
        </w:tc>
        <w:tc>
          <w:tcPr>
            <w:tcW w:w="1984" w:type="dxa"/>
            <w:tcBorders>
              <w:top w:val="nil"/>
              <w:left w:val="nil"/>
              <w:bottom w:val="single" w:sz="4" w:space="0" w:color="auto"/>
              <w:right w:val="single" w:sz="4" w:space="0" w:color="auto"/>
            </w:tcBorders>
            <w:shd w:val="clear" w:color="auto" w:fill="auto"/>
            <w:noWrap/>
            <w:vAlign w:val="bottom"/>
            <w:hideMark/>
          </w:tcPr>
          <w:p w14:paraId="2F83E9D6"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7,5%</w:t>
            </w:r>
          </w:p>
        </w:tc>
        <w:tc>
          <w:tcPr>
            <w:tcW w:w="1985" w:type="dxa"/>
            <w:tcBorders>
              <w:top w:val="nil"/>
              <w:left w:val="nil"/>
              <w:bottom w:val="single" w:sz="4" w:space="0" w:color="auto"/>
              <w:right w:val="single" w:sz="4" w:space="0" w:color="auto"/>
            </w:tcBorders>
            <w:shd w:val="clear" w:color="auto" w:fill="auto"/>
            <w:noWrap/>
            <w:vAlign w:val="bottom"/>
            <w:hideMark/>
          </w:tcPr>
          <w:p w14:paraId="72AE7C6C"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16%</w:t>
            </w:r>
          </w:p>
        </w:tc>
        <w:tc>
          <w:tcPr>
            <w:tcW w:w="2126" w:type="dxa"/>
            <w:tcBorders>
              <w:top w:val="nil"/>
              <w:left w:val="nil"/>
              <w:bottom w:val="single" w:sz="4" w:space="0" w:color="auto"/>
              <w:right w:val="single" w:sz="4" w:space="0" w:color="auto"/>
            </w:tcBorders>
            <w:shd w:val="clear" w:color="auto" w:fill="auto"/>
            <w:noWrap/>
            <w:vAlign w:val="bottom"/>
            <w:hideMark/>
          </w:tcPr>
          <w:p w14:paraId="2AE83897"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8%</w:t>
            </w:r>
          </w:p>
        </w:tc>
      </w:tr>
      <w:tr w:rsidR="00D550F1" w:rsidRPr="00D550F1" w14:paraId="0815B2AC"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2C0FD7"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samoplatiteľ</w:t>
            </w:r>
          </w:p>
        </w:tc>
        <w:tc>
          <w:tcPr>
            <w:tcW w:w="1985" w:type="dxa"/>
            <w:tcBorders>
              <w:top w:val="nil"/>
              <w:left w:val="nil"/>
              <w:bottom w:val="single" w:sz="4" w:space="0" w:color="auto"/>
              <w:right w:val="single" w:sz="4" w:space="0" w:color="auto"/>
            </w:tcBorders>
            <w:shd w:val="clear" w:color="auto" w:fill="auto"/>
            <w:noWrap/>
            <w:vAlign w:val="bottom"/>
            <w:hideMark/>
          </w:tcPr>
          <w:p w14:paraId="496866F9"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15%</w:t>
            </w:r>
          </w:p>
        </w:tc>
        <w:tc>
          <w:tcPr>
            <w:tcW w:w="1984" w:type="dxa"/>
            <w:tcBorders>
              <w:top w:val="nil"/>
              <w:left w:val="nil"/>
              <w:bottom w:val="single" w:sz="4" w:space="0" w:color="auto"/>
              <w:right w:val="single" w:sz="4" w:space="0" w:color="auto"/>
            </w:tcBorders>
            <w:shd w:val="clear" w:color="auto" w:fill="auto"/>
            <w:noWrap/>
            <w:vAlign w:val="bottom"/>
            <w:hideMark/>
          </w:tcPr>
          <w:p w14:paraId="45433D51"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7,5%</w:t>
            </w:r>
          </w:p>
        </w:tc>
        <w:tc>
          <w:tcPr>
            <w:tcW w:w="1985" w:type="dxa"/>
            <w:tcBorders>
              <w:top w:val="nil"/>
              <w:left w:val="nil"/>
              <w:bottom w:val="single" w:sz="4" w:space="0" w:color="auto"/>
              <w:right w:val="single" w:sz="4" w:space="0" w:color="auto"/>
            </w:tcBorders>
            <w:shd w:val="clear" w:color="auto" w:fill="auto"/>
            <w:noWrap/>
            <w:vAlign w:val="bottom"/>
            <w:hideMark/>
          </w:tcPr>
          <w:p w14:paraId="3F94249E"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16%</w:t>
            </w:r>
          </w:p>
        </w:tc>
        <w:tc>
          <w:tcPr>
            <w:tcW w:w="2126" w:type="dxa"/>
            <w:tcBorders>
              <w:top w:val="nil"/>
              <w:left w:val="nil"/>
              <w:bottom w:val="single" w:sz="4" w:space="0" w:color="auto"/>
              <w:right w:val="single" w:sz="4" w:space="0" w:color="auto"/>
            </w:tcBorders>
            <w:shd w:val="clear" w:color="auto" w:fill="auto"/>
            <w:noWrap/>
            <w:vAlign w:val="bottom"/>
            <w:hideMark/>
          </w:tcPr>
          <w:p w14:paraId="314D9339"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8%</w:t>
            </w:r>
          </w:p>
        </w:tc>
      </w:tr>
    </w:tbl>
    <w:p w14:paraId="43743678" w14:textId="77777777" w:rsidR="00D550F1" w:rsidRPr="00D550F1" w:rsidRDefault="00D550F1" w:rsidP="00D550F1">
      <w:pPr>
        <w:spacing w:after="0" w:line="240" w:lineRule="auto"/>
        <w:jc w:val="both"/>
        <w:rPr>
          <w:rFonts w:ascii="Times New Roman" w:hAnsi="Times New Roman" w:cs="Times New Roman"/>
        </w:rPr>
      </w:pPr>
    </w:p>
    <w:tbl>
      <w:tblPr>
        <w:tblW w:w="5807" w:type="dxa"/>
        <w:tblCellMar>
          <w:left w:w="70" w:type="dxa"/>
          <w:right w:w="70" w:type="dxa"/>
        </w:tblCellMar>
        <w:tblLook w:val="04A0" w:firstRow="1" w:lastRow="0" w:firstColumn="1" w:lastColumn="0" w:noHBand="0" w:noVBand="1"/>
      </w:tblPr>
      <w:tblGrid>
        <w:gridCol w:w="1838"/>
        <w:gridCol w:w="1985"/>
        <w:gridCol w:w="1984"/>
      </w:tblGrid>
      <w:tr w:rsidR="00D550F1" w:rsidRPr="00D550F1" w14:paraId="3DED817D" w14:textId="77777777" w:rsidTr="003627DF">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A6618" w14:textId="77777777" w:rsidR="00D550F1" w:rsidRPr="00D550F1" w:rsidRDefault="00D550F1" w:rsidP="003627DF">
            <w:pPr>
              <w:spacing w:after="0" w:line="240" w:lineRule="auto"/>
              <w:jc w:val="both"/>
              <w:rPr>
                <w:rFonts w:ascii="Times New Roman" w:hAnsi="Times New Roman" w:cs="Times New Roman"/>
                <w:b/>
                <w:i/>
                <w:lang w:eastAsia="sk-SK"/>
              </w:rPr>
            </w:pPr>
            <w:r w:rsidRPr="00D550F1">
              <w:rPr>
                <w:rFonts w:ascii="Times New Roman" w:hAnsi="Times New Roman" w:cs="Times New Roman"/>
                <w:b/>
                <w:i/>
                <w:lang w:eastAsia="sk-SK"/>
              </w:rPr>
              <w:t>Platiteľ poistného</w:t>
            </w:r>
          </w:p>
        </w:tc>
        <w:tc>
          <w:tcPr>
            <w:tcW w:w="39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0B9205" w14:textId="77777777" w:rsidR="00D550F1" w:rsidRPr="00D550F1" w:rsidRDefault="00D550F1" w:rsidP="003627DF">
            <w:pPr>
              <w:spacing w:after="0" w:line="240" w:lineRule="auto"/>
              <w:jc w:val="center"/>
              <w:rPr>
                <w:rFonts w:ascii="Times New Roman" w:hAnsi="Times New Roman" w:cs="Times New Roman"/>
                <w:b/>
                <w:i/>
                <w:lang w:eastAsia="sk-SK"/>
              </w:rPr>
            </w:pPr>
            <w:r w:rsidRPr="00D550F1">
              <w:rPr>
                <w:rFonts w:ascii="Times New Roman" w:hAnsi="Times New Roman" w:cs="Times New Roman"/>
                <w:b/>
                <w:i/>
                <w:lang w:eastAsia="sk-SK"/>
              </w:rPr>
              <w:t>Sadzba od 1. 1. 2028</w:t>
            </w:r>
          </w:p>
        </w:tc>
      </w:tr>
      <w:tr w:rsidR="00D550F1" w:rsidRPr="00D550F1" w14:paraId="06AFE299"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B8D70AD" w14:textId="77777777" w:rsidR="00D550F1" w:rsidRPr="00D550F1" w:rsidRDefault="00D550F1" w:rsidP="003627DF">
            <w:pPr>
              <w:spacing w:after="0" w:line="240" w:lineRule="auto"/>
              <w:jc w:val="both"/>
              <w:rPr>
                <w:rFonts w:ascii="Times New Roman" w:hAnsi="Times New Roman" w:cs="Times New Roman"/>
                <w:b/>
                <w:i/>
                <w:lang w:eastAsia="sk-SK"/>
              </w:rPr>
            </w:pPr>
            <w:r w:rsidRPr="00D550F1">
              <w:rPr>
                <w:rFonts w:ascii="Times New Roman" w:hAnsi="Times New Roman" w:cs="Times New Roman"/>
                <w:b/>
                <w:i/>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5C2875A3" w14:textId="77777777" w:rsidR="00D550F1" w:rsidRPr="00D550F1" w:rsidRDefault="00D550F1" w:rsidP="003627DF">
            <w:pPr>
              <w:spacing w:after="0" w:line="240" w:lineRule="auto"/>
              <w:jc w:val="both"/>
              <w:rPr>
                <w:rFonts w:ascii="Times New Roman" w:hAnsi="Times New Roman" w:cs="Times New Roman"/>
                <w:b/>
                <w:i/>
                <w:lang w:eastAsia="sk-SK"/>
              </w:rPr>
            </w:pPr>
            <w:r w:rsidRPr="00D550F1">
              <w:rPr>
                <w:rFonts w:ascii="Times New Roman" w:hAnsi="Times New Roman" w:cs="Times New Roman"/>
                <w:b/>
                <w:i/>
                <w:lang w:eastAsia="sk-SK"/>
              </w:rPr>
              <w:t>bez zdr. Postihnutia</w:t>
            </w:r>
          </w:p>
        </w:tc>
        <w:tc>
          <w:tcPr>
            <w:tcW w:w="1984" w:type="dxa"/>
            <w:tcBorders>
              <w:top w:val="nil"/>
              <w:left w:val="nil"/>
              <w:bottom w:val="single" w:sz="4" w:space="0" w:color="auto"/>
              <w:right w:val="single" w:sz="4" w:space="0" w:color="auto"/>
            </w:tcBorders>
            <w:shd w:val="clear" w:color="auto" w:fill="auto"/>
            <w:noWrap/>
            <w:vAlign w:val="bottom"/>
            <w:hideMark/>
          </w:tcPr>
          <w:p w14:paraId="1735D16C" w14:textId="77777777" w:rsidR="00D550F1" w:rsidRPr="00D550F1" w:rsidRDefault="00D550F1" w:rsidP="003627DF">
            <w:pPr>
              <w:spacing w:after="0" w:line="240" w:lineRule="auto"/>
              <w:jc w:val="both"/>
              <w:rPr>
                <w:rFonts w:ascii="Times New Roman" w:hAnsi="Times New Roman" w:cs="Times New Roman"/>
                <w:b/>
                <w:i/>
                <w:lang w:eastAsia="sk-SK"/>
              </w:rPr>
            </w:pPr>
            <w:r w:rsidRPr="00D550F1">
              <w:rPr>
                <w:rFonts w:ascii="Times New Roman" w:hAnsi="Times New Roman" w:cs="Times New Roman"/>
                <w:b/>
                <w:i/>
                <w:lang w:eastAsia="sk-SK"/>
              </w:rPr>
              <w:t>so zdr. postihnutím</w:t>
            </w:r>
          </w:p>
        </w:tc>
      </w:tr>
      <w:tr w:rsidR="00D550F1" w:rsidRPr="00D550F1" w14:paraId="3A831D45"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94AA33"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zamestnanec</w:t>
            </w:r>
          </w:p>
        </w:tc>
        <w:tc>
          <w:tcPr>
            <w:tcW w:w="1985" w:type="dxa"/>
            <w:tcBorders>
              <w:top w:val="nil"/>
              <w:left w:val="nil"/>
              <w:bottom w:val="single" w:sz="4" w:space="0" w:color="auto"/>
              <w:right w:val="single" w:sz="4" w:space="0" w:color="auto"/>
            </w:tcBorders>
            <w:shd w:val="clear" w:color="auto" w:fill="auto"/>
            <w:noWrap/>
            <w:vAlign w:val="bottom"/>
            <w:hideMark/>
          </w:tcPr>
          <w:p w14:paraId="76523D37"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5%</w:t>
            </w:r>
          </w:p>
        </w:tc>
        <w:tc>
          <w:tcPr>
            <w:tcW w:w="1984" w:type="dxa"/>
            <w:tcBorders>
              <w:top w:val="nil"/>
              <w:left w:val="nil"/>
              <w:bottom w:val="single" w:sz="4" w:space="0" w:color="auto"/>
              <w:right w:val="single" w:sz="4" w:space="0" w:color="auto"/>
            </w:tcBorders>
            <w:shd w:val="clear" w:color="auto" w:fill="auto"/>
            <w:noWrap/>
            <w:vAlign w:val="bottom"/>
            <w:hideMark/>
          </w:tcPr>
          <w:p w14:paraId="4C036D40"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2,5%</w:t>
            </w:r>
          </w:p>
        </w:tc>
      </w:tr>
      <w:tr w:rsidR="00D550F1" w:rsidRPr="00D550F1" w14:paraId="35962AF0"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06C4EB"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zamestnávateľ</w:t>
            </w:r>
          </w:p>
        </w:tc>
        <w:tc>
          <w:tcPr>
            <w:tcW w:w="1985" w:type="dxa"/>
            <w:tcBorders>
              <w:top w:val="nil"/>
              <w:left w:val="nil"/>
              <w:bottom w:val="single" w:sz="4" w:space="0" w:color="auto"/>
              <w:right w:val="single" w:sz="4" w:space="0" w:color="auto"/>
            </w:tcBorders>
            <w:shd w:val="clear" w:color="auto" w:fill="auto"/>
            <w:noWrap/>
            <w:vAlign w:val="bottom"/>
            <w:hideMark/>
          </w:tcPr>
          <w:p w14:paraId="45BD57F1"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10%</w:t>
            </w:r>
          </w:p>
        </w:tc>
        <w:tc>
          <w:tcPr>
            <w:tcW w:w="1984" w:type="dxa"/>
            <w:tcBorders>
              <w:top w:val="nil"/>
              <w:left w:val="nil"/>
              <w:bottom w:val="single" w:sz="4" w:space="0" w:color="auto"/>
              <w:right w:val="single" w:sz="4" w:space="0" w:color="auto"/>
            </w:tcBorders>
            <w:shd w:val="clear" w:color="auto" w:fill="auto"/>
            <w:noWrap/>
            <w:vAlign w:val="bottom"/>
            <w:hideMark/>
          </w:tcPr>
          <w:p w14:paraId="0BE399F6"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5%</w:t>
            </w:r>
          </w:p>
        </w:tc>
      </w:tr>
      <w:tr w:rsidR="00D550F1" w:rsidRPr="00D550F1" w14:paraId="72DC5122"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FA1858"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SZČO</w:t>
            </w:r>
          </w:p>
        </w:tc>
        <w:tc>
          <w:tcPr>
            <w:tcW w:w="1985" w:type="dxa"/>
            <w:tcBorders>
              <w:top w:val="nil"/>
              <w:left w:val="nil"/>
              <w:bottom w:val="single" w:sz="4" w:space="0" w:color="auto"/>
              <w:right w:val="single" w:sz="4" w:space="0" w:color="auto"/>
            </w:tcBorders>
            <w:shd w:val="clear" w:color="auto" w:fill="auto"/>
            <w:noWrap/>
            <w:vAlign w:val="bottom"/>
            <w:hideMark/>
          </w:tcPr>
          <w:p w14:paraId="0184DC09"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15%</w:t>
            </w:r>
          </w:p>
        </w:tc>
        <w:tc>
          <w:tcPr>
            <w:tcW w:w="1984" w:type="dxa"/>
            <w:tcBorders>
              <w:top w:val="nil"/>
              <w:left w:val="nil"/>
              <w:bottom w:val="single" w:sz="4" w:space="0" w:color="auto"/>
              <w:right w:val="single" w:sz="4" w:space="0" w:color="auto"/>
            </w:tcBorders>
            <w:shd w:val="clear" w:color="auto" w:fill="auto"/>
            <w:noWrap/>
            <w:vAlign w:val="bottom"/>
            <w:hideMark/>
          </w:tcPr>
          <w:p w14:paraId="60FA069B"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7,5%</w:t>
            </w:r>
          </w:p>
        </w:tc>
      </w:tr>
      <w:tr w:rsidR="00D550F1" w:rsidRPr="00D550F1" w14:paraId="010E3470" w14:textId="77777777" w:rsidTr="003627D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216F14"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samoplatiteľ</w:t>
            </w:r>
          </w:p>
        </w:tc>
        <w:tc>
          <w:tcPr>
            <w:tcW w:w="1985" w:type="dxa"/>
            <w:tcBorders>
              <w:top w:val="nil"/>
              <w:left w:val="nil"/>
              <w:bottom w:val="single" w:sz="4" w:space="0" w:color="auto"/>
              <w:right w:val="single" w:sz="4" w:space="0" w:color="auto"/>
            </w:tcBorders>
            <w:shd w:val="clear" w:color="auto" w:fill="auto"/>
            <w:noWrap/>
            <w:vAlign w:val="bottom"/>
            <w:hideMark/>
          </w:tcPr>
          <w:p w14:paraId="62AF1121"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15%</w:t>
            </w:r>
          </w:p>
        </w:tc>
        <w:tc>
          <w:tcPr>
            <w:tcW w:w="1984" w:type="dxa"/>
            <w:tcBorders>
              <w:top w:val="nil"/>
              <w:left w:val="nil"/>
              <w:bottom w:val="single" w:sz="4" w:space="0" w:color="auto"/>
              <w:right w:val="single" w:sz="4" w:space="0" w:color="auto"/>
            </w:tcBorders>
            <w:shd w:val="clear" w:color="auto" w:fill="auto"/>
            <w:noWrap/>
            <w:vAlign w:val="bottom"/>
            <w:hideMark/>
          </w:tcPr>
          <w:p w14:paraId="71310809" w14:textId="77777777" w:rsidR="00D550F1" w:rsidRPr="00D550F1" w:rsidRDefault="00D550F1" w:rsidP="003627DF">
            <w:pPr>
              <w:spacing w:after="0" w:line="240" w:lineRule="auto"/>
              <w:jc w:val="both"/>
              <w:rPr>
                <w:rFonts w:ascii="Times New Roman" w:hAnsi="Times New Roman" w:cs="Times New Roman"/>
                <w:i/>
                <w:lang w:eastAsia="sk-SK"/>
              </w:rPr>
            </w:pPr>
            <w:r w:rsidRPr="00D550F1">
              <w:rPr>
                <w:rFonts w:ascii="Times New Roman" w:hAnsi="Times New Roman" w:cs="Times New Roman"/>
                <w:i/>
                <w:lang w:eastAsia="sk-SK"/>
              </w:rPr>
              <w:t>7,5%</w:t>
            </w:r>
          </w:p>
        </w:tc>
      </w:tr>
      <w:bookmarkEnd w:id="15"/>
    </w:tbl>
    <w:p w14:paraId="18FE6736" w14:textId="77777777" w:rsidR="00D550F1" w:rsidRPr="00D550F1" w:rsidRDefault="00D550F1" w:rsidP="00D550F1">
      <w:pPr>
        <w:spacing w:after="0" w:line="240" w:lineRule="auto"/>
        <w:rPr>
          <w:rFonts w:ascii="Times New Roman" w:hAnsi="Times New Roman" w:cs="Times New Roman"/>
        </w:rPr>
      </w:pPr>
    </w:p>
    <w:p w14:paraId="72CA30C5" w14:textId="77777777" w:rsidR="00D550F1" w:rsidRPr="00D550F1" w:rsidRDefault="00D550F1" w:rsidP="00D550F1">
      <w:pPr>
        <w:spacing w:after="0" w:line="240" w:lineRule="auto"/>
        <w:rPr>
          <w:rFonts w:ascii="Times New Roman" w:hAnsi="Times New Roman" w:cs="Times New Roman"/>
        </w:rPr>
      </w:pPr>
    </w:p>
    <w:p w14:paraId="51BDFD13" w14:textId="77777777" w:rsidR="00D550F1" w:rsidRPr="00D550F1" w:rsidRDefault="00D550F1" w:rsidP="00D550F1">
      <w:pPr>
        <w:spacing w:line="240" w:lineRule="auto"/>
        <w:rPr>
          <w:rFonts w:ascii="Times New Roman" w:hAnsi="Times New Roman" w:cs="Times New Roman"/>
          <w:b/>
          <w:u w:val="single"/>
        </w:rPr>
      </w:pPr>
      <w:r w:rsidRPr="00D550F1">
        <w:rPr>
          <w:rFonts w:ascii="Times New Roman" w:hAnsi="Times New Roman" w:cs="Times New Roman"/>
          <w:b/>
          <w:u w:val="single"/>
        </w:rPr>
        <w:t>K čl. XII (zákon č. 587/2004 Z. z.)</w:t>
      </w:r>
    </w:p>
    <w:p w14:paraId="00A29BBF" w14:textId="77777777" w:rsidR="00D550F1" w:rsidRPr="00D550F1" w:rsidRDefault="00D550F1" w:rsidP="00D550F1">
      <w:pPr>
        <w:spacing w:after="0" w:line="240" w:lineRule="auto"/>
        <w:rPr>
          <w:rFonts w:ascii="Times New Roman" w:eastAsiaTheme="majorEastAsia" w:hAnsi="Times New Roman" w:cs="Times New Roman"/>
          <w:bCs/>
        </w:rPr>
      </w:pPr>
      <w:r w:rsidRPr="00D550F1">
        <w:rPr>
          <w:rFonts w:ascii="Times New Roman" w:hAnsi="Times New Roman" w:cs="Times New Roman"/>
          <w:bCs/>
        </w:rPr>
        <w:t>Vzhľadom k úpravám v súvislosti s úhradami za vydobyté nerasty a za uskladňovanie plynov alebo kvapalín sa vypúšťa predmetný</w:t>
      </w:r>
      <w:r w:rsidRPr="00D550F1">
        <w:rPr>
          <w:rFonts w:ascii="Times New Roman" w:eastAsiaTheme="majorEastAsia" w:hAnsi="Times New Roman" w:cs="Times New Roman"/>
          <w:bCs/>
        </w:rPr>
        <w:t xml:space="preserve"> príjem z Environmentálneho fondu. </w:t>
      </w:r>
    </w:p>
    <w:p w14:paraId="793D99B1" w14:textId="77777777" w:rsidR="00D550F1" w:rsidRPr="00D550F1" w:rsidRDefault="00D550F1" w:rsidP="00D550F1">
      <w:pPr>
        <w:spacing w:after="0" w:line="240" w:lineRule="auto"/>
        <w:jc w:val="both"/>
        <w:rPr>
          <w:rFonts w:ascii="Times New Roman" w:hAnsi="Times New Roman" w:cs="Times New Roman"/>
          <w:b/>
          <w:bCs/>
          <w:u w:val="single"/>
        </w:rPr>
      </w:pPr>
    </w:p>
    <w:p w14:paraId="4B3E1B0E" w14:textId="77777777" w:rsidR="00D550F1" w:rsidRPr="00D550F1" w:rsidRDefault="00D550F1" w:rsidP="00D550F1">
      <w:pPr>
        <w:spacing w:after="0" w:line="240" w:lineRule="auto"/>
        <w:jc w:val="both"/>
        <w:rPr>
          <w:rFonts w:ascii="Times New Roman" w:hAnsi="Times New Roman" w:cs="Times New Roman"/>
          <w:b/>
          <w:bCs/>
          <w:u w:val="single"/>
        </w:rPr>
      </w:pPr>
    </w:p>
    <w:p w14:paraId="28A0C1ED" w14:textId="77777777" w:rsidR="00D550F1" w:rsidRPr="00D550F1" w:rsidRDefault="00D550F1" w:rsidP="00D550F1">
      <w:pPr>
        <w:spacing w:line="240" w:lineRule="auto"/>
        <w:jc w:val="both"/>
        <w:rPr>
          <w:rFonts w:ascii="Times New Roman" w:hAnsi="Times New Roman" w:cs="Times New Roman"/>
          <w:b/>
          <w:bCs/>
          <w:u w:val="single"/>
        </w:rPr>
      </w:pPr>
      <w:r w:rsidRPr="00D550F1">
        <w:rPr>
          <w:rFonts w:ascii="Times New Roman" w:hAnsi="Times New Roman" w:cs="Times New Roman"/>
          <w:b/>
          <w:bCs/>
          <w:u w:val="single"/>
        </w:rPr>
        <w:t>K čl. XIII (zákon č. 125/2006 Z. z.)</w:t>
      </w:r>
    </w:p>
    <w:p w14:paraId="3A3C72C5"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bodu 1 </w:t>
      </w:r>
      <w:r w:rsidRPr="00D550F1">
        <w:rPr>
          <w:rFonts w:ascii="Times New Roman" w:hAnsi="Times New Roman" w:cs="Times New Roman"/>
          <w:bCs/>
          <w:lang w:eastAsia="sk-SK"/>
        </w:rPr>
        <w:t>[§ 19 ods. 2]</w:t>
      </w:r>
    </w:p>
    <w:p w14:paraId="3C0BC8F5"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Výška sankcie za porušenie zákazu nelegálneho zamestnávania nebola zvyšovaná od roku 2011. Sankčné opatrenia sú najčastejšie používaným a úspešným prístupom k riešeniu nelegálneho zamestnávania, a taktiež aj efektívnym opatrením na boj proti fiktívnej samostatne zárobkovej činnosti. Cieľom efektívneho sankčného mechanizmu je predovšetkým zlepšenie podmienok na trhu práce a celkovej schopnosti orgánov inšpekcie práce riešiť problematiku nelegálneho zamestnávania a fiktívnych živností nevynímajúc. Konkrétne, efektívnejšie sankčné opatrenia sa môžu prejaviť vo väčšej účinnosti pri podporovaní prechodu od nelegálnej práce k legálnemu zamestnávaniu, zabráneniu opakovanému porušovaniu predpisov zo strany zamestnávateľov a zabezpečení dlhodobého dodržiavania pracovnoprávnych predpisov.</w:t>
      </w:r>
    </w:p>
    <w:p w14:paraId="2B292D3B"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lang w:eastAsia="sk-SK"/>
        </w:rPr>
        <w:t>Sankcia za porušenie je dlhodobo rovnaká a aj z dôvodu inflácie tak pomaly stráca svoj odradzujúci charakter. Taktiež sa ustanovuje dolná hranica pre subjekty, ktoré zneužívajú nelegálnu prácu viacerých osôb.</w:t>
      </w:r>
    </w:p>
    <w:p w14:paraId="65B8FC2F" w14:textId="77777777" w:rsidR="00D550F1" w:rsidRPr="00D550F1" w:rsidRDefault="00D550F1" w:rsidP="00D550F1">
      <w:pPr>
        <w:spacing w:after="0" w:line="240" w:lineRule="auto"/>
        <w:jc w:val="both"/>
        <w:rPr>
          <w:rFonts w:ascii="Times New Roman" w:hAnsi="Times New Roman" w:cs="Times New Roman"/>
        </w:rPr>
      </w:pPr>
    </w:p>
    <w:p w14:paraId="04AF896B" w14:textId="77777777" w:rsidR="00D550F1" w:rsidRPr="00D550F1" w:rsidRDefault="00D550F1" w:rsidP="00D550F1">
      <w:pPr>
        <w:pStyle w:val="Odsekzoznamu"/>
        <w:spacing w:after="0" w:line="240" w:lineRule="auto"/>
        <w:ind w:left="0"/>
        <w:contextualSpacing w:val="0"/>
        <w:jc w:val="both"/>
        <w:rPr>
          <w:rFonts w:ascii="Times New Roman" w:hAnsi="Times New Roman" w:cs="Times New Roman"/>
          <w:b/>
          <w:lang w:eastAsia="sk-SK"/>
        </w:rPr>
      </w:pPr>
      <w:r w:rsidRPr="00D550F1">
        <w:rPr>
          <w:rFonts w:ascii="Times New Roman" w:hAnsi="Times New Roman" w:cs="Times New Roman"/>
          <w:b/>
          <w:lang w:eastAsia="sk-SK"/>
        </w:rPr>
        <w:t xml:space="preserve">K bodu 2 </w:t>
      </w:r>
      <w:r w:rsidRPr="00D550F1">
        <w:rPr>
          <w:rFonts w:ascii="Times New Roman" w:hAnsi="Times New Roman" w:cs="Times New Roman"/>
          <w:bCs/>
          <w:lang w:eastAsia="sk-SK"/>
        </w:rPr>
        <w:t>[§ 19 ods. 7]</w:t>
      </w:r>
    </w:p>
    <w:p w14:paraId="5D378863"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Zavádza sa zníženie výšky uloženej pokuty o jednu tretinu z pôvodne uloženej výšky sankcie v prípade včasného uhradenia dvoch tretín pokuty na bankový účet uvedený v rozhodnutí. Odpustenie výšky pokuty je bežnou praxou aj v iných členských štátoch (napr. Španielsko, Grécko). Takáto úprava predpokladá predovšetkým aj zefektívnenie výberu uložených sankcií.</w:t>
      </w:r>
    </w:p>
    <w:p w14:paraId="367838D9" w14:textId="77777777" w:rsidR="00D550F1" w:rsidRPr="00D550F1" w:rsidRDefault="00D550F1" w:rsidP="00D550F1">
      <w:pPr>
        <w:spacing w:after="0" w:line="240" w:lineRule="auto"/>
        <w:jc w:val="both"/>
        <w:rPr>
          <w:rFonts w:ascii="Times New Roman" w:hAnsi="Times New Roman" w:cs="Times New Roman"/>
          <w:b/>
          <w:bCs/>
          <w:u w:val="single"/>
        </w:rPr>
      </w:pPr>
    </w:p>
    <w:p w14:paraId="3D29B27A" w14:textId="77777777" w:rsidR="00D550F1" w:rsidRPr="00D550F1" w:rsidRDefault="00D550F1" w:rsidP="00D550F1">
      <w:pPr>
        <w:spacing w:line="240" w:lineRule="auto"/>
        <w:jc w:val="both"/>
        <w:rPr>
          <w:rFonts w:ascii="Times New Roman" w:hAnsi="Times New Roman" w:cs="Times New Roman"/>
          <w:b/>
          <w:bCs/>
          <w:u w:val="single"/>
        </w:rPr>
      </w:pPr>
    </w:p>
    <w:p w14:paraId="03B0BD67" w14:textId="77777777" w:rsidR="00D550F1" w:rsidRPr="00D550F1" w:rsidRDefault="00D550F1" w:rsidP="00D550F1">
      <w:pPr>
        <w:spacing w:line="240" w:lineRule="auto"/>
        <w:jc w:val="both"/>
        <w:rPr>
          <w:rFonts w:ascii="Times New Roman" w:hAnsi="Times New Roman" w:cs="Times New Roman"/>
          <w:b/>
          <w:bCs/>
          <w:u w:val="single"/>
        </w:rPr>
      </w:pPr>
    </w:p>
    <w:p w14:paraId="2E5ECC0C" w14:textId="77777777" w:rsidR="00D550F1" w:rsidRPr="00D550F1" w:rsidRDefault="00D550F1" w:rsidP="00D550F1">
      <w:pPr>
        <w:spacing w:line="240" w:lineRule="auto"/>
        <w:jc w:val="both"/>
        <w:rPr>
          <w:rFonts w:ascii="Times New Roman" w:hAnsi="Times New Roman" w:cs="Times New Roman"/>
          <w:b/>
          <w:bCs/>
          <w:u w:val="single"/>
        </w:rPr>
      </w:pPr>
      <w:r w:rsidRPr="00D550F1">
        <w:rPr>
          <w:rFonts w:ascii="Times New Roman" w:hAnsi="Times New Roman" w:cs="Times New Roman"/>
          <w:b/>
          <w:bCs/>
          <w:u w:val="single"/>
        </w:rPr>
        <w:t>K čl. XIV (zákon č. 492/2009 Z. z.)</w:t>
      </w:r>
    </w:p>
    <w:p w14:paraId="05C6A19C"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1 </w:t>
      </w:r>
      <w:r w:rsidRPr="00D550F1">
        <w:rPr>
          <w:rFonts w:ascii="Times New Roman" w:hAnsi="Times New Roman" w:cs="Times New Roman"/>
          <w:bCs/>
        </w:rPr>
        <w:t>[§ 98a]</w:t>
      </w:r>
    </w:p>
    <w:p w14:paraId="30328875"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 xml:space="preserve">Ustanovenie § 98a zákona o platobných službách sa upravuje z dôvodu, že blokovanie platieb v prospech účtu, ktorý používa osoba poskytujúca zakázanú ponuku na účely prijímania vkladu do hry, ako aj vo vzťahu k obchodníkovi, ak sa účely prijímania vkladu do hry uskutočňujú platobné transakcie prostredníctvom obchodníka, sa nebude vykonávať na základe príkazu súdu, ale priamo na základe zoznamu zakázaných ponúk vedeného Úradom pre reguláciu hazardných hier, ktorý bude takéto čísla účtov a identifikačné čísla obchodníkov obsahovať a ktorý bude zverejňovaný na webovom sídle úradu a aktualizovaný na týždennej báze, pričom sa táto povinnosť bude musieť začať plniť najneskôr do 5 dní od zverejnenia zoznamu zakázaných ponúk alebo jeho aktualizácie. Zároveň bude obdobne platiť, že ak bude nejaké číslo účtu alebo identifikačné číslo obchodníka zo zoznamu zakázaných ponúk vymazané, poskytovateľ platobných služieb platobné transakcie v prospech tohto účtu alebo obchodníka bezodkladne obnoví.  </w:t>
      </w:r>
    </w:p>
    <w:p w14:paraId="1DA9BF7B"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2 </w:t>
      </w:r>
      <w:r w:rsidRPr="00D550F1">
        <w:rPr>
          <w:rFonts w:ascii="Times New Roman" w:hAnsi="Times New Roman" w:cs="Times New Roman"/>
          <w:bCs/>
        </w:rPr>
        <w:t>[§ 101j]</w:t>
      </w:r>
    </w:p>
    <w:p w14:paraId="14239665" w14:textId="77777777" w:rsidR="00D550F1" w:rsidRPr="00D550F1" w:rsidRDefault="00D550F1" w:rsidP="00D550F1">
      <w:pPr>
        <w:spacing w:after="0" w:line="240" w:lineRule="auto"/>
        <w:jc w:val="both"/>
        <w:rPr>
          <w:rFonts w:ascii="Times New Roman" w:hAnsi="Times New Roman" w:cs="Times New Roman"/>
          <w:b/>
          <w:bCs/>
          <w:u w:val="single"/>
        </w:rPr>
      </w:pPr>
      <w:r w:rsidRPr="00D550F1">
        <w:rPr>
          <w:rFonts w:ascii="Times New Roman" w:hAnsi="Times New Roman" w:cs="Times New Roman"/>
          <w:bCs/>
        </w:rPr>
        <w:t>V súvislosti s úpravou § 98a je potrebné do zákona doplniť prechodné ustanovenie, v zmysle  ktorého sa povinnosti podľa nového režimu začnú prvýkrát plniť na základe zoznamu zakázaných ponúk zverejneného Úradom pre reguláciu hazardných hier po 31. decembri 2025.</w:t>
      </w:r>
    </w:p>
    <w:p w14:paraId="344D69D3" w14:textId="77777777" w:rsidR="00D550F1" w:rsidRPr="00D550F1" w:rsidRDefault="00D550F1" w:rsidP="00D550F1">
      <w:pPr>
        <w:spacing w:after="0" w:line="240" w:lineRule="auto"/>
        <w:jc w:val="both"/>
        <w:rPr>
          <w:rFonts w:ascii="Times New Roman" w:hAnsi="Times New Roman" w:cs="Times New Roman"/>
          <w:b/>
          <w:bCs/>
          <w:u w:val="single"/>
        </w:rPr>
      </w:pPr>
    </w:p>
    <w:p w14:paraId="18E181EC" w14:textId="77777777" w:rsidR="00D550F1" w:rsidRPr="00D550F1" w:rsidRDefault="00D550F1" w:rsidP="00D550F1">
      <w:pPr>
        <w:spacing w:after="0" w:line="240" w:lineRule="auto"/>
        <w:jc w:val="both"/>
        <w:rPr>
          <w:rFonts w:ascii="Times New Roman" w:hAnsi="Times New Roman" w:cs="Times New Roman"/>
          <w:b/>
          <w:bCs/>
          <w:u w:val="single"/>
        </w:rPr>
      </w:pPr>
    </w:p>
    <w:p w14:paraId="1E41EC0A" w14:textId="77777777" w:rsidR="00D550F1" w:rsidRPr="00D550F1" w:rsidRDefault="00D550F1" w:rsidP="00D550F1">
      <w:pPr>
        <w:spacing w:line="240" w:lineRule="auto"/>
        <w:jc w:val="both"/>
        <w:rPr>
          <w:rFonts w:ascii="Times New Roman" w:hAnsi="Times New Roman" w:cs="Times New Roman"/>
          <w:b/>
          <w:bCs/>
          <w:u w:val="single"/>
        </w:rPr>
      </w:pPr>
      <w:r w:rsidRPr="00D550F1">
        <w:rPr>
          <w:rFonts w:ascii="Times New Roman" w:hAnsi="Times New Roman" w:cs="Times New Roman"/>
          <w:b/>
          <w:bCs/>
          <w:u w:val="single"/>
        </w:rPr>
        <w:t>K čl. XV (zákon č. 235/2012 Z. z.)</w:t>
      </w:r>
    </w:p>
    <w:p w14:paraId="6209030A" w14:textId="77777777" w:rsidR="00D550F1" w:rsidRPr="00D550F1" w:rsidRDefault="00D550F1" w:rsidP="00D550F1">
      <w:pPr>
        <w:spacing w:after="0" w:line="240" w:lineRule="auto"/>
        <w:jc w:val="both"/>
        <w:rPr>
          <w:rFonts w:ascii="Times New Roman" w:hAnsi="Times New Roman" w:cs="Times New Roman"/>
          <w:b/>
          <w:bCs/>
        </w:rPr>
      </w:pPr>
      <w:r w:rsidRPr="00D550F1">
        <w:rPr>
          <w:rFonts w:ascii="Times New Roman" w:hAnsi="Times New Roman" w:cs="Times New Roman"/>
          <w:b/>
          <w:bCs/>
        </w:rPr>
        <w:t xml:space="preserve">K bodu 1 </w:t>
      </w:r>
      <w:r w:rsidRPr="00D550F1">
        <w:rPr>
          <w:rFonts w:ascii="Times New Roman" w:hAnsi="Times New Roman" w:cs="Times New Roman"/>
        </w:rPr>
        <w:t>[poznámka pod čiarou k odkazu 12]</w:t>
      </w:r>
    </w:p>
    <w:p w14:paraId="0EC67472"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Aktualizácia poznámky pod čiarou. </w:t>
      </w:r>
    </w:p>
    <w:p w14:paraId="6E6DFCC6" w14:textId="77777777" w:rsidR="00D550F1" w:rsidRPr="00D550F1" w:rsidRDefault="00D550F1" w:rsidP="00D550F1">
      <w:pPr>
        <w:spacing w:after="0" w:line="240" w:lineRule="auto"/>
        <w:jc w:val="both"/>
        <w:rPr>
          <w:rFonts w:ascii="Times New Roman" w:hAnsi="Times New Roman" w:cs="Times New Roman"/>
          <w:b/>
          <w:bCs/>
        </w:rPr>
      </w:pPr>
      <w:r w:rsidRPr="00D550F1">
        <w:rPr>
          <w:rFonts w:ascii="Times New Roman" w:hAnsi="Times New Roman" w:cs="Times New Roman"/>
          <w:b/>
          <w:bCs/>
        </w:rPr>
        <w:t xml:space="preserve">K bodom 2, 3 a 6 </w:t>
      </w:r>
      <w:r w:rsidRPr="00D550F1">
        <w:rPr>
          <w:rFonts w:ascii="Times New Roman" w:hAnsi="Times New Roman" w:cs="Times New Roman"/>
        </w:rPr>
        <w:t>[§ 6, § 17]</w:t>
      </w:r>
    </w:p>
    <w:p w14:paraId="0C871D16"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Zavádza sa vyššia sadzba pre regulovanú osobu, ktorá je dôchodkovou správcovskou spoločnosťou, doplnkovou dôchodkovou spoločnosťou, alebo správcovskou spoločnosťou vykonávajúcou činnosť v oblasti kolektívneho investovania na základe povolenia udeleného NBS podľa osobitných predpisov, resp. vydaného príslušným regulačným orgánom v inom členskom štáte EÚ a štáte, ktorý je zmluvnou stranou Dohody o EHS. Táto zvýšená sadzba sa prvýkrát použije na odvodové obdobie patriace do účtovného obdobia, ktoré začína po 31. decembri 2025.</w:t>
      </w:r>
    </w:p>
    <w:p w14:paraId="367390DC" w14:textId="77777777" w:rsidR="00D550F1" w:rsidRPr="00D550F1" w:rsidRDefault="00D550F1" w:rsidP="00D550F1">
      <w:pPr>
        <w:spacing w:after="0" w:line="240" w:lineRule="auto"/>
        <w:jc w:val="both"/>
        <w:rPr>
          <w:rFonts w:ascii="Times New Roman" w:hAnsi="Times New Roman" w:cs="Times New Roman"/>
          <w:b/>
          <w:bCs/>
        </w:rPr>
      </w:pPr>
      <w:r w:rsidRPr="00D550F1">
        <w:rPr>
          <w:rFonts w:ascii="Times New Roman" w:hAnsi="Times New Roman" w:cs="Times New Roman"/>
          <w:b/>
          <w:bCs/>
        </w:rPr>
        <w:t xml:space="preserve">K bodu 4 </w:t>
      </w:r>
      <w:r w:rsidRPr="00D550F1">
        <w:rPr>
          <w:rFonts w:ascii="Times New Roman" w:hAnsi="Times New Roman" w:cs="Times New Roman"/>
        </w:rPr>
        <w:t>[§ 7]</w:t>
      </w:r>
    </w:p>
    <w:p w14:paraId="0A8926C9"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Ide o legislatívne spresnenie textu vo vzťahu k použitiu sadzby pri výpočte odvodu.</w:t>
      </w:r>
    </w:p>
    <w:p w14:paraId="4AA19ED9" w14:textId="77777777" w:rsidR="00D550F1" w:rsidRPr="00D550F1" w:rsidRDefault="00D550F1" w:rsidP="00D550F1">
      <w:pPr>
        <w:spacing w:after="0" w:line="240" w:lineRule="auto"/>
        <w:jc w:val="both"/>
        <w:rPr>
          <w:rFonts w:ascii="Times New Roman" w:hAnsi="Times New Roman" w:cs="Times New Roman"/>
          <w:b/>
          <w:bCs/>
          <w:u w:val="single"/>
        </w:rPr>
      </w:pPr>
      <w:r w:rsidRPr="00D550F1">
        <w:rPr>
          <w:rFonts w:ascii="Times New Roman" w:hAnsi="Times New Roman" w:cs="Times New Roman"/>
          <w:b/>
          <w:bCs/>
          <w:u w:val="single"/>
        </w:rPr>
        <w:t>Príklad:</w:t>
      </w:r>
    </w:p>
    <w:p w14:paraId="3557BCA8"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Spoločnosť ABC, má oprávnenie na výkon činností v týchto regulovaných oblastiach:</w:t>
      </w:r>
    </w:p>
    <w:p w14:paraId="01ED3A00" w14:textId="77777777" w:rsidR="00D550F1" w:rsidRPr="00D550F1" w:rsidRDefault="00D550F1" w:rsidP="00D550F1">
      <w:pPr>
        <w:numPr>
          <w:ilvl w:val="0"/>
          <w:numId w:val="3"/>
        </w:numPr>
        <w:spacing w:after="0" w:line="240" w:lineRule="auto"/>
        <w:jc w:val="both"/>
        <w:rPr>
          <w:rFonts w:ascii="Times New Roman" w:hAnsi="Times New Roman" w:cs="Times New Roman"/>
        </w:rPr>
      </w:pPr>
      <w:r w:rsidRPr="00D550F1">
        <w:rPr>
          <w:rFonts w:ascii="Times New Roman" w:hAnsi="Times New Roman" w:cs="Times New Roman"/>
        </w:rPr>
        <w:t>poštových služieb – sadzba odvodu: 0,00363</w:t>
      </w:r>
    </w:p>
    <w:p w14:paraId="04D6B1A0" w14:textId="77777777" w:rsidR="00D550F1" w:rsidRPr="00D550F1" w:rsidRDefault="00D550F1" w:rsidP="00D550F1">
      <w:pPr>
        <w:numPr>
          <w:ilvl w:val="0"/>
          <w:numId w:val="3"/>
        </w:numPr>
        <w:spacing w:line="240" w:lineRule="auto"/>
        <w:jc w:val="both"/>
        <w:rPr>
          <w:rFonts w:ascii="Times New Roman" w:hAnsi="Times New Roman" w:cs="Times New Roman"/>
        </w:rPr>
      </w:pPr>
      <w:r w:rsidRPr="00D550F1">
        <w:rPr>
          <w:rFonts w:ascii="Times New Roman" w:hAnsi="Times New Roman" w:cs="Times New Roman"/>
        </w:rPr>
        <w:t>elektronických komunikácií – sadzba odvodu: 0,01576</w:t>
      </w:r>
    </w:p>
    <w:p w14:paraId="3B68ED44" w14:textId="77777777" w:rsidR="00D550F1" w:rsidRPr="00D550F1" w:rsidRDefault="00D550F1" w:rsidP="00D550F1">
      <w:pPr>
        <w:spacing w:line="240" w:lineRule="auto"/>
        <w:jc w:val="both"/>
        <w:rPr>
          <w:rFonts w:ascii="Times New Roman" w:hAnsi="Times New Roman" w:cs="Times New Roman"/>
          <w:u w:val="single"/>
        </w:rPr>
      </w:pPr>
      <w:r w:rsidRPr="00D550F1">
        <w:rPr>
          <w:rFonts w:ascii="Times New Roman" w:hAnsi="Times New Roman" w:cs="Times New Roman"/>
          <w:u w:val="single"/>
        </w:rPr>
        <w:t>Spoločnosť ABC na výpočet odvodu použije vyššiu sadzbu, t. j. 0,01576.</w:t>
      </w:r>
    </w:p>
    <w:p w14:paraId="436325A2"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Spoločnosť vykázala výsledok hospodárenia vo výške 4 000 000 eur.</w:t>
      </w:r>
    </w:p>
    <w:p w14:paraId="4DA77D89"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Spoločnosť vykázala celkové výnosy vo výške 10 000 000 eur. </w:t>
      </w:r>
    </w:p>
    <w:p w14:paraId="2D87C7C3"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Z toho výnosy z regulovaných činností 9 000 000 eur:</w:t>
      </w:r>
    </w:p>
    <w:p w14:paraId="4D075942"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 v oblasti poštových služieb 7 000 000 eur a </w:t>
      </w:r>
    </w:p>
    <w:p w14:paraId="2DF81584"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 v oblasti elektronických komunikácií 2 000 000 eur. </w:t>
      </w:r>
    </w:p>
    <w:p w14:paraId="215E28F2"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Pre výpočet základu obvodu sa použije koeficient 0,9.</w:t>
      </w:r>
    </w:p>
    <w:p w14:paraId="34558409"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Výpočet základu odvodu:</w:t>
      </w:r>
    </w:p>
    <w:p w14:paraId="4FB728FB"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výsledok hospodárenia 4 000 000 eur x koeficient 0,9 = 3 600 000 eur</w:t>
      </w:r>
    </w:p>
    <w:p w14:paraId="40AC0B9C"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 xml:space="preserve">Výpočet mesačného odvodu: </w:t>
      </w:r>
    </w:p>
    <w:p w14:paraId="23464520"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základ odvodu 3 600 000 eur x sadzba 0,01576 = 56 736 eur (mesačne).</w:t>
      </w:r>
    </w:p>
    <w:p w14:paraId="59D6B437" w14:textId="77777777" w:rsidR="00D550F1" w:rsidRPr="00D550F1" w:rsidRDefault="00D550F1" w:rsidP="00D550F1">
      <w:pPr>
        <w:spacing w:after="0" w:line="240" w:lineRule="auto"/>
        <w:jc w:val="both"/>
        <w:rPr>
          <w:rFonts w:ascii="Times New Roman" w:hAnsi="Times New Roman" w:cs="Times New Roman"/>
          <w:b/>
          <w:bCs/>
        </w:rPr>
      </w:pPr>
      <w:r w:rsidRPr="00D550F1">
        <w:rPr>
          <w:rFonts w:ascii="Times New Roman" w:hAnsi="Times New Roman" w:cs="Times New Roman"/>
          <w:b/>
          <w:bCs/>
        </w:rPr>
        <w:t xml:space="preserve">K bodu 5 </w:t>
      </w:r>
      <w:r w:rsidRPr="00D550F1">
        <w:rPr>
          <w:rFonts w:ascii="Times New Roman" w:hAnsi="Times New Roman" w:cs="Times New Roman"/>
        </w:rPr>
        <w:t>[§ 8]</w:t>
      </w:r>
    </w:p>
    <w:p w14:paraId="1CCC88C9"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Návrhom sa dopĺňa povinnosť regulovanej osoby podať oznámenie o vyrubení odvodu aj v prípade zmeny sadzby odvodu. Ak dôjde k zmene sumy sadzby odvodu bude regulovaná osoba povinná doručiť správcovi odvodu písomné oznámenie, a to do konca kalendárneho mesiaca nasledujúceho po mesiaci, v ktorom sa dozvedela, že došlo k zmene sadzby odvodu.</w:t>
      </w:r>
    </w:p>
    <w:p w14:paraId="6DA84296" w14:textId="77777777" w:rsidR="00D550F1" w:rsidRPr="00D550F1" w:rsidRDefault="00D550F1" w:rsidP="00D550F1">
      <w:pPr>
        <w:spacing w:after="0" w:line="240" w:lineRule="auto"/>
        <w:jc w:val="both"/>
        <w:rPr>
          <w:rStyle w:val="Zstupntext"/>
          <w:rFonts w:eastAsiaTheme="majorEastAsia"/>
          <w:b/>
          <w:color w:val="auto"/>
          <w:u w:val="single"/>
        </w:rPr>
      </w:pPr>
    </w:p>
    <w:p w14:paraId="6B0F5DD7" w14:textId="77777777" w:rsidR="00D550F1" w:rsidRPr="00D550F1" w:rsidRDefault="00D550F1" w:rsidP="00D550F1">
      <w:pPr>
        <w:spacing w:after="0" w:line="240" w:lineRule="auto"/>
        <w:jc w:val="both"/>
        <w:rPr>
          <w:rStyle w:val="Zstupntext"/>
          <w:rFonts w:eastAsiaTheme="majorEastAsia"/>
          <w:b/>
          <w:color w:val="auto"/>
          <w:u w:val="single"/>
        </w:rPr>
      </w:pPr>
    </w:p>
    <w:p w14:paraId="478FE9EE" w14:textId="77777777" w:rsidR="00D550F1" w:rsidRPr="00D550F1" w:rsidRDefault="00D550F1" w:rsidP="00D550F1">
      <w:pPr>
        <w:spacing w:line="240" w:lineRule="auto"/>
        <w:jc w:val="both"/>
        <w:rPr>
          <w:rStyle w:val="Zstupntext"/>
          <w:rFonts w:eastAsiaTheme="majorEastAsia"/>
          <w:b/>
          <w:color w:val="auto"/>
          <w:u w:val="single"/>
        </w:rPr>
      </w:pPr>
      <w:r w:rsidRPr="00D550F1">
        <w:rPr>
          <w:rStyle w:val="Zstupntext"/>
          <w:rFonts w:eastAsiaTheme="majorEastAsia"/>
          <w:b/>
          <w:color w:val="auto"/>
          <w:u w:val="single"/>
        </w:rPr>
        <w:t>K čl. XVI (zákon č. 39/2015 Z. z.)</w:t>
      </w:r>
    </w:p>
    <w:p w14:paraId="770E2DCB" w14:textId="77777777" w:rsidR="00D550F1" w:rsidRPr="00D550F1" w:rsidRDefault="00D550F1" w:rsidP="00D550F1">
      <w:pPr>
        <w:spacing w:after="0" w:line="240" w:lineRule="auto"/>
        <w:jc w:val="both"/>
        <w:rPr>
          <w:rFonts w:ascii="Times New Roman" w:eastAsiaTheme="majorEastAsia" w:hAnsi="Times New Roman" w:cs="Times New Roman"/>
          <w:b/>
        </w:rPr>
      </w:pPr>
      <w:r w:rsidRPr="00D550F1">
        <w:rPr>
          <w:rFonts w:ascii="Times New Roman" w:eastAsiaTheme="majorEastAsia" w:hAnsi="Times New Roman" w:cs="Times New Roman"/>
          <w:b/>
          <w:bCs/>
        </w:rPr>
        <w:t>K bodu 1</w:t>
      </w:r>
      <w:r w:rsidRPr="00D550F1">
        <w:rPr>
          <w:rFonts w:ascii="Times New Roman" w:eastAsiaTheme="majorEastAsia" w:hAnsi="Times New Roman" w:cs="Times New Roman"/>
          <w:b/>
        </w:rPr>
        <w:t xml:space="preserve"> </w:t>
      </w:r>
      <w:r w:rsidRPr="00D550F1">
        <w:rPr>
          <w:rFonts w:ascii="Times New Roman" w:eastAsiaTheme="majorEastAsia" w:hAnsi="Times New Roman" w:cs="Times New Roman"/>
          <w:bCs/>
        </w:rPr>
        <w:t>[§ 68]</w:t>
      </w:r>
    </w:p>
    <w:p w14:paraId="75FFB8E2" w14:textId="77777777" w:rsidR="00D550F1" w:rsidRPr="00D550F1" w:rsidRDefault="00D550F1" w:rsidP="00D550F1">
      <w:pPr>
        <w:spacing w:line="240" w:lineRule="auto"/>
        <w:jc w:val="both"/>
        <w:rPr>
          <w:rFonts w:ascii="Times New Roman" w:eastAsiaTheme="majorEastAsia" w:hAnsi="Times New Roman" w:cs="Times New Roman"/>
          <w:bCs/>
        </w:rPr>
      </w:pPr>
      <w:r w:rsidRPr="00D550F1">
        <w:rPr>
          <w:rFonts w:ascii="Times New Roman" w:eastAsiaTheme="majorEastAsia" w:hAnsi="Times New Roman" w:cs="Times New Roman"/>
          <w:bCs/>
        </w:rPr>
        <w:t xml:space="preserve">Navrhuje sa zvýšenie odvodu časti poistného z povinného zmluvného poistenia zodpovednosti za škodu spôsobenú prevádzkou motorového vozidla z 8 % na 10 %. Takto odvedené finančné prostriedky sú príjmom osobitného účtu Ministerstva vnútra Slovenskej republiky a rozdeľujú sa hasičským jednotkám a jednotlivým zložkám ministerstva vnútra na zabezpečenie ich materiálno-technického vybavenia, jeho údržbu a prevádzkovanie. </w:t>
      </w:r>
    </w:p>
    <w:p w14:paraId="6E64A4EB" w14:textId="77777777" w:rsidR="00D550F1" w:rsidRPr="00D550F1" w:rsidRDefault="00D550F1" w:rsidP="00D550F1">
      <w:pPr>
        <w:spacing w:after="0" w:line="240" w:lineRule="auto"/>
        <w:jc w:val="both"/>
        <w:rPr>
          <w:rFonts w:ascii="Times New Roman" w:eastAsiaTheme="majorEastAsia" w:hAnsi="Times New Roman" w:cs="Times New Roman"/>
          <w:b/>
        </w:rPr>
      </w:pPr>
      <w:r w:rsidRPr="00D550F1">
        <w:rPr>
          <w:rFonts w:ascii="Times New Roman" w:eastAsiaTheme="majorEastAsia" w:hAnsi="Times New Roman" w:cs="Times New Roman"/>
          <w:b/>
          <w:bCs/>
        </w:rPr>
        <w:t>K bodu 2</w:t>
      </w:r>
      <w:r w:rsidRPr="00D550F1">
        <w:rPr>
          <w:rFonts w:ascii="Times New Roman" w:eastAsiaTheme="majorEastAsia" w:hAnsi="Times New Roman" w:cs="Times New Roman"/>
          <w:b/>
        </w:rPr>
        <w:t xml:space="preserve"> </w:t>
      </w:r>
      <w:r w:rsidRPr="00D550F1">
        <w:rPr>
          <w:rFonts w:ascii="Times New Roman" w:eastAsiaTheme="majorEastAsia" w:hAnsi="Times New Roman" w:cs="Times New Roman"/>
          <w:bCs/>
        </w:rPr>
        <w:t>[§ 205ba]</w:t>
      </w:r>
    </w:p>
    <w:p w14:paraId="2617BE17" w14:textId="77777777" w:rsidR="00D550F1" w:rsidRPr="00D550F1" w:rsidRDefault="00D550F1" w:rsidP="00D550F1">
      <w:pPr>
        <w:spacing w:after="0" w:line="240" w:lineRule="auto"/>
        <w:jc w:val="both"/>
        <w:rPr>
          <w:rFonts w:ascii="Times New Roman" w:eastAsiaTheme="majorEastAsia" w:hAnsi="Times New Roman" w:cs="Times New Roman"/>
          <w:bCs/>
        </w:rPr>
      </w:pPr>
      <w:r w:rsidRPr="00D550F1">
        <w:rPr>
          <w:rFonts w:ascii="Times New Roman" w:eastAsiaTheme="majorEastAsia" w:hAnsi="Times New Roman" w:cs="Times New Roman"/>
          <w:bCs/>
        </w:rPr>
        <w:t>Poisťovňa, poisťovňa z iného členského štátu a pobočka zahraničnej poisťovne odvedú 10 % z prijatého poistného z povinného zmluvného poistenia zodpovednosti za škodu spôsobenú prevádzkou motorového vozidla z činnosti vykonávanej na území Slovenskej republiky za  kalendárny rok 2026 na osobitný účet Ministerstva vnútra Slovenskej republiky do konca februára 2027.</w:t>
      </w:r>
    </w:p>
    <w:p w14:paraId="77E42F6D" w14:textId="77777777" w:rsidR="00D550F1" w:rsidRPr="00D550F1" w:rsidRDefault="00D550F1" w:rsidP="00D550F1">
      <w:pPr>
        <w:spacing w:after="0" w:line="240" w:lineRule="auto"/>
        <w:jc w:val="both"/>
        <w:rPr>
          <w:rStyle w:val="Zstupntext"/>
          <w:rFonts w:eastAsiaTheme="majorEastAsia"/>
          <w:b/>
          <w:color w:val="auto"/>
          <w:u w:val="single"/>
        </w:rPr>
      </w:pPr>
    </w:p>
    <w:p w14:paraId="07FC55D9" w14:textId="77777777" w:rsidR="00D550F1" w:rsidRPr="00D550F1" w:rsidRDefault="00D550F1" w:rsidP="00D550F1">
      <w:pPr>
        <w:spacing w:after="0" w:line="240" w:lineRule="auto"/>
        <w:jc w:val="both"/>
        <w:rPr>
          <w:rStyle w:val="Zstupntext"/>
          <w:rFonts w:eastAsiaTheme="majorEastAsia"/>
          <w:b/>
          <w:color w:val="auto"/>
          <w:u w:val="single"/>
        </w:rPr>
      </w:pPr>
    </w:p>
    <w:p w14:paraId="76761303" w14:textId="77777777" w:rsidR="00D550F1" w:rsidRPr="00D550F1" w:rsidRDefault="00D550F1" w:rsidP="00D550F1">
      <w:pPr>
        <w:spacing w:line="240" w:lineRule="auto"/>
        <w:jc w:val="both"/>
        <w:rPr>
          <w:rStyle w:val="Zstupntext"/>
          <w:rFonts w:eastAsiaTheme="majorEastAsia"/>
          <w:b/>
          <w:color w:val="auto"/>
          <w:u w:val="single"/>
        </w:rPr>
      </w:pPr>
      <w:r w:rsidRPr="00D550F1">
        <w:rPr>
          <w:rStyle w:val="Zstupntext"/>
          <w:rFonts w:eastAsiaTheme="majorEastAsia"/>
          <w:b/>
          <w:color w:val="auto"/>
          <w:u w:val="single"/>
        </w:rPr>
        <w:t>K čl. XVII (zákon č. 213/2018 Z. z.)</w:t>
      </w:r>
    </w:p>
    <w:p w14:paraId="2AC4483C"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b/>
        </w:rPr>
        <w:t xml:space="preserve">K bodu 1 </w:t>
      </w:r>
      <w:r w:rsidRPr="00D550F1">
        <w:rPr>
          <w:rFonts w:ascii="Times New Roman" w:hAnsi="Times New Roman" w:cs="Times New Roman"/>
        </w:rPr>
        <w:sym w:font="Symbol" w:char="F05B"/>
      </w:r>
      <w:r w:rsidRPr="00D550F1">
        <w:rPr>
          <w:rFonts w:ascii="Times New Roman" w:hAnsi="Times New Roman" w:cs="Times New Roman"/>
        </w:rPr>
        <w:t>§ 2 písm. e)</w:t>
      </w:r>
      <w:r w:rsidRPr="00D550F1">
        <w:rPr>
          <w:rFonts w:ascii="Times New Roman" w:hAnsi="Times New Roman" w:cs="Times New Roman"/>
        </w:rPr>
        <w:sym w:font="Symbol" w:char="F05D"/>
      </w:r>
    </w:p>
    <w:p w14:paraId="4714003C"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Do základných ustanovení sa vkladá definícia poistného obdobia. </w:t>
      </w:r>
    </w:p>
    <w:p w14:paraId="6559E0DA"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b/>
          <w:bCs/>
        </w:rPr>
        <w:t xml:space="preserve">K bodu 2 </w:t>
      </w:r>
      <w:r w:rsidRPr="00D550F1">
        <w:rPr>
          <w:rFonts w:ascii="Times New Roman" w:hAnsi="Times New Roman" w:cs="Times New Roman"/>
        </w:rPr>
        <w:sym w:font="Symbol" w:char="F05B"/>
      </w:r>
      <w:r w:rsidRPr="00D550F1">
        <w:rPr>
          <w:rFonts w:ascii="Times New Roman" w:hAnsi="Times New Roman" w:cs="Times New Roman"/>
        </w:rPr>
        <w:t>§ 8 písm. a)</w:t>
      </w:r>
      <w:r w:rsidRPr="00D550F1">
        <w:rPr>
          <w:rFonts w:ascii="Times New Roman" w:hAnsi="Times New Roman" w:cs="Times New Roman"/>
        </w:rPr>
        <w:sym w:font="Symbol" w:char="F05D"/>
      </w:r>
    </w:p>
    <w:p w14:paraId="4413E9FB"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Z dôvodu konsolidácie verejných financií sa navrhuje zvýšenie sadzby dane z poistenia z aktuálnych 8 % na 10 % zo základu dane. </w:t>
      </w:r>
    </w:p>
    <w:p w14:paraId="4B041368"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b/>
        </w:rPr>
        <w:t xml:space="preserve">K bodu 3 </w:t>
      </w:r>
      <w:r w:rsidRPr="00D550F1">
        <w:rPr>
          <w:rFonts w:ascii="Times New Roman" w:hAnsi="Times New Roman" w:cs="Times New Roman"/>
        </w:rPr>
        <w:sym w:font="Symbol" w:char="F05B"/>
      </w:r>
      <w:r w:rsidRPr="00D550F1">
        <w:rPr>
          <w:rFonts w:ascii="Times New Roman" w:hAnsi="Times New Roman" w:cs="Times New Roman"/>
        </w:rPr>
        <w:t>§ 13a</w:t>
      </w:r>
      <w:r w:rsidRPr="00D550F1">
        <w:rPr>
          <w:rFonts w:ascii="Times New Roman" w:hAnsi="Times New Roman" w:cs="Times New Roman"/>
        </w:rPr>
        <w:sym w:font="Symbol" w:char="F05D"/>
      </w:r>
    </w:p>
    <w:p w14:paraId="766952B9"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V nadväznosti na zmenu sadzby dane z 8 % na 10 % zo základu dane sa zavádza prechodné ustanovenie. Účelom daného ustanovenia je zabezpečiť plynulý prechod k uplatňovaniu 10 % sadzby dane a zamedziť retroaktívnemu pôsobeniu novej právnej úpravy.</w:t>
      </w:r>
    </w:p>
    <w:p w14:paraId="41976A29" w14:textId="77777777" w:rsidR="00D550F1" w:rsidRPr="00D550F1" w:rsidRDefault="00D550F1" w:rsidP="00D550F1">
      <w:pPr>
        <w:spacing w:after="0" w:line="240" w:lineRule="auto"/>
        <w:jc w:val="both"/>
        <w:rPr>
          <w:rFonts w:ascii="Times New Roman" w:hAnsi="Times New Roman" w:cs="Times New Roman"/>
        </w:rPr>
      </w:pPr>
    </w:p>
    <w:p w14:paraId="68D0708C" w14:textId="77777777" w:rsidR="00D550F1" w:rsidRPr="00D550F1" w:rsidRDefault="00D550F1" w:rsidP="00D550F1">
      <w:pPr>
        <w:spacing w:after="0" w:line="240" w:lineRule="auto"/>
        <w:jc w:val="both"/>
        <w:rPr>
          <w:rStyle w:val="Zstupntext"/>
          <w:rFonts w:eastAsiaTheme="majorEastAsia"/>
          <w:b/>
          <w:color w:val="auto"/>
          <w:u w:val="single"/>
        </w:rPr>
      </w:pPr>
    </w:p>
    <w:p w14:paraId="1F7A99E8" w14:textId="77777777" w:rsidR="00D550F1" w:rsidRPr="00D550F1" w:rsidRDefault="00D550F1" w:rsidP="00D550F1">
      <w:pPr>
        <w:spacing w:line="240" w:lineRule="auto"/>
        <w:jc w:val="both"/>
        <w:rPr>
          <w:rStyle w:val="Zstupntext"/>
          <w:rFonts w:eastAsiaTheme="majorEastAsia"/>
          <w:b/>
          <w:color w:val="auto"/>
          <w:u w:val="single"/>
        </w:rPr>
      </w:pPr>
      <w:r w:rsidRPr="00D550F1">
        <w:rPr>
          <w:rStyle w:val="Zstupntext"/>
          <w:rFonts w:eastAsiaTheme="majorEastAsia"/>
          <w:b/>
          <w:color w:val="auto"/>
          <w:u w:val="single"/>
        </w:rPr>
        <w:t>K čl. XVIII (zákon č. 30/2019 Z. z.)</w:t>
      </w:r>
    </w:p>
    <w:p w14:paraId="3D6F141A"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1 </w:t>
      </w:r>
      <w:r w:rsidRPr="00D550F1">
        <w:rPr>
          <w:rFonts w:ascii="Times New Roman" w:hAnsi="Times New Roman" w:cs="Times New Roman"/>
        </w:rPr>
        <w:sym w:font="Symbol" w:char="F05B"/>
      </w:r>
      <w:r w:rsidRPr="00D550F1">
        <w:rPr>
          <w:rFonts w:ascii="Times New Roman" w:hAnsi="Times New Roman" w:cs="Times New Roman"/>
        </w:rPr>
        <w:t>§ 2 písm. aa)</w:t>
      </w:r>
      <w:r w:rsidRPr="00D550F1">
        <w:rPr>
          <w:rFonts w:ascii="Times New Roman" w:hAnsi="Times New Roman" w:cs="Times New Roman"/>
        </w:rPr>
        <w:sym w:font="Symbol" w:char="F05D"/>
      </w:r>
    </w:p>
    <w:p w14:paraId="6962F379"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Z dôvodu potreby potláčania nelegálneho hazardu, čo jednoznačne tiež prispeje k zvýšeniu príjmov do štátneho rozpočtu od licencovaných prevádzkovateľov hazardných hier, sa rozširuje definícia poskytovania zakázanej ponuky, ktorou je doposiaľ len propagovanie hazardnej hry alebo prevádzkovanie hazardnej hry dostupnej na území Slovenskej republiky bez licencie v latinskej abecede a v latinkovom systéme písma prostredníctvom elektronickej komunikačnej siete alebo elektronickej komunikačnej služby; hazardnou hrou dostupnou na území Slovenskej republiky je hazardná hra, na ktorej sa možno zúčastniť na území alebo z územia Slovenskej republiky najmä zaplatením vkladu, uskutočnením stávky alebo vyplatením výhry. S poukázaním na poznatky získané orgánmi dozoru je nutné zákonom upraviť aj prax, kedy najmä zo strany influencerov a streamerov dochádza k propagácii hrania internetových hazardných hier u nelegálnych prevádzkovateľov hazardných hier, pričom tieto osoby aktívne a často za odmenu (affiliate program odmeňovania) nabádajú hráčov na obchádzanie zákona o hazardných hrách využívaním funkcionality virtuálnych privátnych sietí, ktoré pri pripájaní sa na server prevádzkovateľa hazardnej hry imitujú virtuálnu IP adresu iného štátu ako je štát, z ktorého sa hráč na server reálne prihlasuje. Z tohto dôvodu sa do definície poskytovania zakázanej ponuky dopĺňa text, podľa ktorého poskytovaní zakázanej ponuky je aj také propagovanie hazardnej hry dostupnej na území Slovenskej republiky bez licencie v latinskej abecede a v latinkovom systéme písma prostredníctvom elektronickej komunikačnej siete alebo elektronickej komunikačnej služby, ktoré nabáda a podnecuje k využívaniu takých nástrojov a prostriedkov umožňujúcich prístup k účasti na takejto hazardnej hre, ktoré obchádzajú geografickú blokáciu a iné zamedzenia uskutočnené zo strany prevádzkovateľa takejto hazardnej hry alebo ktoré obchádzajú zamedzenia prístupu k webovému sídlu uskutočnené zo strany poskytovateľa elektronických komunikačných sietí a elektronických komunikačných služieb, pričom geografickou blokáciou sa rozumie zamedzenie prístupu k webovému sídlu z územia Slovenskej republiky.</w:t>
      </w:r>
    </w:p>
    <w:p w14:paraId="1423547B" w14:textId="77777777"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
        </w:rPr>
        <w:t xml:space="preserve">K bodom 2 a 3 </w:t>
      </w:r>
      <w:r w:rsidRPr="00D550F1">
        <w:rPr>
          <w:rFonts w:ascii="Times New Roman" w:hAnsi="Times New Roman" w:cs="Times New Roman"/>
        </w:rPr>
        <w:sym w:font="Symbol" w:char="F05B"/>
      </w:r>
      <w:r w:rsidRPr="00D550F1">
        <w:rPr>
          <w:rFonts w:ascii="Times New Roman" w:hAnsi="Times New Roman" w:cs="Times New Roman"/>
        </w:rPr>
        <w:t>§ 2 písm. ab), ac) a § 14 ods. 9</w:t>
      </w:r>
      <w:r w:rsidRPr="00D550F1">
        <w:rPr>
          <w:rFonts w:ascii="Times New Roman" w:hAnsi="Times New Roman" w:cs="Times New Roman"/>
        </w:rPr>
        <w:sym w:font="Symbol" w:char="F05D"/>
      </w:r>
    </w:p>
    <w:p w14:paraId="2A6CBF43"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 xml:space="preserve">V súvislosti s potláčaním nelegálneho hazardu je s ohľadom na aplikačnú prax potrebné popri ustálenom pojme webové sídlo zaviesť na účely výkonu štátneho dozoru nad prevádzkovaním hazardných hier (osobitne výkonu dozoru nad poskytovaním zakázaných ponúk) aj zákonnú definíciu pojmu „mobilná aplikácia“ (pričom tento pojem je už v platnom zákone použitý), a to z dôvodu technologických odlišností spojených s prevádzkovaním webového sídla (internetovej stránky) a mobilnej aplikácie (samostatný software s vlastnou funkcionalitou), a to vymedzením, že mobilnou aplikáciou sa na účely zákona rozumie software odlišný od webového sídla umožňujúci účasť na hazardnej hre. </w:t>
      </w:r>
    </w:p>
    <w:p w14:paraId="28F2393E"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Zároveň sa z dôvodu eliminácie faktorov stimulujúcich hráčov k účasti na nelegálnych internetových hazardných hrách zakotvuje možnosť prevádzkovateľov hazardných hier s udelenou individuálnou licenciou na prevádzkovanie internetových hier poskytovať po dohode so zahraničnými prevádzkovateľmi hazardných hier ako prémiovú hru aj medzinárodnú prémiovú hru, ktorá je súčasťou internetovej hry a v ktorej sa jackpot vytvára nielen z časti stávok hráčov domáceho prevádzkovateľa internetovej hry, ale aj z časti stávok hráčov zahraničných prevádzkovateľov hazardných hier. Zároveň sa ustanovuje, že podmienky prevádzkovania prémiovej hry ako takej, ako aj medzinárodnej prémiovej hry vrátane pravidiel pre vytváranie jackpotu a jeho vyplatenie musia byť určené v hernom pláne. Názov medzinárodnej prémiovej hry pritom nesmie obsahovať názov, obchodné meno alebo iné označenie, ktoré by napĺňalo znaky poskytovania zakázanej ponuky, ktorou sa rozumie propagovanie a prevádzkovanie nelegálnych internetových hier. Účelom takéhoto zákonného obmedzenia je zamedzenie skrytej propagácii zahraničných prevádzkovateľov hazardných hier, ktorí nemajú udelenú individuálnu licenciu na prevádzkovanie hazardných hier podľa zákona o hazardných hrách.</w:t>
      </w:r>
    </w:p>
    <w:p w14:paraId="6F8AD96F"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4 </w:t>
      </w:r>
      <w:r w:rsidRPr="00D550F1">
        <w:rPr>
          <w:rFonts w:ascii="Times New Roman" w:hAnsi="Times New Roman" w:cs="Times New Roman"/>
          <w:bCs/>
        </w:rPr>
        <w:t>[§ 40 ods. 2]</w:t>
      </w:r>
    </w:p>
    <w:p w14:paraId="3CC47654" w14:textId="77777777" w:rsidR="00D550F1" w:rsidRPr="00D550F1" w:rsidRDefault="00D550F1" w:rsidP="00D550F1">
      <w:pPr>
        <w:spacing w:line="240" w:lineRule="auto"/>
        <w:jc w:val="both"/>
        <w:rPr>
          <w:rFonts w:ascii="Times New Roman" w:hAnsi="Times New Roman" w:cs="Times New Roman"/>
          <w:b/>
        </w:rPr>
      </w:pPr>
      <w:r w:rsidRPr="00D550F1">
        <w:rPr>
          <w:rFonts w:ascii="Times New Roman" w:hAnsi="Times New Roman" w:cs="Times New Roman"/>
          <w:bCs/>
        </w:rPr>
        <w:t xml:space="preserve">Z dôvodu znižovania administratívnej záťaže a zavedenia možnosti úplnej elektronizácie licenčného konania sa vypúšťa posledná veta v § 40 ods. 2 zákona, podľa ktorej rozhodnutie o udelení individuálnej licencie sa vydáva výlučne v listinnej podobe. Podľa nových pravidiel bude Úrad pre reguláciu hazardných hier pri vydávaní rozhodnutí o udelení, zmene alebo odňatí individuálnej licencie postupovať výlučne v súlade so zákonom č. 305/2013 Z. z. o elektronickej podobe výkonu pôsobnosti orgánov verejnej moci a o zmene a doplnení niektorých zákonov (zákon o e-Governmente). Požiadavka na túto legislatívnu zmenu vyplýva z aktuálneho protokolu Najvyššieho kontrolného úradu SR z výsledku kontroly vykonanej na Úrade pre reguláciu hazardných hier.   </w:t>
      </w:r>
    </w:p>
    <w:p w14:paraId="57FC49DC"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5 </w:t>
      </w:r>
      <w:r w:rsidRPr="00D550F1">
        <w:rPr>
          <w:rFonts w:ascii="Times New Roman" w:hAnsi="Times New Roman" w:cs="Times New Roman"/>
        </w:rPr>
        <w:sym w:font="Symbol" w:char="F05B"/>
      </w:r>
      <w:r w:rsidRPr="00D550F1">
        <w:rPr>
          <w:rFonts w:ascii="Times New Roman" w:hAnsi="Times New Roman" w:cs="Times New Roman"/>
        </w:rPr>
        <w:t>§ 71 ods. 1 písm. n)</w:t>
      </w:r>
      <w:r w:rsidRPr="00D550F1">
        <w:rPr>
          <w:rFonts w:ascii="Times New Roman" w:hAnsi="Times New Roman" w:cs="Times New Roman"/>
        </w:rPr>
        <w:sym w:font="Symbol" w:char="F05D"/>
      </w:r>
    </w:p>
    <w:p w14:paraId="04AA527E" w14:textId="77777777" w:rsidR="00D550F1" w:rsidRPr="00D550F1" w:rsidRDefault="00D550F1" w:rsidP="00D550F1">
      <w:pPr>
        <w:spacing w:line="240" w:lineRule="auto"/>
        <w:jc w:val="both"/>
        <w:rPr>
          <w:rFonts w:ascii="Times New Roman" w:hAnsi="Times New Roman" w:cs="Times New Roman"/>
          <w:bCs/>
        </w:rPr>
      </w:pPr>
      <w:bookmarkStart w:id="16" w:name="_Hlk205541026"/>
      <w:r w:rsidRPr="00D550F1">
        <w:rPr>
          <w:rFonts w:ascii="Times New Roman" w:hAnsi="Times New Roman" w:cs="Times New Roman"/>
          <w:bCs/>
        </w:rPr>
        <w:t>Z dôvodu potreby zvýšenia príjmov štátneho rozpočtu z prevádzkovania hazardných hier v „kamenných“ prevádzkach tak, ako bolo vysvetlené vo všeobecnej časti dôvodovej správy, sa mení paušálna výška odvodu do štátneho rozpočtu za prevádzkovanie jedného technického zariadenia obsluhovaného priamo hráčmi v herni, a to zo 4 000 eur na 4 700 eur za kalendárny rok</w:t>
      </w:r>
      <w:bookmarkEnd w:id="16"/>
      <w:r w:rsidRPr="00D550F1">
        <w:rPr>
          <w:rFonts w:ascii="Times New Roman" w:hAnsi="Times New Roman" w:cs="Times New Roman"/>
          <w:bCs/>
        </w:rPr>
        <w:t xml:space="preserve">, a zároveň sa upravuje, že takáto výška odvodu (rovnaký spôsob zdaňovania) sa bude používať pri takýchto zariadeniach aj keď sú umiestnené v kasínach. Doposiaľ sa takého zariadenia v kasínach zdaňovali v rámci stolových hier, to znamená z výťažku, nie paušálne, pričom požiadavku na jednotné zdaňovanie takýchto zariadení bez ohľadu na nich umiestnenie vzniesla aj Európska komisia. </w:t>
      </w:r>
    </w:p>
    <w:p w14:paraId="152B6FE3"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6 </w:t>
      </w:r>
      <w:r w:rsidRPr="00D550F1">
        <w:rPr>
          <w:rFonts w:ascii="Times New Roman" w:hAnsi="Times New Roman" w:cs="Times New Roman"/>
        </w:rPr>
        <w:sym w:font="Symbol" w:char="F05B"/>
      </w:r>
      <w:r w:rsidRPr="00D550F1">
        <w:rPr>
          <w:rFonts w:ascii="Times New Roman" w:hAnsi="Times New Roman" w:cs="Times New Roman"/>
        </w:rPr>
        <w:t>§ 71 ods. 1 písm. o)</w:t>
      </w:r>
      <w:r w:rsidRPr="00D550F1">
        <w:rPr>
          <w:rFonts w:ascii="Times New Roman" w:hAnsi="Times New Roman" w:cs="Times New Roman"/>
        </w:rPr>
        <w:sym w:font="Symbol" w:char="F05D"/>
      </w:r>
    </w:p>
    <w:p w14:paraId="3E700F36"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Z dôvodu potreby zvýšenia príjmov štátneho rozpočtu z prevádzkovania hazardných hier v „kamenných“ prevádzkach sa mení paušálna výška odvodu do štátneho rozpočtu za prevádzkovanie jedného výherného prístroja v herni a v kasíne, a to zo 4 000 eur na 9 300 eur za kalendárny rok.</w:t>
      </w:r>
    </w:p>
    <w:p w14:paraId="6C0469D9" w14:textId="77777777"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
        </w:rPr>
        <w:t xml:space="preserve">K bodu 7 </w:t>
      </w:r>
      <w:r w:rsidRPr="00D550F1">
        <w:rPr>
          <w:rFonts w:ascii="Times New Roman" w:hAnsi="Times New Roman" w:cs="Times New Roman"/>
        </w:rPr>
        <w:sym w:font="Symbol" w:char="F05B"/>
      </w:r>
      <w:r w:rsidRPr="00D550F1">
        <w:rPr>
          <w:rFonts w:ascii="Times New Roman" w:hAnsi="Times New Roman" w:cs="Times New Roman"/>
        </w:rPr>
        <w:t>§ 71 ods. 1 písm. p) a q)</w:t>
      </w:r>
      <w:r w:rsidRPr="00D550F1">
        <w:rPr>
          <w:rFonts w:ascii="Times New Roman" w:hAnsi="Times New Roman" w:cs="Times New Roman"/>
        </w:rPr>
        <w:sym w:font="Symbol" w:char="F05D"/>
      </w:r>
    </w:p>
    <w:p w14:paraId="005DA4DE"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Z dôvodu potreby zvýšenia príjmov štátneho rozpočtu z prevádzkovania hazardných hier v „kamenných“ prevádzkach sa mení paušálna výška odvodu do štátneho rozpočtu za prevádzkovanie jedného terminálu videohier v herni a v kasíne a rovnako za prevádzkovanie jedného iného technického zariadenia v herni a v kasíne, a to zo 4 700 eur na 6 000 eur za kalendárny rok.</w:t>
      </w:r>
    </w:p>
    <w:p w14:paraId="238A9604" w14:textId="77777777"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
        </w:rPr>
        <w:t xml:space="preserve">K bodu 8 </w:t>
      </w:r>
      <w:r w:rsidRPr="00D550F1">
        <w:rPr>
          <w:rFonts w:ascii="Times New Roman" w:hAnsi="Times New Roman" w:cs="Times New Roman"/>
        </w:rPr>
        <w:sym w:font="Symbol" w:char="F05B"/>
      </w:r>
      <w:r w:rsidRPr="00D550F1">
        <w:rPr>
          <w:rFonts w:ascii="Times New Roman" w:hAnsi="Times New Roman" w:cs="Times New Roman"/>
        </w:rPr>
        <w:t>§ 71 ods. 2 písm. f) a g), ods. 3 písm. e) a g), ods. 4 písm. a) a b) a ods. 5 písm. a) a b)</w:t>
      </w:r>
      <w:r w:rsidRPr="00D550F1">
        <w:rPr>
          <w:rFonts w:ascii="Times New Roman" w:hAnsi="Times New Roman" w:cs="Times New Roman"/>
        </w:rPr>
        <w:sym w:font="Symbol" w:char="F05D"/>
      </w:r>
    </w:p>
    <w:p w14:paraId="16A9E83B" w14:textId="77777777" w:rsidR="00D550F1" w:rsidRPr="00D550F1" w:rsidRDefault="00D550F1" w:rsidP="00D550F1">
      <w:pPr>
        <w:spacing w:line="240" w:lineRule="auto"/>
        <w:jc w:val="both"/>
        <w:rPr>
          <w:rFonts w:ascii="Times New Roman" w:hAnsi="Times New Roman" w:cs="Times New Roman"/>
          <w:b/>
        </w:rPr>
      </w:pPr>
      <w:r w:rsidRPr="00D550F1">
        <w:rPr>
          <w:rFonts w:ascii="Times New Roman" w:hAnsi="Times New Roman" w:cs="Times New Roman"/>
        </w:rPr>
        <w:t xml:space="preserve">Z dôvodu potreby zvýšenia príjmov štátneho rozpočtu z prevádzkovania internetových hier tak, ako bolo vysvetlené vo všeobecnej časti dôvodovej správy, sa mení </w:t>
      </w:r>
      <w:r w:rsidRPr="00D550F1">
        <w:rPr>
          <w:rFonts w:ascii="Times New Roman" w:hAnsi="Times New Roman" w:cs="Times New Roman"/>
          <w:bCs/>
        </w:rPr>
        <w:t xml:space="preserve">percentuálna výška odvodu do štátneho rozpočtu z poplatku a z výťažku za </w:t>
      </w:r>
      <w:r w:rsidRPr="00D550F1">
        <w:rPr>
          <w:rFonts w:ascii="Times New Roman" w:hAnsi="Times New Roman" w:cs="Times New Roman"/>
        </w:rPr>
        <w:t>prevádzkovanie internetových hier v internetovom kasíne, a to z 27 % na 30 % z poplatku a z výťažku, ak je prevádzkovanie takýchto hazardných hier súčasťou licencie na prevádzkovanie hazardných hier v kasíne a internetových hier v internetovom kasíne /§ 71 ods. 2 písm. f) a g)/, ak je prevádzkovanie takýchto hazardných hier súčasťou licencie na prevádzkovanie hazardných hier na výherných prístrojoch, hazardných hier na termináloch videohier, hazardných hier na technických zariadeniach obsluhovaných priamo hráčmi a hazardných hier na iných technických zariadeniach v herni a internetových hier v internetovom kasíne /§ 71 ods. 3 písm. e) a g)/ a ak ide o licenciu na prevádzkovanie internetových hier v internetovom kasíne /§ 71 ods. 5 písm. a) a b)/. Zároveň z dôvodu potreby zvýšenia príjmov štátneho rozpočtu z prevádzkovania kurzových stávok ako internetových hier sa upravuje percentuálna výška odvodu do štátneho rozpočtu z výťažku a z provízie za prevádzkovanie kurzových stávok v internetovej herni a za prevádzkovanie kurzových stávok v rámci kombinovanej licencie (v herni, prevádzkach a v internetovej herni), a to z 27 % na 30 % z výťažku a z provízie /§ 71 ods. 4 písm. a) a b)/.</w:t>
      </w:r>
    </w:p>
    <w:p w14:paraId="65D134C8" w14:textId="77777777" w:rsidR="007F3D46" w:rsidRDefault="007F3D46" w:rsidP="00D550F1">
      <w:pPr>
        <w:spacing w:after="0" w:line="240" w:lineRule="auto"/>
        <w:jc w:val="both"/>
        <w:rPr>
          <w:rFonts w:ascii="Times New Roman" w:hAnsi="Times New Roman" w:cs="Times New Roman"/>
          <w:b/>
        </w:rPr>
      </w:pPr>
    </w:p>
    <w:p w14:paraId="635064D5" w14:textId="77777777" w:rsidR="00E2589B" w:rsidRDefault="00E2589B" w:rsidP="00D550F1">
      <w:pPr>
        <w:spacing w:after="0" w:line="240" w:lineRule="auto"/>
        <w:jc w:val="both"/>
        <w:rPr>
          <w:rFonts w:ascii="Times New Roman" w:hAnsi="Times New Roman" w:cs="Times New Roman"/>
          <w:b/>
        </w:rPr>
      </w:pPr>
    </w:p>
    <w:p w14:paraId="0F3ED9F5" w14:textId="6810B082"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
        </w:rPr>
        <w:t xml:space="preserve">K bodu 9 </w:t>
      </w:r>
      <w:r w:rsidRPr="00D550F1">
        <w:rPr>
          <w:rFonts w:ascii="Times New Roman" w:hAnsi="Times New Roman" w:cs="Times New Roman"/>
        </w:rPr>
        <w:sym w:font="Symbol" w:char="F05B"/>
      </w:r>
      <w:r w:rsidRPr="00D550F1">
        <w:rPr>
          <w:rFonts w:ascii="Times New Roman" w:hAnsi="Times New Roman" w:cs="Times New Roman"/>
        </w:rPr>
        <w:t>§ 77 ods. 9 písm. h), § 80 písm. k), § 95 ods. 1 písm. g) a § 96 ods. 1 písm. j)</w:t>
      </w:r>
      <w:r w:rsidRPr="00D550F1">
        <w:rPr>
          <w:rFonts w:ascii="Times New Roman" w:hAnsi="Times New Roman" w:cs="Times New Roman"/>
        </w:rPr>
        <w:sym w:font="Symbol" w:char="F05D"/>
      </w:r>
    </w:p>
    <w:p w14:paraId="793C3A28" w14:textId="77777777" w:rsidR="00D550F1" w:rsidRPr="00D550F1" w:rsidRDefault="00D550F1" w:rsidP="00D550F1">
      <w:pPr>
        <w:spacing w:line="240" w:lineRule="auto"/>
        <w:rPr>
          <w:rFonts w:ascii="Times New Roman" w:hAnsi="Times New Roman" w:cs="Times New Roman"/>
          <w:bCs/>
        </w:rPr>
      </w:pPr>
      <w:r w:rsidRPr="00D550F1">
        <w:rPr>
          <w:rFonts w:ascii="Times New Roman" w:hAnsi="Times New Roman" w:cs="Times New Roman"/>
          <w:bCs/>
        </w:rPr>
        <w:t xml:space="preserve">Legislatívno-technická úprava v súvislosti s novým znením § 85 zákona. </w:t>
      </w:r>
    </w:p>
    <w:p w14:paraId="16900C8A"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10 </w:t>
      </w:r>
      <w:r w:rsidRPr="00D550F1">
        <w:rPr>
          <w:rFonts w:ascii="Times New Roman" w:hAnsi="Times New Roman" w:cs="Times New Roman"/>
          <w:bCs/>
        </w:rPr>
        <w:t>[§ 79 ods. 7]</w:t>
      </w:r>
    </w:p>
    <w:p w14:paraId="2F3DD54A"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Predlžuje sa lehota, v rámci ktorej je obec povinná oznámiť Úradu pre reguláciu hazardných hier vyvesenie návrhu všeobecného záväzného nariadenia a prijatie všeobecného záväzného nariadenia, a to s ohľadom na problémy zistené v rámci aplikačnej praxe. Po novom bude vyvesenie návrhu všeobecne záväzného nariadenia na úradnej tabuli obec povinná oznámiť úradu do desiatich kalendárnych dní odo dňa jeho vyvesenia a prijatie všeobecne záväzného nariadenia bude obec povinná oznámiť úradu do desiatich kalendárnych dní odo dňa vyvesenia prijatého všeobecne záväzného nariadenia na úradnej tabuli obce aj s uvedením dátumu jeho účinnosti; oznamovacia povinnosť obce voči úradu pri vyvesení návrhu takéhoto všeobecne záväzného nariadenia a pri vyvesení prijatého takéhoto všeobecne záväzného nariadenia je splnená, ak bolo oznámenie doručené úradu najneskôr v desiaty kalendárny deň odo dňa vyvesenia návrhu všeobecne záväzného nariadenia alebo vyvesenia prijatého všeobecne záväzného nariadenia na úradnej tabuli obce. Obec bude rovnako povinná informovať úrad do desiatich kalendárnych dní o neprijatí návrhu všeobecne záväzného nariadenia a o zmene alebo zrušení prijatého všeobecne záväzného nariadenia. Vzhľadom na skutočnosť, že lehota na oznámenie vyvesenia návrhu a prijatia všeobecne záväzného nariadenia podľa § 79 ods. 7 zákona o hazardných hrách má hmotnoprávny charakter, pre jej zachovanie sa vyžaduje, aby predmetné oznámenie bolo zo strany obce v stanovenej desaťdňovej lehote úradu fyzicky (elektronicky alebo poštou) doručené, teda aby sa reálne nachádzalo k dispozícii úradu. Požiadavka na predĺženie predmetnej lehoty vyplýva aj z aktuálneho protokolu Najvyššieho kontrolného úradu SR z výsledku kontroly vykonanej na Úrade pre reguláciu hazardných hier.</w:t>
      </w:r>
    </w:p>
    <w:p w14:paraId="722C3279"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11 </w:t>
      </w:r>
      <w:r w:rsidRPr="00D550F1">
        <w:rPr>
          <w:rFonts w:ascii="Times New Roman" w:hAnsi="Times New Roman" w:cs="Times New Roman"/>
        </w:rPr>
        <w:sym w:font="Symbol" w:char="F05B"/>
      </w:r>
      <w:r w:rsidRPr="00D550F1">
        <w:rPr>
          <w:rFonts w:ascii="Times New Roman" w:hAnsi="Times New Roman" w:cs="Times New Roman"/>
        </w:rPr>
        <w:t>§ 80 písm. d)</w:t>
      </w:r>
      <w:r w:rsidRPr="00D550F1">
        <w:rPr>
          <w:rFonts w:ascii="Times New Roman" w:hAnsi="Times New Roman" w:cs="Times New Roman"/>
        </w:rPr>
        <w:sym w:font="Symbol" w:char="F05D"/>
      </w:r>
    </w:p>
    <w:p w14:paraId="24994DCF"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Navrhovaná úprava reaguje na potrebu aplikačnej praxe a odstraňuje nejasný alebo výkladovo nejednoznačný rozsah kompetencií Úradu pre reguláciu hazardných hier a povinností dozorovaných subjektov. Zároveň sa jednoznačne vymedzuje okruh osôb, ktoré možno zaradiť medzi subjekty porušujúce zákon tým, že sa podieľajú na prevádzkovaní hazardných hier bez licencie. Rozšírením pôvodného znenia sa zabezpečuje efektívnejšie presadzovanie zákona, posilňuje sa právna istota a zároveň sa predchádza obchádzaniu zákona prostredníctvom nepriamych foriem spoluúčasti na prevádzkovaní hazardných hier v rozpore so zákonom.</w:t>
      </w:r>
    </w:p>
    <w:p w14:paraId="284ACFCC"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12 </w:t>
      </w:r>
      <w:r w:rsidRPr="00D550F1">
        <w:rPr>
          <w:rFonts w:ascii="Times New Roman" w:hAnsi="Times New Roman" w:cs="Times New Roman"/>
        </w:rPr>
        <w:t>[§ 81 ods. 6 a 9]</w:t>
      </w:r>
    </w:p>
    <w:p w14:paraId="59129787"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Rozšírením odkazu pri výkone dozoru na diaľku a pri vyhľadávacej činnosti o ďalšie ustanovenia § 83, a to o odseky 10 až 13 sa zabezpečí aplikovanie primerane rovnakého postupu ako pri ukončení dozoru na mieste vrátane uchovávania relevantných dokumentov súvisiacich s výkonom dozoru. Tieto postupy pri dozore na diaľku a pri vyhľadávacej činnosti v zákone absentujú. Sleduje sa tým aj jednoznačné definovanie dátumu ukončenia týchto foriem dozoru na účely následného správneho konania, ak sa pri výkone dozoru zistí porušenie zákona alebo iný nedostatok. Zároveň sa tým posilňuje právna istota účastníkov konania, znižuje sa riziko sporov o procesné otázky a umožňuje sa efektívnejšie a transparentnejšie vedenie správnych konaní v súlade s princípmi zákonnosti a predvídateľnosti výkonu verejnej moci.</w:t>
      </w:r>
    </w:p>
    <w:p w14:paraId="394C0EC1"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bodom 13 až 17 </w:t>
      </w:r>
      <w:r w:rsidRPr="00D550F1">
        <w:rPr>
          <w:rFonts w:ascii="Times New Roman" w:hAnsi="Times New Roman" w:cs="Times New Roman"/>
        </w:rPr>
        <w:sym w:font="Symbol" w:char="F05B"/>
      </w:r>
      <w:r w:rsidRPr="00D550F1">
        <w:rPr>
          <w:rFonts w:ascii="Times New Roman" w:hAnsi="Times New Roman" w:cs="Times New Roman"/>
        </w:rPr>
        <w:t>§ 81 ods. 8 písm. a) až c), § 81 ods. 10 a 11, § 83 ods. 4 písm. d), § 83 ods. 4 písm. e) a f), § 83 ods. 14</w:t>
      </w:r>
      <w:r w:rsidRPr="00D550F1">
        <w:rPr>
          <w:rFonts w:ascii="Times New Roman" w:hAnsi="Times New Roman" w:cs="Times New Roman"/>
        </w:rPr>
        <w:sym w:font="Symbol" w:char="F05D"/>
      </w:r>
    </w:p>
    <w:p w14:paraId="35DECD7E"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 xml:space="preserve">V súvislosti s potláčaním nelegálneho hazardu v „kamenných“ prevádzkach sa upravuje rozsah doby, počas ktorej je možné zaistiť alebo zapečatiť technické zariadenia alebo uzavrieť kasíno, herňu, prevádzku alebo iný priestor, ak sa pri vyhľadávacej činnosti alebo </w:t>
      </w:r>
      <w:bookmarkStart w:id="17" w:name="_Hlk205798613"/>
      <w:r w:rsidRPr="00D550F1">
        <w:rPr>
          <w:rFonts w:ascii="Times New Roman" w:hAnsi="Times New Roman" w:cs="Times New Roman"/>
          <w:bCs/>
        </w:rPr>
        <w:t>pri výkone dozoru na mieste zistí prevádzkovanie hazardných hier v rozpore so zákonom</w:t>
      </w:r>
      <w:bookmarkEnd w:id="17"/>
      <w:r w:rsidRPr="00D550F1">
        <w:rPr>
          <w:rFonts w:ascii="Times New Roman" w:hAnsi="Times New Roman" w:cs="Times New Roman"/>
          <w:bCs/>
        </w:rPr>
        <w:t>. Doterajší rozsah tejto doby stanovený výlučne na čas nevyhnutne potrebný na riadny výkon dozoru sa na základe poznatkov z aplikačnej praxe ukázal ako nedostatočný v boji proti nelegálnemu hazardu, keďže po ukončení výkonu dozoru sa zaistené nelegálne technické zariadenia musia vrátiť späť dozorovanému  subjektu. Preto sa navrhuje upraviť túto dobu tak, by mal Úrad pre reguláciu hazardných hier dostatočný časový priestor na vykonanie všetkých právnych úkonov smerujúcich k zastaveniu a nepokračovaniu prevádzkovania nelegálnych hazardných hier, ak sa pri výkone dozoru zistí prevádzkovanie hazardných hier v rozpore so zákonom. Zároveň sa upravuje, že na postup pri vyhľadávacej činnosti sa primeranie aplikuje postup ako pri dozore na mieste, a to z dôvodu zabezpečenia jednoznačného zadefinovania kompetencií, právomocí a povinností pri výkone dozoru formou vyhľadávacej činnosti, a to tak osoby poverenej výkonom dozoru ako aj dozorovaného subjektu.</w:t>
      </w:r>
    </w:p>
    <w:p w14:paraId="3F7E2A46"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18 </w:t>
      </w:r>
      <w:r w:rsidRPr="00D550F1">
        <w:rPr>
          <w:rFonts w:ascii="Times New Roman" w:hAnsi="Times New Roman" w:cs="Times New Roman"/>
          <w:bCs/>
        </w:rPr>
        <w:t>[§ 85]</w:t>
      </w:r>
    </w:p>
    <w:p w14:paraId="66288E8D"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Z dôvodu potreby potláčania nelegálneho internetového hazardu a tým aj zvýšenia príjmov z odvodov do štátneho rozpočtu sa kompletne upravuje znenie § 85 zákona o hazardných hrách, ktorým sa ustanovuje dozor nad poskytovaním zakázaných ponúk. K úprave zákonných podmienok pre výkon dozoru nad poskytovaním zakázaných ponúk dochádza na základe poznatkov získaných z doterajšej aplikačnej praxe, podľa ktorých administratívne a personálne zabezpečovanie procesu výkonu dozoru nad poskytovaním zakázaných ponúk a následná príprava a kompletizácia podkladov pre vydávanie súdnych príkazov predstavovala prekážku pre efektívny a rýchly spôsob blokovania webových sídiel so zakázanými ponukami, čím sa nedostatočným spôsobom napĺňal účel zákona o hazardných hrách vrátane požiadaviek na minimalizáciu nežiadúcich celospoločenských dopadov spojených s prevádzkovaním nelegálnych internetových hier a požiadaviek na ochranu účastníkov hazardných hier, ako aj maloletých osôb. Cieľom navrhovanej úpravy ustanovení § 85 zákona je primárne zrýchliť a zjednodušiť boj proti nelegálnemu internetovému hazardu, a to ustanovením výlučnej právomoci Úradu pre reguláciu hazardných hier viesť záväzný zoznam zakázaných ponúk, pričom pre účinnú (fyzickú) blokáciu zakázanej ponuky nebude potrebný súdny príkaz. Osoby, ktoré poskytujú elektronické komunikačné siete a elektronické komunikačné služby, budú podľa navrhovanej právnej úpravy povinné na základe zoznamu zakázaných ponúk zamedziť prístup k webovému sídlu, ktoré je zapísané v zozname zakázaných ponúk a prostredníctvom ktorého sa poskytuje zakázaná ponuka. Poskytovatelia platobných služieb budú v zmysle navrhovanej právnej úpravy povinní na základe zoznamu zakázaných ponúk zamedziť vykonaniu platobnej operácie alebo inej platobnej služby v prospech účtu, ktorý je zapísaný v zozname zakázaných ponúk a ktorý používa osoba poskytujúca zakázanú ponuku na účely prijímania vkladu pri poskytovaní zakázanej ponuky a vo vzťahu k obchodníkovi, ak sa na účely prijímania vkladu pri poskytovaní zakázanej ponuky uskutočňujú platobné transakcie prostredníctvom obchodníka. Pokiaľ ide o mobilné aplikácie, ustanovuje sa pre prevádzkovateľov webových sídiel, internetových stránok alebo elektronického rozhrania zákaz ponúkať alebo šíriť mobilnú aplikáciu, ktorej názov a identifikátor je zapísaný v zozname zakázaných ponúk, pričom takýto prevádzkovateľ bude povinný ukončiť ponuku alebo šírenie tejto mobilnej aplikácie najneskôr do piatich dní odo dňa zverejnenia aktualizácie zoznamu zakázaných ponúk na webovom sídle úradu. Dozorom nad poskytovaním zakázaných ponúk sa rozumie vyhľadávanie poskytovania zakázaných ponúk formou dozoru na diaľku a zostavenie, aktualizovanie a zverejňovanie zoznamu zakázaných ponúk. Zoznam zakázaných ponúk vedie úrad, pričom úrad zostavuje, aktualizuje a zverejňuje na svojom webovom sídle v strojovo čitateľnej podobe aktuálne údaje zo zoznamu zakázaných ponúk v stanovenej údajovej štruktúre a v rozsahu, v ktorom je zoznam zakázaných ponúk verejným zoznamom, a to vždy v prvý pracovný deň v týždni podľa stavu k poslednému dňu predchádzajúceho týždňa. Úrad bude zodpovedať za správnosť údajov zapísaných v zozname zakázaných ponúk. Úrad zapíše do zoznamu zakázaných ponúk údaje v rozsahu podľa zákona z dôvodu, že prostredníctvom webového sídla alebo mobilnej aplikácie je prevádzkovaná internetová hra bez udelenej individuálnej licencie alebo je prostredníctvom webového sídla alebo mobilnej aplikácie propagovaná internetová hra bez udelenej individuálnej licencie alebo sa prostredníctvom webového sídla alebo mobilnej aplikácie umožňuje alebo uľahčuje prístup k webovému sídlu alebo k mobilnej aplikácii, prostredníctvom ktorých je prevádzkovaná internetová hra bez udelenej individuálnej licencie. Čo sa týka ďalších údajov zapísaných v zozname zakázaných ponúk, ktoré už nebudú verejne prístupné /§ 85 ods. 3 písm. h)/, pôjde o obsah a podstatu poskytovania zakázanej ponuky a iné údaje zistené v súvislosti s výkonom nad poskytovaním zakázaných ponúk, a to napr. údaje zo zápisnice o výkone dozoru na diaľku zistené pri výkone dozoru nad poskytovaním zakázaných ponúk, ako aj údaje zistené v súvislosti s vedením zoznamu zakázaných ponúk, ako napr. relevantné zdroje získavania údajov, ktoré sú obsiahnuté v zozname zakázaných ponúk.</w:t>
      </w:r>
    </w:p>
    <w:p w14:paraId="3CF1B03B"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Tak ako tomu bolo doposiaľ, na účely zisťovania údajov potrebných pre zápis do zoznamu zakázaných ponúk je osoba poverená výkonom dozoru oprávnená používať identifikačné údaje inej fyzickej osoby s jej súhlasom alebo údaje fiktívnej osoby. Rovnako sa v navrhovanej právnej úprave zachováva oprávnenie úradu pri výkone dozoru nad poskytovaním zakázaných ponúk vyžadovať podklady na výkon dozoru od poskytovateľa platobných služieb, a to identifikáciu používateľa platobných služieb a ďalšie informácie o používateľovi platobných služieb, ktorý je dozorovaným subjektom.</w:t>
      </w:r>
    </w:p>
    <w:p w14:paraId="1F02AEB0"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 xml:space="preserve">V rámci nového postupu sa navrhuje, aby bol úrad za účelom naplnenia požiadavky na transparentnosť a zákonnosť procesu zápisu zistených údajov do zoznamu zakázaných ponúk povinný pred zápisom určených údajov do zoznamu zakázaných ponúk povinný zverejniť na svojom webovom sídle oznámenie, že má zámer zaradiť webové sídlo alebo mobilnú aplikáciu, prostredníctvom ktorej sa poskytuje zakázaná ponuka, do zoznamu zakázaných ponúk a zároveň odošle prostredníctvom elektronickej pošty dozorovanému subjektu výzvu na ukončenie poskytovania zakázanej ponuky v lehote desiatich dní odo dňa odoslania výzvy. V prípade, ak úrad nezistí elektronickú adresu z dôvodu, že sa nenachádza na webovom sídle alebo v mobilnej aplikácii, môže do zoznamu zakázaných ponúk zapísať vybrané údaje aj bez odoslania výzvy, avšak najskôr po uplynutí desiatich dní odo dňa zverejnenia oznámenia na internetovej stránke úradu. Výzva, ktorú úrad zasiela, musí obsahovať aj upozornenie na dôsledky neukončenia poskytovania zakázanej ponuky. Oznámenie tiež musí obsahovať ďalšie údaje v rozsahu podľa zákona, ak už sú zistené, a poučenie o možnosti podať námietku proti zápisu týchto údajov do zoznamu zakázaných ponúk. Proti zápisu údajov do zoznamu zakázaných ponúk bude môcť podať námietku osoba, ktorá poskytuje zakázanú ponuku, a to najneskôr do desiatich dní odo dňa zverejnenia oznámenia na webovom sídle úradu. Na námietky podané po lehote nebude úrad prihliadať. Osobu, ktorá bola oprávnená podať námietku, úrad vyrozumie o jej vybavení. Písomné vyrozumenie úrad vykoná formou, ktorá zodpovedá spôsobu podania námietky zo strany takejto osoby. To znamená, že spravidla pôjde o písomné vyrozumenie poštou alebo elektronickými prostriedkami. </w:t>
      </w:r>
    </w:p>
    <w:p w14:paraId="44F454F4"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 xml:space="preserve">V prípade, ak dozorovaný subjekt preukáže, že neposkytuje zakázanú ponuku, poskytovanie zakázanej ponuky ukončil alebo pominuli dôvody pre zápis údajov do zoznamu zakázaných ponúk, úrad do zoznamu zakázaných ponúk webové sídlo alebo mobilnú aplikáciu nezaradí alebo ju zo zoznamu zakázaných ponúk vyradí. </w:t>
      </w:r>
    </w:p>
    <w:p w14:paraId="6C6BE543"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Navrhovaná právna úprava zároveň zakotvuje prezumpciu, že meno a priezvisko fyzickej osoby alebo názov, alebo obchodné meno právnickej osoby, ktorá poskytuje zakázanú ponuku a číslo účtu, ktoré používa osoba poskytujúca zakázanú ponuku na účely prijímania vkladu a identifikačné číslo obchodníka, ak sa na účely prijímania vkladu pri poskytovaní zakázanej ponuky uskutočňujú platobné transakcie prostredníctvom obchodníka, sa na účely zápisu do zoznamu zakázaných ponúk považujú za preukázateľne zistené, ak boli zverejnené, uvedené alebo akýmkoľvek spôsobom sprístupnené na zakázanom webovom sídle alebo v zakázanej mobilnej aplikácii, a to bez ohľadu na účel ich zverejnenia, uvedenia alebo sprístupnenia. To znamená, že napríklad číslo účtu, ktoré bude zverejnené, uvedené alebo sprístupnené na zakázanom webovom sídle na prijímanie vkladov do hry, sa bude považovať za účet, prostredníctvom ktorého sa prijímajú vklady na nelegálne hazardné hry, a preto platobné operácie v prospech takéhoto účtu budú zo zákona blokované.</w:t>
      </w:r>
    </w:p>
    <w:p w14:paraId="02472644" w14:textId="77777777" w:rsidR="00D550F1" w:rsidRPr="00D550F1" w:rsidRDefault="00D550F1" w:rsidP="00D550F1">
      <w:pPr>
        <w:spacing w:after="0" w:line="240" w:lineRule="auto"/>
        <w:jc w:val="both"/>
        <w:rPr>
          <w:rFonts w:ascii="Times New Roman" w:hAnsi="Times New Roman" w:cs="Times New Roman"/>
          <w:b/>
        </w:rPr>
      </w:pPr>
      <w:r w:rsidRPr="00D550F1">
        <w:rPr>
          <w:rFonts w:ascii="Times New Roman" w:hAnsi="Times New Roman" w:cs="Times New Roman"/>
          <w:b/>
        </w:rPr>
        <w:t xml:space="preserve">K bodu 19 </w:t>
      </w:r>
      <w:r w:rsidRPr="00D550F1">
        <w:rPr>
          <w:rFonts w:ascii="Times New Roman" w:hAnsi="Times New Roman" w:cs="Times New Roman"/>
          <w:bCs/>
        </w:rPr>
        <w:t>[§ 91 ods. 1]</w:t>
      </w:r>
    </w:p>
    <w:p w14:paraId="7E93B9F8" w14:textId="77777777" w:rsidR="00D550F1" w:rsidRPr="00D550F1" w:rsidRDefault="00D550F1" w:rsidP="00D550F1">
      <w:pPr>
        <w:spacing w:line="240" w:lineRule="auto"/>
        <w:rPr>
          <w:rFonts w:ascii="Times New Roman" w:hAnsi="Times New Roman" w:cs="Times New Roman"/>
          <w:bCs/>
        </w:rPr>
      </w:pPr>
      <w:r w:rsidRPr="00D550F1">
        <w:rPr>
          <w:rFonts w:ascii="Times New Roman" w:hAnsi="Times New Roman" w:cs="Times New Roman"/>
          <w:bCs/>
        </w:rPr>
        <w:t xml:space="preserve">Legislatívno-technická úprava v súvislosti s novým znením § 85 zákona. </w:t>
      </w:r>
    </w:p>
    <w:p w14:paraId="045252F0" w14:textId="77777777" w:rsidR="00D550F1" w:rsidRPr="00D550F1" w:rsidRDefault="00D550F1" w:rsidP="00D550F1">
      <w:pPr>
        <w:spacing w:after="0" w:line="240" w:lineRule="auto"/>
        <w:jc w:val="both"/>
        <w:rPr>
          <w:rFonts w:ascii="Times New Roman" w:hAnsi="Times New Roman" w:cs="Times New Roman"/>
          <w:bCs/>
        </w:rPr>
      </w:pPr>
      <w:r w:rsidRPr="00D550F1">
        <w:rPr>
          <w:rFonts w:ascii="Times New Roman" w:hAnsi="Times New Roman" w:cs="Times New Roman"/>
          <w:b/>
        </w:rPr>
        <w:t>K bodom 20 a 21</w:t>
      </w:r>
      <w:r w:rsidRPr="00D550F1">
        <w:rPr>
          <w:rFonts w:ascii="Times New Roman" w:hAnsi="Times New Roman" w:cs="Times New Roman"/>
          <w:bCs/>
        </w:rPr>
        <w:t xml:space="preserve"> [§ 92 ods. 1 písm. f), § 96a] </w:t>
      </w:r>
    </w:p>
    <w:p w14:paraId="654484B2" w14:textId="77777777" w:rsidR="00D550F1" w:rsidRPr="00D550F1" w:rsidRDefault="00D550F1" w:rsidP="00D550F1">
      <w:pPr>
        <w:spacing w:line="240" w:lineRule="auto"/>
        <w:jc w:val="both"/>
        <w:rPr>
          <w:rFonts w:ascii="Times New Roman" w:hAnsi="Times New Roman" w:cs="Times New Roman"/>
          <w:b/>
        </w:rPr>
      </w:pPr>
      <w:r w:rsidRPr="00D550F1">
        <w:rPr>
          <w:rFonts w:ascii="Times New Roman" w:hAnsi="Times New Roman" w:cs="Times New Roman"/>
          <w:bCs/>
        </w:rPr>
        <w:t>Navrhovaná právna úprava reaguje najmä na urgentnú potrebu zákonného zakotvenia sankčného inštitútu prepadnutia veci, a to najmä s ohľadom na rastúce riziká nelegálneho hazardu a očakávanú intenzitu aktivít Úradu pre reguláciu hazardných hier pri zaisťovaní nelegálnych technických zariadení v ďalších rokoch. Zákon o hazardných hrách v jeho platnom znení neumožňuje úradu efektívne riešiť situáciu s nelegálnymi technickými zariadeniami ako sú kvízomaty, ťažbomaty a pod. Úradu sa súvisiacou navrhovanou právnou úpravou (viď novelizačné body 13 až 17), okrem už zákonom ustálenej právomoci rozhodnúť o zaistení technického zariadenia počas výkonu dozoru, priznáva právomoc ponechať úkon zaistenia technických zariadení v platnosti aj po skončení výkonu dozoru, a to až do nadobudnutia právoplatnosti rozhodnutia o uložení sankcie. V súvislosti s ukladaním sankcií zo strany úradu sa z hľadiska naplnenia cieľa a účelu zákona o hazardných hrách v oblasti ochrany hráčov pred nelegálnym hazardom rozširuje zákonná možnosť uloženia sankcie aj o sankčný inštitút prepadnutia veci, teda prepadnutia týchto nelegálnych technických zariadení v prospech štátu, čím sa primárne zabraňuje ich opätovnému umiestneniu do obehu a ďalšiemu prevádzkovaniu.</w:t>
      </w:r>
    </w:p>
    <w:p w14:paraId="10A393C2"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22 </w:t>
      </w:r>
      <w:r w:rsidRPr="00D550F1">
        <w:rPr>
          <w:rFonts w:ascii="Times New Roman" w:hAnsi="Times New Roman" w:cs="Times New Roman"/>
          <w:bCs/>
        </w:rPr>
        <w:t>[§ 100e a § 100f]</w:t>
      </w:r>
    </w:p>
    <w:p w14:paraId="6E682CF3"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 xml:space="preserve">Prechodným ustanovením v § 100e sa upraví, že nová percentuálna výška odvodov do štátneho rozpočtu za prevádzkovanie </w:t>
      </w:r>
      <w:r w:rsidRPr="00D550F1">
        <w:rPr>
          <w:rFonts w:ascii="Times New Roman" w:hAnsi="Times New Roman" w:cs="Times New Roman"/>
        </w:rPr>
        <w:t xml:space="preserve">kurzových stávok v internetovej herni, ako aj za prevádzkovanie kurzových stávok v rámci kombinovanej licencie (v herni, prevádzkach a v internetovej herni), a za prevádzkovanie internetových hier v internetovom kasíne </w:t>
      </w:r>
      <w:r w:rsidRPr="00D550F1">
        <w:rPr>
          <w:rFonts w:ascii="Times New Roman" w:hAnsi="Times New Roman" w:cs="Times New Roman"/>
          <w:bCs/>
        </w:rPr>
        <w:t>sa prvýkrát použije na úhradu odvodov za mesiac december 2025. Zároveň sa ním z dôvodu jednoznačnosti a nespochybniteľnosti ustanoví, že mesačné vyúčtovanie odvodov prevádzkovateľov hazardných hier za mesiac november 2025 sa vykoná podľa predpisu účinného do 30. novembra 2025. Keďže toto mesačné vyúčtovanie sa bude vykonávať až v čase účinnosti novej právnej úpravy, mohli by vzniknúť nejasnosti, podľa akej právnej úpravy sa bude pri ňom postupovať.</w:t>
      </w:r>
    </w:p>
    <w:p w14:paraId="2D915E50"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bCs/>
        </w:rPr>
        <w:t>V súvislosti so zavedením možnosti prevádzkovať aj medzinárodnú prémiovú hru pri internetových hrách sa prechodným ustanovením v § 100f ods. 1 upraví, že k</w:t>
      </w:r>
      <w:r w:rsidRPr="00D550F1">
        <w:rPr>
          <w:rFonts w:ascii="Times New Roman" w:hAnsi="Times New Roman" w:cs="Times New Roman"/>
        </w:rPr>
        <w:t>onania o udelení alebo zmene individuálnej licencie, ktorá obsahuje aj prevádzkovanie internetových hier, začaté a neskončené do 31. decembra 2025, sa dokončia podľa doterajšieho predpisu, a to z dôvodu, že pri licencii sa schvaľuje aj herný plán, ktorý musí obsahovať aj podmienky prevádzkovania medzinárodnej prémiovej hry, ak sa plánuje takáto prémiová hra prevádzkovať. Možnosť prevádzkovať medzinárodnú prémiovú hru tak bude logicky možné získať až na základe konania o udelení alebo zmene individuálnej licencie začatého po 31. decembri 2025, to znamená po nadobudnutí účinnosti príslušných ustanovení novely zákona.</w:t>
      </w:r>
    </w:p>
    <w:p w14:paraId="3CDBFC9A"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V súvislosti so zvýšením paušálnych odvodov do štátneho rozpočtu za prevádzkovanie technických zariadení obsluhovaných priamo hráčmi, výherných prístrojov, terminálov videohier a za prevádzkovanie iných technických zariadení sa z dôvodu jednoznačnosti </w:t>
      </w:r>
      <w:r w:rsidRPr="00D550F1">
        <w:rPr>
          <w:rFonts w:ascii="Times New Roman" w:hAnsi="Times New Roman" w:cs="Times New Roman"/>
          <w:bCs/>
        </w:rPr>
        <w:t xml:space="preserve">prechodným ustanovením v § 100f ods. 2 </w:t>
      </w:r>
      <w:r w:rsidRPr="00D550F1">
        <w:rPr>
          <w:rFonts w:ascii="Times New Roman" w:hAnsi="Times New Roman" w:cs="Times New Roman"/>
        </w:rPr>
        <w:t>upraví, že zvýšené paušálne sadzby sa prvýkrát použijú na úhradu odvodov za kalendárny rok 2026, kedy sa polovica odvodu uhrádza do 30. apríla 2026 a polovica odvodu do 31. augusta 2026.</w:t>
      </w:r>
    </w:p>
    <w:p w14:paraId="5E767C1B" w14:textId="77777777"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 xml:space="preserve">V súvislosti s úpravou postupov pri výkone dozoru na diaľku a pri vyhľadávacej činnosti, ako aj komplexnou zmenou dozoru nad poskytovaním zakázaných ponúk sa prechodným </w:t>
      </w:r>
      <w:r w:rsidRPr="00D550F1">
        <w:rPr>
          <w:rFonts w:ascii="Times New Roman" w:hAnsi="Times New Roman" w:cs="Times New Roman"/>
          <w:bCs/>
        </w:rPr>
        <w:t xml:space="preserve">ustanovením v § 100f ods. 3 </w:t>
      </w:r>
      <w:r w:rsidRPr="00D550F1">
        <w:rPr>
          <w:rFonts w:ascii="Times New Roman" w:hAnsi="Times New Roman" w:cs="Times New Roman"/>
        </w:rPr>
        <w:t>upraví, že výkon štátneho dozoru, ktorý sa nekončil do 31. decembra 2025, sa dokončí podľa doterajšieho predpisu.</w:t>
      </w:r>
    </w:p>
    <w:p w14:paraId="028401B0" w14:textId="77777777" w:rsidR="00D550F1" w:rsidRPr="00D550F1" w:rsidRDefault="00D550F1" w:rsidP="00D550F1">
      <w:pPr>
        <w:spacing w:after="0" w:line="240" w:lineRule="auto"/>
        <w:jc w:val="both"/>
        <w:rPr>
          <w:rFonts w:ascii="Times New Roman" w:hAnsi="Times New Roman" w:cs="Times New Roman"/>
        </w:rPr>
      </w:pPr>
      <w:r w:rsidRPr="00D550F1">
        <w:rPr>
          <w:rFonts w:ascii="Times New Roman" w:hAnsi="Times New Roman" w:cs="Times New Roman"/>
        </w:rPr>
        <w:t>Zároveň v nadväznosti na absenciu potreby vydania príkazu súdu na blokovanie webového sídla v súvislosti s poskytovaním zakázanej ponuky od 1. januára 2026 sa prechodným ustanovením v § 100f ods. 4 upraví, že súdne konania začaté na základe žiadosti Úradu pre reguláciu hazardných hier na vydanie takéhoto príkazu súdu a neskončené do 31. decembra 2025 sa dokončia podľa doterajšieho predpisu. Zároveň bude platiť, že takéto príkazy súdov, ktoré už boli vydané pred 1. januárom 2026, zostávajú v platnosti, avšak len do uplynutia lehoty zamedzenia prístupu k webovému sídlu, ktorá je uvedená v príkaze súdu.</w:t>
      </w:r>
    </w:p>
    <w:p w14:paraId="1D41634E" w14:textId="77777777" w:rsidR="00D550F1" w:rsidRPr="00D550F1" w:rsidRDefault="00D550F1" w:rsidP="00D550F1">
      <w:pPr>
        <w:spacing w:after="0" w:line="240" w:lineRule="auto"/>
        <w:jc w:val="both"/>
        <w:rPr>
          <w:rStyle w:val="Zstupntext"/>
          <w:rFonts w:eastAsiaTheme="majorEastAsia"/>
          <w:b/>
          <w:color w:val="auto"/>
          <w:u w:val="single"/>
        </w:rPr>
      </w:pPr>
    </w:p>
    <w:p w14:paraId="708B5AD0" w14:textId="77777777" w:rsidR="00D550F1" w:rsidRPr="00D550F1" w:rsidRDefault="00D550F1" w:rsidP="00D550F1">
      <w:pPr>
        <w:spacing w:after="0" w:line="240" w:lineRule="auto"/>
        <w:jc w:val="both"/>
        <w:rPr>
          <w:rStyle w:val="Zstupntext"/>
          <w:rFonts w:eastAsiaTheme="majorEastAsia"/>
          <w:b/>
          <w:color w:val="auto"/>
          <w:u w:val="single"/>
        </w:rPr>
      </w:pPr>
    </w:p>
    <w:p w14:paraId="2D27C63D" w14:textId="77777777" w:rsidR="00D550F1" w:rsidRPr="00D550F1" w:rsidRDefault="00D550F1" w:rsidP="00D550F1">
      <w:pPr>
        <w:spacing w:line="240" w:lineRule="auto"/>
        <w:jc w:val="both"/>
        <w:rPr>
          <w:rStyle w:val="Zstupntext"/>
          <w:rFonts w:eastAsiaTheme="majorEastAsia"/>
          <w:b/>
          <w:color w:val="auto"/>
          <w:u w:val="single"/>
        </w:rPr>
      </w:pPr>
      <w:r w:rsidRPr="00D550F1">
        <w:rPr>
          <w:rStyle w:val="Zstupntext"/>
          <w:rFonts w:eastAsiaTheme="majorEastAsia"/>
          <w:b/>
          <w:color w:val="auto"/>
          <w:u w:val="single"/>
        </w:rPr>
        <w:t>K čl. XIX (452/2021 Z. z.)</w:t>
      </w:r>
    </w:p>
    <w:p w14:paraId="69ECE28E"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1 </w:t>
      </w:r>
      <w:r w:rsidRPr="00D550F1">
        <w:rPr>
          <w:rFonts w:ascii="Times New Roman" w:hAnsi="Times New Roman" w:cs="Times New Roman"/>
          <w:bCs/>
        </w:rPr>
        <w:t>[§ 94 ods. 4]</w:t>
      </w:r>
    </w:p>
    <w:p w14:paraId="3FBC5DF8" w14:textId="77777777" w:rsidR="00D550F1" w:rsidRPr="00D550F1" w:rsidRDefault="00D550F1" w:rsidP="00D550F1">
      <w:pPr>
        <w:spacing w:line="240" w:lineRule="auto"/>
        <w:jc w:val="both"/>
        <w:rPr>
          <w:rFonts w:ascii="Times New Roman" w:hAnsi="Times New Roman" w:cs="Times New Roman"/>
          <w:bCs/>
        </w:rPr>
      </w:pPr>
      <w:r w:rsidRPr="00D550F1">
        <w:rPr>
          <w:rFonts w:ascii="Times New Roman" w:hAnsi="Times New Roman" w:cs="Times New Roman"/>
          <w:bCs/>
        </w:rPr>
        <w:t xml:space="preserve">Ustanovenie § 94 ods. 4 zákona o elektronických komunikáciách sa upravuje z rovnakého dôvodu, že blokovanie webového sídla, prostredníctvom ktorého sa poskytuje zakázaná ponuka, sa nebude vykonávať na základe príkazu súdu, ale priamo na základe zoznamu zakázaných ponúk vedeného Úradom pre reguláciu hazardných hier, ktorý bude takéto zakázané webové sídla identifikovať a ktorý bude zverejňovaný na webovom sídle úradu a aktualizovaný na týždennej báze, pričom sa táto povinnosť bude musieť splniť najneskôr do 5 dní od zverejnenia zoznamu zakázaných ponúk alebo jeho aktualizácie. Zároveň bude obdobne platiť, že ak bude nejaké webové sídlo zo zoznamu zakázaných ponúk vyradené, prístup k nemu sa bude musieť bezodkladne obnoviť.  </w:t>
      </w:r>
    </w:p>
    <w:p w14:paraId="386DBAA7"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K bodu 2</w:t>
      </w:r>
      <w:r w:rsidRPr="00D550F1">
        <w:rPr>
          <w:rFonts w:ascii="Times New Roman" w:hAnsi="Times New Roman" w:cs="Times New Roman"/>
          <w:bCs/>
        </w:rPr>
        <w:t xml:space="preserve"> [§ 94 ods. 5]</w:t>
      </w:r>
    </w:p>
    <w:p w14:paraId="649E5E0D" w14:textId="77777777" w:rsidR="00D550F1" w:rsidRPr="00D550F1" w:rsidRDefault="00D550F1" w:rsidP="00D550F1">
      <w:pPr>
        <w:spacing w:line="240" w:lineRule="auto"/>
        <w:jc w:val="both"/>
        <w:rPr>
          <w:rFonts w:ascii="Times New Roman" w:hAnsi="Times New Roman" w:cs="Times New Roman"/>
          <w:b/>
        </w:rPr>
      </w:pPr>
      <w:r w:rsidRPr="00D550F1">
        <w:rPr>
          <w:rFonts w:ascii="Times New Roman" w:hAnsi="Times New Roman" w:cs="Times New Roman"/>
          <w:bCs/>
        </w:rPr>
        <w:t xml:space="preserve">V súvislosti s novou úpravou dozoru nad poskytovaním zakázaných ponúk v zákone o hazardných hrách, ako aj vývojom v oblasti zakázaných ponúk, ktoré sa rozmachom internetu preorientovali zo zakázaných telefonických (hlasových) služieb a krátkych textových správ na zakázané mobilné aplikácie, je potrebné vypustiť ustanovenia § 94 ods. 5 zákona o elektronických komunikáciách z dôvodu, že sa stali bezpredmetné.    </w:t>
      </w:r>
      <w:r w:rsidRPr="00D550F1">
        <w:rPr>
          <w:rFonts w:ascii="Times New Roman" w:hAnsi="Times New Roman" w:cs="Times New Roman"/>
          <w:b/>
        </w:rPr>
        <w:t xml:space="preserve"> </w:t>
      </w:r>
    </w:p>
    <w:p w14:paraId="2A8AFA35"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3 </w:t>
      </w:r>
      <w:r w:rsidRPr="00D550F1">
        <w:rPr>
          <w:rFonts w:ascii="Times New Roman" w:hAnsi="Times New Roman" w:cs="Times New Roman"/>
          <w:bCs/>
        </w:rPr>
        <w:t>[§ 122 ods. 4 písm. a)]</w:t>
      </w:r>
    </w:p>
    <w:p w14:paraId="30AD82CB" w14:textId="77777777" w:rsidR="00D550F1" w:rsidRPr="00D550F1" w:rsidRDefault="00D550F1" w:rsidP="00D550F1">
      <w:pPr>
        <w:spacing w:line="240" w:lineRule="auto"/>
        <w:rPr>
          <w:rFonts w:ascii="Times New Roman" w:hAnsi="Times New Roman" w:cs="Times New Roman"/>
          <w:b/>
        </w:rPr>
      </w:pPr>
      <w:r w:rsidRPr="00D550F1">
        <w:rPr>
          <w:rFonts w:ascii="Times New Roman" w:hAnsi="Times New Roman" w:cs="Times New Roman"/>
          <w:bCs/>
        </w:rPr>
        <w:t>Legislatívno-technická úprava v súvislosti s vypustením odseku 5 v § 94 zákona.</w:t>
      </w:r>
    </w:p>
    <w:p w14:paraId="0B7F80CA" w14:textId="77777777" w:rsidR="00D550F1" w:rsidRPr="00D550F1" w:rsidRDefault="00D550F1" w:rsidP="00D550F1">
      <w:pPr>
        <w:spacing w:after="0" w:line="240" w:lineRule="auto"/>
        <w:rPr>
          <w:rFonts w:ascii="Times New Roman" w:hAnsi="Times New Roman" w:cs="Times New Roman"/>
          <w:b/>
        </w:rPr>
      </w:pPr>
      <w:r w:rsidRPr="00D550F1">
        <w:rPr>
          <w:rFonts w:ascii="Times New Roman" w:hAnsi="Times New Roman" w:cs="Times New Roman"/>
          <w:b/>
        </w:rPr>
        <w:t xml:space="preserve">K bodu 4 </w:t>
      </w:r>
      <w:r w:rsidRPr="00D550F1">
        <w:rPr>
          <w:rFonts w:ascii="Times New Roman" w:hAnsi="Times New Roman" w:cs="Times New Roman"/>
          <w:bCs/>
        </w:rPr>
        <w:t>[§ 131e]</w:t>
      </w:r>
    </w:p>
    <w:p w14:paraId="357C6D19" w14:textId="77777777" w:rsidR="00D550F1" w:rsidRPr="00D550F1" w:rsidRDefault="00D550F1" w:rsidP="00D550F1">
      <w:pPr>
        <w:spacing w:after="0" w:line="240" w:lineRule="auto"/>
        <w:jc w:val="both"/>
        <w:rPr>
          <w:rFonts w:ascii="Times New Roman" w:hAnsi="Times New Roman" w:cs="Times New Roman"/>
          <w:bCs/>
        </w:rPr>
      </w:pPr>
      <w:r w:rsidRPr="00D550F1">
        <w:rPr>
          <w:rFonts w:ascii="Times New Roman" w:hAnsi="Times New Roman" w:cs="Times New Roman"/>
          <w:bCs/>
        </w:rPr>
        <w:t>V súvislosti s úpravou § 94 ods. 4 zákona je potrebné prijať prechodné ustanovenie, v zmysle  ktorého sa povinnosti podľa nového režimu musia prvýkrát splniť na základe zoznamu zakázaných ponúk zverejneného Úradom pre reguláciu hazardných hier po 31. decembri 2025.</w:t>
      </w:r>
    </w:p>
    <w:p w14:paraId="017215E7" w14:textId="77777777" w:rsidR="00D550F1" w:rsidRPr="00D550F1" w:rsidRDefault="00D550F1" w:rsidP="00D550F1">
      <w:pPr>
        <w:spacing w:after="0" w:line="240" w:lineRule="auto"/>
        <w:jc w:val="both"/>
        <w:rPr>
          <w:rFonts w:ascii="Times New Roman" w:hAnsi="Times New Roman" w:cs="Times New Roman"/>
          <w:bCs/>
        </w:rPr>
      </w:pPr>
    </w:p>
    <w:p w14:paraId="10BEECC7" w14:textId="77777777" w:rsidR="00D550F1" w:rsidRPr="00D550F1" w:rsidRDefault="00D550F1" w:rsidP="00D550F1">
      <w:pPr>
        <w:spacing w:after="0" w:line="240" w:lineRule="auto"/>
        <w:jc w:val="both"/>
        <w:rPr>
          <w:rStyle w:val="Zstupntext"/>
          <w:rFonts w:eastAsiaTheme="majorEastAsia"/>
          <w:b/>
          <w:color w:val="auto"/>
          <w:u w:val="single"/>
        </w:rPr>
      </w:pPr>
    </w:p>
    <w:p w14:paraId="078E4811" w14:textId="77777777" w:rsidR="00D550F1" w:rsidRPr="00D550F1" w:rsidRDefault="00D550F1" w:rsidP="00D550F1">
      <w:pPr>
        <w:spacing w:line="240" w:lineRule="auto"/>
        <w:jc w:val="both"/>
        <w:rPr>
          <w:rStyle w:val="Zstupntext"/>
          <w:rFonts w:eastAsiaTheme="majorEastAsia"/>
          <w:b/>
          <w:color w:val="auto"/>
          <w:u w:val="single"/>
        </w:rPr>
      </w:pPr>
      <w:r w:rsidRPr="00D550F1">
        <w:rPr>
          <w:rStyle w:val="Zstupntext"/>
          <w:rFonts w:eastAsiaTheme="majorEastAsia"/>
          <w:b/>
          <w:color w:val="auto"/>
          <w:u w:val="single"/>
        </w:rPr>
        <w:t>K čl. XX</w:t>
      </w:r>
    </w:p>
    <w:p w14:paraId="786F74E0" w14:textId="77777777" w:rsidR="00D550F1" w:rsidRPr="00D550F1" w:rsidRDefault="00D550F1" w:rsidP="00D550F1">
      <w:pPr>
        <w:spacing w:line="240" w:lineRule="auto"/>
        <w:jc w:val="both"/>
        <w:rPr>
          <w:rFonts w:ascii="Times New Roman" w:eastAsiaTheme="majorEastAsia" w:hAnsi="Times New Roman" w:cs="Times New Roman"/>
          <w:bCs/>
        </w:rPr>
      </w:pPr>
      <w:r w:rsidRPr="00D550F1">
        <w:rPr>
          <w:rFonts w:ascii="Times New Roman" w:eastAsiaTheme="majorEastAsia" w:hAnsi="Times New Roman" w:cs="Times New Roman"/>
          <w:bCs/>
        </w:rPr>
        <w:t>Účinnosť zákona sa navrhuje 1. novembra 2025 okrem čl. XI štvrtého bodu, čl. XVIII ôsmeho bodu a bodu 22 § 100e, ktoré nadobúdajú účinnosť 1. decembra 2025, čl. XV, ktorý nadobúda účinnosť 31. decembra 2025 a okrem čl. I prvého bodu a tretieho bodu, čl. II, čl. V až X, čl. XI  prvého bodu až tretieho bodu a piateho bodu, čl. XII až XIV, čl. XVI, čl. XVII, čl. XVIII prvého bodu až siedmeho bodu, bodov 9 až 21 a bodu 22 § 100f a čl. XIX, ktoré nadobúdajú účinnosť 1. januára 2026.</w:t>
      </w:r>
    </w:p>
    <w:p w14:paraId="66E39C83" w14:textId="77777777" w:rsidR="00D550F1" w:rsidRPr="00D550F1" w:rsidRDefault="00D550F1" w:rsidP="00D550F1">
      <w:pPr>
        <w:spacing w:line="240" w:lineRule="auto"/>
        <w:jc w:val="both"/>
        <w:rPr>
          <w:rFonts w:ascii="Times New Roman" w:eastAsiaTheme="majorEastAsia" w:hAnsi="Times New Roman" w:cs="Times New Roman"/>
          <w:bCs/>
        </w:rPr>
      </w:pPr>
    </w:p>
    <w:p w14:paraId="213EA470" w14:textId="509A694C" w:rsidR="00D550F1" w:rsidRPr="00D550F1" w:rsidRDefault="00D550F1" w:rsidP="00D550F1">
      <w:pPr>
        <w:spacing w:line="240" w:lineRule="auto"/>
        <w:jc w:val="both"/>
        <w:rPr>
          <w:rFonts w:ascii="Times New Roman" w:hAnsi="Times New Roman" w:cs="Times New Roman"/>
        </w:rPr>
      </w:pPr>
      <w:r w:rsidRPr="00D550F1">
        <w:rPr>
          <w:rFonts w:ascii="Times New Roman" w:hAnsi="Times New Roman" w:cs="Times New Roman"/>
        </w:rPr>
        <w:t>V Bratislave dňa 10. septembra 2025</w:t>
      </w:r>
    </w:p>
    <w:p w14:paraId="7B37310E" w14:textId="77777777" w:rsidR="00D550F1" w:rsidRPr="00D550F1" w:rsidRDefault="00D550F1" w:rsidP="00D550F1">
      <w:pPr>
        <w:spacing w:line="240" w:lineRule="auto"/>
        <w:jc w:val="both"/>
        <w:rPr>
          <w:rFonts w:ascii="Times New Roman" w:hAnsi="Times New Roman" w:cs="Times New Roman"/>
        </w:rPr>
      </w:pPr>
    </w:p>
    <w:p w14:paraId="0F61D429" w14:textId="77777777" w:rsidR="00D550F1" w:rsidRPr="00D550F1" w:rsidRDefault="00D550F1" w:rsidP="00D550F1">
      <w:pPr>
        <w:spacing w:line="240" w:lineRule="auto"/>
        <w:jc w:val="both"/>
        <w:rPr>
          <w:rFonts w:ascii="Times New Roman" w:hAnsi="Times New Roman" w:cs="Times New Roman"/>
        </w:rPr>
      </w:pPr>
    </w:p>
    <w:p w14:paraId="3714D5ED" w14:textId="77777777" w:rsidR="00D550F1" w:rsidRPr="00D550F1" w:rsidRDefault="00D550F1" w:rsidP="00D550F1">
      <w:pPr>
        <w:spacing w:line="240" w:lineRule="auto"/>
        <w:jc w:val="both"/>
        <w:rPr>
          <w:rFonts w:ascii="Times New Roman" w:hAnsi="Times New Roman" w:cs="Times New Roman"/>
        </w:rPr>
      </w:pPr>
    </w:p>
    <w:p w14:paraId="355FC54E" w14:textId="77777777" w:rsidR="00D550F1" w:rsidRPr="00D550F1" w:rsidRDefault="00D550F1" w:rsidP="00D550F1">
      <w:pPr>
        <w:spacing w:line="240" w:lineRule="auto"/>
        <w:jc w:val="both"/>
        <w:rPr>
          <w:rFonts w:ascii="Times New Roman" w:hAnsi="Times New Roman" w:cs="Times New Roman"/>
        </w:rPr>
      </w:pPr>
    </w:p>
    <w:p w14:paraId="362123DE" w14:textId="77777777" w:rsidR="00D550F1" w:rsidRPr="00D550F1" w:rsidRDefault="00D550F1" w:rsidP="00D550F1">
      <w:pPr>
        <w:spacing w:line="240" w:lineRule="auto"/>
        <w:jc w:val="both"/>
        <w:rPr>
          <w:rFonts w:ascii="Times New Roman" w:hAnsi="Times New Roman" w:cs="Times New Roman"/>
        </w:rPr>
      </w:pPr>
    </w:p>
    <w:p w14:paraId="3069D005" w14:textId="77777777" w:rsidR="00D550F1" w:rsidRPr="00D550F1" w:rsidRDefault="00D550F1" w:rsidP="00D550F1">
      <w:pPr>
        <w:spacing w:line="240" w:lineRule="auto"/>
        <w:jc w:val="center"/>
        <w:rPr>
          <w:rFonts w:ascii="Times New Roman" w:hAnsi="Times New Roman" w:cs="Times New Roman"/>
          <w:b/>
          <w:bCs/>
        </w:rPr>
      </w:pPr>
      <w:r w:rsidRPr="00D550F1">
        <w:rPr>
          <w:rFonts w:ascii="Times New Roman" w:hAnsi="Times New Roman" w:cs="Times New Roman"/>
          <w:b/>
          <w:bCs/>
        </w:rPr>
        <w:t>Robert Fico, v.r.</w:t>
      </w:r>
    </w:p>
    <w:p w14:paraId="665E1785" w14:textId="77777777" w:rsidR="00D550F1" w:rsidRPr="00D550F1" w:rsidRDefault="00D550F1" w:rsidP="00D550F1">
      <w:pPr>
        <w:spacing w:line="240" w:lineRule="auto"/>
        <w:jc w:val="center"/>
        <w:rPr>
          <w:rFonts w:ascii="Times New Roman" w:hAnsi="Times New Roman" w:cs="Times New Roman"/>
        </w:rPr>
      </w:pPr>
      <w:r w:rsidRPr="00D550F1">
        <w:rPr>
          <w:rFonts w:ascii="Times New Roman" w:hAnsi="Times New Roman" w:cs="Times New Roman"/>
        </w:rPr>
        <w:t>predseda vlády Slovenskej republiky</w:t>
      </w:r>
    </w:p>
    <w:p w14:paraId="42B94300" w14:textId="77777777" w:rsidR="00D550F1" w:rsidRPr="00D550F1" w:rsidRDefault="00D550F1" w:rsidP="00D550F1">
      <w:pPr>
        <w:spacing w:line="240" w:lineRule="auto"/>
        <w:jc w:val="center"/>
        <w:rPr>
          <w:rFonts w:ascii="Times New Roman" w:hAnsi="Times New Roman" w:cs="Times New Roman"/>
        </w:rPr>
      </w:pPr>
    </w:p>
    <w:p w14:paraId="584C303D" w14:textId="77777777" w:rsidR="00D550F1" w:rsidRPr="00D550F1" w:rsidRDefault="00D550F1" w:rsidP="00D550F1">
      <w:pPr>
        <w:spacing w:line="240" w:lineRule="auto"/>
        <w:jc w:val="center"/>
        <w:rPr>
          <w:rFonts w:ascii="Times New Roman" w:hAnsi="Times New Roman" w:cs="Times New Roman"/>
        </w:rPr>
      </w:pPr>
    </w:p>
    <w:p w14:paraId="7DE37ACF" w14:textId="77777777" w:rsidR="00D550F1" w:rsidRPr="00D550F1" w:rsidRDefault="00D550F1" w:rsidP="00D550F1">
      <w:pPr>
        <w:spacing w:line="240" w:lineRule="auto"/>
        <w:jc w:val="center"/>
        <w:rPr>
          <w:rFonts w:ascii="Times New Roman" w:hAnsi="Times New Roman" w:cs="Times New Roman"/>
        </w:rPr>
      </w:pPr>
    </w:p>
    <w:p w14:paraId="1AEB518F" w14:textId="77777777" w:rsidR="00D550F1" w:rsidRPr="00D550F1" w:rsidRDefault="00D550F1" w:rsidP="00D550F1">
      <w:pPr>
        <w:spacing w:line="240" w:lineRule="auto"/>
        <w:jc w:val="center"/>
        <w:rPr>
          <w:rFonts w:ascii="Times New Roman" w:hAnsi="Times New Roman" w:cs="Times New Roman"/>
        </w:rPr>
      </w:pPr>
    </w:p>
    <w:p w14:paraId="50A4A640" w14:textId="77777777" w:rsidR="00D550F1" w:rsidRPr="00D550F1" w:rsidRDefault="00D550F1" w:rsidP="00D550F1">
      <w:pPr>
        <w:spacing w:line="240" w:lineRule="auto"/>
        <w:jc w:val="center"/>
        <w:rPr>
          <w:rFonts w:ascii="Times New Roman" w:hAnsi="Times New Roman" w:cs="Times New Roman"/>
        </w:rPr>
      </w:pPr>
    </w:p>
    <w:p w14:paraId="578AD425" w14:textId="77777777" w:rsidR="00D550F1" w:rsidRPr="00D550F1" w:rsidRDefault="00D550F1" w:rsidP="00D550F1">
      <w:pPr>
        <w:spacing w:line="240" w:lineRule="auto"/>
        <w:jc w:val="center"/>
        <w:rPr>
          <w:rFonts w:ascii="Times New Roman" w:hAnsi="Times New Roman" w:cs="Times New Roman"/>
          <w:b/>
          <w:bCs/>
        </w:rPr>
      </w:pPr>
      <w:r w:rsidRPr="00D550F1">
        <w:rPr>
          <w:rFonts w:ascii="Times New Roman" w:hAnsi="Times New Roman" w:cs="Times New Roman"/>
          <w:b/>
          <w:bCs/>
        </w:rPr>
        <w:t>Ladislav Kamenický, v.r.</w:t>
      </w:r>
    </w:p>
    <w:p w14:paraId="03F962B1" w14:textId="77777777" w:rsidR="00D550F1" w:rsidRPr="00D550F1" w:rsidRDefault="00D550F1" w:rsidP="00D550F1">
      <w:pPr>
        <w:spacing w:line="240" w:lineRule="auto"/>
        <w:jc w:val="center"/>
        <w:rPr>
          <w:rFonts w:ascii="Times New Roman" w:hAnsi="Times New Roman" w:cs="Times New Roman"/>
          <w:b/>
          <w:bCs/>
        </w:rPr>
      </w:pPr>
      <w:r w:rsidRPr="00D550F1">
        <w:rPr>
          <w:rFonts w:ascii="Times New Roman" w:hAnsi="Times New Roman" w:cs="Times New Roman"/>
        </w:rPr>
        <w:t>minister financií Slovenskej republiky</w:t>
      </w:r>
    </w:p>
    <w:p w14:paraId="5966547A" w14:textId="1DA9A42C" w:rsidR="00D550F1" w:rsidRPr="00D550F1" w:rsidRDefault="00D550F1" w:rsidP="00D550F1">
      <w:pPr>
        <w:spacing w:line="240" w:lineRule="auto"/>
        <w:jc w:val="both"/>
        <w:rPr>
          <w:rFonts w:ascii="Times New Roman" w:hAnsi="Times New Roman" w:cs="Times New Roman"/>
        </w:rPr>
      </w:pPr>
    </w:p>
    <w:sectPr w:rsidR="00D550F1" w:rsidRPr="00D550F1" w:rsidSect="004821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4C56" w14:textId="77777777" w:rsidR="00D86B0F" w:rsidRDefault="00D86B0F" w:rsidP="008E19EA">
      <w:pPr>
        <w:spacing w:after="0" w:line="240" w:lineRule="auto"/>
      </w:pPr>
      <w:r>
        <w:separator/>
      </w:r>
    </w:p>
  </w:endnote>
  <w:endnote w:type="continuationSeparator" w:id="0">
    <w:p w14:paraId="5E099E34" w14:textId="77777777" w:rsidR="00D86B0F" w:rsidRDefault="00D86B0F" w:rsidP="008E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51D6" w14:textId="77777777" w:rsidR="00AD62CD" w:rsidRDefault="00AD62CD">
    <w:pPr>
      <w:pStyle w:val="Pta"/>
      <w:framePr w:wrap="around" w:vAnchor="text" w:hAnchor="margin" w:xAlign="right" w:y="1"/>
      <w:rPr>
        <w:rStyle w:val="slostrany"/>
      </w:rPr>
    </w:pPr>
    <w:r>
      <w:rPr>
        <w:noProof/>
      </w:rPr>
      <mc:AlternateContent>
        <mc:Choice Requires="wps">
          <w:drawing>
            <wp:anchor distT="0" distB="0" distL="0" distR="0" simplePos="0" relativeHeight="251660288" behindDoc="0" locked="0" layoutInCell="1" allowOverlap="1" wp14:anchorId="764910C3" wp14:editId="6C15043F">
              <wp:simplePos x="635" y="635"/>
              <wp:positionH relativeFrom="page">
                <wp:align>left</wp:align>
              </wp:positionH>
              <wp:positionV relativeFrom="page">
                <wp:align>bottom</wp:align>
              </wp:positionV>
              <wp:extent cx="633095" cy="368935"/>
              <wp:effectExtent l="0" t="0" r="14605" b="0"/>
              <wp:wrapNone/>
              <wp:docPr id="1192929644"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68935"/>
                      </a:xfrm>
                      <a:prstGeom prst="rect">
                        <a:avLst/>
                      </a:prstGeom>
                      <a:noFill/>
                      <a:ln>
                        <a:noFill/>
                      </a:ln>
                    </wps:spPr>
                    <wps:txbx>
                      <w:txbxContent>
                        <w:p w14:paraId="146E72A3" w14:textId="77777777" w:rsidR="00AD62CD" w:rsidRPr="008E18C4" w:rsidRDefault="00AD62CD" w:rsidP="008E18C4">
                          <w:pPr>
                            <w:spacing w:after="0"/>
                            <w:rPr>
                              <w:rFonts w:ascii="Calibri" w:eastAsia="Calibri" w:hAnsi="Calibri" w:cs="Calibri"/>
                              <w:noProof/>
                              <w:color w:val="000000"/>
                              <w:sz w:val="20"/>
                              <w:szCs w:val="20"/>
                            </w:rPr>
                          </w:pPr>
                          <w:r w:rsidRPr="008E18C4">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4910C3" id="_x0000_t202" coordsize="21600,21600" o:spt="202" path="m,l,21600r21600,l21600,xe">
              <v:stroke joinstyle="miter"/>
              <v:path gradientshapeok="t" o:connecttype="rect"/>
            </v:shapetype>
            <v:shape id="Textové pole 2" o:spid="_x0000_s1026" type="#_x0000_t202" alt="Interné" style="position:absolute;margin-left:0;margin-top:0;width:49.8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" filled="f" stroked="f">
              <v:textbox style="mso-fit-shape-to-text:t" inset="20pt,0,0,15pt">
                <w:txbxContent>
                  <w:p w14:paraId="146E72A3" w14:textId="77777777" w:rsidR="00AD62CD" w:rsidRPr="008E18C4" w:rsidRDefault="00AD62CD" w:rsidP="008E18C4">
                    <w:pPr>
                      <w:spacing w:after="0"/>
                      <w:rPr>
                        <w:rFonts w:ascii="Calibri" w:eastAsia="Calibri" w:hAnsi="Calibri" w:cs="Calibri"/>
                        <w:noProof/>
                        <w:color w:val="000000"/>
                        <w:sz w:val="20"/>
                        <w:szCs w:val="20"/>
                      </w:rPr>
                    </w:pPr>
                    <w:r w:rsidRPr="008E18C4">
                      <w:rPr>
                        <w:rFonts w:ascii="Calibri" w:eastAsia="Calibri" w:hAnsi="Calibri" w:cs="Calibri"/>
                        <w:noProof/>
                        <w:color w:val="000000"/>
                        <w:sz w:val="20"/>
                        <w:szCs w:val="20"/>
                      </w:rPr>
                      <w:t>Interné</w:t>
                    </w:r>
                  </w:p>
                </w:txbxContent>
              </v:textbox>
              <w10:wrap anchorx="page" anchory="page"/>
            </v:shape>
          </w:pict>
        </mc:Fallback>
      </mc:AlternateContent>
    </w: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273750B7" w14:textId="77777777" w:rsidR="00AD62CD" w:rsidRDefault="00AD62CD">
    <w:pPr>
      <w:pStyle w:val="Pt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C3DC" w14:textId="77777777" w:rsidR="00AD62CD" w:rsidRDefault="00AD62C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71C7A742" w14:textId="77777777" w:rsidR="00AD62CD" w:rsidRDefault="00AD62CD">
    <w:pPr>
      <w:pStyle w:val="Pt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8B4C" w14:textId="77777777" w:rsidR="00AD62CD" w:rsidRDefault="00AD62CD">
    <w:pPr>
      <w:pStyle w:val="Pta"/>
      <w:jc w:val="right"/>
    </w:pPr>
    <w:r>
      <w:fldChar w:fldCharType="begin"/>
    </w:r>
    <w:r>
      <w:instrText>PAGE   \* MERGEFORMAT</w:instrText>
    </w:r>
    <w:r>
      <w:fldChar w:fldCharType="separate"/>
    </w:r>
    <w:r>
      <w:rPr>
        <w:noProof/>
      </w:rPr>
      <w:t>0</w:t>
    </w:r>
    <w:r>
      <w:fldChar w:fldCharType="end"/>
    </w:r>
  </w:p>
  <w:p w14:paraId="6947CBCE" w14:textId="77777777" w:rsidR="00AD62CD" w:rsidRDefault="00AD62CD">
    <w:pPr>
      <w:pStyle w:val="Pt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065252"/>
      <w:docPartObj>
        <w:docPartGallery w:val="Page Numbers (Bottom of Page)"/>
        <w:docPartUnique/>
      </w:docPartObj>
    </w:sdtPr>
    <w:sdtContent>
      <w:p w14:paraId="2B00829F" w14:textId="47C586D3" w:rsidR="0099636A" w:rsidRPr="0099636A" w:rsidRDefault="0099636A">
        <w:pPr>
          <w:pStyle w:val="Pta"/>
          <w:jc w:val="center"/>
          <w:rPr>
            <w:rFonts w:ascii="Times New Roman" w:hAnsi="Times New Roman" w:cs="Times New Roman"/>
          </w:rPr>
        </w:pPr>
        <w:r w:rsidRPr="0099636A">
          <w:rPr>
            <w:rFonts w:ascii="Times New Roman" w:hAnsi="Times New Roman" w:cs="Times New Roman"/>
          </w:rPr>
          <w:fldChar w:fldCharType="begin"/>
        </w:r>
        <w:r w:rsidRPr="0099636A">
          <w:rPr>
            <w:rFonts w:ascii="Times New Roman" w:hAnsi="Times New Roman" w:cs="Times New Roman"/>
          </w:rPr>
          <w:instrText>PAGE   \* MERGEFORMAT</w:instrText>
        </w:r>
        <w:r w:rsidRPr="0099636A">
          <w:rPr>
            <w:rFonts w:ascii="Times New Roman" w:hAnsi="Times New Roman" w:cs="Times New Roman"/>
          </w:rPr>
          <w:fldChar w:fldCharType="separate"/>
        </w:r>
        <w:r w:rsidRPr="0099636A">
          <w:rPr>
            <w:rFonts w:ascii="Times New Roman" w:hAnsi="Times New Roman" w:cs="Times New Roman"/>
          </w:rPr>
          <w:t>2</w:t>
        </w:r>
        <w:r w:rsidRPr="0099636A">
          <w:rPr>
            <w:rFonts w:ascii="Times New Roman" w:hAnsi="Times New Roman" w:cs="Times New Roman"/>
          </w:rPr>
          <w:fldChar w:fldCharType="end"/>
        </w:r>
      </w:p>
    </w:sdtContent>
  </w:sdt>
  <w:p w14:paraId="4AB2FB6A" w14:textId="77777777" w:rsidR="00AD62CD" w:rsidRPr="0099636A" w:rsidRDefault="00AD62CD">
    <w:pPr>
      <w:pStyle w:val="Pta"/>
      <w:rPr>
        <w:rFonts w:ascii="Times New Roman" w:hAnsi="Times New Roman" w:cs="Times New Roman"/>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74AF" w14:textId="77777777" w:rsidR="00AD62CD" w:rsidRDefault="00AD62CD">
    <w:pPr>
      <w:pStyle w:val="Pta"/>
      <w:framePr w:wrap="around" w:vAnchor="text" w:hAnchor="margin" w:xAlign="right" w:y="1"/>
      <w:rPr>
        <w:rStyle w:val="slostrany"/>
      </w:rPr>
    </w:pPr>
    <w:r>
      <w:rPr>
        <w:noProof/>
      </w:rPr>
      <mc:AlternateContent>
        <mc:Choice Requires="wps">
          <w:drawing>
            <wp:anchor distT="0" distB="0" distL="0" distR="0" simplePos="0" relativeHeight="251666432" behindDoc="0" locked="0" layoutInCell="1" allowOverlap="1" wp14:anchorId="2B777A3A" wp14:editId="2198C037">
              <wp:simplePos x="635" y="635"/>
              <wp:positionH relativeFrom="page">
                <wp:align>left</wp:align>
              </wp:positionH>
              <wp:positionV relativeFrom="page">
                <wp:align>bottom</wp:align>
              </wp:positionV>
              <wp:extent cx="633095" cy="368935"/>
              <wp:effectExtent l="0" t="0" r="14605" b="0"/>
              <wp:wrapNone/>
              <wp:docPr id="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68935"/>
                      </a:xfrm>
                      <a:prstGeom prst="rect">
                        <a:avLst/>
                      </a:prstGeom>
                      <a:noFill/>
                      <a:ln>
                        <a:noFill/>
                      </a:ln>
                    </wps:spPr>
                    <wps:txbx>
                      <w:txbxContent>
                        <w:p w14:paraId="2DE2CC90" w14:textId="77777777" w:rsidR="00AD62CD" w:rsidRPr="008E18C4" w:rsidRDefault="00AD62CD" w:rsidP="008E18C4">
                          <w:pPr>
                            <w:spacing w:after="0"/>
                            <w:rPr>
                              <w:rFonts w:ascii="Calibri" w:eastAsia="Calibri" w:hAnsi="Calibri" w:cs="Calibri"/>
                              <w:noProof/>
                              <w:color w:val="000000"/>
                              <w:sz w:val="20"/>
                              <w:szCs w:val="20"/>
                            </w:rPr>
                          </w:pPr>
                          <w:r w:rsidRPr="008E18C4">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77A3A" id="_x0000_t202" coordsize="21600,21600" o:spt="202" path="m,l,21600r21600,l21600,xe">
              <v:stroke joinstyle="miter"/>
              <v:path gradientshapeok="t" o:connecttype="rect"/>
            </v:shapetype>
            <v:shape id="_x0000_s1030" type="#_x0000_t202" alt="Interné" style="position:absolute;margin-left:0;margin-top:0;width:49.85pt;height:29.0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" filled="f" stroked="f">
              <v:textbox style="mso-fit-shape-to-text:t" inset="20pt,0,0,15pt">
                <w:txbxContent>
                  <w:p w14:paraId="2DE2CC90" w14:textId="77777777" w:rsidR="00AD62CD" w:rsidRPr="008E18C4" w:rsidRDefault="00AD62CD" w:rsidP="008E18C4">
                    <w:pPr>
                      <w:spacing w:after="0"/>
                      <w:rPr>
                        <w:rFonts w:ascii="Calibri" w:eastAsia="Calibri" w:hAnsi="Calibri" w:cs="Calibri"/>
                        <w:noProof/>
                        <w:color w:val="000000"/>
                        <w:sz w:val="20"/>
                        <w:szCs w:val="20"/>
                      </w:rPr>
                    </w:pPr>
                    <w:r w:rsidRPr="008E18C4">
                      <w:rPr>
                        <w:rFonts w:ascii="Calibri" w:eastAsia="Calibri" w:hAnsi="Calibri" w:cs="Calibri"/>
                        <w:noProof/>
                        <w:color w:val="000000"/>
                        <w:sz w:val="20"/>
                        <w:szCs w:val="20"/>
                      </w:rPr>
                      <w:t>Interné</w:t>
                    </w:r>
                  </w:p>
                </w:txbxContent>
              </v:textbox>
              <w10:wrap anchorx="page" anchory="page"/>
            </v:shape>
          </w:pict>
        </mc:Fallback>
      </mc:AlternateContent>
    </w: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493E2667" w14:textId="77777777" w:rsidR="00AD62CD" w:rsidRDefault="00AD62CD">
    <w:pPr>
      <w:pStyle w:val="Pt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C84C" w14:textId="77777777" w:rsidR="00AD62CD" w:rsidRDefault="00AD62CD">
    <w:pPr>
      <w:pStyle w:val="Pta"/>
      <w:jc w:val="right"/>
    </w:pPr>
    <w:r>
      <w:rPr>
        <w:noProof/>
      </w:rPr>
      <mc:AlternateContent>
        <mc:Choice Requires="wps">
          <w:drawing>
            <wp:anchor distT="0" distB="0" distL="0" distR="0" simplePos="0" relativeHeight="251665408" behindDoc="0" locked="0" layoutInCell="1" allowOverlap="1" wp14:anchorId="7B9E96A3" wp14:editId="0E05F16A">
              <wp:simplePos x="635" y="635"/>
              <wp:positionH relativeFrom="page">
                <wp:align>left</wp:align>
              </wp:positionH>
              <wp:positionV relativeFrom="page">
                <wp:align>bottom</wp:align>
              </wp:positionV>
              <wp:extent cx="633095" cy="368935"/>
              <wp:effectExtent l="0" t="0" r="14605" b="0"/>
              <wp:wrapNone/>
              <wp:docPr id="3"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68935"/>
                      </a:xfrm>
                      <a:prstGeom prst="rect">
                        <a:avLst/>
                      </a:prstGeom>
                      <a:noFill/>
                      <a:ln>
                        <a:noFill/>
                      </a:ln>
                    </wps:spPr>
                    <wps:txbx>
                      <w:txbxContent>
                        <w:p w14:paraId="3F268560" w14:textId="77777777" w:rsidR="00AD62CD" w:rsidRPr="008E18C4" w:rsidRDefault="00AD62CD" w:rsidP="008E18C4">
                          <w:pPr>
                            <w:spacing w:after="0"/>
                            <w:rPr>
                              <w:rFonts w:ascii="Calibri" w:eastAsia="Calibri" w:hAnsi="Calibri" w:cs="Calibri"/>
                              <w:noProof/>
                              <w:color w:val="000000"/>
                              <w:sz w:val="20"/>
                              <w:szCs w:val="20"/>
                            </w:rPr>
                          </w:pPr>
                          <w:r w:rsidRPr="008E18C4">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9E96A3" id="_x0000_t202" coordsize="21600,21600" o:spt="202" path="m,l,21600r21600,l21600,xe">
              <v:stroke joinstyle="miter"/>
              <v:path gradientshapeok="t" o:connecttype="rect"/>
            </v:shapetype>
            <v:shape id="_x0000_s1031" type="#_x0000_t202" alt="Interné" style="position:absolute;left:0;text-align:left;margin-left:0;margin-top:0;width:49.85pt;height:29.0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" filled="f" stroked="f">
              <v:textbox style="mso-fit-shape-to-text:t" inset="20pt,0,0,15pt">
                <w:txbxContent>
                  <w:p w14:paraId="3F268560" w14:textId="77777777" w:rsidR="00AD62CD" w:rsidRPr="008E18C4" w:rsidRDefault="00AD62CD" w:rsidP="008E18C4">
                    <w:pPr>
                      <w:spacing w:after="0"/>
                      <w:rPr>
                        <w:rFonts w:ascii="Calibri" w:eastAsia="Calibri" w:hAnsi="Calibri" w:cs="Calibri"/>
                        <w:noProof/>
                        <w:color w:val="000000"/>
                        <w:sz w:val="20"/>
                        <w:szCs w:val="20"/>
                      </w:rPr>
                    </w:pPr>
                    <w:r w:rsidRPr="008E18C4">
                      <w:rPr>
                        <w:rFonts w:ascii="Calibri" w:eastAsia="Calibri" w:hAnsi="Calibri" w:cs="Calibri"/>
                        <w:noProof/>
                        <w:color w:val="000000"/>
                        <w:sz w:val="20"/>
                        <w:szCs w:val="20"/>
                      </w:rPr>
                      <w:t>Interné</w:t>
                    </w:r>
                  </w:p>
                </w:txbxContent>
              </v:textbox>
              <w10:wrap anchorx="page" anchory="page"/>
            </v:shape>
          </w:pict>
        </mc:Fallback>
      </mc:AlternateContent>
    </w:r>
    <w:r>
      <w:fldChar w:fldCharType="begin"/>
    </w:r>
    <w:r>
      <w:instrText>PAGE   \* MERGEFORMAT</w:instrText>
    </w:r>
    <w:r>
      <w:fldChar w:fldCharType="separate"/>
    </w:r>
    <w:r>
      <w:rPr>
        <w:noProof/>
      </w:rPr>
      <w:t>0</w:t>
    </w:r>
    <w:r>
      <w:fldChar w:fldCharType="end"/>
    </w:r>
  </w:p>
  <w:p w14:paraId="0D33CFCC" w14:textId="77777777" w:rsidR="00AD62CD" w:rsidRDefault="00AD62C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60216745"/>
      <w:docPartObj>
        <w:docPartGallery w:val="Page Numbers (Bottom of Page)"/>
        <w:docPartUnique/>
      </w:docPartObj>
    </w:sdtPr>
    <w:sdtContent>
      <w:p w14:paraId="37DF004B" w14:textId="35F5B727" w:rsidR="0099636A" w:rsidRPr="0099636A" w:rsidRDefault="0099636A">
        <w:pPr>
          <w:pStyle w:val="Pta"/>
          <w:jc w:val="center"/>
          <w:rPr>
            <w:rFonts w:ascii="Times New Roman" w:hAnsi="Times New Roman" w:cs="Times New Roman"/>
          </w:rPr>
        </w:pPr>
        <w:r w:rsidRPr="0099636A">
          <w:rPr>
            <w:rFonts w:ascii="Times New Roman" w:hAnsi="Times New Roman" w:cs="Times New Roman"/>
          </w:rPr>
          <w:fldChar w:fldCharType="begin"/>
        </w:r>
        <w:r w:rsidRPr="0099636A">
          <w:rPr>
            <w:rFonts w:ascii="Times New Roman" w:hAnsi="Times New Roman" w:cs="Times New Roman"/>
          </w:rPr>
          <w:instrText>PAGE   \* MERGEFORMAT</w:instrText>
        </w:r>
        <w:r w:rsidRPr="0099636A">
          <w:rPr>
            <w:rFonts w:ascii="Times New Roman" w:hAnsi="Times New Roman" w:cs="Times New Roman"/>
          </w:rPr>
          <w:fldChar w:fldCharType="separate"/>
        </w:r>
        <w:r w:rsidRPr="0099636A">
          <w:rPr>
            <w:rFonts w:ascii="Times New Roman" w:hAnsi="Times New Roman" w:cs="Times New Roman"/>
          </w:rPr>
          <w:t>2</w:t>
        </w:r>
        <w:r w:rsidRPr="0099636A">
          <w:rPr>
            <w:rFonts w:ascii="Times New Roman" w:hAnsi="Times New Roman" w:cs="Times New Roman"/>
          </w:rPr>
          <w:fldChar w:fldCharType="end"/>
        </w:r>
      </w:p>
    </w:sdtContent>
  </w:sdt>
  <w:p w14:paraId="7BF87937" w14:textId="77777777" w:rsidR="00AD62CD" w:rsidRPr="0099636A" w:rsidRDefault="00AD62CD">
    <w:pPr>
      <w:pStyle w:val="Pta"/>
      <w:ind w:right="360"/>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537B" w14:textId="77777777" w:rsidR="00AD62CD" w:rsidRDefault="00AD62CD">
    <w:pPr>
      <w:pStyle w:val="Pta"/>
      <w:jc w:val="right"/>
    </w:pPr>
    <w:r>
      <w:rPr>
        <w:noProof/>
      </w:rPr>
      <mc:AlternateContent>
        <mc:Choice Requires="wps">
          <w:drawing>
            <wp:anchor distT="0" distB="0" distL="0" distR="0" simplePos="0" relativeHeight="251659264" behindDoc="0" locked="0" layoutInCell="1" allowOverlap="1" wp14:anchorId="74ED3DAC" wp14:editId="4C63E007">
              <wp:simplePos x="635" y="635"/>
              <wp:positionH relativeFrom="page">
                <wp:align>left</wp:align>
              </wp:positionH>
              <wp:positionV relativeFrom="page">
                <wp:align>bottom</wp:align>
              </wp:positionV>
              <wp:extent cx="633095" cy="368935"/>
              <wp:effectExtent l="0" t="0" r="14605" b="0"/>
              <wp:wrapNone/>
              <wp:docPr id="538259202"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68935"/>
                      </a:xfrm>
                      <a:prstGeom prst="rect">
                        <a:avLst/>
                      </a:prstGeom>
                      <a:noFill/>
                      <a:ln>
                        <a:noFill/>
                      </a:ln>
                    </wps:spPr>
                    <wps:txbx>
                      <w:txbxContent>
                        <w:p w14:paraId="1EA70A11" w14:textId="77777777" w:rsidR="00AD62CD" w:rsidRPr="008E18C4" w:rsidRDefault="00AD62CD" w:rsidP="008E18C4">
                          <w:pPr>
                            <w:spacing w:after="0"/>
                            <w:rPr>
                              <w:rFonts w:ascii="Calibri" w:eastAsia="Calibri" w:hAnsi="Calibri" w:cs="Calibri"/>
                              <w:noProof/>
                              <w:color w:val="000000"/>
                              <w:sz w:val="20"/>
                              <w:szCs w:val="20"/>
                            </w:rPr>
                          </w:pPr>
                          <w:r w:rsidRPr="008E18C4">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ED3DAC" id="_x0000_t202" coordsize="21600,21600" o:spt="202" path="m,l,21600r21600,l21600,xe">
              <v:stroke joinstyle="miter"/>
              <v:path gradientshapeok="t" o:connecttype="rect"/>
            </v:shapetype>
            <v:shape id="Textové pole 1" o:spid="_x0000_s1027" type="#_x0000_t202" alt="Interné" style="position:absolute;left:0;text-align:left;margin-left:0;margin-top:0;width:49.8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" filled="f" stroked="f">
              <v:textbox style="mso-fit-shape-to-text:t" inset="20pt,0,0,15pt">
                <w:txbxContent>
                  <w:p w14:paraId="1EA70A11" w14:textId="77777777" w:rsidR="00AD62CD" w:rsidRPr="008E18C4" w:rsidRDefault="00AD62CD" w:rsidP="008E18C4">
                    <w:pPr>
                      <w:spacing w:after="0"/>
                      <w:rPr>
                        <w:rFonts w:ascii="Calibri" w:eastAsia="Calibri" w:hAnsi="Calibri" w:cs="Calibri"/>
                        <w:noProof/>
                        <w:color w:val="000000"/>
                        <w:sz w:val="20"/>
                        <w:szCs w:val="20"/>
                      </w:rPr>
                    </w:pPr>
                    <w:r w:rsidRPr="008E18C4">
                      <w:rPr>
                        <w:rFonts w:ascii="Calibri" w:eastAsia="Calibri" w:hAnsi="Calibri" w:cs="Calibri"/>
                        <w:noProof/>
                        <w:color w:val="000000"/>
                        <w:sz w:val="20"/>
                        <w:szCs w:val="20"/>
                      </w:rPr>
                      <w:t>Interné</w:t>
                    </w:r>
                  </w:p>
                </w:txbxContent>
              </v:textbox>
              <w10:wrap anchorx="page" anchory="page"/>
            </v:shape>
          </w:pict>
        </mc:Fallback>
      </mc:AlternateContent>
    </w:r>
    <w:r>
      <w:fldChar w:fldCharType="begin"/>
    </w:r>
    <w:r>
      <w:instrText>PAGE   \* MERGEFORMAT</w:instrText>
    </w:r>
    <w:r>
      <w:fldChar w:fldCharType="separate"/>
    </w:r>
    <w:r>
      <w:rPr>
        <w:noProof/>
      </w:rPr>
      <w:t>0</w:t>
    </w:r>
    <w:r>
      <w:fldChar w:fldCharType="end"/>
    </w:r>
  </w:p>
  <w:p w14:paraId="29E291C4" w14:textId="77777777" w:rsidR="00AD62CD" w:rsidRDefault="00AD62C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0DFE" w14:textId="77777777" w:rsidR="00AD62CD" w:rsidRDefault="00AD62C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61C4B71E" w14:textId="77777777" w:rsidR="00AD62CD" w:rsidRDefault="00AD62CD">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5C91" w14:textId="77777777" w:rsidR="00AD62CD" w:rsidRDefault="00AD62CD">
    <w:pPr>
      <w:pStyle w:val="Pta"/>
      <w:jc w:val="right"/>
    </w:pPr>
    <w:r>
      <w:fldChar w:fldCharType="begin"/>
    </w:r>
    <w:r>
      <w:instrText>PAGE   \* MERGEFORMAT</w:instrText>
    </w:r>
    <w:r>
      <w:fldChar w:fldCharType="separate"/>
    </w:r>
    <w:r>
      <w:rPr>
        <w:noProof/>
      </w:rPr>
      <w:t>0</w:t>
    </w:r>
    <w:r>
      <w:fldChar w:fldCharType="end"/>
    </w:r>
  </w:p>
  <w:p w14:paraId="0B6DD788" w14:textId="77777777" w:rsidR="00AD62CD" w:rsidRDefault="00AD62CD">
    <w:pPr>
      <w:pStyle w:val="Pt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4127" w14:textId="77777777" w:rsidR="00AD62CD" w:rsidRDefault="00AD62CD">
    <w:pPr>
      <w:pStyle w:val="Pta"/>
      <w:framePr w:wrap="around" w:vAnchor="text" w:hAnchor="margin" w:xAlign="right" w:y="1"/>
      <w:rPr>
        <w:rStyle w:val="slostrany"/>
      </w:rPr>
    </w:pPr>
    <w:r>
      <w:rPr>
        <w:noProof/>
      </w:rPr>
      <mc:AlternateContent>
        <mc:Choice Requires="wps">
          <w:drawing>
            <wp:anchor distT="0" distB="0" distL="0" distR="0" simplePos="0" relativeHeight="251663360" behindDoc="0" locked="0" layoutInCell="1" allowOverlap="1" wp14:anchorId="2E963FCA" wp14:editId="5519FAA7">
              <wp:simplePos x="635" y="635"/>
              <wp:positionH relativeFrom="page">
                <wp:align>left</wp:align>
              </wp:positionH>
              <wp:positionV relativeFrom="page">
                <wp:align>bottom</wp:align>
              </wp:positionV>
              <wp:extent cx="633095" cy="368935"/>
              <wp:effectExtent l="0" t="0" r="14605" b="0"/>
              <wp:wrapNone/>
              <wp:docPr id="1497892994"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68935"/>
                      </a:xfrm>
                      <a:prstGeom prst="rect">
                        <a:avLst/>
                      </a:prstGeom>
                      <a:noFill/>
                      <a:ln>
                        <a:noFill/>
                      </a:ln>
                    </wps:spPr>
                    <wps:txbx>
                      <w:txbxContent>
                        <w:p w14:paraId="0939FF7A" w14:textId="77777777" w:rsidR="00AD62CD" w:rsidRPr="00CB3426" w:rsidRDefault="00AD62CD" w:rsidP="00CB3426">
                          <w:pPr>
                            <w:spacing w:after="0"/>
                            <w:rPr>
                              <w:rFonts w:ascii="Calibri" w:eastAsia="Calibri" w:hAnsi="Calibri" w:cs="Calibri"/>
                              <w:noProof/>
                              <w:color w:val="000000"/>
                              <w:sz w:val="20"/>
                              <w:szCs w:val="20"/>
                            </w:rPr>
                          </w:pPr>
                          <w:r w:rsidRPr="00CB3426">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963FCA" id="_x0000_t202" coordsize="21600,21600" o:spt="202" path="m,l,21600r21600,l21600,xe">
              <v:stroke joinstyle="miter"/>
              <v:path gradientshapeok="t" o:connecttype="rect"/>
            </v:shapetype>
            <v:shape id="_x0000_s1028" type="#_x0000_t202" alt="Interné" style="position:absolute;margin-left:0;margin-top:0;width:49.85pt;height:29.0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" filled="f" stroked="f">
              <v:textbox style="mso-fit-shape-to-text:t" inset="20pt,0,0,15pt">
                <w:txbxContent>
                  <w:p w14:paraId="0939FF7A" w14:textId="77777777" w:rsidR="00AD62CD" w:rsidRPr="00CB3426" w:rsidRDefault="00AD62CD" w:rsidP="00CB3426">
                    <w:pPr>
                      <w:spacing w:after="0"/>
                      <w:rPr>
                        <w:rFonts w:ascii="Calibri" w:eastAsia="Calibri" w:hAnsi="Calibri" w:cs="Calibri"/>
                        <w:noProof/>
                        <w:color w:val="000000"/>
                        <w:sz w:val="20"/>
                        <w:szCs w:val="20"/>
                      </w:rPr>
                    </w:pPr>
                    <w:r w:rsidRPr="00CB3426">
                      <w:rPr>
                        <w:rFonts w:ascii="Calibri" w:eastAsia="Calibri" w:hAnsi="Calibri" w:cs="Calibri"/>
                        <w:noProof/>
                        <w:color w:val="000000"/>
                        <w:sz w:val="20"/>
                        <w:szCs w:val="20"/>
                      </w:rPr>
                      <w:t>Interné</w:t>
                    </w:r>
                  </w:p>
                </w:txbxContent>
              </v:textbox>
              <w10:wrap anchorx="page" anchory="page"/>
            </v:shape>
          </w:pict>
        </mc:Fallback>
      </mc:AlternateContent>
    </w: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4EF33C6D" w14:textId="77777777" w:rsidR="00AD62CD" w:rsidRDefault="00AD62CD">
    <w:pPr>
      <w:pStyle w:val="Pt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2B87" w14:textId="77777777" w:rsidR="00AD62CD" w:rsidRDefault="00AD62CD">
    <w:pPr>
      <w:pStyle w:val="Pta"/>
      <w:jc w:val="right"/>
    </w:pPr>
    <w:r>
      <w:rPr>
        <w:noProof/>
      </w:rPr>
      <mc:AlternateContent>
        <mc:Choice Requires="wps">
          <w:drawing>
            <wp:anchor distT="0" distB="0" distL="0" distR="0" simplePos="0" relativeHeight="251662336" behindDoc="0" locked="0" layoutInCell="1" allowOverlap="1" wp14:anchorId="054B2A3D" wp14:editId="2FA015F7">
              <wp:simplePos x="635" y="635"/>
              <wp:positionH relativeFrom="page">
                <wp:align>left</wp:align>
              </wp:positionH>
              <wp:positionV relativeFrom="page">
                <wp:align>bottom</wp:align>
              </wp:positionV>
              <wp:extent cx="633095" cy="368935"/>
              <wp:effectExtent l="0" t="0" r="14605" b="0"/>
              <wp:wrapNone/>
              <wp:docPr id="481128983"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68935"/>
                      </a:xfrm>
                      <a:prstGeom prst="rect">
                        <a:avLst/>
                      </a:prstGeom>
                      <a:noFill/>
                      <a:ln>
                        <a:noFill/>
                      </a:ln>
                    </wps:spPr>
                    <wps:txbx>
                      <w:txbxContent>
                        <w:p w14:paraId="5FF0A47A" w14:textId="77777777" w:rsidR="00AD62CD" w:rsidRPr="00CB3426" w:rsidRDefault="00AD62CD" w:rsidP="00CB3426">
                          <w:pPr>
                            <w:spacing w:after="0"/>
                            <w:rPr>
                              <w:rFonts w:ascii="Calibri" w:eastAsia="Calibri" w:hAnsi="Calibri" w:cs="Calibri"/>
                              <w:noProof/>
                              <w:color w:val="000000"/>
                              <w:sz w:val="20"/>
                              <w:szCs w:val="20"/>
                            </w:rPr>
                          </w:pPr>
                          <w:r w:rsidRPr="00CB3426">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B2A3D" id="_x0000_t202" coordsize="21600,21600" o:spt="202" path="m,l,21600r21600,l21600,xe">
              <v:stroke joinstyle="miter"/>
              <v:path gradientshapeok="t" o:connecttype="rect"/>
            </v:shapetype>
            <v:shape id="_x0000_s1029" type="#_x0000_t202" alt="Interné" style="position:absolute;left:0;text-align:left;margin-left:0;margin-top:0;width:49.85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" filled="f" stroked="f">
              <v:textbox style="mso-fit-shape-to-text:t" inset="20pt,0,0,15pt">
                <w:txbxContent>
                  <w:p w14:paraId="5FF0A47A" w14:textId="77777777" w:rsidR="00AD62CD" w:rsidRPr="00CB3426" w:rsidRDefault="00AD62CD" w:rsidP="00CB3426">
                    <w:pPr>
                      <w:spacing w:after="0"/>
                      <w:rPr>
                        <w:rFonts w:ascii="Calibri" w:eastAsia="Calibri" w:hAnsi="Calibri" w:cs="Calibri"/>
                        <w:noProof/>
                        <w:color w:val="000000"/>
                        <w:sz w:val="20"/>
                        <w:szCs w:val="20"/>
                      </w:rPr>
                    </w:pPr>
                    <w:r w:rsidRPr="00CB3426">
                      <w:rPr>
                        <w:rFonts w:ascii="Calibri" w:eastAsia="Calibri" w:hAnsi="Calibri" w:cs="Calibri"/>
                        <w:noProof/>
                        <w:color w:val="000000"/>
                        <w:sz w:val="20"/>
                        <w:szCs w:val="20"/>
                      </w:rPr>
                      <w:t>Interné</w:t>
                    </w:r>
                  </w:p>
                </w:txbxContent>
              </v:textbox>
              <w10:wrap anchorx="page" anchory="page"/>
            </v:shape>
          </w:pict>
        </mc:Fallback>
      </mc:AlternateContent>
    </w:r>
    <w:r>
      <w:fldChar w:fldCharType="begin"/>
    </w:r>
    <w:r>
      <w:instrText>PAGE   \* MERGEFORMAT</w:instrText>
    </w:r>
    <w:r>
      <w:fldChar w:fldCharType="separate"/>
    </w:r>
    <w:r>
      <w:rPr>
        <w:noProof/>
      </w:rPr>
      <w:t>0</w:t>
    </w:r>
    <w:r>
      <w:fldChar w:fldCharType="end"/>
    </w:r>
  </w:p>
  <w:p w14:paraId="7EB8D718" w14:textId="77777777" w:rsidR="00AD62CD" w:rsidRDefault="00AD62CD">
    <w:pPr>
      <w:pStyle w:val="Pt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DF80" w14:textId="77777777" w:rsidR="00AD62CD" w:rsidRDefault="00AD62C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19270366" w14:textId="77777777" w:rsidR="00AD62CD" w:rsidRDefault="00AD62CD">
    <w:pPr>
      <w:pStyle w:val="Pt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649C" w14:textId="77777777" w:rsidR="00AD62CD" w:rsidRDefault="00AD62CD">
    <w:pPr>
      <w:pStyle w:val="Pta"/>
      <w:jc w:val="right"/>
    </w:pPr>
    <w:r>
      <w:fldChar w:fldCharType="begin"/>
    </w:r>
    <w:r>
      <w:instrText>PAGE   \* MERGEFORMAT</w:instrText>
    </w:r>
    <w:r>
      <w:fldChar w:fldCharType="separate"/>
    </w:r>
    <w:r>
      <w:rPr>
        <w:noProof/>
      </w:rPr>
      <w:t>0</w:t>
    </w:r>
    <w:r>
      <w:fldChar w:fldCharType="end"/>
    </w:r>
  </w:p>
  <w:p w14:paraId="249FA478" w14:textId="77777777" w:rsidR="00AD62CD" w:rsidRDefault="00AD62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E5EF" w14:textId="77777777" w:rsidR="00D86B0F" w:rsidRDefault="00D86B0F" w:rsidP="008E19EA">
      <w:pPr>
        <w:spacing w:after="0" w:line="240" w:lineRule="auto"/>
      </w:pPr>
      <w:r>
        <w:separator/>
      </w:r>
    </w:p>
  </w:footnote>
  <w:footnote w:type="continuationSeparator" w:id="0">
    <w:p w14:paraId="7EDB37C4" w14:textId="77777777" w:rsidR="00D86B0F" w:rsidRDefault="00D86B0F" w:rsidP="008E19EA">
      <w:pPr>
        <w:spacing w:after="0" w:line="240" w:lineRule="auto"/>
      </w:pPr>
      <w:r>
        <w:continuationSeparator/>
      </w:r>
    </w:p>
  </w:footnote>
  <w:footnote w:id="1">
    <w:p w14:paraId="0A3DE973" w14:textId="77777777" w:rsidR="00136466" w:rsidRPr="000A6B7F" w:rsidRDefault="00136466" w:rsidP="00136466">
      <w:pPr>
        <w:pStyle w:val="Textpoznmkypodiarou"/>
        <w:rPr>
          <w:rFonts w:ascii="Times New Roman" w:hAnsi="Times New Roman"/>
        </w:rPr>
      </w:pPr>
      <w:r>
        <w:rPr>
          <w:rStyle w:val="Odkaznapoznmkupodiarou"/>
        </w:rPr>
        <w:footnoteRef/>
      </w:r>
      <w:r>
        <w:t xml:space="preserve"> </w:t>
      </w:r>
      <w:r w:rsidRPr="000A6B7F">
        <w:rPr>
          <w:rFonts w:ascii="Times New Roman" w:hAnsi="Times New Roman"/>
        </w:rPr>
        <w:t xml:space="preserve">Definícia goldplatingu </w:t>
      </w:r>
      <w:r w:rsidRPr="00D114ED">
        <w:rPr>
          <w:rFonts w:ascii="Times New Roman" w:hAnsi="Times New Roman"/>
        </w:rPr>
        <w:t>je uvedená v bode 4 časti III. jednotnej metodiky.</w:t>
      </w:r>
    </w:p>
  </w:footnote>
  <w:footnote w:id="2">
    <w:p w14:paraId="04319023" w14:textId="77777777" w:rsidR="00136466" w:rsidRPr="00804BC8" w:rsidRDefault="00136466" w:rsidP="00136466">
      <w:pPr>
        <w:pStyle w:val="Textpoznmkypodiarou"/>
        <w:jc w:val="both"/>
        <w:rPr>
          <w:rFonts w:ascii="Times New Roman" w:hAnsi="Times New Roman"/>
        </w:rPr>
      </w:pPr>
      <w:r w:rsidRPr="0099544D">
        <w:rPr>
          <w:rStyle w:val="Odkaznapoznmkupodiarou"/>
          <w:rFonts w:ascii="Times New Roman" w:hAnsi="Times New Roman"/>
        </w:rPr>
        <w:footnoteRef/>
      </w:r>
      <w:r w:rsidRPr="0099544D">
        <w:rPr>
          <w:rFonts w:ascii="Times New Roman" w:hAnsi="Times New Roman"/>
        </w:rPr>
        <w:t xml:space="preserve"> </w:t>
      </w:r>
      <w:r w:rsidRPr="00804BC8">
        <w:rPr>
          <w:rFonts w:ascii="Times New Roman" w:hAnsi="Times New Roman"/>
        </w:rPr>
        <w:t xml:space="preserve">Informácie sa uvádzajú iba v prípade, ak sa predkladaným návrhom regulácie vykonáva transpozícia smernice </w:t>
      </w:r>
      <w:r w:rsidRPr="0099544D">
        <w:rPr>
          <w:rFonts w:ascii="Times New Roman" w:hAnsi="Times New Roman"/>
        </w:rPr>
        <w:t>EÚ</w:t>
      </w:r>
      <w:r w:rsidRPr="00804BC8">
        <w:rPr>
          <w:rFonts w:ascii="Times New Roman" w:hAnsi="Times New Roman"/>
        </w:rPr>
        <w:t xml:space="preserve"> a bol identifikovaný goldplating podľa tabuľky zhody alebo sa vykonáva implementácia nariadenia EÚ s goldplatingom.</w:t>
      </w:r>
      <w:r>
        <w:rPr>
          <w:rFonts w:ascii="Times New Roman" w:hAnsi="Times New Roman"/>
        </w:rPr>
        <w:t xml:space="preserve"> Informácie sa uvádzajú aj v prípade</w:t>
      </w:r>
      <w:r w:rsidRPr="00CF4D09">
        <w:rPr>
          <w:rFonts w:ascii="Times New Roman" w:hAnsi="Times New Roman"/>
        </w:rPr>
        <w:t xml:space="preserve"> (ak nejde o transpozíciu smernice EÚ alebo implementáciu nariadenia EÚ)</w:t>
      </w:r>
      <w:r>
        <w:rPr>
          <w:rFonts w:ascii="Times New Roman" w:hAnsi="Times New Roman"/>
        </w:rPr>
        <w:t>, ak sa predloženým návrhom odstraňuje goldplating, ktorého pôvod je v skoršom zachovaní existujúcej právnej úpravy (existujúcich vnútroštátnych požiadaviek).</w:t>
      </w:r>
    </w:p>
    <w:p w14:paraId="7C733A65" w14:textId="77777777" w:rsidR="00136466" w:rsidRDefault="00136466" w:rsidP="0013646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7F07" w14:textId="77777777" w:rsidR="00AD62CD" w:rsidRDefault="00AD62CD" w:rsidP="002B63FD">
    <w:pPr>
      <w:pStyle w:val="Hlavika"/>
      <w:jc w:val="right"/>
    </w:pPr>
    <w:r>
      <w:t>Príloha č. 2</w:t>
    </w:r>
  </w:p>
  <w:p w14:paraId="3D311080" w14:textId="77777777" w:rsidR="00AD62CD" w:rsidRPr="00EB59C8" w:rsidRDefault="00AD62CD" w:rsidP="002B63FD">
    <w:pPr>
      <w:pStyle w:val="Hlavika"/>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72E7" w14:textId="77777777" w:rsidR="00AD62CD" w:rsidRPr="00754E7C" w:rsidRDefault="00AD62CD" w:rsidP="00754E7C">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6B9E" w14:textId="77777777" w:rsidR="00AD62CD" w:rsidRDefault="00AD62CD" w:rsidP="00077A11">
    <w:pPr>
      <w:pStyle w:val="Hlavika"/>
      <w:jc w:val="right"/>
    </w:pPr>
    <w:r>
      <w:t>Príloha č. 2</w:t>
    </w:r>
  </w:p>
  <w:p w14:paraId="0BAC7C58" w14:textId="77777777" w:rsidR="00AD62CD" w:rsidRPr="00EB59C8" w:rsidRDefault="00AD62CD" w:rsidP="00077A11">
    <w:pPr>
      <w:pStyle w:val="Hlavika"/>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A141" w14:textId="77777777" w:rsidR="00AD62CD" w:rsidRPr="0024067A" w:rsidRDefault="00AD62CD">
    <w:pPr>
      <w:pStyle w:val="Hlavika"/>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D6C5" w14:textId="77777777" w:rsidR="00AD62CD" w:rsidRPr="000A15AE" w:rsidRDefault="00AD62CD" w:rsidP="00077A11">
    <w:pPr>
      <w:pStyle w:val="Hlavika"/>
      <w:jc w:val="right"/>
    </w:pPr>
    <w:r>
      <w:t>Príloha č. 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A6D0" w14:textId="77777777" w:rsidR="00AD62CD" w:rsidRDefault="00AD62CD" w:rsidP="00077A11">
    <w:pPr>
      <w:pStyle w:val="Hlavika"/>
      <w:jc w:val="right"/>
    </w:pPr>
    <w:r>
      <w:t>Príloha č. 2</w:t>
    </w:r>
  </w:p>
  <w:p w14:paraId="3AC366BC" w14:textId="77777777" w:rsidR="00AD62CD" w:rsidRPr="00EB59C8" w:rsidRDefault="00AD62CD" w:rsidP="00077A11">
    <w:pPr>
      <w:pStyle w:val="Hlavika"/>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CB8A" w14:textId="77777777" w:rsidR="00AD62CD" w:rsidRPr="0024067A" w:rsidRDefault="00AD62CD">
    <w:pPr>
      <w:pStyle w:val="Hlavika"/>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BF51" w14:textId="77777777" w:rsidR="00AD62CD" w:rsidRPr="000A15AE" w:rsidRDefault="00AD62CD" w:rsidP="00077A11">
    <w:pPr>
      <w:pStyle w:val="Hlavika"/>
      <w:jc w:val="right"/>
    </w:pPr>
    <w:r>
      <w:t>Príloha č. 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EB96" w14:textId="77777777" w:rsidR="00AD62CD" w:rsidRDefault="00AD62CD" w:rsidP="002B63FD">
    <w:pPr>
      <w:pStyle w:val="Hlavika"/>
      <w:jc w:val="right"/>
    </w:pPr>
    <w:r>
      <w:t>Príloha č. 2</w:t>
    </w:r>
  </w:p>
  <w:p w14:paraId="16BFBB93" w14:textId="77777777" w:rsidR="00AD62CD" w:rsidRPr="00EB59C8" w:rsidRDefault="00AD62CD" w:rsidP="002B63FD">
    <w:pPr>
      <w:pStyle w:val="Hlavika"/>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9B97" w14:textId="23FFC465" w:rsidR="00AD62CD" w:rsidRPr="00482185" w:rsidRDefault="00AD62CD" w:rsidP="00482185">
    <w:pPr>
      <w:pStyle w:val="Hlavika"/>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9A29" w14:textId="77777777" w:rsidR="00AD62CD" w:rsidRPr="000A15AE" w:rsidRDefault="00AD62CD" w:rsidP="002B63FD">
    <w:pPr>
      <w:pStyle w:val="Hlavika"/>
      <w:jc w:val="right"/>
    </w:pPr>
    <w:r>
      <w:t>Príloha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F93F" w14:textId="77777777" w:rsidR="0099636A" w:rsidRDefault="0099636A">
    <w:pPr>
      <w:pStyle w:val="Hlavika"/>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ADDE" w14:textId="77777777" w:rsidR="00136466" w:rsidRPr="006045CB" w:rsidRDefault="00136466" w:rsidP="00142154">
    <w:pPr>
      <w:pStyle w:val="Hlavika"/>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F696" w14:textId="4A9D14F2" w:rsidR="00136466" w:rsidRPr="00136466" w:rsidRDefault="00136466" w:rsidP="00136466">
    <w:pPr>
      <w:pStyle w:val="Hlavika"/>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9EF3" w14:textId="77777777" w:rsidR="00136466" w:rsidRPr="00433C47" w:rsidRDefault="00136466" w:rsidP="00433C4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F1EC" w14:textId="77777777" w:rsidR="00AD62CD" w:rsidRPr="000A15AE" w:rsidRDefault="00AD62CD" w:rsidP="002B63FD">
    <w:pPr>
      <w:pStyle w:val="Hlavika"/>
      <w:jc w:val="right"/>
    </w:pPr>
    <w:r>
      <w:t>Príloha č.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131F" w14:textId="77777777" w:rsidR="00AD62CD" w:rsidRDefault="00AD62CD" w:rsidP="002B63FD">
    <w:pPr>
      <w:pStyle w:val="Hlavika"/>
      <w:jc w:val="right"/>
    </w:pPr>
    <w:r>
      <w:t>Príloha č. 2</w:t>
    </w:r>
  </w:p>
  <w:p w14:paraId="25674609" w14:textId="77777777" w:rsidR="00AD62CD" w:rsidRPr="00EB59C8" w:rsidRDefault="00AD62CD" w:rsidP="002B63FD">
    <w:pPr>
      <w:pStyle w:val="Hlavika"/>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E015" w14:textId="236B2AB3" w:rsidR="00AD62CD" w:rsidRPr="00AA643C" w:rsidRDefault="00AD62CD" w:rsidP="00AA643C">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B99D" w14:textId="77777777" w:rsidR="00AD62CD" w:rsidRPr="000A15AE" w:rsidRDefault="00AD62CD" w:rsidP="002B63FD">
    <w:pPr>
      <w:pStyle w:val="Hlavika"/>
      <w:jc w:val="right"/>
    </w:pPr>
    <w:r>
      <w:t>Príloha č.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2BE4" w14:textId="77777777" w:rsidR="00AD62CD" w:rsidRDefault="00AD62CD" w:rsidP="002B63FD">
    <w:pPr>
      <w:pStyle w:val="Hlavika"/>
      <w:jc w:val="right"/>
    </w:pPr>
    <w:r>
      <w:t>Príloha č. 2</w:t>
    </w:r>
  </w:p>
  <w:p w14:paraId="142AB20E" w14:textId="77777777" w:rsidR="00AD62CD" w:rsidRPr="00EB59C8" w:rsidRDefault="00AD62CD" w:rsidP="002B63FD">
    <w:pPr>
      <w:pStyle w:val="Hlavika"/>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B824" w14:textId="72D115E4" w:rsidR="00AD62CD" w:rsidRPr="00033762" w:rsidRDefault="00AD62CD" w:rsidP="00033762">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C123" w14:textId="77777777" w:rsidR="00AD62CD" w:rsidRPr="000A15AE" w:rsidRDefault="00AD62CD" w:rsidP="002B63FD">
    <w:pPr>
      <w:pStyle w:val="Hlavika"/>
      <w:jc w:val="right"/>
    </w:pPr>
    <w: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76A4D26"/>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7DE1AE4"/>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193146C"/>
    <w:multiLevelType w:val="hybridMultilevel"/>
    <w:tmpl w:val="44528930"/>
    <w:lvl w:ilvl="0" w:tplc="041B0017">
      <w:start w:val="1"/>
      <w:numFmt w:val="lowerLetter"/>
      <w:lvlText w:val="%1)"/>
      <w:lvlJc w:val="left"/>
      <w:pPr>
        <w:tabs>
          <w:tab w:val="num" w:pos="785"/>
        </w:tabs>
        <w:ind w:left="785" w:hanging="360"/>
      </w:pPr>
      <w:rPr>
        <w:rFonts w:hint="default"/>
      </w:rPr>
    </w:lvl>
    <w:lvl w:ilvl="1" w:tplc="041B0019" w:tentative="1">
      <w:start w:val="1"/>
      <w:numFmt w:val="lowerLetter"/>
      <w:lvlText w:val="%2."/>
      <w:lvlJc w:val="left"/>
      <w:pPr>
        <w:tabs>
          <w:tab w:val="num" w:pos="1505"/>
        </w:tabs>
        <w:ind w:left="1505" w:hanging="360"/>
      </w:pPr>
    </w:lvl>
    <w:lvl w:ilvl="2" w:tplc="041B001B" w:tentative="1">
      <w:start w:val="1"/>
      <w:numFmt w:val="lowerRoman"/>
      <w:lvlText w:val="%3."/>
      <w:lvlJc w:val="right"/>
      <w:pPr>
        <w:tabs>
          <w:tab w:val="num" w:pos="2225"/>
        </w:tabs>
        <w:ind w:left="2225" w:hanging="180"/>
      </w:pPr>
    </w:lvl>
    <w:lvl w:ilvl="3" w:tplc="041B000F" w:tentative="1">
      <w:start w:val="1"/>
      <w:numFmt w:val="decimal"/>
      <w:lvlText w:val="%4."/>
      <w:lvlJc w:val="left"/>
      <w:pPr>
        <w:tabs>
          <w:tab w:val="num" w:pos="2945"/>
        </w:tabs>
        <w:ind w:left="2945" w:hanging="360"/>
      </w:pPr>
    </w:lvl>
    <w:lvl w:ilvl="4" w:tplc="041B0019" w:tentative="1">
      <w:start w:val="1"/>
      <w:numFmt w:val="lowerLetter"/>
      <w:lvlText w:val="%5."/>
      <w:lvlJc w:val="left"/>
      <w:pPr>
        <w:tabs>
          <w:tab w:val="num" w:pos="3665"/>
        </w:tabs>
        <w:ind w:left="3665" w:hanging="360"/>
      </w:pPr>
    </w:lvl>
    <w:lvl w:ilvl="5" w:tplc="041B001B" w:tentative="1">
      <w:start w:val="1"/>
      <w:numFmt w:val="lowerRoman"/>
      <w:lvlText w:val="%6."/>
      <w:lvlJc w:val="right"/>
      <w:pPr>
        <w:tabs>
          <w:tab w:val="num" w:pos="4385"/>
        </w:tabs>
        <w:ind w:left="4385" w:hanging="180"/>
      </w:pPr>
    </w:lvl>
    <w:lvl w:ilvl="6" w:tplc="041B000F" w:tentative="1">
      <w:start w:val="1"/>
      <w:numFmt w:val="decimal"/>
      <w:lvlText w:val="%7."/>
      <w:lvlJc w:val="left"/>
      <w:pPr>
        <w:tabs>
          <w:tab w:val="num" w:pos="5105"/>
        </w:tabs>
        <w:ind w:left="5105" w:hanging="360"/>
      </w:pPr>
    </w:lvl>
    <w:lvl w:ilvl="7" w:tplc="041B0019" w:tentative="1">
      <w:start w:val="1"/>
      <w:numFmt w:val="lowerLetter"/>
      <w:lvlText w:val="%8."/>
      <w:lvlJc w:val="left"/>
      <w:pPr>
        <w:tabs>
          <w:tab w:val="num" w:pos="5825"/>
        </w:tabs>
        <w:ind w:left="5825" w:hanging="360"/>
      </w:pPr>
    </w:lvl>
    <w:lvl w:ilvl="8" w:tplc="041B001B" w:tentative="1">
      <w:start w:val="1"/>
      <w:numFmt w:val="lowerRoman"/>
      <w:lvlText w:val="%9."/>
      <w:lvlJc w:val="right"/>
      <w:pPr>
        <w:tabs>
          <w:tab w:val="num" w:pos="6545"/>
        </w:tabs>
        <w:ind w:left="6545" w:hanging="180"/>
      </w:pPr>
    </w:lvl>
  </w:abstractNum>
  <w:abstractNum w:abstractNumId="3" w15:restartNumberingAfterBreak="0">
    <w:nsid w:val="033D6695"/>
    <w:multiLevelType w:val="hybridMultilevel"/>
    <w:tmpl w:val="F00227A8"/>
    <w:lvl w:ilvl="0" w:tplc="12B62FCC">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45D1395"/>
    <w:multiLevelType w:val="hybridMultilevel"/>
    <w:tmpl w:val="D5ACDDE0"/>
    <w:lvl w:ilvl="0" w:tplc="60284E4A">
      <w:start w:val="1"/>
      <w:numFmt w:val="decimal"/>
      <w:lvlText w:val="%1."/>
      <w:lvlJc w:val="left"/>
      <w:pPr>
        <w:ind w:left="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3EF07A">
      <w:start w:val="1"/>
      <w:numFmt w:val="bullet"/>
      <w:lvlText w:val="-"/>
      <w:lvlJc w:val="left"/>
      <w:pPr>
        <w:ind w:left="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0D670">
      <w:start w:val="1"/>
      <w:numFmt w:val="bullet"/>
      <w:lvlText w:val="▪"/>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92B4C8">
      <w:start w:val="1"/>
      <w:numFmt w:val="bullet"/>
      <w:lvlText w:val="•"/>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0289C">
      <w:start w:val="1"/>
      <w:numFmt w:val="bullet"/>
      <w:lvlText w:val="o"/>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6AD226">
      <w:start w:val="1"/>
      <w:numFmt w:val="bullet"/>
      <w:lvlText w:val="▪"/>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8220C">
      <w:start w:val="1"/>
      <w:numFmt w:val="bullet"/>
      <w:lvlText w:val="•"/>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6F730">
      <w:start w:val="1"/>
      <w:numFmt w:val="bullet"/>
      <w:lvlText w:val="o"/>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1C942C">
      <w:start w:val="1"/>
      <w:numFmt w:val="bullet"/>
      <w:lvlText w:val="▪"/>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4D1021"/>
    <w:multiLevelType w:val="hybridMultilevel"/>
    <w:tmpl w:val="E6B8A878"/>
    <w:lvl w:ilvl="0" w:tplc="FFFFFFFF">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095A7349"/>
    <w:multiLevelType w:val="multilevel"/>
    <w:tmpl w:val="F56E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DFF243B"/>
    <w:multiLevelType w:val="hybridMultilevel"/>
    <w:tmpl w:val="48B83C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BC47AC"/>
    <w:multiLevelType w:val="hybridMultilevel"/>
    <w:tmpl w:val="3C5CF2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8B5069B"/>
    <w:multiLevelType w:val="hybridMultilevel"/>
    <w:tmpl w:val="2A7AEF74"/>
    <w:lvl w:ilvl="0" w:tplc="7A0475B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992D10"/>
    <w:multiLevelType w:val="hybridMultilevel"/>
    <w:tmpl w:val="1116B550"/>
    <w:lvl w:ilvl="0" w:tplc="6C86C3FA">
      <w:start w:val="8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D3F2D1F"/>
    <w:multiLevelType w:val="hybridMultilevel"/>
    <w:tmpl w:val="2976140A"/>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E4A3D62"/>
    <w:multiLevelType w:val="hybridMultilevel"/>
    <w:tmpl w:val="E6B8A878"/>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18E032C"/>
    <w:multiLevelType w:val="hybridMultilevel"/>
    <w:tmpl w:val="6CF6A57A"/>
    <w:lvl w:ilvl="0" w:tplc="70FE644E">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238C7C00"/>
    <w:multiLevelType w:val="hybridMultilevel"/>
    <w:tmpl w:val="CE6C9982"/>
    <w:lvl w:ilvl="0" w:tplc="CCC099DA">
      <w:start w:val="4"/>
      <w:numFmt w:val="bullet"/>
      <w:lvlText w:val="-"/>
      <w:lvlJc w:val="left"/>
      <w:pPr>
        <w:ind w:left="170" w:hanging="17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239B17F0"/>
    <w:multiLevelType w:val="hybridMultilevel"/>
    <w:tmpl w:val="040C8F96"/>
    <w:lvl w:ilvl="0" w:tplc="9A8687CE">
      <w:start w:val="34"/>
      <w:numFmt w:val="decimal"/>
      <w:lvlText w:val="%1."/>
      <w:lvlJc w:val="left"/>
      <w:pPr>
        <w:ind w:left="36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49F20F0"/>
    <w:multiLevelType w:val="hybridMultilevel"/>
    <w:tmpl w:val="85FEE2C8"/>
    <w:lvl w:ilvl="0" w:tplc="97203F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C7772">
      <w:start w:val="1"/>
      <w:numFmt w:val="lowerLetter"/>
      <w:lvlText w:val="%2)"/>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61060">
      <w:start w:val="1"/>
      <w:numFmt w:val="lowerRoman"/>
      <w:lvlText w:val="%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FC5326">
      <w:start w:val="1"/>
      <w:numFmt w:val="decimal"/>
      <w:lvlText w:val="%4"/>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C42382">
      <w:start w:val="1"/>
      <w:numFmt w:val="lowerLetter"/>
      <w:lvlText w:val="%5"/>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8FCF2">
      <w:start w:val="1"/>
      <w:numFmt w:val="lowerRoman"/>
      <w:lvlText w:val="%6"/>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C8F2A">
      <w:start w:val="1"/>
      <w:numFmt w:val="decimal"/>
      <w:lvlText w:val="%7"/>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CA01A">
      <w:start w:val="1"/>
      <w:numFmt w:val="lowerLetter"/>
      <w:lvlText w:val="%8"/>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22A82">
      <w:start w:val="1"/>
      <w:numFmt w:val="lowerRoman"/>
      <w:lvlText w:val="%9"/>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64F6834"/>
    <w:multiLevelType w:val="hybridMultilevel"/>
    <w:tmpl w:val="4476D048"/>
    <w:lvl w:ilvl="0" w:tplc="FD068C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4" w15:restartNumberingAfterBreak="0">
    <w:nsid w:val="288F384B"/>
    <w:multiLevelType w:val="hybridMultilevel"/>
    <w:tmpl w:val="DC1A8DE6"/>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91136BC"/>
    <w:multiLevelType w:val="hybridMultilevel"/>
    <w:tmpl w:val="1D5843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C99366C"/>
    <w:multiLevelType w:val="hybridMultilevel"/>
    <w:tmpl w:val="721896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1205360"/>
    <w:multiLevelType w:val="hybridMultilevel"/>
    <w:tmpl w:val="946685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2860490"/>
    <w:multiLevelType w:val="hybridMultilevel"/>
    <w:tmpl w:val="5E4043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3AC07D9"/>
    <w:multiLevelType w:val="hybridMultilevel"/>
    <w:tmpl w:val="949E1A3A"/>
    <w:lvl w:ilvl="0" w:tplc="E1982358">
      <w:start w:val="4"/>
      <w:numFmt w:val="decimal"/>
      <w:lvlText w:val="%1."/>
      <w:lvlJc w:val="left"/>
      <w:pPr>
        <w:ind w:left="720" w:hanging="360"/>
      </w:pPr>
      <w:rPr>
        <w:rFonts w:asciiTheme="minorHAnsi" w:hAnsiTheme="minorHAns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6AD4831"/>
    <w:multiLevelType w:val="hybridMultilevel"/>
    <w:tmpl w:val="A9549B02"/>
    <w:lvl w:ilvl="0" w:tplc="45C4EF68">
      <w:start w:val="1"/>
      <w:numFmt w:val="bullet"/>
      <w:lvlText w:val="-"/>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9845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4CD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060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5AFA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036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4C3D1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2A4DC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0BB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A213AA4"/>
    <w:multiLevelType w:val="hybridMultilevel"/>
    <w:tmpl w:val="DD7A4BBE"/>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2" w15:restartNumberingAfterBreak="0">
    <w:nsid w:val="3E1602B8"/>
    <w:multiLevelType w:val="multilevel"/>
    <w:tmpl w:val="B5AC3560"/>
    <w:lvl w:ilvl="0">
      <w:start w:val="1"/>
      <w:numFmt w:val="none"/>
      <w:suff w:val="space"/>
      <w:lvlText w:val="(1)"/>
      <w:lvlJc w:val="left"/>
      <w:pPr>
        <w:ind w:left="113" w:hanging="113"/>
      </w:pPr>
      <w:rPr>
        <w:rFonts w:hint="default"/>
      </w:rPr>
    </w:lvl>
    <w:lvl w:ilvl="1">
      <w:start w:val="1"/>
      <w:numFmt w:val="none"/>
      <w:pStyle w:val="Normlny1"/>
      <w:suff w:val="space"/>
      <w:lvlText w:val="-"/>
      <w:lvlJc w:val="left"/>
      <w:pPr>
        <w:ind w:left="113"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F6E1BB9"/>
    <w:multiLevelType w:val="hybridMultilevel"/>
    <w:tmpl w:val="60D2D5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FA6732A"/>
    <w:multiLevelType w:val="multilevel"/>
    <w:tmpl w:val="CA80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B671B8"/>
    <w:multiLevelType w:val="hybridMultilevel"/>
    <w:tmpl w:val="BA6EAC9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6" w15:restartNumberingAfterBreak="0">
    <w:nsid w:val="40832A8A"/>
    <w:multiLevelType w:val="hybridMultilevel"/>
    <w:tmpl w:val="21B69E26"/>
    <w:lvl w:ilvl="0" w:tplc="F8F68C62">
      <w:start w:val="19"/>
      <w:numFmt w:val="bullet"/>
      <w:lvlText w:val="-"/>
      <w:lvlJc w:val="left"/>
      <w:pPr>
        <w:ind w:left="720" w:hanging="360"/>
      </w:pPr>
      <w:rPr>
        <w:rFonts w:ascii="Segoe UI" w:eastAsia="Calibri" w:hAnsi="Segoe UI" w:cs="Segoe UI" w:hint="default"/>
        <w:b/>
        <w:color w:val="333333"/>
        <w:sz w:val="21"/>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15:restartNumberingAfterBreak="0">
    <w:nsid w:val="416E493E"/>
    <w:multiLevelType w:val="hybridMultilevel"/>
    <w:tmpl w:val="1F5C72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2579D2"/>
    <w:multiLevelType w:val="hybridMultilevel"/>
    <w:tmpl w:val="6292F730"/>
    <w:lvl w:ilvl="0" w:tplc="23AE1AAA">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4907CDB"/>
    <w:multiLevelType w:val="hybridMultilevel"/>
    <w:tmpl w:val="5422FC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47F07DDC"/>
    <w:multiLevelType w:val="hybridMultilevel"/>
    <w:tmpl w:val="43BE3A92"/>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88D18C8"/>
    <w:multiLevelType w:val="hybridMultilevel"/>
    <w:tmpl w:val="1D2A2D6A"/>
    <w:lvl w:ilvl="0" w:tplc="FFFFFFFF">
      <w:start w:val="1"/>
      <w:numFmt w:val="bullet"/>
      <w:pStyle w:val="KONC-TEXT-ODRKY"/>
      <w:lvlText w:val=""/>
      <w:lvlJc w:val="left"/>
      <w:pPr>
        <w:tabs>
          <w:tab w:val="num" w:pos="786"/>
        </w:tabs>
        <w:ind w:left="786" w:hanging="360"/>
      </w:pPr>
      <w:rPr>
        <w:rFonts w:ascii="Symbol" w:hAnsi="Symbol" w:cs="Symbol"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Wingdings" w:hint="default"/>
      </w:rPr>
    </w:lvl>
    <w:lvl w:ilvl="3" w:tplc="FFFFFFFF">
      <w:start w:val="1"/>
      <w:numFmt w:val="bullet"/>
      <w:lvlText w:val=""/>
      <w:lvlJc w:val="left"/>
      <w:pPr>
        <w:tabs>
          <w:tab w:val="num" w:pos="3220"/>
        </w:tabs>
        <w:ind w:left="3220" w:hanging="360"/>
      </w:pPr>
      <w:rPr>
        <w:rFonts w:ascii="Symbol" w:hAnsi="Symbol" w:cs="Symbol"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Wingdings" w:hint="default"/>
      </w:rPr>
    </w:lvl>
    <w:lvl w:ilvl="6" w:tplc="FFFFFFFF">
      <w:start w:val="1"/>
      <w:numFmt w:val="bullet"/>
      <w:lvlText w:val=""/>
      <w:lvlJc w:val="left"/>
      <w:pPr>
        <w:tabs>
          <w:tab w:val="num" w:pos="5380"/>
        </w:tabs>
        <w:ind w:left="5380" w:hanging="360"/>
      </w:pPr>
      <w:rPr>
        <w:rFonts w:ascii="Symbol" w:hAnsi="Symbol" w:cs="Symbol"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Wingdings" w:hint="default"/>
      </w:rPr>
    </w:lvl>
  </w:abstractNum>
  <w:abstractNum w:abstractNumId="44" w15:restartNumberingAfterBreak="0">
    <w:nsid w:val="4AC119DA"/>
    <w:multiLevelType w:val="hybridMultilevel"/>
    <w:tmpl w:val="C9984F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4FAC5028"/>
    <w:multiLevelType w:val="hybridMultilevel"/>
    <w:tmpl w:val="9A1CB2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0DA7A3A"/>
    <w:multiLevelType w:val="hybridMultilevel"/>
    <w:tmpl w:val="A2C008CA"/>
    <w:lvl w:ilvl="0" w:tplc="CCCEB200">
      <w:start w:val="6"/>
      <w:numFmt w:val="bullet"/>
      <w:lvlText w:val="-"/>
      <w:lvlJc w:val="left"/>
      <w:pPr>
        <w:ind w:left="1622" w:hanging="360"/>
      </w:pPr>
      <w:rPr>
        <w:rFonts w:ascii="Times New Roman" w:eastAsia="Times New Roman" w:hAnsi="Times New Roman" w:hint="default"/>
      </w:rPr>
    </w:lvl>
    <w:lvl w:ilvl="1" w:tplc="041B0003" w:tentative="1">
      <w:start w:val="1"/>
      <w:numFmt w:val="bullet"/>
      <w:lvlText w:val="o"/>
      <w:lvlJc w:val="left"/>
      <w:pPr>
        <w:ind w:left="2342" w:hanging="360"/>
      </w:pPr>
      <w:rPr>
        <w:rFonts w:ascii="Courier New" w:hAnsi="Courier New" w:cs="Courier New" w:hint="default"/>
      </w:rPr>
    </w:lvl>
    <w:lvl w:ilvl="2" w:tplc="041B0005" w:tentative="1">
      <w:start w:val="1"/>
      <w:numFmt w:val="bullet"/>
      <w:lvlText w:val=""/>
      <w:lvlJc w:val="left"/>
      <w:pPr>
        <w:ind w:left="3062" w:hanging="360"/>
      </w:pPr>
      <w:rPr>
        <w:rFonts w:ascii="Wingdings" w:hAnsi="Wingdings" w:hint="default"/>
      </w:rPr>
    </w:lvl>
    <w:lvl w:ilvl="3" w:tplc="041B0001" w:tentative="1">
      <w:start w:val="1"/>
      <w:numFmt w:val="bullet"/>
      <w:lvlText w:val=""/>
      <w:lvlJc w:val="left"/>
      <w:pPr>
        <w:ind w:left="3782" w:hanging="360"/>
      </w:pPr>
      <w:rPr>
        <w:rFonts w:ascii="Symbol" w:hAnsi="Symbol" w:hint="default"/>
      </w:rPr>
    </w:lvl>
    <w:lvl w:ilvl="4" w:tplc="041B0003" w:tentative="1">
      <w:start w:val="1"/>
      <w:numFmt w:val="bullet"/>
      <w:lvlText w:val="o"/>
      <w:lvlJc w:val="left"/>
      <w:pPr>
        <w:ind w:left="4502" w:hanging="360"/>
      </w:pPr>
      <w:rPr>
        <w:rFonts w:ascii="Courier New" w:hAnsi="Courier New" w:cs="Courier New" w:hint="default"/>
      </w:rPr>
    </w:lvl>
    <w:lvl w:ilvl="5" w:tplc="041B0005" w:tentative="1">
      <w:start w:val="1"/>
      <w:numFmt w:val="bullet"/>
      <w:lvlText w:val=""/>
      <w:lvlJc w:val="left"/>
      <w:pPr>
        <w:ind w:left="5222" w:hanging="360"/>
      </w:pPr>
      <w:rPr>
        <w:rFonts w:ascii="Wingdings" w:hAnsi="Wingdings" w:hint="default"/>
      </w:rPr>
    </w:lvl>
    <w:lvl w:ilvl="6" w:tplc="041B0001" w:tentative="1">
      <w:start w:val="1"/>
      <w:numFmt w:val="bullet"/>
      <w:lvlText w:val=""/>
      <w:lvlJc w:val="left"/>
      <w:pPr>
        <w:ind w:left="5942" w:hanging="360"/>
      </w:pPr>
      <w:rPr>
        <w:rFonts w:ascii="Symbol" w:hAnsi="Symbol" w:hint="default"/>
      </w:rPr>
    </w:lvl>
    <w:lvl w:ilvl="7" w:tplc="041B0003" w:tentative="1">
      <w:start w:val="1"/>
      <w:numFmt w:val="bullet"/>
      <w:lvlText w:val="o"/>
      <w:lvlJc w:val="left"/>
      <w:pPr>
        <w:ind w:left="6662" w:hanging="360"/>
      </w:pPr>
      <w:rPr>
        <w:rFonts w:ascii="Courier New" w:hAnsi="Courier New" w:cs="Courier New" w:hint="default"/>
      </w:rPr>
    </w:lvl>
    <w:lvl w:ilvl="8" w:tplc="041B0005" w:tentative="1">
      <w:start w:val="1"/>
      <w:numFmt w:val="bullet"/>
      <w:lvlText w:val=""/>
      <w:lvlJc w:val="left"/>
      <w:pPr>
        <w:ind w:left="7382" w:hanging="360"/>
      </w:pPr>
      <w:rPr>
        <w:rFonts w:ascii="Wingdings" w:hAnsi="Wingdings" w:hint="default"/>
      </w:rPr>
    </w:lvl>
  </w:abstractNum>
  <w:abstractNum w:abstractNumId="47" w15:restartNumberingAfterBreak="0">
    <w:nsid w:val="52A55870"/>
    <w:multiLevelType w:val="hybridMultilevel"/>
    <w:tmpl w:val="CDEC50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4B27379"/>
    <w:multiLevelType w:val="hybridMultilevel"/>
    <w:tmpl w:val="56C65C50"/>
    <w:lvl w:ilvl="0" w:tplc="DCA65DB0">
      <w:start w:val="1"/>
      <w:numFmt w:val="decimal"/>
      <w:pStyle w:val="Styl2"/>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5B82E7D"/>
    <w:multiLevelType w:val="hybridMultilevel"/>
    <w:tmpl w:val="25300E32"/>
    <w:lvl w:ilvl="0" w:tplc="EF482914">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C9B77D4"/>
    <w:multiLevelType w:val="multilevel"/>
    <w:tmpl w:val="9B6C2164"/>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53" w15:restartNumberingAfterBreak="0">
    <w:nsid w:val="5FDD6214"/>
    <w:multiLevelType w:val="hybridMultilevel"/>
    <w:tmpl w:val="CDEC5056"/>
    <w:lvl w:ilvl="0" w:tplc="6A246FE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1320AC4"/>
    <w:multiLevelType w:val="hybridMultilevel"/>
    <w:tmpl w:val="6AB65DF0"/>
    <w:lvl w:ilvl="0" w:tplc="041B0001">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1C03DA6"/>
    <w:multiLevelType w:val="hybridMultilevel"/>
    <w:tmpl w:val="9DEE257A"/>
    <w:lvl w:ilvl="0" w:tplc="A5540460">
      <w:start w:val="1"/>
      <w:numFmt w:val="decimal"/>
      <w:lvlText w:val="%1."/>
      <w:lvlJc w:val="left"/>
      <w:pPr>
        <w:ind w:left="36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203655B"/>
    <w:multiLevelType w:val="hybridMultilevel"/>
    <w:tmpl w:val="92B21E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27A1C4C"/>
    <w:multiLevelType w:val="hybridMultilevel"/>
    <w:tmpl w:val="404AD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62910F53"/>
    <w:multiLevelType w:val="hybridMultilevel"/>
    <w:tmpl w:val="E73A4A68"/>
    <w:lvl w:ilvl="0" w:tplc="ED0EE1B4">
      <w:start w:val="2"/>
      <w:numFmt w:val="decimal"/>
      <w:lvlText w:val="%1."/>
      <w:lvlJc w:val="left"/>
      <w:pPr>
        <w:ind w:left="720" w:hanging="360"/>
      </w:pPr>
      <w:rPr>
        <w:rFonts w:asciiTheme="minorHAnsi" w:hAnsiTheme="minorHAnsi" w:hint="default"/>
        <w:b w:val="0"/>
        <w:bCs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41B1F98"/>
    <w:multiLevelType w:val="hybridMultilevel"/>
    <w:tmpl w:val="6FE28C7C"/>
    <w:lvl w:ilvl="0" w:tplc="3A1CB3EA">
      <w:start w:val="1"/>
      <w:numFmt w:val="bullet"/>
      <w:pStyle w:val="KONC-OBSAH"/>
      <w:lvlText w:val=""/>
      <w:lvlJc w:val="left"/>
      <w:pPr>
        <w:tabs>
          <w:tab w:val="num" w:pos="540"/>
        </w:tabs>
        <w:ind w:left="540" w:hanging="360"/>
      </w:pPr>
      <w:rPr>
        <w:rFonts w:ascii="Symbol" w:hAnsi="Symbol" w:cs="Symbol" w:hint="default"/>
      </w:rPr>
    </w:lvl>
    <w:lvl w:ilvl="1" w:tplc="C90ED6E0">
      <w:start w:val="1"/>
      <w:numFmt w:val="decimal"/>
      <w:lvlText w:val="%2."/>
      <w:lvlJc w:val="left"/>
      <w:pPr>
        <w:tabs>
          <w:tab w:val="num" w:pos="1440"/>
        </w:tabs>
        <w:ind w:left="1440" w:hanging="360"/>
      </w:pPr>
      <w:rPr>
        <w:rFonts w:hint="default"/>
      </w:rPr>
    </w:lvl>
    <w:lvl w:ilvl="2" w:tplc="FD1E0EE8">
      <w:start w:val="1"/>
      <w:numFmt w:val="bullet"/>
      <w:lvlText w:val=""/>
      <w:lvlJc w:val="left"/>
      <w:pPr>
        <w:tabs>
          <w:tab w:val="num" w:pos="2160"/>
        </w:tabs>
        <w:ind w:left="2160" w:hanging="360"/>
      </w:pPr>
      <w:rPr>
        <w:rFonts w:ascii="Wingdings" w:hAnsi="Wingdings" w:cs="Wingdings" w:hint="default"/>
      </w:rPr>
    </w:lvl>
    <w:lvl w:ilvl="3" w:tplc="4E3CBACC">
      <w:start w:val="1"/>
      <w:numFmt w:val="bullet"/>
      <w:lvlText w:val=""/>
      <w:lvlJc w:val="left"/>
      <w:pPr>
        <w:tabs>
          <w:tab w:val="num" w:pos="2880"/>
        </w:tabs>
        <w:ind w:left="2880" w:hanging="360"/>
      </w:pPr>
      <w:rPr>
        <w:rFonts w:ascii="Symbol" w:hAnsi="Symbol" w:cs="Symbol" w:hint="default"/>
      </w:rPr>
    </w:lvl>
    <w:lvl w:ilvl="4" w:tplc="9830DFE4">
      <w:start w:val="1"/>
      <w:numFmt w:val="bullet"/>
      <w:lvlText w:val="o"/>
      <w:lvlJc w:val="left"/>
      <w:pPr>
        <w:tabs>
          <w:tab w:val="num" w:pos="3600"/>
        </w:tabs>
        <w:ind w:left="3600" w:hanging="360"/>
      </w:pPr>
      <w:rPr>
        <w:rFonts w:ascii="Courier New" w:hAnsi="Courier New" w:cs="Courier New" w:hint="default"/>
      </w:rPr>
    </w:lvl>
    <w:lvl w:ilvl="5" w:tplc="DE3C36F6">
      <w:start w:val="1"/>
      <w:numFmt w:val="bullet"/>
      <w:lvlText w:val=""/>
      <w:lvlJc w:val="left"/>
      <w:pPr>
        <w:tabs>
          <w:tab w:val="num" w:pos="4320"/>
        </w:tabs>
        <w:ind w:left="4320" w:hanging="360"/>
      </w:pPr>
      <w:rPr>
        <w:rFonts w:ascii="Wingdings" w:hAnsi="Wingdings" w:cs="Wingdings" w:hint="default"/>
      </w:rPr>
    </w:lvl>
    <w:lvl w:ilvl="6" w:tplc="DCA67C0A">
      <w:start w:val="1"/>
      <w:numFmt w:val="bullet"/>
      <w:lvlText w:val=""/>
      <w:lvlJc w:val="left"/>
      <w:pPr>
        <w:tabs>
          <w:tab w:val="num" w:pos="5040"/>
        </w:tabs>
        <w:ind w:left="5040" w:hanging="360"/>
      </w:pPr>
      <w:rPr>
        <w:rFonts w:ascii="Symbol" w:hAnsi="Symbol" w:cs="Symbol" w:hint="default"/>
      </w:rPr>
    </w:lvl>
    <w:lvl w:ilvl="7" w:tplc="FF24A4AA">
      <w:start w:val="1"/>
      <w:numFmt w:val="bullet"/>
      <w:lvlText w:val="o"/>
      <w:lvlJc w:val="left"/>
      <w:pPr>
        <w:tabs>
          <w:tab w:val="num" w:pos="5760"/>
        </w:tabs>
        <w:ind w:left="5760" w:hanging="360"/>
      </w:pPr>
      <w:rPr>
        <w:rFonts w:ascii="Courier New" w:hAnsi="Courier New" w:cs="Courier New" w:hint="default"/>
      </w:rPr>
    </w:lvl>
    <w:lvl w:ilvl="8" w:tplc="8F5C3A22">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65497242"/>
    <w:multiLevelType w:val="hybridMultilevel"/>
    <w:tmpl w:val="9682A804"/>
    <w:lvl w:ilvl="0" w:tplc="A9E062D8">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1" w15:restartNumberingAfterBreak="0">
    <w:nsid w:val="67207E3B"/>
    <w:multiLevelType w:val="hybridMultilevel"/>
    <w:tmpl w:val="99BA2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6BB3741E"/>
    <w:multiLevelType w:val="hybridMultilevel"/>
    <w:tmpl w:val="C04CDAB4"/>
    <w:lvl w:ilvl="0" w:tplc="6764D09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DA63CB0"/>
    <w:multiLevelType w:val="hybridMultilevel"/>
    <w:tmpl w:val="0068CCA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DAA5CE6"/>
    <w:multiLevelType w:val="hybridMultilevel"/>
    <w:tmpl w:val="9F064FC6"/>
    <w:lvl w:ilvl="0" w:tplc="959289D8">
      <w:start w:val="4"/>
      <w:numFmt w:val="bullet"/>
      <w:lvlText w:val="-"/>
      <w:lvlJc w:val="left"/>
      <w:pPr>
        <w:ind w:left="1300" w:hanging="360"/>
      </w:pPr>
      <w:rPr>
        <w:rFonts w:ascii="Arial" w:eastAsia="Calibri" w:hAnsi="Arial" w:cs="Arial" w:hint="default"/>
      </w:rPr>
    </w:lvl>
    <w:lvl w:ilvl="1" w:tplc="041B0003" w:tentative="1">
      <w:start w:val="1"/>
      <w:numFmt w:val="bullet"/>
      <w:lvlText w:val="o"/>
      <w:lvlJc w:val="left"/>
      <w:pPr>
        <w:ind w:left="2020" w:hanging="360"/>
      </w:pPr>
      <w:rPr>
        <w:rFonts w:ascii="Courier New" w:hAnsi="Courier New" w:cs="Courier New" w:hint="default"/>
      </w:rPr>
    </w:lvl>
    <w:lvl w:ilvl="2" w:tplc="041B0005" w:tentative="1">
      <w:start w:val="1"/>
      <w:numFmt w:val="bullet"/>
      <w:lvlText w:val=""/>
      <w:lvlJc w:val="left"/>
      <w:pPr>
        <w:ind w:left="2740" w:hanging="360"/>
      </w:pPr>
      <w:rPr>
        <w:rFonts w:ascii="Wingdings" w:hAnsi="Wingdings" w:hint="default"/>
      </w:rPr>
    </w:lvl>
    <w:lvl w:ilvl="3" w:tplc="041B0001" w:tentative="1">
      <w:start w:val="1"/>
      <w:numFmt w:val="bullet"/>
      <w:lvlText w:val=""/>
      <w:lvlJc w:val="left"/>
      <w:pPr>
        <w:ind w:left="3460" w:hanging="360"/>
      </w:pPr>
      <w:rPr>
        <w:rFonts w:ascii="Symbol" w:hAnsi="Symbol" w:hint="default"/>
      </w:rPr>
    </w:lvl>
    <w:lvl w:ilvl="4" w:tplc="041B0003" w:tentative="1">
      <w:start w:val="1"/>
      <w:numFmt w:val="bullet"/>
      <w:lvlText w:val="o"/>
      <w:lvlJc w:val="left"/>
      <w:pPr>
        <w:ind w:left="4180" w:hanging="360"/>
      </w:pPr>
      <w:rPr>
        <w:rFonts w:ascii="Courier New" w:hAnsi="Courier New" w:cs="Courier New" w:hint="default"/>
      </w:rPr>
    </w:lvl>
    <w:lvl w:ilvl="5" w:tplc="041B0005" w:tentative="1">
      <w:start w:val="1"/>
      <w:numFmt w:val="bullet"/>
      <w:lvlText w:val=""/>
      <w:lvlJc w:val="left"/>
      <w:pPr>
        <w:ind w:left="4900" w:hanging="360"/>
      </w:pPr>
      <w:rPr>
        <w:rFonts w:ascii="Wingdings" w:hAnsi="Wingdings" w:hint="default"/>
      </w:rPr>
    </w:lvl>
    <w:lvl w:ilvl="6" w:tplc="041B0001" w:tentative="1">
      <w:start w:val="1"/>
      <w:numFmt w:val="bullet"/>
      <w:lvlText w:val=""/>
      <w:lvlJc w:val="left"/>
      <w:pPr>
        <w:ind w:left="5620" w:hanging="360"/>
      </w:pPr>
      <w:rPr>
        <w:rFonts w:ascii="Symbol" w:hAnsi="Symbol" w:hint="default"/>
      </w:rPr>
    </w:lvl>
    <w:lvl w:ilvl="7" w:tplc="041B0003" w:tentative="1">
      <w:start w:val="1"/>
      <w:numFmt w:val="bullet"/>
      <w:lvlText w:val="o"/>
      <w:lvlJc w:val="left"/>
      <w:pPr>
        <w:ind w:left="6340" w:hanging="360"/>
      </w:pPr>
      <w:rPr>
        <w:rFonts w:ascii="Courier New" w:hAnsi="Courier New" w:cs="Courier New" w:hint="default"/>
      </w:rPr>
    </w:lvl>
    <w:lvl w:ilvl="8" w:tplc="041B0005" w:tentative="1">
      <w:start w:val="1"/>
      <w:numFmt w:val="bullet"/>
      <w:lvlText w:val=""/>
      <w:lvlJc w:val="left"/>
      <w:pPr>
        <w:ind w:left="7060" w:hanging="360"/>
      </w:pPr>
      <w:rPr>
        <w:rFonts w:ascii="Wingdings" w:hAnsi="Wingdings" w:hint="default"/>
      </w:rPr>
    </w:lvl>
  </w:abstractNum>
  <w:abstractNum w:abstractNumId="66"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7"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70152629"/>
    <w:multiLevelType w:val="hybridMultilevel"/>
    <w:tmpl w:val="462A25FA"/>
    <w:lvl w:ilvl="0" w:tplc="6C86C3FA">
      <w:start w:val="8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0" w15:restartNumberingAfterBreak="0">
    <w:nsid w:val="718E1E8F"/>
    <w:multiLevelType w:val="hybridMultilevel"/>
    <w:tmpl w:val="6D52542A"/>
    <w:lvl w:ilvl="0" w:tplc="27428FC8">
      <w:start w:val="22"/>
      <w:numFmt w:val="decimal"/>
      <w:lvlText w:val="%1."/>
      <w:lvlJc w:val="left"/>
      <w:pPr>
        <w:ind w:left="36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1DA0197"/>
    <w:multiLevelType w:val="hybridMultilevel"/>
    <w:tmpl w:val="29DEA83C"/>
    <w:lvl w:ilvl="0" w:tplc="349CC15A">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2"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74CD2C21"/>
    <w:multiLevelType w:val="hybridMultilevel"/>
    <w:tmpl w:val="51B0429A"/>
    <w:lvl w:ilvl="0" w:tplc="BF3265AC">
      <w:start w:val="4"/>
      <w:numFmt w:val="decimal"/>
      <w:lvlText w:val="%1."/>
      <w:lvlJc w:val="left"/>
      <w:pPr>
        <w:ind w:left="720" w:hanging="360"/>
      </w:pPr>
      <w:rPr>
        <w:rFonts w:asciiTheme="minorHAnsi" w:hAnsiTheme="minorHAns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5470191"/>
    <w:multiLevelType w:val="hybridMultilevel"/>
    <w:tmpl w:val="9CC011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5F045D1"/>
    <w:multiLevelType w:val="hybridMultilevel"/>
    <w:tmpl w:val="54525F04"/>
    <w:lvl w:ilvl="0" w:tplc="3F4EF644">
      <w:start w:val="4"/>
      <w:numFmt w:val="decimal"/>
      <w:lvlText w:val="%1."/>
      <w:lvlJc w:val="left"/>
      <w:pPr>
        <w:ind w:left="720" w:hanging="360"/>
      </w:pPr>
      <w:rPr>
        <w:rFonts w:asciiTheme="minorHAnsi" w:hAnsiTheme="minorHAns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7" w15:restartNumberingAfterBreak="0">
    <w:nsid w:val="77013BE3"/>
    <w:multiLevelType w:val="hybridMultilevel"/>
    <w:tmpl w:val="983A79A6"/>
    <w:lvl w:ilvl="0" w:tplc="FD068C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9853F4A"/>
    <w:multiLevelType w:val="hybridMultilevel"/>
    <w:tmpl w:val="9A821208"/>
    <w:lvl w:ilvl="0" w:tplc="2EA6FD80">
      <w:start w:val="5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A07301A"/>
    <w:multiLevelType w:val="hybridMultilevel"/>
    <w:tmpl w:val="98B86A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81" w15:restartNumberingAfterBreak="0">
    <w:nsid w:val="7C8671D4"/>
    <w:multiLevelType w:val="hybridMultilevel"/>
    <w:tmpl w:val="0F9ACD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11227208">
    <w:abstractNumId w:val="64"/>
  </w:num>
  <w:num w:numId="2" w16cid:durableId="4750036">
    <w:abstractNumId w:val="18"/>
  </w:num>
  <w:num w:numId="3" w16cid:durableId="503714923">
    <w:abstractNumId w:val="34"/>
  </w:num>
  <w:num w:numId="4" w16cid:durableId="1901205314">
    <w:abstractNumId w:val="80"/>
  </w:num>
  <w:num w:numId="5" w16cid:durableId="794182032">
    <w:abstractNumId w:val="57"/>
  </w:num>
  <w:num w:numId="6" w16cid:durableId="1797675401">
    <w:abstractNumId w:val="25"/>
  </w:num>
  <w:num w:numId="7" w16cid:durableId="354038979">
    <w:abstractNumId w:val="7"/>
  </w:num>
  <w:num w:numId="8" w16cid:durableId="1736926978">
    <w:abstractNumId w:val="65"/>
  </w:num>
  <w:num w:numId="9" w16cid:durableId="306131505">
    <w:abstractNumId w:val="26"/>
  </w:num>
  <w:num w:numId="10" w16cid:durableId="728115843">
    <w:abstractNumId w:val="61"/>
  </w:num>
  <w:num w:numId="11" w16cid:durableId="366487475">
    <w:abstractNumId w:val="10"/>
  </w:num>
  <w:num w:numId="12" w16cid:durableId="1412966488">
    <w:abstractNumId w:val="79"/>
  </w:num>
  <w:num w:numId="13" w16cid:durableId="2038314165">
    <w:abstractNumId w:val="44"/>
  </w:num>
  <w:num w:numId="14" w16cid:durableId="318387985">
    <w:abstractNumId w:val="54"/>
  </w:num>
  <w:num w:numId="15" w16cid:durableId="1111977762">
    <w:abstractNumId w:val="1"/>
  </w:num>
  <w:num w:numId="16" w16cid:durableId="553346497">
    <w:abstractNumId w:val="0"/>
  </w:num>
  <w:num w:numId="17" w16cid:durableId="1724526470">
    <w:abstractNumId w:val="59"/>
  </w:num>
  <w:num w:numId="18" w16cid:durableId="2004770727">
    <w:abstractNumId w:val="43"/>
  </w:num>
  <w:num w:numId="19" w16cid:durableId="31005321">
    <w:abstractNumId w:val="48"/>
  </w:num>
  <w:num w:numId="20" w16cid:durableId="809830048">
    <w:abstractNumId w:val="32"/>
  </w:num>
  <w:num w:numId="21" w16cid:durableId="1906379133">
    <w:abstractNumId w:val="23"/>
  </w:num>
  <w:num w:numId="22" w16cid:durableId="2113281323">
    <w:abstractNumId w:val="78"/>
  </w:num>
  <w:num w:numId="23" w16cid:durableId="566187466">
    <w:abstractNumId w:val="19"/>
  </w:num>
  <w:num w:numId="24" w16cid:durableId="79445446">
    <w:abstractNumId w:val="52"/>
  </w:num>
  <w:num w:numId="25" w16cid:durableId="176895711">
    <w:abstractNumId w:val="3"/>
  </w:num>
  <w:num w:numId="26" w16cid:durableId="1792822265">
    <w:abstractNumId w:val="42"/>
  </w:num>
  <w:num w:numId="27" w16cid:durableId="776564331">
    <w:abstractNumId w:val="35"/>
  </w:num>
  <w:num w:numId="28" w16cid:durableId="646932746">
    <w:abstractNumId w:val="68"/>
  </w:num>
  <w:num w:numId="29" w16cid:durableId="1259800224">
    <w:abstractNumId w:val="14"/>
  </w:num>
  <w:num w:numId="30" w16cid:durableId="743256560">
    <w:abstractNumId w:val="67"/>
  </w:num>
  <w:num w:numId="31" w16cid:durableId="1232421649">
    <w:abstractNumId w:val="22"/>
  </w:num>
  <w:num w:numId="32" w16cid:durableId="167252377">
    <w:abstractNumId w:val="71"/>
  </w:num>
  <w:num w:numId="33" w16cid:durableId="1769033879">
    <w:abstractNumId w:val="60"/>
  </w:num>
  <w:num w:numId="34" w16cid:durableId="247925386">
    <w:abstractNumId w:val="77"/>
  </w:num>
  <w:num w:numId="35" w16cid:durableId="1754231993">
    <w:abstractNumId w:val="41"/>
  </w:num>
  <w:num w:numId="36" w16cid:durableId="1799954117">
    <w:abstractNumId w:val="8"/>
  </w:num>
  <w:num w:numId="37" w16cid:durableId="1149637672">
    <w:abstractNumId w:val="15"/>
  </w:num>
  <w:num w:numId="38" w16cid:durableId="634481382">
    <w:abstractNumId w:val="2"/>
  </w:num>
  <w:num w:numId="39" w16cid:durableId="1811165378">
    <w:abstractNumId w:val="46"/>
  </w:num>
  <w:num w:numId="40" w16cid:durableId="98456956">
    <w:abstractNumId w:val="36"/>
  </w:num>
  <w:num w:numId="41" w16cid:durableId="998190443">
    <w:abstractNumId w:val="28"/>
  </w:num>
  <w:num w:numId="42" w16cid:durableId="2009751909">
    <w:abstractNumId w:val="39"/>
  </w:num>
  <w:num w:numId="43" w16cid:durableId="170798835">
    <w:abstractNumId w:val="31"/>
  </w:num>
  <w:num w:numId="44" w16cid:durableId="1519201265">
    <w:abstractNumId w:val="11"/>
  </w:num>
  <w:num w:numId="45" w16cid:durableId="526481252">
    <w:abstractNumId w:val="69"/>
  </w:num>
  <w:num w:numId="46" w16cid:durableId="1291085740">
    <w:abstractNumId w:val="72"/>
  </w:num>
  <w:num w:numId="47" w16cid:durableId="1283924685">
    <w:abstractNumId w:val="66"/>
  </w:num>
  <w:num w:numId="48" w16cid:durableId="411851994">
    <w:abstractNumId w:val="51"/>
  </w:num>
  <w:num w:numId="49" w16cid:durableId="4558355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3693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70315980">
    <w:abstractNumId w:val="63"/>
  </w:num>
  <w:num w:numId="52" w16cid:durableId="507137924">
    <w:abstractNumId w:val="17"/>
  </w:num>
  <w:num w:numId="53" w16cid:durableId="1779176728">
    <w:abstractNumId w:val="40"/>
  </w:num>
  <w:num w:numId="54" w16cid:durableId="1272084087">
    <w:abstractNumId w:val="6"/>
  </w:num>
  <w:num w:numId="55" w16cid:durableId="328219403">
    <w:abstractNumId w:val="76"/>
  </w:num>
  <w:num w:numId="56" w16cid:durableId="929125814">
    <w:abstractNumId w:val="50"/>
  </w:num>
  <w:num w:numId="57" w16cid:durableId="1414543957">
    <w:abstractNumId w:val="81"/>
  </w:num>
  <w:num w:numId="58" w16cid:durableId="538661609">
    <w:abstractNumId w:val="16"/>
  </w:num>
  <w:num w:numId="59" w16cid:durableId="1897231808">
    <w:abstractNumId w:val="5"/>
  </w:num>
  <w:num w:numId="60" w16cid:durableId="863905560">
    <w:abstractNumId w:val="74"/>
  </w:num>
  <w:num w:numId="61" w16cid:durableId="1264148295">
    <w:abstractNumId w:val="49"/>
  </w:num>
  <w:num w:numId="62" w16cid:durableId="1991405448">
    <w:abstractNumId w:val="9"/>
  </w:num>
  <w:num w:numId="63" w16cid:durableId="1886331084">
    <w:abstractNumId w:val="70"/>
  </w:num>
  <w:num w:numId="64" w16cid:durableId="519782415">
    <w:abstractNumId w:val="27"/>
  </w:num>
  <w:num w:numId="65" w16cid:durableId="1292249069">
    <w:abstractNumId w:val="56"/>
  </w:num>
  <w:num w:numId="66" w16cid:durableId="30688174">
    <w:abstractNumId w:val="24"/>
  </w:num>
  <w:num w:numId="67" w16cid:durableId="993144723">
    <w:abstractNumId w:val="45"/>
  </w:num>
  <w:num w:numId="68" w16cid:durableId="1744175825">
    <w:abstractNumId w:val="37"/>
  </w:num>
  <w:num w:numId="69" w16cid:durableId="361637983">
    <w:abstractNumId w:val="33"/>
  </w:num>
  <w:num w:numId="70" w16cid:durableId="863859163">
    <w:abstractNumId w:val="20"/>
  </w:num>
  <w:num w:numId="71" w16cid:durableId="274404238">
    <w:abstractNumId w:val="55"/>
  </w:num>
  <w:num w:numId="72" w16cid:durableId="2074044520">
    <w:abstractNumId w:val="58"/>
  </w:num>
  <w:num w:numId="73" w16cid:durableId="1127772896">
    <w:abstractNumId w:val="53"/>
  </w:num>
  <w:num w:numId="74" w16cid:durableId="696736628">
    <w:abstractNumId w:val="29"/>
  </w:num>
  <w:num w:numId="75" w16cid:durableId="2081245354">
    <w:abstractNumId w:val="73"/>
  </w:num>
  <w:num w:numId="76" w16cid:durableId="158230854">
    <w:abstractNumId w:val="75"/>
  </w:num>
  <w:num w:numId="77" w16cid:durableId="18509191">
    <w:abstractNumId w:val="62"/>
  </w:num>
  <w:num w:numId="78" w16cid:durableId="987903007">
    <w:abstractNumId w:val="38"/>
  </w:num>
  <w:num w:numId="79" w16cid:durableId="948003723">
    <w:abstractNumId w:val="13"/>
  </w:num>
  <w:num w:numId="80" w16cid:durableId="243073839">
    <w:abstractNumId w:val="47"/>
  </w:num>
  <w:num w:numId="81" w16cid:durableId="444228850">
    <w:abstractNumId w:val="4"/>
  </w:num>
  <w:num w:numId="82" w16cid:durableId="1618217987">
    <w:abstractNumId w:val="30"/>
  </w:num>
  <w:num w:numId="83" w16cid:durableId="14332840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07"/>
    <w:rsid w:val="00006488"/>
    <w:rsid w:val="000332FA"/>
    <w:rsid w:val="00033762"/>
    <w:rsid w:val="00062F1D"/>
    <w:rsid w:val="00080208"/>
    <w:rsid w:val="000C1921"/>
    <w:rsid w:val="00104606"/>
    <w:rsid w:val="00136466"/>
    <w:rsid w:val="001764DD"/>
    <w:rsid w:val="00192961"/>
    <w:rsid w:val="0029316E"/>
    <w:rsid w:val="002C13EB"/>
    <w:rsid w:val="002D2A9D"/>
    <w:rsid w:val="00306D7A"/>
    <w:rsid w:val="003079E5"/>
    <w:rsid w:val="003D366D"/>
    <w:rsid w:val="00404A22"/>
    <w:rsid w:val="004569D6"/>
    <w:rsid w:val="00482185"/>
    <w:rsid w:val="00497476"/>
    <w:rsid w:val="004C4B84"/>
    <w:rsid w:val="005401C3"/>
    <w:rsid w:val="005662DE"/>
    <w:rsid w:val="005903A8"/>
    <w:rsid w:val="00614145"/>
    <w:rsid w:val="00617990"/>
    <w:rsid w:val="00643177"/>
    <w:rsid w:val="00661CB4"/>
    <w:rsid w:val="006866E9"/>
    <w:rsid w:val="0069228A"/>
    <w:rsid w:val="006C1CF1"/>
    <w:rsid w:val="006E0A21"/>
    <w:rsid w:val="007725D3"/>
    <w:rsid w:val="007759CD"/>
    <w:rsid w:val="0078280C"/>
    <w:rsid w:val="007F3D46"/>
    <w:rsid w:val="0080021C"/>
    <w:rsid w:val="00821ECA"/>
    <w:rsid w:val="00827474"/>
    <w:rsid w:val="00855106"/>
    <w:rsid w:val="0086623D"/>
    <w:rsid w:val="0088753F"/>
    <w:rsid w:val="008C0C07"/>
    <w:rsid w:val="008D55E4"/>
    <w:rsid w:val="008D6E78"/>
    <w:rsid w:val="008E19EA"/>
    <w:rsid w:val="00907ADF"/>
    <w:rsid w:val="00915AE1"/>
    <w:rsid w:val="00930551"/>
    <w:rsid w:val="00946B0B"/>
    <w:rsid w:val="0099636A"/>
    <w:rsid w:val="009B6E81"/>
    <w:rsid w:val="009C46C6"/>
    <w:rsid w:val="009D05AD"/>
    <w:rsid w:val="00A1049C"/>
    <w:rsid w:val="00A13AC3"/>
    <w:rsid w:val="00A36843"/>
    <w:rsid w:val="00A83D45"/>
    <w:rsid w:val="00AA5F07"/>
    <w:rsid w:val="00AA643C"/>
    <w:rsid w:val="00AD62CD"/>
    <w:rsid w:val="00B12A0C"/>
    <w:rsid w:val="00B34022"/>
    <w:rsid w:val="00B414E3"/>
    <w:rsid w:val="00B560F6"/>
    <w:rsid w:val="00B657FD"/>
    <w:rsid w:val="00B70AF6"/>
    <w:rsid w:val="00B740F2"/>
    <w:rsid w:val="00BA685F"/>
    <w:rsid w:val="00BC6897"/>
    <w:rsid w:val="00BC7906"/>
    <w:rsid w:val="00BE4645"/>
    <w:rsid w:val="00BF16D3"/>
    <w:rsid w:val="00BF7759"/>
    <w:rsid w:val="00C055CC"/>
    <w:rsid w:val="00C202A8"/>
    <w:rsid w:val="00C416CE"/>
    <w:rsid w:val="00C51AAB"/>
    <w:rsid w:val="00CB6F63"/>
    <w:rsid w:val="00CC0C7E"/>
    <w:rsid w:val="00CD2446"/>
    <w:rsid w:val="00CF34F9"/>
    <w:rsid w:val="00D004A5"/>
    <w:rsid w:val="00D01442"/>
    <w:rsid w:val="00D104B5"/>
    <w:rsid w:val="00D13047"/>
    <w:rsid w:val="00D35BAB"/>
    <w:rsid w:val="00D403FF"/>
    <w:rsid w:val="00D550F1"/>
    <w:rsid w:val="00D83D41"/>
    <w:rsid w:val="00D86B0F"/>
    <w:rsid w:val="00D9363C"/>
    <w:rsid w:val="00DB558C"/>
    <w:rsid w:val="00E219E2"/>
    <w:rsid w:val="00E2589B"/>
    <w:rsid w:val="00E31DBF"/>
    <w:rsid w:val="00E354DC"/>
    <w:rsid w:val="00E44DA7"/>
    <w:rsid w:val="00ED3BDB"/>
    <w:rsid w:val="00EE75DB"/>
    <w:rsid w:val="00EF69B8"/>
    <w:rsid w:val="00F20FA6"/>
    <w:rsid w:val="00F6078E"/>
    <w:rsid w:val="00F709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AA298"/>
  <w15:chartTrackingRefBased/>
  <w15:docId w15:val="{7A396293-BC25-4121-AB4C-05F2BA5D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Nadpis 1T,NADPIS,Heading 11111,Kapitola,H1,V_Head1,Main Section,MainHeader"/>
    <w:basedOn w:val="Normlny"/>
    <w:next w:val="Normlny"/>
    <w:link w:val="Nadpis1Char"/>
    <w:uiPriority w:val="9"/>
    <w:qFormat/>
    <w:rsid w:val="008C0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Nadpis 2T,Podnadpis,F2,F21,H2,Podkapitola1,hlavicka,h2,V_Head2"/>
    <w:basedOn w:val="Normlny"/>
    <w:next w:val="Normlny"/>
    <w:link w:val="Nadpis2Char"/>
    <w:uiPriority w:val="9"/>
    <w:unhideWhenUsed/>
    <w:qFormat/>
    <w:rsid w:val="008C0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
    <w:basedOn w:val="Normlny"/>
    <w:next w:val="Normlny"/>
    <w:link w:val="Nadpis3Char"/>
    <w:unhideWhenUsed/>
    <w:qFormat/>
    <w:rsid w:val="008C0C0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Podkapitola3,Aufgabe"/>
    <w:basedOn w:val="Normlny"/>
    <w:next w:val="Normlny"/>
    <w:link w:val="Nadpis4Char"/>
    <w:unhideWhenUsed/>
    <w:qFormat/>
    <w:rsid w:val="008C0C0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nhideWhenUsed/>
    <w:qFormat/>
    <w:rsid w:val="008C0C0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8C0C0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8C0C0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8C0C0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8C0C0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1,NADPIS Char1,Heading 11111 Char1,Kapitola Char1,H1 Char1,V_Head1 Char1,Main Section Char1,MainHeader Char"/>
    <w:basedOn w:val="Predvolenpsmoodseku"/>
    <w:link w:val="Nadpis1"/>
    <w:uiPriority w:val="9"/>
    <w:rsid w:val="008C0C07"/>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Nadpis 2T Char1,Podnadpis Char1,F2 Char1,F21 Char1,H2 Char1,Podkapitola1 Char1,hlavicka Char1,h2 Char1,V_Head2 Char"/>
    <w:basedOn w:val="Predvolenpsmoodseku"/>
    <w:link w:val="Nadpis2"/>
    <w:uiPriority w:val="9"/>
    <w:rsid w:val="008C0C07"/>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rsid w:val="008C0C07"/>
    <w:rPr>
      <w:rFonts w:eastAsiaTheme="majorEastAsia" w:cstheme="majorBidi"/>
      <w:color w:val="0F4761" w:themeColor="accent1" w:themeShade="BF"/>
      <w:sz w:val="28"/>
      <w:szCs w:val="28"/>
    </w:rPr>
  </w:style>
  <w:style w:type="character" w:customStyle="1" w:styleId="Nadpis4Char">
    <w:name w:val="Nadpis 4 Char"/>
    <w:aliases w:val="Podkapitola3 Char,Aufgabe Char"/>
    <w:basedOn w:val="Predvolenpsmoodseku"/>
    <w:link w:val="Nadpis4"/>
    <w:rsid w:val="008C0C07"/>
    <w:rPr>
      <w:rFonts w:eastAsiaTheme="majorEastAsia" w:cstheme="majorBidi"/>
      <w:i/>
      <w:iCs/>
      <w:color w:val="0F4761" w:themeColor="accent1" w:themeShade="BF"/>
    </w:rPr>
  </w:style>
  <w:style w:type="character" w:customStyle="1" w:styleId="Nadpis5Char">
    <w:name w:val="Nadpis 5 Char"/>
    <w:basedOn w:val="Predvolenpsmoodseku"/>
    <w:link w:val="Nadpis5"/>
    <w:rsid w:val="008C0C07"/>
    <w:rPr>
      <w:rFonts w:eastAsiaTheme="majorEastAsia" w:cstheme="majorBidi"/>
      <w:color w:val="0F4761" w:themeColor="accent1" w:themeShade="BF"/>
    </w:rPr>
  </w:style>
  <w:style w:type="character" w:customStyle="1" w:styleId="Nadpis6Char">
    <w:name w:val="Nadpis 6 Char"/>
    <w:basedOn w:val="Predvolenpsmoodseku"/>
    <w:link w:val="Nadpis6"/>
    <w:rsid w:val="008C0C07"/>
    <w:rPr>
      <w:rFonts w:eastAsiaTheme="majorEastAsia" w:cstheme="majorBidi"/>
      <w:i/>
      <w:iCs/>
      <w:color w:val="595959" w:themeColor="text1" w:themeTint="A6"/>
    </w:rPr>
  </w:style>
  <w:style w:type="character" w:customStyle="1" w:styleId="Nadpis7Char">
    <w:name w:val="Nadpis 7 Char"/>
    <w:basedOn w:val="Predvolenpsmoodseku"/>
    <w:link w:val="Nadpis7"/>
    <w:rsid w:val="008C0C07"/>
    <w:rPr>
      <w:rFonts w:eastAsiaTheme="majorEastAsia" w:cstheme="majorBidi"/>
      <w:color w:val="595959" w:themeColor="text1" w:themeTint="A6"/>
    </w:rPr>
  </w:style>
  <w:style w:type="character" w:customStyle="1" w:styleId="Nadpis8Char">
    <w:name w:val="Nadpis 8 Char"/>
    <w:basedOn w:val="Predvolenpsmoodseku"/>
    <w:link w:val="Nadpis8"/>
    <w:rsid w:val="008C0C07"/>
    <w:rPr>
      <w:rFonts w:eastAsiaTheme="majorEastAsia" w:cstheme="majorBidi"/>
      <w:i/>
      <w:iCs/>
      <w:color w:val="272727" w:themeColor="text1" w:themeTint="D8"/>
    </w:rPr>
  </w:style>
  <w:style w:type="character" w:customStyle="1" w:styleId="Nadpis9Char">
    <w:name w:val="Nadpis 9 Char"/>
    <w:basedOn w:val="Predvolenpsmoodseku"/>
    <w:link w:val="Nadpis9"/>
    <w:rsid w:val="008C0C07"/>
    <w:rPr>
      <w:rFonts w:eastAsiaTheme="majorEastAsia" w:cstheme="majorBidi"/>
      <w:color w:val="272727" w:themeColor="text1" w:themeTint="D8"/>
    </w:rPr>
  </w:style>
  <w:style w:type="paragraph" w:styleId="Nzov">
    <w:name w:val="Title"/>
    <w:basedOn w:val="Normlny"/>
    <w:next w:val="Normlny"/>
    <w:link w:val="NzovChar"/>
    <w:uiPriority w:val="99"/>
    <w:qFormat/>
    <w:rsid w:val="008C0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99"/>
    <w:rsid w:val="008C0C0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8C0C0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rsid w:val="008C0C0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C0C0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C0C07"/>
    <w:rPr>
      <w:i/>
      <w:iCs/>
      <w:color w:val="404040" w:themeColor="text1" w:themeTint="BF"/>
    </w:rPr>
  </w:style>
  <w:style w:type="paragraph" w:styleId="Odsekzoznamu">
    <w:name w:val="List Paragraph"/>
    <w:aliases w:val="body,Odsek zoznamu1,Odsek,Odsek zoznamu2,numbered list,2,OBC Bullet,Normal 1,Task Body,Viñetas (Inicio Parrafo),Paragrafo elenco,3 Txt tabla,Zerrenda-paragrafoa,Fiche List Paragraph,Dot pt,F5 List Paragraph,List Paragraph1,No Spacing1"/>
    <w:basedOn w:val="Normlny"/>
    <w:link w:val="OdsekzoznamuChar"/>
    <w:uiPriority w:val="34"/>
    <w:qFormat/>
    <w:rsid w:val="008C0C07"/>
    <w:pPr>
      <w:ind w:left="720"/>
      <w:contextualSpacing/>
    </w:pPr>
  </w:style>
  <w:style w:type="character" w:styleId="Intenzvnezvraznenie">
    <w:name w:val="Intense Emphasis"/>
    <w:basedOn w:val="Predvolenpsmoodseku"/>
    <w:uiPriority w:val="21"/>
    <w:qFormat/>
    <w:rsid w:val="008C0C07"/>
    <w:rPr>
      <w:i/>
      <w:iCs/>
      <w:color w:val="0F4761" w:themeColor="accent1" w:themeShade="BF"/>
    </w:rPr>
  </w:style>
  <w:style w:type="paragraph" w:styleId="Zvraznencitcia">
    <w:name w:val="Intense Quote"/>
    <w:basedOn w:val="Normlny"/>
    <w:next w:val="Normlny"/>
    <w:link w:val="ZvraznencitciaChar"/>
    <w:uiPriority w:val="30"/>
    <w:qFormat/>
    <w:rsid w:val="008C0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C0C07"/>
    <w:rPr>
      <w:i/>
      <w:iCs/>
      <w:color w:val="0F4761" w:themeColor="accent1" w:themeShade="BF"/>
    </w:rPr>
  </w:style>
  <w:style w:type="character" w:styleId="Zvraznenodkaz">
    <w:name w:val="Intense Reference"/>
    <w:basedOn w:val="Predvolenpsmoodseku"/>
    <w:uiPriority w:val="32"/>
    <w:qFormat/>
    <w:rsid w:val="008C0C07"/>
    <w:rPr>
      <w:b/>
      <w:bCs/>
      <w:smallCaps/>
      <w:color w:val="0F4761" w:themeColor="accent1" w:themeShade="BF"/>
      <w:spacing w:val="5"/>
    </w:rPr>
  </w:style>
  <w:style w:type="paragraph" w:styleId="Normlnywebov">
    <w:name w:val="Normal (Web)"/>
    <w:aliases w:val="webb"/>
    <w:basedOn w:val="Normlny"/>
    <w:uiPriority w:val="99"/>
    <w:qFormat/>
    <w:rsid w:val="00D35BAB"/>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paragraph" w:styleId="Textpoznmkypodiarou">
    <w:name w:val="footnote text"/>
    <w:basedOn w:val="Normlny"/>
    <w:link w:val="TextpoznmkypodiarouChar"/>
    <w:uiPriority w:val="99"/>
    <w:semiHidden/>
    <w:unhideWhenUsed/>
    <w:rsid w:val="00617990"/>
    <w:pPr>
      <w:spacing w:after="0" w:line="240" w:lineRule="auto"/>
    </w:pPr>
    <w:rPr>
      <w:rFonts w:ascii="Calibri" w:eastAsia="Calibri" w:hAnsi="Calibri" w:cs="Times New Roman"/>
      <w:kern w:val="0"/>
      <w:sz w:val="20"/>
      <w:szCs w:val="20"/>
      <w14:ligatures w14:val="none"/>
    </w:rPr>
  </w:style>
  <w:style w:type="character" w:customStyle="1" w:styleId="TextpoznmkypodiarouChar">
    <w:name w:val="Text poznámky pod čiarou Char"/>
    <w:basedOn w:val="Predvolenpsmoodseku"/>
    <w:link w:val="Textpoznmkypodiarou"/>
    <w:uiPriority w:val="99"/>
    <w:semiHidden/>
    <w:rsid w:val="00617990"/>
    <w:rPr>
      <w:rFonts w:ascii="Calibri" w:eastAsia="Calibri" w:hAnsi="Calibri" w:cs="Times New Roman"/>
      <w:kern w:val="0"/>
      <w:sz w:val="20"/>
      <w:szCs w:val="20"/>
      <w14:ligatures w14:val="none"/>
    </w:rPr>
  </w:style>
  <w:style w:type="character" w:styleId="Odkaznakomentr">
    <w:name w:val="annotation reference"/>
    <w:basedOn w:val="Predvolenpsmoodseku"/>
    <w:uiPriority w:val="99"/>
    <w:unhideWhenUsed/>
    <w:rsid w:val="00BC6897"/>
    <w:rPr>
      <w:sz w:val="16"/>
      <w:szCs w:val="16"/>
    </w:rPr>
  </w:style>
  <w:style w:type="paragraph" w:styleId="Textkomentra">
    <w:name w:val="annotation text"/>
    <w:basedOn w:val="Normlny"/>
    <w:link w:val="TextkomentraChar"/>
    <w:uiPriority w:val="99"/>
    <w:unhideWhenUsed/>
    <w:rsid w:val="00BC6897"/>
    <w:pPr>
      <w:spacing w:line="240" w:lineRule="auto"/>
    </w:pPr>
    <w:rPr>
      <w:sz w:val="20"/>
      <w:szCs w:val="20"/>
    </w:rPr>
  </w:style>
  <w:style w:type="character" w:customStyle="1" w:styleId="TextkomentraChar">
    <w:name w:val="Text komentára Char"/>
    <w:basedOn w:val="Predvolenpsmoodseku"/>
    <w:link w:val="Textkomentra"/>
    <w:uiPriority w:val="99"/>
    <w:rsid w:val="00BC6897"/>
    <w:rPr>
      <w:sz w:val="20"/>
      <w:szCs w:val="20"/>
    </w:rPr>
  </w:style>
  <w:style w:type="paragraph" w:styleId="Predmetkomentra">
    <w:name w:val="annotation subject"/>
    <w:basedOn w:val="Textkomentra"/>
    <w:next w:val="Textkomentra"/>
    <w:link w:val="PredmetkomentraChar"/>
    <w:uiPriority w:val="99"/>
    <w:unhideWhenUsed/>
    <w:rsid w:val="00BC6897"/>
    <w:rPr>
      <w:b/>
      <w:bCs/>
    </w:rPr>
  </w:style>
  <w:style w:type="character" w:customStyle="1" w:styleId="PredmetkomentraChar">
    <w:name w:val="Predmet komentára Char"/>
    <w:basedOn w:val="TextkomentraChar"/>
    <w:link w:val="Predmetkomentra"/>
    <w:uiPriority w:val="99"/>
    <w:rsid w:val="00BC6897"/>
    <w:rPr>
      <w:b/>
      <w:bCs/>
      <w:sz w:val="20"/>
      <w:szCs w:val="20"/>
    </w:rPr>
  </w:style>
  <w:style w:type="paragraph" w:styleId="Hlavika">
    <w:name w:val="header"/>
    <w:basedOn w:val="Normlny"/>
    <w:link w:val="HlavikaChar"/>
    <w:uiPriority w:val="99"/>
    <w:unhideWhenUsed/>
    <w:rsid w:val="008E19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19EA"/>
  </w:style>
  <w:style w:type="paragraph" w:styleId="Pta">
    <w:name w:val="footer"/>
    <w:basedOn w:val="Normlny"/>
    <w:link w:val="PtaChar"/>
    <w:uiPriority w:val="99"/>
    <w:unhideWhenUsed/>
    <w:rsid w:val="008E19EA"/>
    <w:pPr>
      <w:tabs>
        <w:tab w:val="center" w:pos="4536"/>
        <w:tab w:val="right" w:pos="9072"/>
      </w:tabs>
      <w:spacing w:after="0" w:line="240" w:lineRule="auto"/>
    </w:pPr>
  </w:style>
  <w:style w:type="character" w:customStyle="1" w:styleId="PtaChar">
    <w:name w:val="Päta Char"/>
    <w:basedOn w:val="Predvolenpsmoodseku"/>
    <w:link w:val="Pta"/>
    <w:uiPriority w:val="99"/>
    <w:rsid w:val="008E19EA"/>
  </w:style>
  <w:style w:type="character" w:customStyle="1" w:styleId="OdsekzoznamuChar">
    <w:name w:val="Odsek zoznamu Char"/>
    <w:aliases w:val="body Char,Odsek zoznamu1 Char,Odsek Char,Odsek zoznamu2 Char,numbered list Char,2 Char,OBC Bullet Char,Normal 1 Char,Task Body Char,Viñetas (Inicio Parrafo) Char,Paragrafo elenco Char,3 Txt tabla Char,Zerrenda-paragrafoa Char"/>
    <w:basedOn w:val="Predvolenpsmoodseku"/>
    <w:link w:val="Odsekzoznamu"/>
    <w:uiPriority w:val="99"/>
    <w:qFormat/>
    <w:locked/>
    <w:rsid w:val="00855106"/>
  </w:style>
  <w:style w:type="paragraph" w:styleId="Revzia">
    <w:name w:val="Revision"/>
    <w:hidden/>
    <w:uiPriority w:val="99"/>
    <w:semiHidden/>
    <w:rsid w:val="00E44DA7"/>
    <w:pPr>
      <w:spacing w:after="0" w:line="240" w:lineRule="auto"/>
    </w:pPr>
  </w:style>
  <w:style w:type="character" w:styleId="Zstupntext">
    <w:name w:val="Placeholder Text"/>
    <w:aliases w:val="Text zástupného symbolu"/>
    <w:basedOn w:val="Predvolenpsmoodseku"/>
    <w:uiPriority w:val="99"/>
    <w:qFormat/>
    <w:rsid w:val="00D550F1"/>
    <w:rPr>
      <w:rFonts w:ascii="Times New Roman" w:hAnsi="Times New Roman" w:cs="Times New Roman"/>
      <w:color w:val="808080"/>
    </w:rPr>
  </w:style>
  <w:style w:type="paragraph" w:styleId="Bezriadkovania">
    <w:name w:val="No Spacing"/>
    <w:link w:val="BezriadkovaniaChar"/>
    <w:uiPriority w:val="1"/>
    <w:qFormat/>
    <w:rsid w:val="00D550F1"/>
    <w:pPr>
      <w:spacing w:after="0" w:line="240" w:lineRule="auto"/>
      <w:jc w:val="both"/>
    </w:pPr>
    <w:rPr>
      <w:rFonts w:ascii="Calibri" w:eastAsia="Times New Roman" w:hAnsi="Calibri" w:cs="Times New Roman"/>
      <w:kern w:val="0"/>
      <w:sz w:val="22"/>
      <w:szCs w:val="22"/>
      <w14:ligatures w14:val="none"/>
    </w:rPr>
  </w:style>
  <w:style w:type="character" w:customStyle="1" w:styleId="BezriadkovaniaChar">
    <w:name w:val="Bez riadkovania Char"/>
    <w:link w:val="Bezriadkovania"/>
    <w:locked/>
    <w:rsid w:val="00D550F1"/>
    <w:rPr>
      <w:rFonts w:ascii="Calibri" w:eastAsia="Times New Roman" w:hAnsi="Calibri" w:cs="Times New Roman"/>
      <w:kern w:val="0"/>
      <w:sz w:val="22"/>
      <w:szCs w:val="22"/>
      <w14:ligatures w14:val="none"/>
    </w:rPr>
  </w:style>
  <w:style w:type="table" w:customStyle="1" w:styleId="Mriekatabuky1">
    <w:name w:val="Mriežka tabuľky1"/>
    <w:basedOn w:val="Normlnatabuka"/>
    <w:next w:val="Mriekatabuky"/>
    <w:uiPriority w:val="59"/>
    <w:rsid w:val="00AD62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2CD"/>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Zvraznenie">
    <w:name w:val="Emphasis"/>
    <w:uiPriority w:val="20"/>
    <w:qFormat/>
    <w:rsid w:val="00AD62CD"/>
    <w:rPr>
      <w:i/>
      <w:iCs/>
    </w:rPr>
  </w:style>
  <w:style w:type="character" w:customStyle="1" w:styleId="ui-provider">
    <w:name w:val="ui-provider"/>
    <w:rsid w:val="00AD62CD"/>
  </w:style>
  <w:style w:type="character" w:styleId="Hypertextovprepojenie">
    <w:name w:val="Hyperlink"/>
    <w:basedOn w:val="Predvolenpsmoodseku"/>
    <w:uiPriority w:val="99"/>
    <w:unhideWhenUsed/>
    <w:rsid w:val="00AD62CD"/>
    <w:rPr>
      <w:color w:val="467886" w:themeColor="hyperlink"/>
      <w:u w:val="single"/>
    </w:rPr>
  </w:style>
  <w:style w:type="table" w:styleId="Mriekatabuky">
    <w:name w:val="Table Grid"/>
    <w:basedOn w:val="Normlnatabuka"/>
    <w:uiPriority w:val="39"/>
    <w:rsid w:val="00AD6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AD62CD"/>
  </w:style>
  <w:style w:type="character" w:styleId="slostrany">
    <w:name w:val="page number"/>
    <w:basedOn w:val="Predvolenpsmoodseku"/>
    <w:uiPriority w:val="99"/>
    <w:rsid w:val="00AD62CD"/>
    <w:rPr>
      <w:rFonts w:cs="Times New Roman"/>
    </w:rPr>
  </w:style>
  <w:style w:type="paragraph" w:styleId="Textbubliny">
    <w:name w:val="Balloon Text"/>
    <w:basedOn w:val="Normlny"/>
    <w:link w:val="TextbublinyChar"/>
    <w:uiPriority w:val="99"/>
    <w:semiHidden/>
    <w:unhideWhenUsed/>
    <w:rsid w:val="00AD62CD"/>
    <w:pPr>
      <w:spacing w:after="0" w:line="240" w:lineRule="auto"/>
    </w:pPr>
    <w:rPr>
      <w:rFonts w:ascii="Tahoma" w:hAnsi="Tahoma" w:cs="Tahoma"/>
      <w:kern w:val="0"/>
      <w:sz w:val="16"/>
      <w:szCs w:val="16"/>
      <w14:ligatures w14:val="none"/>
    </w:rPr>
  </w:style>
  <w:style w:type="character" w:customStyle="1" w:styleId="TextbublinyChar">
    <w:name w:val="Text bubliny Char"/>
    <w:basedOn w:val="Predvolenpsmoodseku"/>
    <w:link w:val="Textbubliny"/>
    <w:uiPriority w:val="99"/>
    <w:semiHidden/>
    <w:rsid w:val="00AD62CD"/>
    <w:rPr>
      <w:rFonts w:ascii="Tahoma" w:hAnsi="Tahoma" w:cs="Tahoma"/>
      <w:kern w:val="0"/>
      <w:sz w:val="16"/>
      <w:szCs w:val="16"/>
      <w14:ligatures w14:val="none"/>
    </w:rPr>
  </w:style>
  <w:style w:type="table" w:customStyle="1" w:styleId="Mriekatabuky2">
    <w:name w:val="Mriežka tabuľky2"/>
    <w:basedOn w:val="Normlnatabuka"/>
    <w:next w:val="Mriekatabuky"/>
    <w:uiPriority w:val="59"/>
    <w:rsid w:val="00AD62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D62CD"/>
  </w:style>
  <w:style w:type="paragraph" w:styleId="Zkladntext">
    <w:name w:val="Body Text"/>
    <w:basedOn w:val="Normlny"/>
    <w:link w:val="ZkladntextChar"/>
    <w:uiPriority w:val="99"/>
    <w:rsid w:val="00AD62CD"/>
    <w:pPr>
      <w:spacing w:after="0" w:line="240" w:lineRule="auto"/>
    </w:pPr>
    <w:rPr>
      <w:rFonts w:ascii="Times New Roman" w:eastAsia="Times New Roman" w:hAnsi="Times New Roman" w:cs="Times New Roman"/>
      <w:b/>
      <w:kern w:val="0"/>
      <w:sz w:val="20"/>
      <w:szCs w:val="20"/>
      <w:lang w:val="x-none" w:eastAsia="sk-SK"/>
      <w14:ligatures w14:val="none"/>
    </w:rPr>
  </w:style>
  <w:style w:type="character" w:customStyle="1" w:styleId="ZkladntextChar">
    <w:name w:val="Základný text Char"/>
    <w:basedOn w:val="Predvolenpsmoodseku"/>
    <w:link w:val="Zkladntext"/>
    <w:uiPriority w:val="99"/>
    <w:rsid w:val="00AD62CD"/>
    <w:rPr>
      <w:rFonts w:ascii="Times New Roman" w:eastAsia="Times New Roman" w:hAnsi="Times New Roman" w:cs="Times New Roman"/>
      <w:b/>
      <w:kern w:val="0"/>
      <w:sz w:val="20"/>
      <w:szCs w:val="20"/>
      <w:lang w:val="x-none" w:eastAsia="sk-SK"/>
      <w14:ligatures w14:val="none"/>
    </w:rPr>
  </w:style>
  <w:style w:type="table" w:customStyle="1" w:styleId="Tabukasmriekou41">
    <w:name w:val="Tabuľka s mriežkou 41"/>
    <w:basedOn w:val="Normlnatabuka"/>
    <w:next w:val="Tabukasmriekou4"/>
    <w:uiPriority w:val="49"/>
    <w:rsid w:val="00AD62CD"/>
    <w:pPr>
      <w:spacing w:after="0" w:line="240" w:lineRule="auto"/>
    </w:pPr>
    <w:rPr>
      <w:rFonts w:ascii="Calibri" w:eastAsia="Times New Roman" w:hAnsi="Calibri" w:cs="Calibri"/>
      <w:kern w:val="0"/>
      <w:sz w:val="20"/>
      <w:szCs w:val="20"/>
      <w:lang w:eastAsia="sk-SK"/>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wspan">
    <w:name w:val="awspan"/>
    <w:basedOn w:val="Predvolenpsmoodseku"/>
    <w:rsid w:val="00AD62CD"/>
  </w:style>
  <w:style w:type="character" w:styleId="Odkaznapoznmkupodiarou">
    <w:name w:val="footnote reference"/>
    <w:basedOn w:val="Predvolenpsmoodseku"/>
    <w:uiPriority w:val="99"/>
    <w:semiHidden/>
    <w:unhideWhenUsed/>
    <w:rsid w:val="00AD62CD"/>
    <w:rPr>
      <w:vertAlign w:val="superscript"/>
    </w:rPr>
  </w:style>
  <w:style w:type="paragraph" w:customStyle="1" w:styleId="Popis1">
    <w:name w:val="Popis1"/>
    <w:basedOn w:val="Normlny"/>
    <w:next w:val="Normlny"/>
    <w:uiPriority w:val="35"/>
    <w:unhideWhenUsed/>
    <w:qFormat/>
    <w:rsid w:val="00AD62CD"/>
    <w:pPr>
      <w:spacing w:after="200" w:line="240" w:lineRule="auto"/>
    </w:pPr>
    <w:rPr>
      <w:i/>
      <w:iCs/>
      <w:color w:val="1F497D"/>
      <w:kern w:val="0"/>
      <w:sz w:val="18"/>
      <w:szCs w:val="18"/>
      <w14:ligatures w14:val="none"/>
    </w:rPr>
  </w:style>
  <w:style w:type="character" w:styleId="Nevyrieenzmienka">
    <w:name w:val="Unresolved Mention"/>
    <w:basedOn w:val="Predvolenpsmoodseku"/>
    <w:uiPriority w:val="99"/>
    <w:semiHidden/>
    <w:unhideWhenUsed/>
    <w:rsid w:val="00AD62CD"/>
    <w:rPr>
      <w:color w:val="605E5C"/>
      <w:shd w:val="clear" w:color="auto" w:fill="E1DFDD"/>
    </w:rPr>
  </w:style>
  <w:style w:type="paragraph" w:styleId="Obsah2">
    <w:name w:val="toc 2"/>
    <w:basedOn w:val="Normlny"/>
    <w:next w:val="Normlny"/>
    <w:autoRedefine/>
    <w:uiPriority w:val="39"/>
    <w:unhideWhenUsed/>
    <w:rsid w:val="00AD62CD"/>
    <w:pPr>
      <w:spacing w:after="200" w:line="276" w:lineRule="auto"/>
      <w:ind w:left="220"/>
    </w:pPr>
    <w:rPr>
      <w:rFonts w:ascii="Calibri" w:eastAsia="Calibri" w:hAnsi="Calibri" w:cs="Times New Roman"/>
      <w:kern w:val="0"/>
      <w:sz w:val="22"/>
      <w:szCs w:val="22"/>
      <w14:ligatures w14:val="none"/>
    </w:rPr>
  </w:style>
  <w:style w:type="paragraph" w:customStyle="1" w:styleId="Text2">
    <w:name w:val="Text2"/>
    <w:basedOn w:val="Normlny"/>
    <w:rsid w:val="00AD62CD"/>
    <w:pPr>
      <w:keepNext/>
      <w:overflowPunct w:val="0"/>
      <w:autoSpaceDE w:val="0"/>
      <w:autoSpaceDN w:val="0"/>
      <w:adjustRightInd w:val="0"/>
      <w:spacing w:after="0" w:line="240" w:lineRule="auto"/>
    </w:pPr>
    <w:rPr>
      <w:rFonts w:ascii="Times New Roman" w:eastAsia="Times New Roman" w:hAnsi="Times New Roman" w:cs="Times New Roman"/>
      <w:kern w:val="28"/>
      <w:sz w:val="22"/>
      <w:szCs w:val="20"/>
      <w:lang w:eastAsia="sk-SK"/>
      <w14:ligatures w14:val="none"/>
    </w:rPr>
  </w:style>
  <w:style w:type="paragraph" w:customStyle="1" w:styleId="CharCharCharCharCharCharCharChar">
    <w:name w:val="Char Char Char Char Char Char Char Char"/>
    <w:basedOn w:val="Normlny"/>
    <w:next w:val="Normlny"/>
    <w:rsid w:val="00AD62CD"/>
    <w:pPr>
      <w:tabs>
        <w:tab w:val="num" w:pos="1440"/>
      </w:tabs>
      <w:spacing w:after="0" w:line="240" w:lineRule="auto"/>
      <w:ind w:left="1440" w:hanging="360"/>
    </w:pPr>
    <w:rPr>
      <w:rFonts w:ascii="Times New Roman" w:eastAsia="MS Mincho" w:hAnsi="Times New Roman" w:cs="Times New Roman"/>
      <w:kern w:val="0"/>
      <w:lang w:val="en-US" w:eastAsia="ja-JP"/>
      <w14:ligatures w14:val="none"/>
    </w:rPr>
  </w:style>
  <w:style w:type="paragraph" w:styleId="Obsah1">
    <w:name w:val="toc 1"/>
    <w:basedOn w:val="Normlny"/>
    <w:next w:val="Normlny"/>
    <w:autoRedefine/>
    <w:uiPriority w:val="39"/>
    <w:unhideWhenUsed/>
    <w:rsid w:val="00AD62CD"/>
    <w:pPr>
      <w:tabs>
        <w:tab w:val="left" w:pos="351"/>
        <w:tab w:val="right" w:leader="dot" w:pos="9062"/>
      </w:tabs>
      <w:spacing w:after="200" w:line="276" w:lineRule="auto"/>
    </w:pPr>
    <w:rPr>
      <w:rFonts w:ascii="Calibri" w:eastAsia="Calibri" w:hAnsi="Calibri" w:cs="Times New Roman"/>
      <w:kern w:val="0"/>
      <w:sz w:val="22"/>
      <w:szCs w:val="22"/>
      <w14:ligatures w14:val="none"/>
    </w:rPr>
  </w:style>
  <w:style w:type="paragraph" w:customStyle="1" w:styleId="Normal1">
    <w:name w:val="Normal1"/>
    <w:basedOn w:val="Normlny"/>
    <w:autoRedefine/>
    <w:rsid w:val="00AD62CD"/>
    <w:pPr>
      <w:spacing w:after="0" w:line="240" w:lineRule="auto"/>
      <w:jc w:val="both"/>
    </w:pPr>
    <w:rPr>
      <w:rFonts w:ascii="Arial" w:eastAsia="Times New Roman" w:hAnsi="Arial" w:cs="Times New Roman"/>
      <w:bCs/>
      <w:kern w:val="0"/>
      <w:sz w:val="22"/>
      <w:szCs w:val="22"/>
      <w:lang w:eastAsia="cs-CZ"/>
      <w14:ligatures w14:val="none"/>
    </w:rPr>
  </w:style>
  <w:style w:type="character" w:customStyle="1" w:styleId="ra">
    <w:name w:val="ra"/>
    <w:basedOn w:val="Predvolenpsmoodseku"/>
    <w:rsid w:val="00AD62CD"/>
  </w:style>
  <w:style w:type="paragraph" w:styleId="Obsah3">
    <w:name w:val="toc 3"/>
    <w:basedOn w:val="Normlny"/>
    <w:next w:val="Normlny"/>
    <w:autoRedefine/>
    <w:uiPriority w:val="39"/>
    <w:rsid w:val="00AD62CD"/>
    <w:pPr>
      <w:spacing w:after="200" w:line="276" w:lineRule="auto"/>
      <w:ind w:left="440"/>
    </w:pPr>
    <w:rPr>
      <w:rFonts w:ascii="Calibri" w:eastAsia="Calibri" w:hAnsi="Calibri" w:cs="Times New Roman"/>
      <w:kern w:val="0"/>
      <w:sz w:val="22"/>
      <w:szCs w:val="22"/>
      <w14:ligatures w14:val="none"/>
    </w:rPr>
  </w:style>
  <w:style w:type="paragraph" w:styleId="Zoznamsodrkami">
    <w:name w:val="List Bullet"/>
    <w:basedOn w:val="Normlny"/>
    <w:autoRedefine/>
    <w:semiHidden/>
    <w:rsid w:val="00AD62CD"/>
    <w:pPr>
      <w:numPr>
        <w:numId w:val="15"/>
      </w:numPr>
      <w:tabs>
        <w:tab w:val="clear" w:pos="360"/>
      </w:tabs>
      <w:spacing w:after="0" w:line="240" w:lineRule="auto"/>
      <w:ind w:left="0" w:firstLine="0"/>
    </w:pPr>
    <w:rPr>
      <w:rFonts w:ascii="Times New Roman" w:eastAsia="Times New Roman" w:hAnsi="Times New Roman" w:cs="Times New Roman"/>
      <w:kern w:val="0"/>
      <w:sz w:val="20"/>
      <w:szCs w:val="20"/>
      <w:lang w:eastAsia="sk-SK"/>
      <w14:ligatures w14:val="none"/>
    </w:rPr>
  </w:style>
  <w:style w:type="paragraph" w:styleId="Zoznamsodrkami2">
    <w:name w:val="List Bullet 2"/>
    <w:basedOn w:val="Normlny"/>
    <w:autoRedefine/>
    <w:semiHidden/>
    <w:rsid w:val="00AD62CD"/>
    <w:pPr>
      <w:numPr>
        <w:numId w:val="16"/>
      </w:numPr>
      <w:tabs>
        <w:tab w:val="clear" w:pos="643"/>
        <w:tab w:val="num" w:pos="360"/>
      </w:tabs>
      <w:spacing w:after="0" w:line="240" w:lineRule="auto"/>
      <w:ind w:left="0" w:firstLine="0"/>
    </w:pPr>
    <w:rPr>
      <w:rFonts w:ascii="Times New Roman" w:eastAsia="Times New Roman" w:hAnsi="Times New Roman" w:cs="Times New Roman"/>
      <w:kern w:val="0"/>
      <w:sz w:val="20"/>
      <w:szCs w:val="20"/>
      <w:lang w:eastAsia="sk-SK"/>
      <w14:ligatures w14:val="none"/>
    </w:rPr>
  </w:style>
  <w:style w:type="paragraph" w:customStyle="1" w:styleId="KONC-OBSAH">
    <w:name w:val="KONC-OBSAH"/>
    <w:basedOn w:val="KONC-KAPITOLA"/>
    <w:rsid w:val="00AD62CD"/>
    <w:pPr>
      <w:numPr>
        <w:numId w:val="17"/>
      </w:numPr>
      <w:tabs>
        <w:tab w:val="clear" w:pos="540"/>
      </w:tabs>
      <w:spacing w:before="60" w:after="0"/>
      <w:ind w:left="0" w:firstLine="0"/>
      <w:outlineLvl w:val="9"/>
    </w:pPr>
    <w:rPr>
      <w:sz w:val="24"/>
      <w:szCs w:val="24"/>
    </w:rPr>
  </w:style>
  <w:style w:type="paragraph" w:customStyle="1" w:styleId="KONC-KAPITOLA">
    <w:name w:val="KONC-KAPITOLA"/>
    <w:basedOn w:val="Nadpis1"/>
    <w:rsid w:val="00AD62CD"/>
    <w:pPr>
      <w:keepLines w:val="0"/>
      <w:tabs>
        <w:tab w:val="num" w:pos="432"/>
      </w:tabs>
      <w:spacing w:before="240" w:after="60" w:line="240" w:lineRule="auto"/>
      <w:ind w:left="432" w:hanging="432"/>
    </w:pPr>
    <w:rPr>
      <w:rFonts w:ascii="Arial" w:eastAsia="Times New Roman" w:hAnsi="Arial" w:cs="Arial"/>
      <w:bCs/>
      <w:caps/>
      <w:color w:val="0000FF"/>
      <w:kern w:val="32"/>
      <w:sz w:val="32"/>
      <w:szCs w:val="32"/>
      <w:lang w:eastAsia="sk-SK"/>
      <w14:ligatures w14:val="none"/>
    </w:rPr>
  </w:style>
  <w:style w:type="paragraph" w:customStyle="1" w:styleId="KONC-TEXT">
    <w:name w:val="KONC-TEXT"/>
    <w:basedOn w:val="KONC-OBSAH"/>
    <w:rsid w:val="00AD62CD"/>
    <w:pPr>
      <w:numPr>
        <w:numId w:val="0"/>
      </w:numPr>
      <w:spacing w:before="0"/>
      <w:ind w:firstLine="340"/>
      <w:jc w:val="both"/>
    </w:pPr>
    <w:rPr>
      <w:rFonts w:ascii="Times New Roman" w:hAnsi="Times New Roman" w:cs="Times New Roman"/>
      <w:b/>
      <w:bCs w:val="0"/>
      <w:sz w:val="22"/>
      <w:szCs w:val="22"/>
    </w:rPr>
  </w:style>
  <w:style w:type="paragraph" w:customStyle="1" w:styleId="KONC-TEXT-ODRKY">
    <w:name w:val="KONC-TEXT-ODRÁŽKY"/>
    <w:basedOn w:val="KONC-TEXT"/>
    <w:rsid w:val="00AD62CD"/>
    <w:pPr>
      <w:keepNext w:val="0"/>
      <w:numPr>
        <w:numId w:val="18"/>
      </w:numPr>
      <w:tabs>
        <w:tab w:val="clear" w:pos="786"/>
      </w:tabs>
      <w:ind w:left="0" w:firstLine="0"/>
    </w:pPr>
  </w:style>
  <w:style w:type="paragraph" w:customStyle="1" w:styleId="Styl2">
    <w:name w:val="Styl2"/>
    <w:basedOn w:val="Nadpis2"/>
    <w:next w:val="Nadpis2"/>
    <w:autoRedefine/>
    <w:rsid w:val="00AD62CD"/>
    <w:pPr>
      <w:keepLines w:val="0"/>
      <w:numPr>
        <w:numId w:val="19"/>
      </w:numPr>
      <w:tabs>
        <w:tab w:val="clear" w:pos="644"/>
        <w:tab w:val="left" w:pos="113"/>
        <w:tab w:val="left" w:pos="936"/>
      </w:tabs>
      <w:spacing w:after="120" w:line="240" w:lineRule="auto"/>
      <w:ind w:left="0" w:firstLine="0"/>
    </w:pPr>
    <w:rPr>
      <w:rFonts w:ascii="Arial" w:eastAsia="Times New Roman" w:hAnsi="Arial" w:cs="Times New Roman"/>
      <w:b/>
      <w:bCs/>
      <w:color w:val="auto"/>
      <w:kern w:val="0"/>
      <w:sz w:val="24"/>
      <w:szCs w:val="24"/>
      <w:lang w:eastAsia="sk-SK"/>
      <w14:ligatures w14:val="none"/>
    </w:rPr>
  </w:style>
  <w:style w:type="paragraph" w:styleId="Zoznam">
    <w:name w:val="List"/>
    <w:basedOn w:val="Normlny"/>
    <w:semiHidden/>
    <w:rsid w:val="00AD62CD"/>
    <w:pPr>
      <w:spacing w:after="0" w:line="240" w:lineRule="auto"/>
      <w:ind w:left="283" w:hanging="283"/>
    </w:pPr>
    <w:rPr>
      <w:rFonts w:ascii="Times New Roman" w:eastAsia="Times New Roman" w:hAnsi="Times New Roman" w:cs="Times New Roman"/>
      <w:kern w:val="0"/>
      <w:sz w:val="20"/>
      <w:szCs w:val="20"/>
      <w:lang w:eastAsia="sk-SK"/>
      <w14:ligatures w14:val="none"/>
    </w:rPr>
  </w:style>
  <w:style w:type="paragraph" w:styleId="Zoznam2">
    <w:name w:val="List 2"/>
    <w:basedOn w:val="Normlny"/>
    <w:semiHidden/>
    <w:rsid w:val="00AD62CD"/>
    <w:pPr>
      <w:spacing w:after="0" w:line="240" w:lineRule="auto"/>
      <w:ind w:left="566" w:hanging="283"/>
    </w:pPr>
    <w:rPr>
      <w:rFonts w:ascii="Times New Roman" w:eastAsia="Times New Roman" w:hAnsi="Times New Roman" w:cs="Times New Roman"/>
      <w:kern w:val="0"/>
      <w:sz w:val="20"/>
      <w:szCs w:val="20"/>
      <w:lang w:eastAsia="sk-SK"/>
      <w14:ligatures w14:val="none"/>
    </w:rPr>
  </w:style>
  <w:style w:type="paragraph" w:customStyle="1" w:styleId="normln12">
    <w:name w:val="normální12"/>
    <w:basedOn w:val="Normlny"/>
    <w:rsid w:val="00AD62CD"/>
    <w:pPr>
      <w:spacing w:after="0" w:line="240" w:lineRule="auto"/>
      <w:jc w:val="both"/>
    </w:pPr>
    <w:rPr>
      <w:rFonts w:ascii="Times New Roman" w:eastAsia="Times New Roman" w:hAnsi="Times New Roman" w:cs="Times New Roman"/>
      <w:kern w:val="0"/>
      <w:szCs w:val="20"/>
      <w:lang w:val="cs-CZ" w:eastAsia="cs-CZ"/>
      <w14:ligatures w14:val="none"/>
    </w:rPr>
  </w:style>
  <w:style w:type="paragraph" w:customStyle="1" w:styleId="Normlny1">
    <w:name w:val="Normálny1"/>
    <w:basedOn w:val="Normlny"/>
    <w:autoRedefine/>
    <w:rsid w:val="00AD62CD"/>
    <w:pPr>
      <w:numPr>
        <w:ilvl w:val="1"/>
        <w:numId w:val="20"/>
      </w:numPr>
      <w:spacing w:before="40" w:after="0" w:line="240" w:lineRule="auto"/>
      <w:ind w:left="0" w:firstLine="0"/>
    </w:pPr>
    <w:rPr>
      <w:rFonts w:ascii="Arial" w:eastAsia="Times New Roman" w:hAnsi="Arial" w:cs="Arial"/>
      <w:bCs/>
      <w:color w:val="000000"/>
      <w:kern w:val="0"/>
      <w:sz w:val="18"/>
      <w:szCs w:val="20"/>
      <w:lang w:eastAsia="cs-CZ"/>
      <w14:ligatures w14:val="none"/>
    </w:rPr>
  </w:style>
  <w:style w:type="paragraph" w:customStyle="1" w:styleId="BodyText24">
    <w:name w:val="Body Text 24"/>
    <w:basedOn w:val="Normlny"/>
    <w:rsid w:val="00AD62CD"/>
    <w:pPr>
      <w:widowControl w:val="0"/>
      <w:spacing w:after="0" w:line="240" w:lineRule="auto"/>
      <w:jc w:val="both"/>
    </w:pPr>
    <w:rPr>
      <w:rFonts w:ascii="Switzerland" w:eastAsia="Times New Roman" w:hAnsi="Switzerland" w:cs="Times New Roman"/>
      <w:kern w:val="0"/>
      <w:szCs w:val="20"/>
      <w:lang w:val="cs-CZ" w:eastAsia="sk-SK"/>
      <w14:ligatures w14:val="none"/>
    </w:rPr>
  </w:style>
  <w:style w:type="paragraph" w:customStyle="1" w:styleId="tl1">
    <w:name w:val="Štýl1"/>
    <w:basedOn w:val="normln12"/>
    <w:rsid w:val="00AD62CD"/>
    <w:rPr>
      <w:rFonts w:ascii="Arial" w:hAnsi="Arial"/>
      <w:sz w:val="20"/>
    </w:rPr>
  </w:style>
  <w:style w:type="paragraph" w:customStyle="1" w:styleId="tl2">
    <w:name w:val="Štýl2"/>
    <w:basedOn w:val="normln12"/>
    <w:autoRedefine/>
    <w:rsid w:val="00AD62CD"/>
    <w:rPr>
      <w:rFonts w:ascii="Arial" w:hAnsi="Arial"/>
      <w:sz w:val="20"/>
    </w:rPr>
  </w:style>
  <w:style w:type="paragraph" w:customStyle="1" w:styleId="tl3">
    <w:name w:val="Štýl3"/>
    <w:basedOn w:val="Normlny1"/>
    <w:rsid w:val="00AD62CD"/>
    <w:rPr>
      <w:sz w:val="20"/>
    </w:rPr>
  </w:style>
  <w:style w:type="character" w:customStyle="1" w:styleId="Nadpis2TChar">
    <w:name w:val="Nadpis 2T Char"/>
    <w:aliases w:val="Podnadpis Char,F2 Char,F21 Char,H2 Char,Podkapitola1 Char,hlavicka Char,h2 Char,V_Head2 Char Char"/>
    <w:rsid w:val="00AD62CD"/>
    <w:rPr>
      <w:rFonts w:ascii="Arial" w:hAnsi="Arial"/>
      <w:b/>
      <w:sz w:val="24"/>
      <w:lang w:val="sk-SK" w:eastAsia="sk-SK" w:bidi="ar-SA"/>
    </w:rPr>
  </w:style>
  <w:style w:type="character" w:customStyle="1" w:styleId="Nadpis1TChar">
    <w:name w:val="Nadpis 1T Char"/>
    <w:aliases w:val="NADPIS Char,Heading 11111 Char,Kapitola Char,H1 Char,V_Head1 Char,Main Section Char,MainHeader Char Char"/>
    <w:rsid w:val="00AD62CD"/>
    <w:rPr>
      <w:rFonts w:ascii="Arial" w:hAnsi="Arial"/>
      <w:b/>
      <w:caps/>
      <w:sz w:val="28"/>
      <w:lang w:val="sk-SK" w:eastAsia="sk-SK" w:bidi="ar-SA"/>
    </w:rPr>
  </w:style>
  <w:style w:type="paragraph" w:styleId="Zkladntext3">
    <w:name w:val="Body Text 3"/>
    <w:basedOn w:val="Normlny"/>
    <w:link w:val="Zkladntext3Char"/>
    <w:rsid w:val="00AD62CD"/>
    <w:pPr>
      <w:spacing w:after="0" w:line="240" w:lineRule="auto"/>
    </w:pPr>
    <w:rPr>
      <w:rFonts w:ascii="Times New Roman" w:eastAsia="Times New Roman" w:hAnsi="Times New Roman" w:cs="Times New Roman"/>
      <w:kern w:val="0"/>
      <w:szCs w:val="20"/>
      <w:lang w:eastAsia="sk-SK"/>
      <w14:ligatures w14:val="none"/>
    </w:rPr>
  </w:style>
  <w:style w:type="character" w:customStyle="1" w:styleId="Zkladntext3Char">
    <w:name w:val="Základný text 3 Char"/>
    <w:basedOn w:val="Predvolenpsmoodseku"/>
    <w:link w:val="Zkladntext3"/>
    <w:rsid w:val="00AD62CD"/>
    <w:rPr>
      <w:rFonts w:ascii="Times New Roman" w:eastAsia="Times New Roman" w:hAnsi="Times New Roman" w:cs="Times New Roman"/>
      <w:kern w:val="0"/>
      <w:szCs w:val="20"/>
      <w:lang w:eastAsia="sk-SK"/>
      <w14:ligatures w14:val="none"/>
    </w:rPr>
  </w:style>
  <w:style w:type="paragraph" w:styleId="truktradokumentu">
    <w:name w:val="Document Map"/>
    <w:basedOn w:val="Normlny"/>
    <w:link w:val="truktradokumentuChar"/>
    <w:semiHidden/>
    <w:rsid w:val="00AD62CD"/>
    <w:pPr>
      <w:shd w:val="clear" w:color="auto" w:fill="000080"/>
      <w:spacing w:after="0" w:line="240" w:lineRule="auto"/>
    </w:pPr>
    <w:rPr>
      <w:rFonts w:ascii="Tahoma" w:eastAsia="Times New Roman" w:hAnsi="Tahoma" w:cs="Tahoma"/>
      <w:kern w:val="0"/>
      <w:sz w:val="20"/>
      <w:szCs w:val="20"/>
      <w:lang w:eastAsia="cs-CZ"/>
      <w14:ligatures w14:val="none"/>
    </w:rPr>
  </w:style>
  <w:style w:type="character" w:customStyle="1" w:styleId="truktradokumentuChar">
    <w:name w:val="Štruktúra dokumentu Char"/>
    <w:basedOn w:val="Predvolenpsmoodseku"/>
    <w:link w:val="truktradokumentu"/>
    <w:semiHidden/>
    <w:rsid w:val="00AD62CD"/>
    <w:rPr>
      <w:rFonts w:ascii="Tahoma" w:eastAsia="Times New Roman" w:hAnsi="Tahoma" w:cs="Tahoma"/>
      <w:kern w:val="0"/>
      <w:sz w:val="20"/>
      <w:szCs w:val="20"/>
      <w:shd w:val="clear" w:color="auto" w:fill="000080"/>
      <w:lang w:eastAsia="cs-CZ"/>
      <w14:ligatures w14:val="none"/>
    </w:rPr>
  </w:style>
  <w:style w:type="character" w:styleId="PouitHypertextovPrepojenie">
    <w:name w:val="FollowedHyperlink"/>
    <w:rsid w:val="00AD62CD"/>
    <w:rPr>
      <w:color w:val="800080"/>
      <w:u w:val="single"/>
    </w:rPr>
  </w:style>
  <w:style w:type="paragraph" w:customStyle="1" w:styleId="msolistparagraph0">
    <w:name w:val="msolistparagraph"/>
    <w:basedOn w:val="Normlny"/>
    <w:rsid w:val="00AD62CD"/>
    <w:pPr>
      <w:spacing w:after="0" w:line="240" w:lineRule="auto"/>
      <w:ind w:left="720"/>
    </w:pPr>
    <w:rPr>
      <w:rFonts w:ascii="Calibri" w:eastAsia="Times New Roman" w:hAnsi="Calibri" w:cs="Times New Roman"/>
      <w:kern w:val="0"/>
      <w:sz w:val="22"/>
      <w:szCs w:val="22"/>
      <w:lang w:eastAsia="sk-SK"/>
      <w14:ligatures w14:val="none"/>
    </w:rPr>
  </w:style>
  <w:style w:type="paragraph" w:customStyle="1" w:styleId="1podsek">
    <w:name w:val="1podsek"/>
    <w:basedOn w:val="Odsekzoznamu"/>
    <w:qFormat/>
    <w:rsid w:val="00AD62CD"/>
    <w:pPr>
      <w:numPr>
        <w:numId w:val="21"/>
      </w:numPr>
      <w:autoSpaceDE w:val="0"/>
      <w:autoSpaceDN w:val="0"/>
      <w:adjustRightInd w:val="0"/>
      <w:spacing w:after="0" w:line="240" w:lineRule="auto"/>
      <w:ind w:left="0" w:firstLine="0"/>
      <w:jc w:val="both"/>
    </w:pPr>
    <w:rPr>
      <w:rFonts w:ascii="Times New Roman" w:eastAsia="Times New Roman" w:hAnsi="Times New Roman" w:cs="Times New Roman"/>
      <w:kern w:val="0"/>
      <w:lang w:eastAsia="sk-SK"/>
      <w14:ligatures w14:val="none"/>
    </w:rPr>
  </w:style>
  <w:style w:type="paragraph" w:customStyle="1" w:styleId="Zarakazakladnhotextu2">
    <w:name w:val="Zara?ka zakladn?ho textu 2"/>
    <w:basedOn w:val="Normlny"/>
    <w:rsid w:val="00AD62CD"/>
    <w:pPr>
      <w:widowControl w:val="0"/>
      <w:spacing w:after="0" w:line="240" w:lineRule="auto"/>
      <w:ind w:firstLine="708"/>
      <w:jc w:val="both"/>
    </w:pPr>
    <w:rPr>
      <w:rFonts w:ascii="Arial" w:eastAsia="Times New Roman" w:hAnsi="Arial" w:cs="Arial"/>
      <w:kern w:val="0"/>
      <w:sz w:val="20"/>
      <w:szCs w:val="20"/>
      <w:lang w:eastAsia="sk-SK"/>
      <w14:ligatures w14:val="none"/>
    </w:rPr>
  </w:style>
  <w:style w:type="paragraph" w:customStyle="1" w:styleId="typedudocumentcp">
    <w:name w:val="typedudocument_cp"/>
    <w:basedOn w:val="Normlny"/>
    <w:rsid w:val="00AD62CD"/>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paragraph" w:customStyle="1" w:styleId="Zkladntext0">
    <w:name w:val="Základní text"/>
    <w:aliases w:val="Základný text Char Char"/>
    <w:rsid w:val="00AD62CD"/>
    <w:pPr>
      <w:widowControl w:val="0"/>
      <w:snapToGrid w:val="0"/>
      <w:spacing w:after="0" w:line="240" w:lineRule="auto"/>
    </w:pPr>
    <w:rPr>
      <w:rFonts w:ascii="Times New Roman" w:eastAsia="Times New Roman" w:hAnsi="Times New Roman" w:cs="Times New Roman"/>
      <w:color w:val="000000"/>
      <w:kern w:val="0"/>
      <w:szCs w:val="20"/>
      <w:lang w:eastAsia="sk-SK"/>
      <w14:ligatures w14:val="none"/>
    </w:rPr>
  </w:style>
  <w:style w:type="table" w:customStyle="1" w:styleId="Mriekatabuky3">
    <w:name w:val="Mriežka tabuľky3"/>
    <w:basedOn w:val="Normlnatabuka"/>
    <w:next w:val="Mriekatabuky"/>
    <w:uiPriority w:val="59"/>
    <w:rsid w:val="00AD62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rsid w:val="00AD62CD"/>
    <w:pPr>
      <w:spacing w:after="0" w:line="240" w:lineRule="auto"/>
      <w:ind w:firstLine="340"/>
      <w:jc w:val="both"/>
    </w:pPr>
    <w:rPr>
      <w:rFonts w:ascii="Times New Roman" w:eastAsia="Times New Roman" w:hAnsi="Times New Roman" w:cs="Times New Roman"/>
      <w:kern w:val="0"/>
      <w:szCs w:val="20"/>
      <w:lang w:eastAsia="sk-SK"/>
      <w14:ligatures w14:val="none"/>
    </w:rPr>
  </w:style>
  <w:style w:type="character" w:customStyle="1" w:styleId="ZarkazkladnhotextuChar">
    <w:name w:val="Zarážka základného textu Char"/>
    <w:basedOn w:val="Predvolenpsmoodseku"/>
    <w:link w:val="Zarkazkladnhotextu"/>
    <w:uiPriority w:val="99"/>
    <w:rsid w:val="00AD62CD"/>
    <w:rPr>
      <w:rFonts w:ascii="Times New Roman" w:eastAsia="Times New Roman" w:hAnsi="Times New Roman" w:cs="Times New Roman"/>
      <w:kern w:val="0"/>
      <w:szCs w:val="20"/>
      <w:lang w:eastAsia="sk-SK"/>
      <w14:ligatures w14:val="none"/>
    </w:rPr>
  </w:style>
  <w:style w:type="paragraph" w:customStyle="1" w:styleId="Zkladntext1">
    <w:name w:val="Zkladn text"/>
    <w:rsid w:val="00AD62CD"/>
    <w:pPr>
      <w:widowControl w:val="0"/>
      <w:autoSpaceDE w:val="0"/>
      <w:autoSpaceDN w:val="0"/>
      <w:spacing w:after="0" w:line="240" w:lineRule="auto"/>
    </w:pPr>
    <w:rPr>
      <w:rFonts w:ascii="Times New Roman" w:eastAsia="Times New Roman" w:hAnsi="Times New Roman" w:cs="Times New Roman"/>
      <w:color w:val="000000"/>
      <w:kern w:val="0"/>
      <w:sz w:val="20"/>
      <w:szCs w:val="20"/>
      <w:lang w:eastAsia="sk-SK"/>
      <w14:ligatures w14:val="none"/>
    </w:rPr>
  </w:style>
  <w:style w:type="character" w:customStyle="1" w:styleId="awspan1">
    <w:name w:val="awspan1"/>
    <w:basedOn w:val="Predvolenpsmoodseku"/>
    <w:rsid w:val="00AD62CD"/>
    <w:rPr>
      <w:rFonts w:cs="Times New Roman"/>
      <w:color w:val="000000"/>
      <w:sz w:val="24"/>
      <w:szCs w:val="24"/>
    </w:rPr>
  </w:style>
  <w:style w:type="paragraph" w:styleId="Zkladntext2">
    <w:name w:val="Body Text 2"/>
    <w:basedOn w:val="Normlny"/>
    <w:link w:val="Zkladntext2Char"/>
    <w:uiPriority w:val="99"/>
    <w:semiHidden/>
    <w:unhideWhenUsed/>
    <w:rsid w:val="00AD62CD"/>
    <w:pPr>
      <w:spacing w:after="120" w:line="480" w:lineRule="auto"/>
    </w:pPr>
    <w:rPr>
      <w:rFonts w:eastAsia="Times New Roman" w:cs="Times New Roman"/>
      <w:kern w:val="0"/>
      <w:sz w:val="22"/>
      <w:szCs w:val="22"/>
      <w14:ligatures w14:val="none"/>
    </w:rPr>
  </w:style>
  <w:style w:type="character" w:customStyle="1" w:styleId="Zkladntext2Char">
    <w:name w:val="Základný text 2 Char"/>
    <w:basedOn w:val="Predvolenpsmoodseku"/>
    <w:link w:val="Zkladntext2"/>
    <w:uiPriority w:val="99"/>
    <w:semiHidden/>
    <w:rsid w:val="00AD62CD"/>
    <w:rPr>
      <w:rFonts w:eastAsia="Times New Roman" w:cs="Times New Roman"/>
      <w:kern w:val="0"/>
      <w:sz w:val="22"/>
      <w:szCs w:val="22"/>
      <w14:ligatures w14:val="none"/>
    </w:rPr>
  </w:style>
  <w:style w:type="paragraph" w:customStyle="1" w:styleId="gmail-m-1648484718305530482msolistparagraph">
    <w:name w:val="gmail-m_-1648484718305530482msolistparagraph"/>
    <w:basedOn w:val="Normlny"/>
    <w:rsid w:val="00AD62CD"/>
    <w:pPr>
      <w:spacing w:before="100" w:beforeAutospacing="1" w:after="100" w:afterAutospacing="1" w:line="240" w:lineRule="auto"/>
    </w:pPr>
    <w:rPr>
      <w:rFonts w:ascii="Calibri" w:hAnsi="Calibri" w:cs="Calibri"/>
      <w:kern w:val="0"/>
      <w:sz w:val="22"/>
      <w:szCs w:val="22"/>
      <w:lang w:eastAsia="sk-SK"/>
      <w14:ligatures w14:val="none"/>
    </w:rPr>
  </w:style>
  <w:style w:type="table" w:customStyle="1" w:styleId="Mriekatabuky4">
    <w:name w:val="Mriežka tabuľky4"/>
    <w:basedOn w:val="Normlnatabuka"/>
    <w:next w:val="Mriekatabuky"/>
    <w:uiPriority w:val="59"/>
    <w:rsid w:val="00AD62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4">
    <w:name w:val="Grid Table 4"/>
    <w:basedOn w:val="Normlnatabuka"/>
    <w:uiPriority w:val="49"/>
    <w:rsid w:val="00AD62C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ezzoznamu2">
    <w:name w:val="Bez zoznamu2"/>
    <w:next w:val="Bezzoznamu"/>
    <w:uiPriority w:val="99"/>
    <w:semiHidden/>
    <w:unhideWhenUsed/>
    <w:rsid w:val="00136466"/>
  </w:style>
  <w:style w:type="table" w:customStyle="1" w:styleId="Mriekatabuky5">
    <w:name w:val="Mriežka tabuľky5"/>
    <w:basedOn w:val="Normlnatabuka"/>
    <w:next w:val="Mriekatabuky"/>
    <w:uiPriority w:val="39"/>
    <w:rsid w:val="001364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1364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99636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8696">
      <w:bodyDiv w:val="1"/>
      <w:marLeft w:val="0"/>
      <w:marRight w:val="0"/>
      <w:marTop w:val="0"/>
      <w:marBottom w:val="0"/>
      <w:divBdr>
        <w:top w:val="none" w:sz="0" w:space="0" w:color="auto"/>
        <w:left w:val="none" w:sz="0" w:space="0" w:color="auto"/>
        <w:bottom w:val="none" w:sz="0" w:space="0" w:color="auto"/>
        <w:right w:val="none" w:sz="0" w:space="0" w:color="auto"/>
      </w:divBdr>
    </w:div>
    <w:div w:id="349836587">
      <w:bodyDiv w:val="1"/>
      <w:marLeft w:val="0"/>
      <w:marRight w:val="0"/>
      <w:marTop w:val="0"/>
      <w:marBottom w:val="0"/>
      <w:divBdr>
        <w:top w:val="none" w:sz="0" w:space="0" w:color="auto"/>
        <w:left w:val="none" w:sz="0" w:space="0" w:color="auto"/>
        <w:bottom w:val="none" w:sz="0" w:space="0" w:color="auto"/>
        <w:right w:val="none" w:sz="0" w:space="0" w:color="auto"/>
      </w:divBdr>
    </w:div>
    <w:div w:id="411587723">
      <w:bodyDiv w:val="1"/>
      <w:marLeft w:val="0"/>
      <w:marRight w:val="0"/>
      <w:marTop w:val="0"/>
      <w:marBottom w:val="0"/>
      <w:divBdr>
        <w:top w:val="none" w:sz="0" w:space="0" w:color="auto"/>
        <w:left w:val="none" w:sz="0" w:space="0" w:color="auto"/>
        <w:bottom w:val="none" w:sz="0" w:space="0" w:color="auto"/>
        <w:right w:val="none" w:sz="0" w:space="0" w:color="auto"/>
      </w:divBdr>
    </w:div>
    <w:div w:id="455803683">
      <w:bodyDiv w:val="1"/>
      <w:marLeft w:val="0"/>
      <w:marRight w:val="0"/>
      <w:marTop w:val="0"/>
      <w:marBottom w:val="0"/>
      <w:divBdr>
        <w:top w:val="none" w:sz="0" w:space="0" w:color="auto"/>
        <w:left w:val="none" w:sz="0" w:space="0" w:color="auto"/>
        <w:bottom w:val="none" w:sz="0" w:space="0" w:color="auto"/>
        <w:right w:val="none" w:sz="0" w:space="0" w:color="auto"/>
      </w:divBdr>
    </w:div>
    <w:div w:id="468322652">
      <w:bodyDiv w:val="1"/>
      <w:marLeft w:val="0"/>
      <w:marRight w:val="0"/>
      <w:marTop w:val="0"/>
      <w:marBottom w:val="0"/>
      <w:divBdr>
        <w:top w:val="none" w:sz="0" w:space="0" w:color="auto"/>
        <w:left w:val="none" w:sz="0" w:space="0" w:color="auto"/>
        <w:bottom w:val="none" w:sz="0" w:space="0" w:color="auto"/>
        <w:right w:val="none" w:sz="0" w:space="0" w:color="auto"/>
      </w:divBdr>
    </w:div>
    <w:div w:id="936913104">
      <w:bodyDiv w:val="1"/>
      <w:marLeft w:val="0"/>
      <w:marRight w:val="0"/>
      <w:marTop w:val="0"/>
      <w:marBottom w:val="0"/>
      <w:divBdr>
        <w:top w:val="none" w:sz="0" w:space="0" w:color="auto"/>
        <w:left w:val="none" w:sz="0" w:space="0" w:color="auto"/>
        <w:bottom w:val="none" w:sz="0" w:space="0" w:color="auto"/>
        <w:right w:val="none" w:sz="0" w:space="0" w:color="auto"/>
      </w:divBdr>
    </w:div>
    <w:div w:id="977494570">
      <w:bodyDiv w:val="1"/>
      <w:marLeft w:val="0"/>
      <w:marRight w:val="0"/>
      <w:marTop w:val="0"/>
      <w:marBottom w:val="0"/>
      <w:divBdr>
        <w:top w:val="none" w:sz="0" w:space="0" w:color="auto"/>
        <w:left w:val="none" w:sz="0" w:space="0" w:color="auto"/>
        <w:bottom w:val="none" w:sz="0" w:space="0" w:color="auto"/>
        <w:right w:val="none" w:sz="0" w:space="0" w:color="auto"/>
      </w:divBdr>
    </w:div>
    <w:div w:id="1105348625">
      <w:bodyDiv w:val="1"/>
      <w:marLeft w:val="0"/>
      <w:marRight w:val="0"/>
      <w:marTop w:val="0"/>
      <w:marBottom w:val="0"/>
      <w:divBdr>
        <w:top w:val="none" w:sz="0" w:space="0" w:color="auto"/>
        <w:left w:val="none" w:sz="0" w:space="0" w:color="auto"/>
        <w:bottom w:val="none" w:sz="0" w:space="0" w:color="auto"/>
        <w:right w:val="none" w:sz="0" w:space="0" w:color="auto"/>
      </w:divBdr>
    </w:div>
    <w:div w:id="1131559562">
      <w:bodyDiv w:val="1"/>
      <w:marLeft w:val="0"/>
      <w:marRight w:val="0"/>
      <w:marTop w:val="0"/>
      <w:marBottom w:val="0"/>
      <w:divBdr>
        <w:top w:val="none" w:sz="0" w:space="0" w:color="auto"/>
        <w:left w:val="none" w:sz="0" w:space="0" w:color="auto"/>
        <w:bottom w:val="none" w:sz="0" w:space="0" w:color="auto"/>
        <w:right w:val="none" w:sz="0" w:space="0" w:color="auto"/>
      </w:divBdr>
    </w:div>
    <w:div w:id="1273392225">
      <w:bodyDiv w:val="1"/>
      <w:marLeft w:val="0"/>
      <w:marRight w:val="0"/>
      <w:marTop w:val="0"/>
      <w:marBottom w:val="0"/>
      <w:divBdr>
        <w:top w:val="none" w:sz="0" w:space="0" w:color="auto"/>
        <w:left w:val="none" w:sz="0" w:space="0" w:color="auto"/>
        <w:bottom w:val="none" w:sz="0" w:space="0" w:color="auto"/>
        <w:right w:val="none" w:sz="0" w:space="0" w:color="auto"/>
      </w:divBdr>
    </w:div>
    <w:div w:id="1434862148">
      <w:bodyDiv w:val="1"/>
      <w:marLeft w:val="0"/>
      <w:marRight w:val="0"/>
      <w:marTop w:val="0"/>
      <w:marBottom w:val="0"/>
      <w:divBdr>
        <w:top w:val="none" w:sz="0" w:space="0" w:color="auto"/>
        <w:left w:val="none" w:sz="0" w:space="0" w:color="auto"/>
        <w:bottom w:val="none" w:sz="0" w:space="0" w:color="auto"/>
        <w:right w:val="none" w:sz="0" w:space="0" w:color="auto"/>
      </w:divBdr>
    </w:div>
    <w:div w:id="1545486494">
      <w:bodyDiv w:val="1"/>
      <w:marLeft w:val="0"/>
      <w:marRight w:val="0"/>
      <w:marTop w:val="0"/>
      <w:marBottom w:val="0"/>
      <w:divBdr>
        <w:top w:val="none" w:sz="0" w:space="0" w:color="auto"/>
        <w:left w:val="none" w:sz="0" w:space="0" w:color="auto"/>
        <w:bottom w:val="none" w:sz="0" w:space="0" w:color="auto"/>
        <w:right w:val="none" w:sz="0" w:space="0" w:color="auto"/>
      </w:divBdr>
    </w:div>
    <w:div w:id="1574196429">
      <w:bodyDiv w:val="1"/>
      <w:marLeft w:val="0"/>
      <w:marRight w:val="0"/>
      <w:marTop w:val="0"/>
      <w:marBottom w:val="0"/>
      <w:divBdr>
        <w:top w:val="none" w:sz="0" w:space="0" w:color="auto"/>
        <w:left w:val="none" w:sz="0" w:space="0" w:color="auto"/>
        <w:bottom w:val="none" w:sz="0" w:space="0" w:color="auto"/>
        <w:right w:val="none" w:sz="0" w:space="0" w:color="auto"/>
      </w:divBdr>
    </w:div>
    <w:div w:id="18470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footer" Target="footer12.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footer" Target="footer13.xml"/><Relationship Id="rId47" Type="http://schemas.openxmlformats.org/officeDocument/2006/relationships/hyperlink" Target="https://rokovania.gov.sk/RVL/Material/30580/1" TargetMode="External"/><Relationship Id="rId50" Type="http://schemas.openxmlformats.org/officeDocument/2006/relationships/hyperlink" Target="https://www.urhh.sk/web/guest/registre_licencii_hh" TargetMode="External"/><Relationship Id="rId55" Type="http://schemas.openxmlformats.org/officeDocument/2006/relationships/hyperlink" Target="https://metais.slovensko.sk/ci/KS/13b86318-e33f-443e-81e0-c69a63a399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1.xml"/><Relationship Id="rId11" Type="http://schemas.openxmlformats.org/officeDocument/2006/relationships/hyperlink" Target="http://europa.eu/rapid/press-release_IP-14-1158_sk.htm" TargetMode="Externa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header" Target="header20.xml"/><Relationship Id="rId53" Type="http://schemas.openxmlformats.org/officeDocument/2006/relationships/header" Target="header22.xml"/><Relationship Id="rId58" Type="http://schemas.openxmlformats.org/officeDocument/2006/relationships/hyperlink" Target="https://metais.slovensko.sk/ci/ISVS/cc5a7fb9-5dce-48c1-bc6d-a38a69cb31ac"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hyperlink" Target="https://rokovania.gov.sk/RVL/Material/30580/1" TargetMode="External"/><Relationship Id="rId56" Type="http://schemas.openxmlformats.org/officeDocument/2006/relationships/hyperlink" Target="https://metais.slovensko.sk/ci/KS/0a6bbf3e-895d-4e55-ab35-d5e17c4a69d4" TargetMode="External"/><Relationship Id="rId8" Type="http://schemas.openxmlformats.org/officeDocument/2006/relationships/webSettings" Target="webSettings.xml"/><Relationship Id="rId51" Type="http://schemas.openxmlformats.org/officeDocument/2006/relationships/hyperlink" Target="https://www.mfsr.sk/sk/financie/institut-financnej-politiky/ekonomicke-prognozy/makroekonomicke-prognozy/makroekonomicke-prognozy.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yperlink" Target="https://www.mhsr.sk/podnikatelske-prostredie/lepsia-regulacia/regulacne-zatazenie/kalkulacka-nakladov-regulacie" TargetMode="External"/><Relationship Id="rId59" Type="http://schemas.openxmlformats.org/officeDocument/2006/relationships/hyperlink" Target="https://metais.slovensko.sk/ci/ISVS/33eef206-7f99-4f0e-bb35-3f3e544e39b8" TargetMode="External"/><Relationship Id="rId20" Type="http://schemas.openxmlformats.org/officeDocument/2006/relationships/footer" Target="footer4.xml"/><Relationship Id="rId41" Type="http://schemas.openxmlformats.org/officeDocument/2006/relationships/header" Target="header18.xml"/><Relationship Id="rId54" Type="http://schemas.openxmlformats.org/officeDocument/2006/relationships/hyperlink" Target="https://metais.slovensko.sk/ci/KS/6e9336de-912b-4060-ad9f-0bd04db995fc"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0.xml"/><Relationship Id="rId49" Type="http://schemas.openxmlformats.org/officeDocument/2006/relationships/hyperlink" Target="https://registeruz.sk/cruz-public/domain/accountingentity/simplesearch" TargetMode="External"/><Relationship Id="rId57" Type="http://schemas.openxmlformats.org/officeDocument/2006/relationships/hyperlink" Target="https://metais.slovensko.sk/ci/ISVS/10527bf6-4c95-4b90-b9a6-b1dfa9fa0693" TargetMode="Externa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footer" Target="footer14.xml"/><Relationship Id="rId52" Type="http://schemas.openxmlformats.org/officeDocument/2006/relationships/header" Target="header21.xml"/><Relationship Id="rId60" Type="http://schemas.openxmlformats.org/officeDocument/2006/relationships/hyperlink" Target="https://metais.slovensko.sk/ci/ISVS/d9683cd3-6eb8-4346-9403-d737d607527e"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F76C0B26C81498CFD8AC112F772CE" ma:contentTypeVersion="4" ma:contentTypeDescription="Create a new document." ma:contentTypeScope="" ma:versionID="bc00967edd44d537f8f00cb3764b784a">
  <xsd:schema xmlns:xsd="http://www.w3.org/2001/XMLSchema" xmlns:xs="http://www.w3.org/2001/XMLSchema" xmlns:p="http://schemas.microsoft.com/office/2006/metadata/properties" xmlns:ns3="5184215f-6a36-4124-9f36-fa9781fc31bf" targetNamespace="http://schemas.microsoft.com/office/2006/metadata/properties" ma:root="true" ma:fieldsID="82843bdf795308d815765daecc7d06da" ns3:_="">
    <xsd:import namespace="5184215f-6a36-4124-9f36-fa9781fc31b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4215f-6a36-4124-9f36-fa9781fc31b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6F60B-B67F-43FA-9B25-0B546F5E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4215f-6a36-4124-9f36-fa9781fc3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E4E65-4DB5-4715-A821-D56124BF99AD}">
  <ds:schemaRefs>
    <ds:schemaRef ds:uri="http://schemas.openxmlformats.org/officeDocument/2006/bibliography"/>
  </ds:schemaRefs>
</ds:datastoreItem>
</file>

<file path=customXml/itemProps3.xml><?xml version="1.0" encoding="utf-8"?>
<ds:datastoreItem xmlns:ds="http://schemas.openxmlformats.org/officeDocument/2006/customXml" ds:itemID="{5FDA9CBE-0351-48A8-8F93-A1DF28405E5D}">
  <ds:schemaRefs>
    <ds:schemaRef ds:uri="http://schemas.microsoft.com/sharepoint/v3/contenttype/forms"/>
  </ds:schemaRefs>
</ds:datastoreItem>
</file>

<file path=customXml/itemProps4.xml><?xml version="1.0" encoding="utf-8"?>
<ds:datastoreItem xmlns:ds="http://schemas.openxmlformats.org/officeDocument/2006/customXml" ds:itemID="{04211DA5-C144-4741-B79C-0829D76D30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56206</Words>
  <Characters>320379</Characters>
  <Application>Microsoft Office Word</Application>
  <DocSecurity>0</DocSecurity>
  <Lines>2669</Lines>
  <Paragraphs>751</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375834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Blazekova Bohunicka Lucia</dc:creator>
  <cp:keywords/>
  <dc:description/>
  <cp:lastModifiedBy>Blazekova Bohunicka Lucia</cp:lastModifiedBy>
  <cp:revision>9</cp:revision>
  <cp:lastPrinted>2025-09-10T06:35:00Z</cp:lastPrinted>
  <dcterms:created xsi:type="dcterms:W3CDTF">2025-09-10T08:48:00Z</dcterms:created>
  <dcterms:modified xsi:type="dcterms:W3CDTF">2025-09-10T10:54:00Z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0x0101000DAF76C0B26C81498CFD8AC112F772CE</vt:lpwstr>
  </property>
</Properties>
</file>