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011DB4" w:rsidRDefault="00B35ACF" w:rsidP="00011DB4">
      <w:pPr>
        <w:pStyle w:val="Nzov"/>
        <w:pBdr>
          <w:bottom w:val="single" w:sz="12" w:space="1" w:color="00000A"/>
        </w:pBd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color w:val="000000" w:themeColor="text1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011DB4" w:rsidRDefault="00B35ACF" w:rsidP="00011DB4">
      <w:pPr>
        <w:pStyle w:val="Podtitul"/>
        <w:rPr>
          <w:rFonts w:ascii="Book Antiqua" w:hAnsi="Book Antiqua"/>
          <w:color w:val="000000" w:themeColor="text1"/>
          <w:sz w:val="22"/>
          <w:szCs w:val="22"/>
        </w:rPr>
      </w:pPr>
    </w:p>
    <w:p w14:paraId="6F4BF734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color w:val="000000" w:themeColor="text1"/>
          <w:sz w:val="22"/>
          <w:szCs w:val="22"/>
        </w:rPr>
        <w:t>IX. volebné obdobie</w:t>
      </w:r>
    </w:p>
    <w:p w14:paraId="50577EF9" w14:textId="107ED18F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47AF04AD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2053421B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351BD6CF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b/>
          <w:bCs/>
          <w:color w:val="000000" w:themeColor="text1"/>
          <w:sz w:val="22"/>
          <w:szCs w:val="22"/>
        </w:rPr>
        <w:t>N á v r h</w:t>
      </w:r>
    </w:p>
    <w:p w14:paraId="080C843E" w14:textId="77777777" w:rsidR="00B35ACF" w:rsidRPr="00011DB4" w:rsidRDefault="00B35ACF" w:rsidP="00011DB4">
      <w:pPr>
        <w:pStyle w:val="Podtitul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6339E51C" w14:textId="6C3A1A56" w:rsidR="00B35ACF" w:rsidRPr="00011DB4" w:rsidRDefault="00B35ACF" w:rsidP="00011DB4">
      <w:pPr>
        <w:pStyle w:val="Podtitul"/>
        <w:spacing w:before="120" w:after="12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color w:val="000000" w:themeColor="text1"/>
          <w:sz w:val="22"/>
          <w:szCs w:val="22"/>
        </w:rPr>
        <w:t>skupiny poslancov Národnej rady Slovenskej republiky</w:t>
      </w:r>
    </w:p>
    <w:p w14:paraId="3F1751EB" w14:textId="77777777" w:rsidR="00B35ACF" w:rsidRPr="00011DB4" w:rsidRDefault="00B35ACF" w:rsidP="00011DB4">
      <w:pPr>
        <w:pStyle w:val="Podtitul"/>
        <w:spacing w:before="120" w:after="120"/>
        <w:rPr>
          <w:rFonts w:ascii="Book Antiqua" w:hAnsi="Book Antiqua"/>
          <w:color w:val="000000" w:themeColor="text1"/>
          <w:sz w:val="22"/>
          <w:szCs w:val="22"/>
        </w:rPr>
      </w:pPr>
    </w:p>
    <w:p w14:paraId="7CAE69AD" w14:textId="77777777" w:rsidR="00B35ACF" w:rsidRPr="00011DB4" w:rsidRDefault="00B35ACF" w:rsidP="00011DB4">
      <w:pPr>
        <w:rPr>
          <w:rFonts w:ascii="Book Antiqua" w:hAnsi="Book Antiqua"/>
          <w:color w:val="000000" w:themeColor="text1"/>
          <w:sz w:val="22"/>
          <w:szCs w:val="22"/>
        </w:rPr>
      </w:pPr>
    </w:p>
    <w:p w14:paraId="4A1912B9" w14:textId="77777777" w:rsidR="00B35ACF" w:rsidRPr="00011DB4" w:rsidRDefault="00B35ACF" w:rsidP="00011DB4">
      <w:pP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011DB4">
        <w:rPr>
          <w:rFonts w:ascii="Book Antiqua" w:hAnsi="Book Antiqua"/>
          <w:bCs/>
          <w:color w:val="000000" w:themeColor="text1"/>
          <w:sz w:val="22"/>
          <w:szCs w:val="22"/>
        </w:rPr>
        <w:t>n a  p r i j a t i e</w:t>
      </w:r>
    </w:p>
    <w:p w14:paraId="3EF02D3B" w14:textId="77777777" w:rsidR="00B35ACF" w:rsidRPr="00011DB4" w:rsidRDefault="00B35ACF" w:rsidP="00011DB4">
      <w:pPr>
        <w:jc w:val="center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1F040B19" w14:textId="605A18C9" w:rsidR="00B35ACF" w:rsidRPr="00011DB4" w:rsidRDefault="002406FE" w:rsidP="00011DB4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2406FE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uznesenia Národnej rady Slovenskej republiky </w:t>
      </w:r>
      <w:bookmarkStart w:id="0" w:name="_Hlk208246022"/>
      <w:r w:rsidRPr="002406FE">
        <w:rPr>
          <w:rFonts w:ascii="Book Antiqua" w:hAnsi="Book Antiqua"/>
          <w:b/>
          <w:bCs/>
          <w:color w:val="000000" w:themeColor="text1"/>
          <w:sz w:val="22"/>
          <w:szCs w:val="22"/>
        </w:rPr>
        <w:t>k podvodu vo voľbách prezidenta Slovenskej republiky</w:t>
      </w:r>
      <w:bookmarkEnd w:id="0"/>
    </w:p>
    <w:p w14:paraId="5428F853" w14:textId="77777777" w:rsidR="00011DB4" w:rsidRPr="00334590" w:rsidRDefault="00011DB4" w:rsidP="00011DB4">
      <w:pPr>
        <w:spacing w:before="120" w:line="276" w:lineRule="auto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__________________________________________________________________________</w:t>
      </w:r>
    </w:p>
    <w:p w14:paraId="42CB6C9A" w14:textId="77777777" w:rsidR="00011DB4" w:rsidRPr="00334590" w:rsidRDefault="00011DB4" w:rsidP="00011DB4">
      <w:pPr>
        <w:tabs>
          <w:tab w:val="left" w:pos="-1980"/>
        </w:tabs>
        <w:jc w:val="both"/>
        <w:rPr>
          <w:rFonts w:ascii="Book Antiqua" w:eastAsia="Times New Roman" w:hAnsi="Book Antiqua" w:cs="Times New Roman"/>
          <w:kern w:val="0"/>
          <w:sz w:val="22"/>
          <w:szCs w:val="22"/>
          <w:u w:val="single"/>
          <w:lang w:eastAsia="sk-SK" w:bidi="ar-SA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565"/>
        <w:gridCol w:w="4259"/>
      </w:tblGrid>
      <w:tr w:rsidR="00011DB4" w:rsidRPr="00334590" w14:paraId="4D422DA7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1122D29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a j ú 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5B2FE0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22485DC6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33459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011DB4" w:rsidRPr="00334590" w14:paraId="13FC3361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EDE31E6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D2D3F10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14:paraId="3BD9220D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334590" w14:paraId="531C7D23" w14:textId="77777777" w:rsidTr="00972433">
        <w:trPr>
          <w:trHeight w:val="246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D24BE63" w14:textId="4BBAFE64" w:rsidR="002406FE" w:rsidRPr="00334590" w:rsidRDefault="002406FE" w:rsidP="002406FE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Michal Šipoš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DBFDF3D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4E40F15" w14:textId="1962EE76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Lukáš Bužo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6C23966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C4EF944" w14:textId="6BE2D892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Gábor Grendel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6CBD708E" w14:textId="77777777" w:rsidR="00011DB4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BCBA9CC" w14:textId="3332004B" w:rsidR="002406FE" w:rsidRDefault="002406FE" w:rsidP="002406FE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Július Jak</w:t>
            </w:r>
            <w:bookmarkStart w:id="1" w:name="_GoBack"/>
            <w:bookmarkEnd w:id="1"/>
            <w:r>
              <w:rPr>
                <w:rFonts w:ascii="Book Antiqua" w:hAnsi="Book Antiqua"/>
                <w:sz w:val="22"/>
                <w:szCs w:val="22"/>
              </w:rPr>
              <w:t>ab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0C6F1029" w14:textId="77777777" w:rsidR="002406FE" w:rsidRDefault="002406FE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A93E309" w14:textId="5F467B75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Marek Krajčí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567995E0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1177A8C4" w14:textId="0C179F7C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Rastislav Krátky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20F64DEE" w14:textId="2CCA2C2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4187031" w14:textId="7027A0A0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Roman Mikulec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4DD8029F" w14:textId="59F87C6C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2E95BFC" w14:textId="4E0C3592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Jozef Pročko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7D7AC4A9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9D779CF" w14:textId="49E1D898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Veronika Remišová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  <w:p w14:paraId="47DA2E2B" w14:textId="3A0678D1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br/>
              <w:t>Anežka Škopová</w:t>
            </w:r>
            <w:r w:rsidR="008A37B9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8A37B9">
              <w:rPr>
                <w:rFonts w:ascii="Book Antiqua" w:hAnsi="Book Antiqua"/>
                <w:sz w:val="22"/>
                <w:szCs w:val="22"/>
              </w:rPr>
              <w:t>v. r.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82A15F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A7A1B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sz w:val="22"/>
                <w:szCs w:val="22"/>
              </w:rPr>
              <w:t>Národná rada Slovenskej republiky</w:t>
            </w:r>
          </w:p>
          <w:p w14:paraId="3E4B2690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4590">
              <w:rPr>
                <w:rFonts w:ascii="Book Antiqua" w:hAnsi="Book Antiqua"/>
                <w:b/>
                <w:sz w:val="22"/>
                <w:szCs w:val="22"/>
              </w:rPr>
              <w:t>s c h v a ľ u j e</w:t>
            </w:r>
          </w:p>
          <w:p w14:paraId="64134A76" w14:textId="68394F89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669DA">
              <w:rPr>
                <w:rFonts w:ascii="Book Antiqua" w:hAnsi="Book Antiqua"/>
                <w:sz w:val="22"/>
                <w:szCs w:val="22"/>
              </w:rPr>
              <w:t>uzneseni</w:t>
            </w:r>
            <w:r>
              <w:rPr>
                <w:rFonts w:ascii="Book Antiqua" w:hAnsi="Book Antiqua"/>
                <w:sz w:val="22"/>
                <w:szCs w:val="22"/>
              </w:rPr>
              <w:t>e</w:t>
            </w:r>
            <w:r w:rsidRPr="00F669DA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Ná</w:t>
            </w:r>
            <w:r w:rsidRPr="00F669DA">
              <w:rPr>
                <w:rFonts w:ascii="Book Antiqua" w:hAnsi="Book Antiqua"/>
                <w:sz w:val="22"/>
                <w:szCs w:val="22"/>
              </w:rPr>
              <w:t>r</w:t>
            </w:r>
            <w:r>
              <w:rPr>
                <w:rFonts w:ascii="Book Antiqua" w:hAnsi="Book Antiqua"/>
                <w:sz w:val="22"/>
                <w:szCs w:val="22"/>
              </w:rPr>
              <w:t>odnej rady Slovenskej republiky</w:t>
            </w:r>
            <w:r>
              <w:t xml:space="preserve"> </w:t>
            </w:r>
            <w:r w:rsidR="002406FE">
              <w:t xml:space="preserve"> </w:t>
            </w:r>
            <w:r w:rsidR="002406FE" w:rsidRPr="002406FE">
              <w:rPr>
                <w:rFonts w:ascii="Book Antiqua" w:hAnsi="Book Antiqua"/>
                <w:sz w:val="22"/>
                <w:szCs w:val="22"/>
              </w:rPr>
              <w:t>k podvodu vo voľbách prezidenta Slovenskej republiky</w:t>
            </w:r>
          </w:p>
        </w:tc>
      </w:tr>
      <w:tr w:rsidR="00011DB4" w:rsidRPr="00334590" w14:paraId="7125343D" w14:textId="77777777" w:rsidTr="00972433">
        <w:trPr>
          <w:trHeight w:val="283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6F9939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A0B717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CB04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11DB4" w:rsidRPr="00334590" w14:paraId="03611B58" w14:textId="77777777" w:rsidTr="00972433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B51F58E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24629EB" w14:textId="77777777" w:rsidR="00011DB4" w:rsidRPr="00334590" w:rsidRDefault="00011DB4" w:rsidP="00972433">
            <w:pPr>
              <w:rPr>
                <w:rFonts w:hint="eastAsia"/>
              </w:rPr>
            </w:pPr>
          </w:p>
          <w:p w14:paraId="68C2F456" w14:textId="630CA3BD" w:rsidR="00011DB4" w:rsidRDefault="00011DB4" w:rsidP="00972433"/>
          <w:p w14:paraId="76F2861D" w14:textId="510FFB6C" w:rsidR="008A37B9" w:rsidRDefault="008A37B9" w:rsidP="00972433"/>
          <w:p w14:paraId="6D2D45DC" w14:textId="7CDDEAC6" w:rsidR="008A37B9" w:rsidRDefault="008A37B9" w:rsidP="00972433"/>
          <w:p w14:paraId="6884B6D2" w14:textId="77777777" w:rsidR="008A37B9" w:rsidRPr="00334590" w:rsidRDefault="008A37B9" w:rsidP="00972433">
            <w:pPr>
              <w:rPr>
                <w:rFonts w:hint="eastAsia"/>
              </w:rPr>
            </w:pPr>
          </w:p>
          <w:p w14:paraId="1A246A86" w14:textId="77777777" w:rsidR="00011DB4" w:rsidRPr="00334590" w:rsidRDefault="00011DB4" w:rsidP="00972433">
            <w:pPr>
              <w:rPr>
                <w:rFonts w:hint="eastAsia"/>
              </w:rPr>
            </w:pPr>
          </w:p>
          <w:p w14:paraId="02176403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646596" w14:textId="77777777" w:rsidR="00011DB4" w:rsidRPr="00334590" w:rsidRDefault="00011DB4" w:rsidP="00972433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A028F" w14:textId="77777777" w:rsidR="00011DB4" w:rsidRPr="00334590" w:rsidRDefault="00011DB4" w:rsidP="0097243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F62A7F4" w14:textId="4667141C" w:rsidR="00011DB4" w:rsidRPr="00AE4D7D" w:rsidRDefault="00011DB4" w:rsidP="00011DB4">
      <w:pPr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</w:pP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Bratislava </w:t>
      </w:r>
      <w:r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>september</w:t>
      </w:r>
      <w:r w:rsidRPr="00334590">
        <w:rPr>
          <w:rFonts w:ascii="Book Antiqua" w:eastAsia="Times New Roman" w:hAnsi="Book Antiqua" w:cs="Times New Roman"/>
          <w:kern w:val="0"/>
          <w:sz w:val="22"/>
          <w:szCs w:val="22"/>
          <w:lang w:eastAsia="sk-SK" w:bidi="ar-SA"/>
        </w:rPr>
        <w:t xml:space="preserve"> 2025</w:t>
      </w:r>
    </w:p>
    <w:p w14:paraId="027ACEA7" w14:textId="010C691C" w:rsidR="00B35ACF" w:rsidRPr="00011DB4" w:rsidRDefault="00B35ACF" w:rsidP="00B35ACF">
      <w:pPr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011DB4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2" w:name="_Hlk89090507"/>
      <w:bookmarkEnd w:id="2"/>
    </w:p>
    <w:p w14:paraId="61B3784B" w14:textId="77777777" w:rsidR="00B35ACF" w:rsidRPr="00011DB4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011DB4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2FE11006" w:rsidR="00B35ACF" w:rsidRPr="00011DB4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/>
          <w:bCs/>
          <w:sz w:val="22"/>
          <w:szCs w:val="22"/>
        </w:rPr>
        <w:t>z ... 202</w:t>
      </w:r>
      <w:r w:rsidR="00E44D5F" w:rsidRPr="00011DB4">
        <w:rPr>
          <w:rFonts w:ascii="Book Antiqua" w:hAnsi="Book Antiqua"/>
          <w:bCs/>
          <w:sz w:val="22"/>
          <w:szCs w:val="22"/>
        </w:rPr>
        <w:t>5</w:t>
      </w:r>
      <w:r w:rsidRPr="00011DB4"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011DB4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4C55E025" w14:textId="54E5E31E" w:rsidR="00011DB4" w:rsidRPr="002406FE" w:rsidRDefault="002406FE" w:rsidP="002406FE">
      <w:pPr>
        <w:tabs>
          <w:tab w:val="left" w:pos="1095"/>
        </w:tabs>
        <w:spacing w:before="120" w:line="360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2406FE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 podvodu vo voľbách prezidenta Slovenskej republiky</w:t>
      </w:r>
    </w:p>
    <w:p w14:paraId="53829CA0" w14:textId="77777777" w:rsidR="002406FE" w:rsidRDefault="002406FE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52226E7D" w14:textId="77777777" w:rsidR="000E4501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67902983" w14:textId="69DC4E9D" w:rsidR="00576787" w:rsidRPr="000E4501" w:rsidRDefault="002406FE" w:rsidP="000E4501">
      <w:pPr>
        <w:pStyle w:val="Odsekzoznamu"/>
        <w:numPr>
          <w:ilvl w:val="0"/>
          <w:numId w:val="8"/>
        </w:numPr>
        <w:tabs>
          <w:tab w:val="left" w:pos="1095"/>
        </w:tabs>
        <w:spacing w:before="120" w:line="360" w:lineRule="auto"/>
        <w:ind w:left="284" w:hanging="284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E4501">
        <w:rPr>
          <w:rFonts w:ascii="Book Antiqua" w:hAnsi="Book Antiqua" w:cs="Times New Roman"/>
          <w:b/>
          <w:bCs/>
          <w:sz w:val="22"/>
          <w:szCs w:val="22"/>
        </w:rPr>
        <w:t>odsudzuje</w:t>
      </w:r>
      <w:r w:rsidR="00F5525E" w:rsidRPr="000E4501">
        <w:rPr>
          <w:rFonts w:ascii="Book Antiqua" w:hAnsi="Book Antiqua" w:cs="Times New Roman"/>
          <w:sz w:val="22"/>
          <w:szCs w:val="22"/>
        </w:rPr>
        <w:t xml:space="preserve"> konanie</w:t>
      </w:r>
      <w:r w:rsidRPr="000E4501">
        <w:rPr>
          <w:rFonts w:ascii="Book Antiqua" w:hAnsi="Book Antiqua" w:cs="Times New Roman"/>
          <w:b/>
          <w:bCs/>
          <w:sz w:val="22"/>
          <w:szCs w:val="22"/>
        </w:rPr>
        <w:t>:</w:t>
      </w:r>
    </w:p>
    <w:p w14:paraId="228C79EC" w14:textId="45EB84ED" w:rsidR="00F5525E" w:rsidRDefault="002406FE" w:rsidP="002406FE">
      <w:pPr>
        <w:pStyle w:val="Odsekzoznamu"/>
        <w:numPr>
          <w:ilvl w:val="0"/>
          <w:numId w:val="7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Petra Pellegriniho, v tom čase predsedu Národnej rady Slovenskej republiky, ktorý po </w:t>
      </w:r>
      <w:r w:rsidR="000E4501">
        <w:rPr>
          <w:rFonts w:ascii="Book Antiqua" w:hAnsi="Book Antiqua" w:cs="Times New Roman"/>
          <w:sz w:val="22"/>
          <w:szCs w:val="22"/>
        </w:rPr>
        <w:t>zvolení za</w:t>
      </w:r>
      <w:r>
        <w:rPr>
          <w:rFonts w:ascii="Book Antiqua" w:hAnsi="Book Antiqua" w:cs="Times New Roman"/>
          <w:sz w:val="22"/>
          <w:szCs w:val="22"/>
        </w:rPr>
        <w:t xml:space="preserve"> prezidenta Slovenskej republiky podpísal </w:t>
      </w:r>
      <w:r w:rsidR="00F5525E">
        <w:rPr>
          <w:rFonts w:ascii="Book Antiqua" w:hAnsi="Book Antiqua" w:cs="Times New Roman"/>
          <w:sz w:val="22"/>
          <w:szCs w:val="22"/>
        </w:rPr>
        <w:t xml:space="preserve">rozhodnutie o poverení </w:t>
      </w:r>
      <w:r w:rsidR="00FE7FDD">
        <w:rPr>
          <w:rFonts w:ascii="Book Antiqua" w:hAnsi="Book Antiqua" w:cs="Times New Roman"/>
          <w:sz w:val="22"/>
          <w:szCs w:val="22"/>
        </w:rPr>
        <w:t xml:space="preserve">výkonom právomoci predsedu Národnej rady Slovenskej republiky </w:t>
      </w:r>
      <w:r w:rsidR="00F5525E">
        <w:rPr>
          <w:rFonts w:ascii="Book Antiqua" w:hAnsi="Book Antiqua" w:cs="Times New Roman"/>
          <w:sz w:val="22"/>
          <w:szCs w:val="22"/>
        </w:rPr>
        <w:t>pre Petra Žigu k spätnému dátumu</w:t>
      </w:r>
      <w:r w:rsidR="00FE7FDD">
        <w:rPr>
          <w:rFonts w:ascii="Book Antiqua" w:hAnsi="Book Antiqua" w:cs="Times New Roman"/>
          <w:sz w:val="22"/>
          <w:szCs w:val="22"/>
        </w:rPr>
        <w:t xml:space="preserve"> (rozhodnutie č. 269 zo 6. apríla 2024)</w:t>
      </w:r>
      <w:r w:rsidR="00F5525E">
        <w:rPr>
          <w:rFonts w:ascii="Book Antiqua" w:hAnsi="Book Antiqua" w:cs="Times New Roman"/>
          <w:sz w:val="22"/>
          <w:szCs w:val="22"/>
        </w:rPr>
        <w:t>,</w:t>
      </w:r>
    </w:p>
    <w:p w14:paraId="76CF502A" w14:textId="3D041D49" w:rsidR="00F5525E" w:rsidRDefault="00F5525E" w:rsidP="002406FE">
      <w:pPr>
        <w:pStyle w:val="Odsekzoznamu"/>
        <w:numPr>
          <w:ilvl w:val="0"/>
          <w:numId w:val="7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Matúša Šutaja Eštoka, Kamila Šaška a Branislava Ondruša, ktorý po skončení volebnej kampane vo voľbách prezidenta Slovenskej republiky</w:t>
      </w:r>
      <w:r w:rsidR="00FE7FDD">
        <w:rPr>
          <w:rFonts w:ascii="Book Antiqua" w:hAnsi="Book Antiqua" w:cs="Times New Roman"/>
          <w:sz w:val="22"/>
          <w:szCs w:val="22"/>
        </w:rPr>
        <w:t xml:space="preserve"> v rozpore so zákonom</w:t>
      </w:r>
      <w:r>
        <w:rPr>
          <w:rFonts w:ascii="Book Antiqua" w:hAnsi="Book Antiqua" w:cs="Times New Roman"/>
          <w:sz w:val="22"/>
          <w:szCs w:val="22"/>
        </w:rPr>
        <w:t xml:space="preserve"> porušili volebné moratórium a platili si reklamu na príspevky, ktorými podporovali Petra Pellegriniho,</w:t>
      </w:r>
    </w:p>
    <w:p w14:paraId="326915B4" w14:textId="61B6A774" w:rsidR="00F5525E" w:rsidRDefault="00F5525E" w:rsidP="002406FE">
      <w:pPr>
        <w:pStyle w:val="Odsekzoznamu"/>
        <w:numPr>
          <w:ilvl w:val="0"/>
          <w:numId w:val="7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Petra Pellegriniho a Matúša Šutaja Eštoka, ktorí úmyselne a protizákonne zamlčali pôžičku od sestry Petra Pellegriniho v sume 300 000 eur,</w:t>
      </w:r>
    </w:p>
    <w:p w14:paraId="3BD05D61" w14:textId="7BAF40DC" w:rsidR="002406FE" w:rsidRDefault="002406FE" w:rsidP="002406FE">
      <w:pPr>
        <w:pStyle w:val="Odsekzoznamu"/>
        <w:numPr>
          <w:ilvl w:val="0"/>
          <w:numId w:val="7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 </w:t>
      </w:r>
      <w:r w:rsidR="00F5525E">
        <w:rPr>
          <w:rFonts w:ascii="Book Antiqua" w:hAnsi="Book Antiqua" w:cs="Times New Roman"/>
          <w:sz w:val="22"/>
          <w:szCs w:val="22"/>
        </w:rPr>
        <w:t xml:space="preserve">Petra Pellegriniho, ktorý </w:t>
      </w:r>
      <w:r w:rsidR="00BE6E78">
        <w:rPr>
          <w:rFonts w:ascii="Book Antiqua" w:hAnsi="Book Antiqua" w:cs="Times New Roman"/>
          <w:sz w:val="22"/>
          <w:szCs w:val="22"/>
        </w:rPr>
        <w:t>vo</w:t>
      </w:r>
      <w:r w:rsidR="00F5525E">
        <w:rPr>
          <w:rFonts w:ascii="Book Antiqua" w:hAnsi="Book Antiqua" w:cs="Times New Roman"/>
          <w:sz w:val="22"/>
          <w:szCs w:val="22"/>
        </w:rPr>
        <w:t xml:space="preserve"> volebn</w:t>
      </w:r>
      <w:r w:rsidR="00BE6E78">
        <w:rPr>
          <w:rFonts w:ascii="Book Antiqua" w:hAnsi="Book Antiqua" w:cs="Times New Roman"/>
          <w:sz w:val="22"/>
          <w:szCs w:val="22"/>
        </w:rPr>
        <w:t>ej</w:t>
      </w:r>
      <w:r w:rsidR="00F5525E">
        <w:rPr>
          <w:rFonts w:ascii="Book Antiqua" w:hAnsi="Book Antiqua" w:cs="Times New Roman"/>
          <w:sz w:val="22"/>
          <w:szCs w:val="22"/>
        </w:rPr>
        <w:t xml:space="preserve"> kampa</w:t>
      </w:r>
      <w:r w:rsidR="00BE6E78">
        <w:rPr>
          <w:rFonts w:ascii="Book Antiqua" w:hAnsi="Book Antiqua" w:cs="Times New Roman"/>
          <w:sz w:val="22"/>
          <w:szCs w:val="22"/>
        </w:rPr>
        <w:t>ni neuviedol</w:t>
      </w:r>
      <w:r w:rsidR="00F5525E">
        <w:rPr>
          <w:rFonts w:ascii="Book Antiqua" w:hAnsi="Book Antiqua" w:cs="Times New Roman"/>
          <w:sz w:val="22"/>
          <w:szCs w:val="22"/>
        </w:rPr>
        <w:t xml:space="preserve"> výdavky za reklamu od influencerov, čím spolu s ďalšími výdavkami, ktoré nepriznal alebo podhodnotil</w:t>
      </w:r>
      <w:r w:rsidR="00FE7FDD">
        <w:rPr>
          <w:rFonts w:ascii="Book Antiqua" w:hAnsi="Book Antiqua" w:cs="Times New Roman"/>
          <w:sz w:val="22"/>
          <w:szCs w:val="22"/>
        </w:rPr>
        <w:t>,</w:t>
      </w:r>
      <w:r w:rsidR="00F5525E">
        <w:rPr>
          <w:rFonts w:ascii="Book Antiqua" w:hAnsi="Book Antiqua" w:cs="Times New Roman"/>
          <w:sz w:val="22"/>
          <w:szCs w:val="22"/>
        </w:rPr>
        <w:t xml:space="preserve"> výrazne prekročil finančný limit na volebnú kampaň</w:t>
      </w:r>
      <w:r w:rsidR="00BE6E78">
        <w:rPr>
          <w:rFonts w:ascii="Book Antiqua" w:hAnsi="Book Antiqua" w:cs="Times New Roman"/>
          <w:sz w:val="22"/>
          <w:szCs w:val="22"/>
        </w:rPr>
        <w:t>;</w:t>
      </w:r>
    </w:p>
    <w:p w14:paraId="25FFE3A2" w14:textId="600391A7" w:rsidR="00F5525E" w:rsidRPr="000E4501" w:rsidRDefault="00FE7FDD" w:rsidP="000E4501">
      <w:pPr>
        <w:pStyle w:val="Odsekzoznamu"/>
        <w:numPr>
          <w:ilvl w:val="0"/>
          <w:numId w:val="8"/>
        </w:numPr>
        <w:tabs>
          <w:tab w:val="left" w:pos="1095"/>
        </w:tabs>
        <w:spacing w:before="120" w:line="360" w:lineRule="auto"/>
        <w:ind w:left="284" w:hanging="284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v</w:t>
      </w:r>
      <w:r w:rsidR="000E4501">
        <w:rPr>
          <w:rFonts w:ascii="Book Antiqua" w:hAnsi="Book Antiqua" w:cs="Times New Roman"/>
          <w:b/>
          <w:bCs/>
          <w:sz w:val="22"/>
          <w:szCs w:val="22"/>
        </w:rPr>
        <w:t xml:space="preserve">yzýva </w:t>
      </w:r>
      <w:r w:rsidR="000E4501">
        <w:rPr>
          <w:rFonts w:ascii="Book Antiqua" w:hAnsi="Book Antiqua" w:cs="Times New Roman"/>
          <w:sz w:val="22"/>
          <w:szCs w:val="22"/>
        </w:rPr>
        <w:t xml:space="preserve">prezidenta Slovenskej republiky, ku ktorého zvoleniu došlo na základe série úmyselných porušení </w:t>
      </w:r>
      <w:r>
        <w:rPr>
          <w:rFonts w:ascii="Book Antiqua" w:hAnsi="Book Antiqua" w:cs="Times New Roman"/>
          <w:sz w:val="22"/>
          <w:szCs w:val="22"/>
        </w:rPr>
        <w:t xml:space="preserve">príslušných </w:t>
      </w:r>
      <w:r w:rsidR="000E4501">
        <w:rPr>
          <w:rFonts w:ascii="Book Antiqua" w:hAnsi="Book Antiqua" w:cs="Times New Roman"/>
          <w:sz w:val="22"/>
          <w:szCs w:val="22"/>
        </w:rPr>
        <w:t>zákon</w:t>
      </w:r>
      <w:r>
        <w:rPr>
          <w:rFonts w:ascii="Book Antiqua" w:hAnsi="Book Antiqua" w:cs="Times New Roman"/>
          <w:sz w:val="22"/>
          <w:szCs w:val="22"/>
        </w:rPr>
        <w:t>ov</w:t>
      </w:r>
      <w:r w:rsidR="000E4501">
        <w:rPr>
          <w:rFonts w:ascii="Book Antiqua" w:hAnsi="Book Antiqua" w:cs="Times New Roman"/>
          <w:sz w:val="22"/>
          <w:szCs w:val="22"/>
        </w:rPr>
        <w:t>, aby sa bezodkladne vzdal svojej funkcie.</w:t>
      </w:r>
    </w:p>
    <w:p w14:paraId="2B14EE32" w14:textId="77777777" w:rsidR="00B35ACF" w:rsidRPr="00011DB4" w:rsidRDefault="00B35ACF" w:rsidP="00B35ACF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011DB4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BEDDBFD" w14:textId="77777777" w:rsidR="00E44D5F" w:rsidRPr="00011DB4" w:rsidRDefault="00E44D5F" w:rsidP="00011DB4">
      <w:pPr>
        <w:spacing w:line="276" w:lineRule="auto"/>
        <w:rPr>
          <w:rFonts w:ascii="Book Antiqua" w:hAnsi="Book Antiqua" w:cs="Tahoma"/>
          <w:sz w:val="22"/>
          <w:szCs w:val="22"/>
        </w:rPr>
      </w:pPr>
    </w:p>
    <w:p w14:paraId="3F80548F" w14:textId="77777777" w:rsidR="00561ED5" w:rsidRDefault="000E4501" w:rsidP="00561ED5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Od zvolenia Petra Pellegriniho za prezidenta Slovenskej republiky sa objavujú zistenia, že Peter Pellegrini a strana HLAS – sociálna demokracia úmyselne a opakovane porušovali zákon o volebnej kampani a Peter Pellegrini sa stal prezidentom Slovenskej republiky podvodom. </w:t>
      </w:r>
    </w:p>
    <w:p w14:paraId="180CA004" w14:textId="0756BD51" w:rsidR="0018001B" w:rsidRDefault="00561ED5" w:rsidP="00011DB4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561ED5">
        <w:rPr>
          <w:rFonts w:ascii="Book Antiqua" w:hAnsi="Book Antiqua" w:cs="Tahoma"/>
          <w:sz w:val="22"/>
          <w:szCs w:val="22"/>
        </w:rPr>
        <w:t>Návrh uznesenia vychádza zo zásady, že výkon verejných funkcií a účasť vo voľbách v Slovenskej republike musia byť v súlade s Ústavou Slovenskej republiky, zákonmi Slovenskej republiky a demokratickými princípmi právneho štátu.</w:t>
      </w:r>
    </w:p>
    <w:p w14:paraId="73A3E007" w14:textId="1083BEFA" w:rsidR="00EE757E" w:rsidRPr="00011DB4" w:rsidRDefault="00EE757E" w:rsidP="00011DB4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Vzhľadom na množstvo pochybení a úmyselných porušení zákona</w:t>
      </w:r>
      <w:r w:rsidR="00F91EF3">
        <w:rPr>
          <w:rFonts w:ascii="Book Antiqua" w:hAnsi="Book Antiqua" w:cs="Tahoma"/>
          <w:sz w:val="22"/>
          <w:szCs w:val="22"/>
        </w:rPr>
        <w:t xml:space="preserve"> vo</w:t>
      </w:r>
      <w:r>
        <w:rPr>
          <w:rFonts w:ascii="Book Antiqua" w:hAnsi="Book Antiqua" w:cs="Tahoma"/>
          <w:sz w:val="22"/>
          <w:szCs w:val="22"/>
        </w:rPr>
        <w:t xml:space="preserve"> voľb</w:t>
      </w:r>
      <w:r w:rsidR="00F91EF3">
        <w:rPr>
          <w:rFonts w:ascii="Book Antiqua" w:hAnsi="Book Antiqua" w:cs="Tahoma"/>
          <w:sz w:val="22"/>
          <w:szCs w:val="22"/>
        </w:rPr>
        <w:t>ách</w:t>
      </w:r>
      <w:r>
        <w:rPr>
          <w:rFonts w:ascii="Book Antiqua" w:hAnsi="Book Antiqua" w:cs="Tahoma"/>
          <w:sz w:val="22"/>
          <w:szCs w:val="22"/>
        </w:rPr>
        <w:t xml:space="preserve"> prezidenta Slovenskej republiky v roku 2024</w:t>
      </w:r>
      <w:r w:rsidR="00561ED5">
        <w:rPr>
          <w:rFonts w:ascii="Book Antiqua" w:hAnsi="Book Antiqua" w:cs="Tahoma"/>
          <w:sz w:val="22"/>
          <w:szCs w:val="22"/>
        </w:rPr>
        <w:t xml:space="preserve">, </w:t>
      </w:r>
      <w:r w:rsidR="00F91EF3">
        <w:rPr>
          <w:rFonts w:ascii="Book Antiqua" w:hAnsi="Book Antiqua" w:cs="Tahoma"/>
          <w:sz w:val="22"/>
          <w:szCs w:val="22"/>
        </w:rPr>
        <w:t xml:space="preserve">a to </w:t>
      </w:r>
      <w:r w:rsidR="00561ED5">
        <w:rPr>
          <w:rFonts w:ascii="Book Antiqua" w:hAnsi="Book Antiqua" w:cs="Tahoma"/>
          <w:sz w:val="22"/>
          <w:szCs w:val="22"/>
        </w:rPr>
        <w:t>od podpísania poverenia s retroaktívnym účinkom, porušenie volebného moratória, zamlčanie pôžičky v hodnote 300 000 eur, nepriznané výdavky a prekročenie limitu v kampani,</w:t>
      </w:r>
      <w:r>
        <w:rPr>
          <w:rFonts w:ascii="Book Antiqua" w:hAnsi="Book Antiqua" w:cs="Tahoma"/>
          <w:sz w:val="22"/>
          <w:szCs w:val="22"/>
        </w:rPr>
        <w:t xml:space="preserve"> nemožno považovať za spravodlivé</w:t>
      </w:r>
      <w:r w:rsidR="00561ED5">
        <w:rPr>
          <w:rFonts w:ascii="Book Antiqua" w:hAnsi="Book Antiqua" w:cs="Tahoma"/>
          <w:sz w:val="22"/>
          <w:szCs w:val="22"/>
        </w:rPr>
        <w:t xml:space="preserve">. </w:t>
      </w:r>
      <w:r w:rsidR="00561ED5" w:rsidRPr="00561ED5">
        <w:rPr>
          <w:rFonts w:ascii="Book Antiqua" w:hAnsi="Book Antiqua" w:cs="Tahoma"/>
          <w:sz w:val="22"/>
          <w:szCs w:val="22"/>
        </w:rPr>
        <w:t>Takéto konanie nielenže narúša dôveru občanov v regulárnosť prezidentských volieb, ale aj spochybňuje legitímnosť výkonu funkcie prezidenta Slovenskej republiky</w:t>
      </w:r>
      <w:r w:rsidR="00561ED5">
        <w:rPr>
          <w:rFonts w:ascii="Book Antiqua" w:hAnsi="Book Antiqua" w:cs="Tahoma"/>
          <w:sz w:val="22"/>
          <w:szCs w:val="22"/>
        </w:rPr>
        <w:t xml:space="preserve">. </w:t>
      </w:r>
      <w:r w:rsidR="00561ED5" w:rsidRPr="00561ED5">
        <w:rPr>
          <w:rFonts w:ascii="Book Antiqua" w:hAnsi="Book Antiqua" w:cs="Tahoma"/>
          <w:sz w:val="22"/>
          <w:szCs w:val="22"/>
        </w:rPr>
        <w:t>Národná rada Slovenskej republiky ako najvyšší zastupiteľský orgán občanov nemôže zostať pasívna pri tak závažnom porušení zákonných povinností zo strany najvyšších ústavných činiteľov</w:t>
      </w:r>
      <w:r w:rsidR="00561ED5">
        <w:rPr>
          <w:rFonts w:ascii="Book Antiqua" w:hAnsi="Book Antiqua" w:cs="Tahoma"/>
          <w:sz w:val="22"/>
          <w:szCs w:val="22"/>
        </w:rPr>
        <w:t>,</w:t>
      </w:r>
      <w:r>
        <w:rPr>
          <w:rFonts w:ascii="Book Antiqua" w:hAnsi="Book Antiqua" w:cs="Tahoma"/>
          <w:sz w:val="22"/>
          <w:szCs w:val="22"/>
        </w:rPr>
        <w:t xml:space="preserve"> a preto Národná rada Slovenskej republiky vyz</w:t>
      </w:r>
      <w:r w:rsidR="00561ED5">
        <w:rPr>
          <w:rFonts w:ascii="Book Antiqua" w:hAnsi="Book Antiqua" w:cs="Tahoma"/>
          <w:sz w:val="22"/>
          <w:szCs w:val="22"/>
        </w:rPr>
        <w:t>ýva prezidenta</w:t>
      </w:r>
      <w:r>
        <w:rPr>
          <w:rFonts w:ascii="Book Antiqua" w:hAnsi="Book Antiqua" w:cs="Tahoma"/>
          <w:sz w:val="22"/>
          <w:szCs w:val="22"/>
        </w:rPr>
        <w:t>, aby sa</w:t>
      </w:r>
      <w:r w:rsidR="00244BC5">
        <w:rPr>
          <w:rFonts w:ascii="Book Antiqua" w:hAnsi="Book Antiqua" w:cs="Tahoma"/>
          <w:sz w:val="22"/>
          <w:szCs w:val="22"/>
        </w:rPr>
        <w:t xml:space="preserve"> vzhľadom na okolnosti svojho zvolenia</w:t>
      </w:r>
      <w:r>
        <w:rPr>
          <w:rFonts w:ascii="Book Antiqua" w:hAnsi="Book Antiqua" w:cs="Tahoma"/>
          <w:sz w:val="22"/>
          <w:szCs w:val="22"/>
        </w:rPr>
        <w:t xml:space="preserve"> funkcie vzdal.</w:t>
      </w:r>
      <w:r w:rsidR="00561ED5">
        <w:rPr>
          <w:rFonts w:ascii="Book Antiqua" w:hAnsi="Book Antiqua" w:cs="Tahoma"/>
          <w:sz w:val="22"/>
          <w:szCs w:val="22"/>
        </w:rPr>
        <w:t xml:space="preserve"> </w:t>
      </w:r>
    </w:p>
    <w:sectPr w:rsidR="00EE757E" w:rsidRPr="00011DB4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6367E" w14:textId="77777777" w:rsidR="00B21130" w:rsidRDefault="00B21130" w:rsidP="00760EB8">
      <w:pPr>
        <w:rPr>
          <w:rFonts w:hint="eastAsia"/>
        </w:rPr>
      </w:pPr>
      <w:r>
        <w:separator/>
      </w:r>
    </w:p>
  </w:endnote>
  <w:endnote w:type="continuationSeparator" w:id="0">
    <w:p w14:paraId="036D58C3" w14:textId="77777777" w:rsidR="00B21130" w:rsidRDefault="00B21130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5862" w14:textId="77777777" w:rsidR="00B21130" w:rsidRDefault="00B21130" w:rsidP="00760EB8">
      <w:pPr>
        <w:rPr>
          <w:rFonts w:hint="eastAsia"/>
        </w:rPr>
      </w:pPr>
      <w:r>
        <w:separator/>
      </w:r>
    </w:p>
  </w:footnote>
  <w:footnote w:type="continuationSeparator" w:id="0">
    <w:p w14:paraId="1F98FF17" w14:textId="77777777" w:rsidR="00B21130" w:rsidRDefault="00B21130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79EA"/>
    <w:multiLevelType w:val="hybridMultilevel"/>
    <w:tmpl w:val="DC2AF4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36D4A"/>
    <w:multiLevelType w:val="hybridMultilevel"/>
    <w:tmpl w:val="5784CEFE"/>
    <w:lvl w:ilvl="0" w:tplc="0CA0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11DB4"/>
    <w:rsid w:val="00064B79"/>
    <w:rsid w:val="000D6A4E"/>
    <w:rsid w:val="000E4501"/>
    <w:rsid w:val="00170DC5"/>
    <w:rsid w:val="0018001B"/>
    <w:rsid w:val="00226184"/>
    <w:rsid w:val="002406FE"/>
    <w:rsid w:val="00244BC5"/>
    <w:rsid w:val="00322164"/>
    <w:rsid w:val="003A1FAA"/>
    <w:rsid w:val="003F683E"/>
    <w:rsid w:val="004E1A71"/>
    <w:rsid w:val="00551231"/>
    <w:rsid w:val="00561ED5"/>
    <w:rsid w:val="00576787"/>
    <w:rsid w:val="00595C83"/>
    <w:rsid w:val="005A329A"/>
    <w:rsid w:val="005B0986"/>
    <w:rsid w:val="005F65AA"/>
    <w:rsid w:val="006126EA"/>
    <w:rsid w:val="0061304E"/>
    <w:rsid w:val="00657920"/>
    <w:rsid w:val="00735F9A"/>
    <w:rsid w:val="007360EB"/>
    <w:rsid w:val="00740C0D"/>
    <w:rsid w:val="0075201D"/>
    <w:rsid w:val="00760EB8"/>
    <w:rsid w:val="007F32E3"/>
    <w:rsid w:val="00812953"/>
    <w:rsid w:val="00855CBD"/>
    <w:rsid w:val="008A37B9"/>
    <w:rsid w:val="008B2E4D"/>
    <w:rsid w:val="008B47D2"/>
    <w:rsid w:val="00906C88"/>
    <w:rsid w:val="0093364B"/>
    <w:rsid w:val="009F2EC3"/>
    <w:rsid w:val="00A1020F"/>
    <w:rsid w:val="00A50243"/>
    <w:rsid w:val="00A60C76"/>
    <w:rsid w:val="00AA5478"/>
    <w:rsid w:val="00AD3782"/>
    <w:rsid w:val="00AE23FD"/>
    <w:rsid w:val="00AF39C6"/>
    <w:rsid w:val="00B05BBC"/>
    <w:rsid w:val="00B21130"/>
    <w:rsid w:val="00B35ACF"/>
    <w:rsid w:val="00BE6E78"/>
    <w:rsid w:val="00C47BE8"/>
    <w:rsid w:val="00CD59AD"/>
    <w:rsid w:val="00D13A23"/>
    <w:rsid w:val="00D30655"/>
    <w:rsid w:val="00DD2665"/>
    <w:rsid w:val="00DF09AF"/>
    <w:rsid w:val="00E44D5F"/>
    <w:rsid w:val="00E473A2"/>
    <w:rsid w:val="00E51DC1"/>
    <w:rsid w:val="00E701A9"/>
    <w:rsid w:val="00E81741"/>
    <w:rsid w:val="00EE757E"/>
    <w:rsid w:val="00F056B7"/>
    <w:rsid w:val="00F208B4"/>
    <w:rsid w:val="00F27511"/>
    <w:rsid w:val="00F5525E"/>
    <w:rsid w:val="00F57457"/>
    <w:rsid w:val="00F67031"/>
    <w:rsid w:val="00F91EF3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table" w:styleId="Mriekatabuky">
    <w:name w:val="Table Grid"/>
    <w:basedOn w:val="Normlnatabuka"/>
    <w:uiPriority w:val="39"/>
    <w:rsid w:val="00011D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FE7FDD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561ED5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D06E-244B-40A4-9EE6-036F8897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7</cp:revision>
  <dcterms:created xsi:type="dcterms:W3CDTF">2025-09-08T19:36:00Z</dcterms:created>
  <dcterms:modified xsi:type="dcterms:W3CDTF">2025-09-09T10:41:00Z</dcterms:modified>
</cp:coreProperties>
</file>