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9EFB" w14:textId="77777777" w:rsidR="000B581A" w:rsidRPr="009B730D" w:rsidRDefault="000B581A" w:rsidP="000B581A">
      <w:pPr>
        <w:pStyle w:val="Nadpis7"/>
        <w:jc w:val="center"/>
        <w:rPr>
          <w:i w:val="0"/>
          <w:iCs w:val="0"/>
          <w:sz w:val="28"/>
          <w:szCs w:val="28"/>
        </w:rPr>
      </w:pPr>
      <w:r w:rsidRPr="009B730D">
        <w:rPr>
          <w:i w:val="0"/>
          <w:iCs w:val="0"/>
          <w:sz w:val="28"/>
          <w:szCs w:val="28"/>
        </w:rPr>
        <w:t>TABUĽKA  ZHODY</w:t>
      </w:r>
    </w:p>
    <w:p w14:paraId="307FE604" w14:textId="77777777" w:rsidR="000B581A" w:rsidRPr="009B730D" w:rsidRDefault="000B581A" w:rsidP="000B581A">
      <w:pPr>
        <w:jc w:val="center"/>
        <w:rPr>
          <w:b/>
          <w:bCs/>
          <w:szCs w:val="24"/>
        </w:rPr>
      </w:pPr>
      <w:r w:rsidRPr="009B730D">
        <w:rPr>
          <w:b/>
          <w:bCs/>
          <w:sz w:val="28"/>
          <w:szCs w:val="28"/>
        </w:rPr>
        <w:t>návrhu právneho predpisu s právom Európskej únie</w:t>
      </w:r>
    </w:p>
    <w:p w14:paraId="35A7F155" w14:textId="77777777" w:rsidR="002F2B1C" w:rsidRPr="009B730D" w:rsidRDefault="002F2B1C" w:rsidP="002F2B1C">
      <w:pPr>
        <w:jc w:val="center"/>
        <w:rPr>
          <w:b/>
          <w:bCs/>
          <w:sz w:val="28"/>
          <w:szCs w:val="28"/>
        </w:rPr>
      </w:pPr>
    </w:p>
    <w:p w14:paraId="06E22778" w14:textId="77777777" w:rsidR="000E6117" w:rsidRPr="009B730D" w:rsidRDefault="000E6117">
      <w:pPr>
        <w:jc w:val="both"/>
        <w:rPr>
          <w:b/>
          <w:sz w:val="20"/>
        </w:rPr>
      </w:pPr>
    </w:p>
    <w:tbl>
      <w:tblPr>
        <w:tblW w:w="149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748"/>
        <w:gridCol w:w="10172"/>
      </w:tblGrid>
      <w:tr w:rsidR="000E6117" w:rsidRPr="009B730D" w14:paraId="19BC9085" w14:textId="77777777" w:rsidTr="00775D55">
        <w:trPr>
          <w:trHeight w:val="597"/>
        </w:trPr>
        <w:tc>
          <w:tcPr>
            <w:tcW w:w="4748" w:type="dxa"/>
          </w:tcPr>
          <w:p w14:paraId="2D10D50D" w14:textId="77777777" w:rsidR="000E6117" w:rsidRPr="009B730D" w:rsidRDefault="000B581A" w:rsidP="000B581A">
            <w:pPr>
              <w:pStyle w:val="Nadpis1"/>
              <w:jc w:val="left"/>
              <w:rPr>
                <w:b w:val="0"/>
                <w:sz w:val="20"/>
              </w:rPr>
            </w:pPr>
            <w:r w:rsidRPr="009B730D">
              <w:t>Smernica</w:t>
            </w:r>
          </w:p>
        </w:tc>
        <w:tc>
          <w:tcPr>
            <w:tcW w:w="10172" w:type="dxa"/>
          </w:tcPr>
          <w:p w14:paraId="79CA1EDF" w14:textId="77777777" w:rsidR="000B581A" w:rsidRPr="009B730D" w:rsidRDefault="000B581A" w:rsidP="000B581A">
            <w:pPr>
              <w:pStyle w:val="Nadpis1"/>
              <w:jc w:val="left"/>
            </w:pPr>
            <w:r w:rsidRPr="009B730D">
              <w:t>Právne predpisy Slovenskej republiky</w:t>
            </w:r>
          </w:p>
          <w:p w14:paraId="5A0F5855" w14:textId="77777777" w:rsidR="000E6117" w:rsidRPr="009B730D" w:rsidRDefault="000E6117">
            <w:pPr>
              <w:jc w:val="both"/>
              <w:rPr>
                <w:b/>
                <w:sz w:val="20"/>
              </w:rPr>
            </w:pPr>
          </w:p>
        </w:tc>
      </w:tr>
      <w:tr w:rsidR="00775D55" w:rsidRPr="009B730D" w14:paraId="0A8BB807" w14:textId="77777777" w:rsidTr="00775D55">
        <w:tc>
          <w:tcPr>
            <w:tcW w:w="4748" w:type="dxa"/>
          </w:tcPr>
          <w:p w14:paraId="7200F769" w14:textId="77777777" w:rsidR="00775D55" w:rsidRPr="00775D55" w:rsidRDefault="00775D55" w:rsidP="00775D55">
            <w:pPr>
              <w:jc w:val="both"/>
              <w:rPr>
                <w:sz w:val="20"/>
                <w:szCs w:val="24"/>
              </w:rPr>
            </w:pPr>
            <w:r>
              <w:rPr>
                <w:iCs/>
                <w:color w:val="000000"/>
                <w:sz w:val="20"/>
                <w:szCs w:val="24"/>
              </w:rPr>
              <w:t>Smernica Európskeho parlamentu a Rady</w:t>
            </w:r>
            <w:r w:rsidRPr="00233B8D">
              <w:rPr>
                <w:iCs/>
                <w:color w:val="000000"/>
                <w:sz w:val="20"/>
                <w:szCs w:val="24"/>
              </w:rPr>
              <w:t xml:space="preserve"> </w:t>
            </w:r>
            <w:r w:rsidRPr="00233B8D">
              <w:rPr>
                <w:sz w:val="20"/>
                <w:szCs w:val="24"/>
              </w:rPr>
              <w:t xml:space="preserve">(EÚ) </w:t>
            </w:r>
            <w:r>
              <w:rPr>
                <w:sz w:val="20"/>
                <w:szCs w:val="24"/>
              </w:rPr>
              <w:t xml:space="preserve">2024/884 z 13. marca 2024, ktorou sa mení smernica 2012/19/EÚ o odpade z elektrických a elektronických zariadení (OEEZ) </w:t>
            </w:r>
            <w:r>
              <w:rPr>
                <w:rStyle w:val="Vrazn"/>
                <w:b w:val="0"/>
                <w:sz w:val="20"/>
                <w:szCs w:val="24"/>
              </w:rPr>
              <w:t>(Ú. v. EÚ L, 2024/884, 19.3</w:t>
            </w:r>
            <w:r w:rsidRPr="00233B8D">
              <w:rPr>
                <w:rStyle w:val="Vrazn"/>
                <w:b w:val="0"/>
                <w:sz w:val="20"/>
                <w:szCs w:val="24"/>
              </w:rPr>
              <w:t>.2024).</w:t>
            </w:r>
          </w:p>
        </w:tc>
        <w:tc>
          <w:tcPr>
            <w:tcW w:w="10172" w:type="dxa"/>
          </w:tcPr>
          <w:p w14:paraId="2A2060B8" w14:textId="77777777" w:rsidR="00775D55" w:rsidRDefault="00775D55" w:rsidP="00775D55">
            <w:pPr>
              <w:pStyle w:val="Hlavika"/>
              <w:tabs>
                <w:tab w:val="left" w:pos="709"/>
              </w:tabs>
              <w:jc w:val="both"/>
              <w:rPr>
                <w:b/>
                <w:color w:val="000000" w:themeColor="text1"/>
              </w:rPr>
            </w:pPr>
            <w:r>
              <w:rPr>
                <w:b/>
                <w:color w:val="000000" w:themeColor="text1"/>
              </w:rPr>
              <w:t>1</w:t>
            </w:r>
            <w:r w:rsidRPr="009875AD">
              <w:rPr>
                <w:b/>
                <w:color w:val="000000" w:themeColor="text1"/>
              </w:rPr>
              <w:t>. Zákon č. 79/2015 Z. z. o odpadoch a o zmene a doplnení niektorých zákonov</w:t>
            </w:r>
            <w:r>
              <w:rPr>
                <w:b/>
                <w:color w:val="000000" w:themeColor="text1"/>
              </w:rPr>
              <w:t xml:space="preserve"> v znení neskorších predpisov (ďalej len „79/2015“)</w:t>
            </w:r>
          </w:p>
          <w:p w14:paraId="372B4A23" w14:textId="77777777" w:rsidR="000D24F5" w:rsidRPr="000D24F5" w:rsidRDefault="000D24F5" w:rsidP="00775D55">
            <w:pPr>
              <w:pStyle w:val="Hlavika"/>
              <w:tabs>
                <w:tab w:val="left" w:pos="709"/>
              </w:tabs>
              <w:jc w:val="both"/>
              <w:rPr>
                <w:b/>
                <w:color w:val="FF0000"/>
              </w:rPr>
            </w:pPr>
            <w:r w:rsidRPr="000D24F5">
              <w:rPr>
                <w:b/>
                <w:color w:val="FF0000"/>
              </w:rPr>
              <w:t>2. Návrh zákona, ktorým sa mení zákon č. 79/2015 Z. z. o odpadoch a o zmene a doplnení niektorých zákonov v znení neskorších predpisov (ďalej len „N</w:t>
            </w:r>
            <w:r w:rsidR="008541C9">
              <w:rPr>
                <w:b/>
                <w:color w:val="FF0000"/>
              </w:rPr>
              <w:t>Z</w:t>
            </w:r>
            <w:r w:rsidRPr="000D24F5">
              <w:rPr>
                <w:b/>
                <w:color w:val="FF0000"/>
              </w:rPr>
              <w:t>“)</w:t>
            </w:r>
          </w:p>
          <w:p w14:paraId="29A30D4A" w14:textId="6A92A961" w:rsidR="005116A3" w:rsidRDefault="000D24F5" w:rsidP="00775D55">
            <w:pPr>
              <w:pStyle w:val="Hlavika"/>
              <w:tabs>
                <w:tab w:val="left" w:pos="709"/>
              </w:tabs>
              <w:jc w:val="both"/>
              <w:rPr>
                <w:b/>
              </w:rPr>
            </w:pPr>
            <w:r>
              <w:rPr>
                <w:b/>
              </w:rPr>
              <w:t>3</w:t>
            </w:r>
            <w:r w:rsidR="00775D55" w:rsidRPr="006D3EC3">
              <w:rPr>
                <w:b/>
              </w:rPr>
              <w:t xml:space="preserve">. </w:t>
            </w:r>
            <w:r w:rsidR="005116A3">
              <w:rPr>
                <w:b/>
              </w:rPr>
              <w:t xml:space="preserve">Zákon č. 575/2001 Z. z. </w:t>
            </w:r>
            <w:r w:rsidR="005116A3" w:rsidRPr="005116A3">
              <w:rPr>
                <w:b/>
              </w:rPr>
              <w:t>o organizácii činnosti vlády a organizácii ústrednej štátnej správy</w:t>
            </w:r>
            <w:r w:rsidR="005116A3">
              <w:rPr>
                <w:b/>
              </w:rPr>
              <w:t xml:space="preserve"> v znení neskorších predpisov (ďalej len „575/2001“)</w:t>
            </w:r>
          </w:p>
          <w:p w14:paraId="12C7EBA5" w14:textId="54A69FFF" w:rsidR="00775D55" w:rsidRDefault="005116A3" w:rsidP="00775D55">
            <w:pPr>
              <w:pStyle w:val="Hlavika"/>
              <w:tabs>
                <w:tab w:val="left" w:pos="709"/>
              </w:tabs>
              <w:jc w:val="both"/>
              <w:rPr>
                <w:b/>
              </w:rPr>
            </w:pPr>
            <w:r>
              <w:rPr>
                <w:b/>
              </w:rPr>
              <w:t xml:space="preserve">4. </w:t>
            </w:r>
            <w:r w:rsidR="00775D55" w:rsidRPr="006D3EC3">
              <w:rPr>
                <w:b/>
              </w:rPr>
              <w:t>Vyhláška č. 373/2015 Z. z. o rozšírenej zodpovednosti výrobcov vyhradených výrobkov a o nakladaní s vyhradenými prúdmi odpadov (ďalej len „373/2015</w:t>
            </w:r>
            <w:r w:rsidR="005B53BC">
              <w:rPr>
                <w:b/>
              </w:rPr>
              <w:t>“</w:t>
            </w:r>
            <w:r w:rsidR="00775D55" w:rsidRPr="006D3EC3">
              <w:rPr>
                <w:b/>
              </w:rPr>
              <w:t>)</w:t>
            </w:r>
          </w:p>
          <w:p w14:paraId="3608CC20" w14:textId="77777777" w:rsidR="00775D55" w:rsidRPr="006D3EC3" w:rsidRDefault="00775D55" w:rsidP="008521BC">
            <w:pPr>
              <w:pStyle w:val="Hlavika"/>
              <w:tabs>
                <w:tab w:val="left" w:pos="709"/>
              </w:tabs>
              <w:jc w:val="both"/>
              <w:rPr>
                <w:b/>
              </w:rPr>
            </w:pPr>
          </w:p>
        </w:tc>
      </w:tr>
    </w:tbl>
    <w:p w14:paraId="2D1F9433" w14:textId="77777777" w:rsidR="000E6117" w:rsidRPr="009B730D" w:rsidRDefault="000E6117">
      <w:pPr>
        <w:jc w:val="both"/>
        <w:rPr>
          <w:sz w:val="20"/>
        </w:rPr>
      </w:pPr>
    </w:p>
    <w:tbl>
      <w:tblPr>
        <w:tblW w:w="14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01"/>
        <w:gridCol w:w="3480"/>
        <w:gridCol w:w="567"/>
        <w:gridCol w:w="914"/>
        <w:gridCol w:w="851"/>
        <w:gridCol w:w="4111"/>
        <w:gridCol w:w="708"/>
        <w:gridCol w:w="993"/>
        <w:gridCol w:w="1134"/>
        <w:gridCol w:w="1417"/>
      </w:tblGrid>
      <w:tr w:rsidR="00A059FD" w:rsidRPr="009B730D" w14:paraId="09AE1626" w14:textId="77777777" w:rsidTr="00C54F2F">
        <w:tc>
          <w:tcPr>
            <w:tcW w:w="701" w:type="dxa"/>
          </w:tcPr>
          <w:p w14:paraId="2F853016" w14:textId="77777777" w:rsidR="00A059FD" w:rsidRPr="009B730D" w:rsidRDefault="00A059FD">
            <w:pPr>
              <w:jc w:val="both"/>
              <w:rPr>
                <w:sz w:val="20"/>
              </w:rPr>
            </w:pPr>
            <w:r w:rsidRPr="009B730D">
              <w:rPr>
                <w:sz w:val="20"/>
              </w:rPr>
              <w:t>1</w:t>
            </w:r>
          </w:p>
        </w:tc>
        <w:tc>
          <w:tcPr>
            <w:tcW w:w="3480" w:type="dxa"/>
          </w:tcPr>
          <w:p w14:paraId="23928161" w14:textId="77777777" w:rsidR="00A059FD" w:rsidRPr="009B730D" w:rsidRDefault="00A059FD" w:rsidP="00C65331">
            <w:pPr>
              <w:jc w:val="both"/>
              <w:rPr>
                <w:sz w:val="20"/>
              </w:rPr>
            </w:pPr>
            <w:r w:rsidRPr="009B730D">
              <w:rPr>
                <w:sz w:val="20"/>
              </w:rPr>
              <w:t>2</w:t>
            </w:r>
          </w:p>
        </w:tc>
        <w:tc>
          <w:tcPr>
            <w:tcW w:w="567" w:type="dxa"/>
          </w:tcPr>
          <w:p w14:paraId="467A215B" w14:textId="77777777" w:rsidR="00A059FD" w:rsidRPr="009B730D" w:rsidRDefault="00A059FD">
            <w:pPr>
              <w:jc w:val="both"/>
              <w:rPr>
                <w:sz w:val="20"/>
              </w:rPr>
            </w:pPr>
            <w:r w:rsidRPr="009B730D">
              <w:rPr>
                <w:sz w:val="20"/>
              </w:rPr>
              <w:t>3</w:t>
            </w:r>
          </w:p>
        </w:tc>
        <w:tc>
          <w:tcPr>
            <w:tcW w:w="914" w:type="dxa"/>
          </w:tcPr>
          <w:p w14:paraId="565E85F6" w14:textId="77777777" w:rsidR="00A059FD" w:rsidRPr="009B730D" w:rsidRDefault="00A059FD" w:rsidP="00A420CF">
            <w:pPr>
              <w:rPr>
                <w:sz w:val="20"/>
              </w:rPr>
            </w:pPr>
            <w:r w:rsidRPr="009B730D">
              <w:rPr>
                <w:sz w:val="20"/>
              </w:rPr>
              <w:t>4</w:t>
            </w:r>
          </w:p>
        </w:tc>
        <w:tc>
          <w:tcPr>
            <w:tcW w:w="851" w:type="dxa"/>
          </w:tcPr>
          <w:p w14:paraId="03460969" w14:textId="77777777" w:rsidR="00A059FD" w:rsidRPr="009B730D" w:rsidRDefault="00A059FD" w:rsidP="005B53BC">
            <w:pPr>
              <w:rPr>
                <w:sz w:val="20"/>
              </w:rPr>
            </w:pPr>
            <w:r w:rsidRPr="009B730D">
              <w:rPr>
                <w:sz w:val="20"/>
              </w:rPr>
              <w:t>5</w:t>
            </w:r>
          </w:p>
        </w:tc>
        <w:tc>
          <w:tcPr>
            <w:tcW w:w="4111" w:type="dxa"/>
          </w:tcPr>
          <w:p w14:paraId="30E3A8DC" w14:textId="77777777" w:rsidR="00A059FD" w:rsidRPr="009B730D" w:rsidRDefault="00A059FD">
            <w:pPr>
              <w:jc w:val="both"/>
              <w:rPr>
                <w:sz w:val="20"/>
              </w:rPr>
            </w:pPr>
            <w:r w:rsidRPr="009B730D">
              <w:rPr>
                <w:sz w:val="20"/>
              </w:rPr>
              <w:t>6</w:t>
            </w:r>
          </w:p>
        </w:tc>
        <w:tc>
          <w:tcPr>
            <w:tcW w:w="708" w:type="dxa"/>
          </w:tcPr>
          <w:p w14:paraId="28D1BDBE" w14:textId="77777777" w:rsidR="00A059FD" w:rsidRPr="009B730D" w:rsidRDefault="00A059FD">
            <w:pPr>
              <w:jc w:val="both"/>
              <w:rPr>
                <w:sz w:val="20"/>
              </w:rPr>
            </w:pPr>
            <w:r w:rsidRPr="009B730D">
              <w:rPr>
                <w:sz w:val="20"/>
              </w:rPr>
              <w:t>7</w:t>
            </w:r>
          </w:p>
        </w:tc>
        <w:tc>
          <w:tcPr>
            <w:tcW w:w="993" w:type="dxa"/>
          </w:tcPr>
          <w:p w14:paraId="1168E6E3" w14:textId="77777777" w:rsidR="00A059FD" w:rsidRPr="009B730D" w:rsidRDefault="00A059FD">
            <w:pPr>
              <w:jc w:val="both"/>
              <w:rPr>
                <w:sz w:val="20"/>
              </w:rPr>
            </w:pPr>
            <w:r w:rsidRPr="009B730D">
              <w:rPr>
                <w:sz w:val="20"/>
              </w:rPr>
              <w:t>8</w:t>
            </w:r>
          </w:p>
        </w:tc>
        <w:tc>
          <w:tcPr>
            <w:tcW w:w="1134" w:type="dxa"/>
          </w:tcPr>
          <w:p w14:paraId="006E432C" w14:textId="77777777" w:rsidR="00A059FD" w:rsidRPr="009B730D" w:rsidRDefault="00A059FD">
            <w:pPr>
              <w:jc w:val="both"/>
              <w:rPr>
                <w:sz w:val="20"/>
              </w:rPr>
            </w:pPr>
            <w:r>
              <w:rPr>
                <w:sz w:val="20"/>
              </w:rPr>
              <w:t>9</w:t>
            </w:r>
          </w:p>
        </w:tc>
        <w:tc>
          <w:tcPr>
            <w:tcW w:w="1417" w:type="dxa"/>
          </w:tcPr>
          <w:p w14:paraId="2113A503" w14:textId="77777777" w:rsidR="00A059FD" w:rsidRPr="009B730D" w:rsidRDefault="00A059FD">
            <w:pPr>
              <w:jc w:val="both"/>
              <w:rPr>
                <w:sz w:val="20"/>
              </w:rPr>
            </w:pPr>
            <w:r>
              <w:rPr>
                <w:sz w:val="20"/>
              </w:rPr>
              <w:t>10</w:t>
            </w:r>
          </w:p>
        </w:tc>
      </w:tr>
      <w:tr w:rsidR="00A059FD" w:rsidRPr="009B730D" w14:paraId="574CC82A" w14:textId="77777777" w:rsidTr="00C54F2F">
        <w:trPr>
          <w:trHeight w:val="552"/>
        </w:trPr>
        <w:tc>
          <w:tcPr>
            <w:tcW w:w="701" w:type="dxa"/>
            <w:tcBorders>
              <w:bottom w:val="single" w:sz="4" w:space="0" w:color="auto"/>
            </w:tcBorders>
            <w:vAlign w:val="center"/>
          </w:tcPr>
          <w:p w14:paraId="7694554E" w14:textId="77777777" w:rsidR="00A059FD" w:rsidRPr="00A059FD" w:rsidRDefault="00A059FD" w:rsidP="000B581A">
            <w:pPr>
              <w:jc w:val="center"/>
              <w:rPr>
                <w:sz w:val="18"/>
                <w:szCs w:val="18"/>
              </w:rPr>
            </w:pPr>
            <w:r w:rsidRPr="00A059FD">
              <w:rPr>
                <w:b/>
                <w:sz w:val="18"/>
                <w:szCs w:val="18"/>
              </w:rPr>
              <w:t>Článok</w:t>
            </w:r>
          </w:p>
        </w:tc>
        <w:tc>
          <w:tcPr>
            <w:tcW w:w="3480" w:type="dxa"/>
            <w:tcBorders>
              <w:bottom w:val="single" w:sz="4" w:space="0" w:color="auto"/>
            </w:tcBorders>
            <w:vAlign w:val="center"/>
          </w:tcPr>
          <w:p w14:paraId="33997AF3" w14:textId="77777777" w:rsidR="00A059FD" w:rsidRPr="00A059FD" w:rsidRDefault="00A059FD" w:rsidP="000B581A">
            <w:pPr>
              <w:jc w:val="center"/>
              <w:rPr>
                <w:sz w:val="18"/>
                <w:szCs w:val="18"/>
              </w:rPr>
            </w:pPr>
            <w:r w:rsidRPr="00A059FD">
              <w:rPr>
                <w:b/>
                <w:sz w:val="18"/>
                <w:szCs w:val="18"/>
              </w:rPr>
              <w:t>Text</w:t>
            </w:r>
          </w:p>
        </w:tc>
        <w:tc>
          <w:tcPr>
            <w:tcW w:w="567" w:type="dxa"/>
            <w:tcBorders>
              <w:bottom w:val="single" w:sz="4" w:space="0" w:color="auto"/>
            </w:tcBorders>
            <w:vAlign w:val="center"/>
          </w:tcPr>
          <w:p w14:paraId="220E83D6" w14:textId="77777777" w:rsidR="00A059FD" w:rsidRPr="00A059FD" w:rsidRDefault="00A059FD" w:rsidP="00A059FD">
            <w:pPr>
              <w:jc w:val="center"/>
              <w:rPr>
                <w:b/>
                <w:sz w:val="18"/>
                <w:szCs w:val="18"/>
              </w:rPr>
            </w:pPr>
            <w:proofErr w:type="spellStart"/>
            <w:r>
              <w:rPr>
                <w:b/>
                <w:sz w:val="18"/>
                <w:szCs w:val="18"/>
              </w:rPr>
              <w:t>Spôs.</w:t>
            </w:r>
            <w:r w:rsidRPr="00A059FD">
              <w:rPr>
                <w:b/>
                <w:sz w:val="18"/>
                <w:szCs w:val="18"/>
              </w:rPr>
              <w:t>transpozície</w:t>
            </w:r>
            <w:proofErr w:type="spellEnd"/>
          </w:p>
        </w:tc>
        <w:tc>
          <w:tcPr>
            <w:tcW w:w="914" w:type="dxa"/>
            <w:tcBorders>
              <w:bottom w:val="single" w:sz="4" w:space="0" w:color="auto"/>
            </w:tcBorders>
          </w:tcPr>
          <w:p w14:paraId="21E46E21" w14:textId="77777777" w:rsidR="00A059FD" w:rsidRDefault="00A059FD" w:rsidP="00A420CF">
            <w:pPr>
              <w:rPr>
                <w:b/>
                <w:sz w:val="18"/>
                <w:szCs w:val="18"/>
              </w:rPr>
            </w:pPr>
          </w:p>
          <w:p w14:paraId="5361A31B" w14:textId="77777777" w:rsidR="00A059FD" w:rsidRPr="00A059FD" w:rsidRDefault="00A059FD" w:rsidP="00A420CF">
            <w:pPr>
              <w:rPr>
                <w:b/>
                <w:sz w:val="18"/>
                <w:szCs w:val="18"/>
              </w:rPr>
            </w:pPr>
          </w:p>
          <w:p w14:paraId="63BB28B6" w14:textId="77777777" w:rsidR="00A059FD" w:rsidRPr="00A059FD" w:rsidRDefault="00A059FD" w:rsidP="00A420CF">
            <w:pPr>
              <w:jc w:val="center"/>
              <w:rPr>
                <w:b/>
                <w:sz w:val="18"/>
                <w:szCs w:val="18"/>
              </w:rPr>
            </w:pPr>
            <w:r w:rsidRPr="00A059FD">
              <w:rPr>
                <w:b/>
                <w:sz w:val="18"/>
                <w:szCs w:val="18"/>
              </w:rPr>
              <w:t>Číslo</w:t>
            </w:r>
          </w:p>
        </w:tc>
        <w:tc>
          <w:tcPr>
            <w:tcW w:w="851" w:type="dxa"/>
            <w:tcBorders>
              <w:bottom w:val="single" w:sz="4" w:space="0" w:color="auto"/>
            </w:tcBorders>
            <w:vAlign w:val="center"/>
          </w:tcPr>
          <w:p w14:paraId="1E15A928" w14:textId="77777777" w:rsidR="00A059FD" w:rsidRPr="00A059FD" w:rsidRDefault="00A059FD" w:rsidP="005B53BC">
            <w:pPr>
              <w:jc w:val="center"/>
              <w:rPr>
                <w:b/>
                <w:sz w:val="18"/>
                <w:szCs w:val="18"/>
              </w:rPr>
            </w:pPr>
            <w:r w:rsidRPr="00A059FD">
              <w:rPr>
                <w:b/>
                <w:sz w:val="18"/>
                <w:szCs w:val="18"/>
              </w:rPr>
              <w:t>Článok</w:t>
            </w:r>
          </w:p>
        </w:tc>
        <w:tc>
          <w:tcPr>
            <w:tcW w:w="4111" w:type="dxa"/>
            <w:tcBorders>
              <w:bottom w:val="single" w:sz="4" w:space="0" w:color="auto"/>
            </w:tcBorders>
            <w:vAlign w:val="center"/>
          </w:tcPr>
          <w:p w14:paraId="4007319B" w14:textId="77777777" w:rsidR="00A059FD" w:rsidRPr="00A059FD" w:rsidRDefault="00A059FD" w:rsidP="000B581A">
            <w:pPr>
              <w:jc w:val="center"/>
              <w:rPr>
                <w:b/>
                <w:sz w:val="18"/>
                <w:szCs w:val="18"/>
              </w:rPr>
            </w:pPr>
            <w:r w:rsidRPr="00A059FD">
              <w:rPr>
                <w:b/>
                <w:sz w:val="18"/>
                <w:szCs w:val="18"/>
              </w:rPr>
              <w:t xml:space="preserve">Text </w:t>
            </w:r>
          </w:p>
        </w:tc>
        <w:tc>
          <w:tcPr>
            <w:tcW w:w="708" w:type="dxa"/>
            <w:tcBorders>
              <w:bottom w:val="single" w:sz="4" w:space="0" w:color="auto"/>
            </w:tcBorders>
            <w:vAlign w:val="center"/>
          </w:tcPr>
          <w:p w14:paraId="6F06EB7C" w14:textId="77777777" w:rsidR="00A059FD" w:rsidRPr="00A059FD" w:rsidRDefault="00A059FD" w:rsidP="000B581A">
            <w:pPr>
              <w:jc w:val="center"/>
              <w:rPr>
                <w:sz w:val="18"/>
                <w:szCs w:val="18"/>
              </w:rPr>
            </w:pPr>
            <w:r w:rsidRPr="00A059FD">
              <w:rPr>
                <w:b/>
                <w:sz w:val="18"/>
                <w:szCs w:val="18"/>
              </w:rPr>
              <w:t>Zhoda</w:t>
            </w:r>
          </w:p>
        </w:tc>
        <w:tc>
          <w:tcPr>
            <w:tcW w:w="993" w:type="dxa"/>
            <w:tcBorders>
              <w:bottom w:val="single" w:sz="4" w:space="0" w:color="auto"/>
            </w:tcBorders>
            <w:vAlign w:val="center"/>
          </w:tcPr>
          <w:p w14:paraId="7784EEA0" w14:textId="77777777" w:rsidR="00A059FD" w:rsidRPr="00A059FD" w:rsidRDefault="00A059FD" w:rsidP="000B581A">
            <w:pPr>
              <w:jc w:val="center"/>
              <w:rPr>
                <w:b/>
                <w:sz w:val="18"/>
                <w:szCs w:val="18"/>
              </w:rPr>
            </w:pPr>
            <w:r w:rsidRPr="00A059FD">
              <w:rPr>
                <w:b/>
                <w:sz w:val="18"/>
                <w:szCs w:val="18"/>
              </w:rPr>
              <w:t>Poznámky</w:t>
            </w:r>
          </w:p>
        </w:tc>
        <w:tc>
          <w:tcPr>
            <w:tcW w:w="1134" w:type="dxa"/>
            <w:tcBorders>
              <w:bottom w:val="single" w:sz="4" w:space="0" w:color="auto"/>
            </w:tcBorders>
          </w:tcPr>
          <w:p w14:paraId="41C3769F" w14:textId="77777777" w:rsidR="00A059FD" w:rsidRDefault="00A059FD" w:rsidP="000B581A">
            <w:pPr>
              <w:jc w:val="center"/>
              <w:rPr>
                <w:b/>
                <w:sz w:val="18"/>
                <w:szCs w:val="18"/>
              </w:rPr>
            </w:pPr>
          </w:p>
          <w:p w14:paraId="02AA8D67" w14:textId="77777777" w:rsidR="00A059FD" w:rsidRPr="00A059FD" w:rsidRDefault="00A059FD" w:rsidP="000B581A">
            <w:pPr>
              <w:jc w:val="center"/>
              <w:rPr>
                <w:b/>
                <w:sz w:val="18"/>
                <w:szCs w:val="18"/>
              </w:rPr>
            </w:pPr>
            <w:r w:rsidRPr="009A0303">
              <w:rPr>
                <w:b/>
                <w:sz w:val="18"/>
                <w:szCs w:val="18"/>
              </w:rPr>
              <w:t xml:space="preserve">Identifikácia </w:t>
            </w:r>
            <w:proofErr w:type="spellStart"/>
            <w:r w:rsidRPr="009A0303">
              <w:rPr>
                <w:b/>
                <w:sz w:val="18"/>
                <w:szCs w:val="18"/>
              </w:rPr>
              <w:t>goldplatingu</w:t>
            </w:r>
            <w:proofErr w:type="spellEnd"/>
          </w:p>
        </w:tc>
        <w:tc>
          <w:tcPr>
            <w:tcW w:w="1417" w:type="dxa"/>
            <w:tcBorders>
              <w:bottom w:val="single" w:sz="4" w:space="0" w:color="auto"/>
            </w:tcBorders>
          </w:tcPr>
          <w:p w14:paraId="63FF6183" w14:textId="77777777" w:rsidR="00A059FD" w:rsidRPr="00A059FD" w:rsidRDefault="00A059FD" w:rsidP="000B581A">
            <w:pPr>
              <w:jc w:val="center"/>
              <w:rPr>
                <w:b/>
                <w:sz w:val="18"/>
                <w:szCs w:val="18"/>
              </w:rPr>
            </w:pPr>
            <w:r w:rsidRPr="009A0303">
              <w:rPr>
                <w:b/>
                <w:sz w:val="18"/>
                <w:szCs w:val="18"/>
              </w:rPr>
              <w:t xml:space="preserve">Identifikácia oblasti </w:t>
            </w:r>
            <w:proofErr w:type="spellStart"/>
            <w:r w:rsidRPr="009A0303">
              <w:rPr>
                <w:b/>
                <w:sz w:val="18"/>
                <w:szCs w:val="18"/>
              </w:rPr>
              <w:t>goldplatingu</w:t>
            </w:r>
            <w:proofErr w:type="spellEnd"/>
            <w:r w:rsidRPr="009A0303">
              <w:rPr>
                <w:b/>
                <w:sz w:val="18"/>
                <w:szCs w:val="18"/>
              </w:rPr>
              <w:t xml:space="preserve"> a vyjadrenie k opodstatnenosti </w:t>
            </w:r>
            <w:proofErr w:type="spellStart"/>
            <w:r w:rsidRPr="009A0303">
              <w:rPr>
                <w:b/>
                <w:sz w:val="18"/>
                <w:szCs w:val="18"/>
              </w:rPr>
              <w:t>goldplatingu</w:t>
            </w:r>
            <w:proofErr w:type="spellEnd"/>
          </w:p>
        </w:tc>
      </w:tr>
      <w:tr w:rsidR="00A059FD" w:rsidRPr="009B730D" w14:paraId="5479889B" w14:textId="77777777" w:rsidTr="00C54F2F">
        <w:trPr>
          <w:trHeight w:val="552"/>
        </w:trPr>
        <w:tc>
          <w:tcPr>
            <w:tcW w:w="701" w:type="dxa"/>
            <w:tcBorders>
              <w:bottom w:val="single" w:sz="4" w:space="0" w:color="auto"/>
            </w:tcBorders>
          </w:tcPr>
          <w:p w14:paraId="37A7E17A" w14:textId="77777777" w:rsidR="00A059FD" w:rsidRPr="009B730D" w:rsidRDefault="00A059FD" w:rsidP="00964863">
            <w:pPr>
              <w:jc w:val="both"/>
              <w:rPr>
                <w:sz w:val="20"/>
              </w:rPr>
            </w:pPr>
            <w:r w:rsidRPr="009B730D">
              <w:rPr>
                <w:sz w:val="20"/>
              </w:rPr>
              <w:t>Č1</w:t>
            </w:r>
            <w:r w:rsidR="008F3F74">
              <w:rPr>
                <w:sz w:val="20"/>
              </w:rPr>
              <w:t xml:space="preserve"> O1 </w:t>
            </w:r>
          </w:p>
        </w:tc>
        <w:tc>
          <w:tcPr>
            <w:tcW w:w="3480" w:type="dxa"/>
            <w:tcBorders>
              <w:bottom w:val="single" w:sz="4" w:space="0" w:color="auto"/>
            </w:tcBorders>
          </w:tcPr>
          <w:p w14:paraId="3E81E694" w14:textId="77777777" w:rsidR="008F3F74" w:rsidRPr="00970E07" w:rsidRDefault="008F3F74" w:rsidP="00BA2166">
            <w:pPr>
              <w:jc w:val="both"/>
              <w:rPr>
                <w:sz w:val="20"/>
              </w:rPr>
            </w:pPr>
            <w:r w:rsidRPr="00970E07">
              <w:rPr>
                <w:sz w:val="20"/>
              </w:rPr>
              <w:t xml:space="preserve">Smernica 2012/19/EÚ sa mení takto: </w:t>
            </w:r>
          </w:p>
          <w:p w14:paraId="18778CC4" w14:textId="77777777" w:rsidR="008F3F74" w:rsidRPr="00970E07" w:rsidRDefault="008F3F74" w:rsidP="00BA2166">
            <w:pPr>
              <w:jc w:val="both"/>
              <w:rPr>
                <w:sz w:val="20"/>
              </w:rPr>
            </w:pPr>
            <w:r w:rsidRPr="00970E07">
              <w:rPr>
                <w:sz w:val="20"/>
              </w:rPr>
              <w:t xml:space="preserve">1. Vkladá sa tento článok: „Článok 24a Preskúmanie </w:t>
            </w:r>
          </w:p>
          <w:p w14:paraId="3D5FFC3E" w14:textId="77777777" w:rsidR="008F3F74" w:rsidRPr="00970E07" w:rsidRDefault="008F3F74" w:rsidP="00BA2166">
            <w:pPr>
              <w:jc w:val="both"/>
              <w:rPr>
                <w:sz w:val="20"/>
              </w:rPr>
            </w:pPr>
            <w:r w:rsidRPr="00970E07">
              <w:rPr>
                <w:sz w:val="20"/>
              </w:rPr>
              <w:t xml:space="preserve">1. Komisia najneskôr do 31. decembra 2026 posúdi potrebu revízie tejto smernice a podľa potreby predloží v tejto súvislosti legislatívny návrh spolu s dôkladným posúdením sociálno-ekonomického a environmentálneho vplyvu. </w:t>
            </w:r>
          </w:p>
          <w:p w14:paraId="265CA37A" w14:textId="77777777" w:rsidR="008F3F74" w:rsidRPr="00970E07" w:rsidRDefault="008F3F74" w:rsidP="00BA2166">
            <w:pPr>
              <w:jc w:val="both"/>
              <w:rPr>
                <w:sz w:val="20"/>
              </w:rPr>
            </w:pPr>
            <w:r w:rsidRPr="00970E07">
              <w:rPr>
                <w:sz w:val="20"/>
              </w:rPr>
              <w:t xml:space="preserve">2. V posúdení vplyvu uvedenom v odseku 1 Komisia zváži najmä potrebu: </w:t>
            </w:r>
          </w:p>
          <w:p w14:paraId="4AF847B3" w14:textId="77777777" w:rsidR="008F3F74" w:rsidRPr="00970E07" w:rsidRDefault="008F3F74" w:rsidP="00BA2166">
            <w:pPr>
              <w:jc w:val="both"/>
              <w:rPr>
                <w:sz w:val="20"/>
              </w:rPr>
            </w:pPr>
            <w:r w:rsidRPr="00970E07">
              <w:rPr>
                <w:sz w:val="20"/>
              </w:rPr>
              <w:t xml:space="preserve">a) ustanovení, ktoré konkrétne zabezpečia, aby bola dodržaná zásada právnej istoty a aby neexistovala neodôvodnená spätná účinnosť v ktoromkoľvek členskom štáte; </w:t>
            </w:r>
          </w:p>
          <w:p w14:paraId="31E389B3" w14:textId="77777777" w:rsidR="008F3F74" w:rsidRPr="00970E07" w:rsidRDefault="008F3F74" w:rsidP="00BA2166">
            <w:pPr>
              <w:jc w:val="both"/>
              <w:rPr>
                <w:sz w:val="20"/>
              </w:rPr>
            </w:pPr>
            <w:r w:rsidRPr="00970E07">
              <w:rPr>
                <w:sz w:val="20"/>
              </w:rPr>
              <w:lastRenderedPageBreak/>
              <w:t xml:space="preserve">b) ustanovení, ktorými sa zabezpečuje vykonávania hierarchie odpadového hospodárstva ako sa stanovuje v článku 4 smernice 2008/98/ES; </w:t>
            </w:r>
          </w:p>
          <w:p w14:paraId="0126728B" w14:textId="77777777" w:rsidR="008F3F74" w:rsidRPr="00970E07" w:rsidRDefault="008F3F74" w:rsidP="00BA2166">
            <w:pPr>
              <w:jc w:val="both"/>
              <w:rPr>
                <w:sz w:val="20"/>
              </w:rPr>
            </w:pPr>
            <w:r w:rsidRPr="00970E07">
              <w:rPr>
                <w:sz w:val="20"/>
              </w:rPr>
              <w:t xml:space="preserve">c) ustanovení, ktoré zabezpečujú, aby občania a spotrebitelia neboli zaťažení neprimeranými nákladmi, a to v súlade so zásadou „znečisťovateľ platí“; </w:t>
            </w:r>
          </w:p>
          <w:p w14:paraId="3B050228" w14:textId="77777777" w:rsidR="008F3F74" w:rsidRPr="00970E07" w:rsidRDefault="008F3F74" w:rsidP="00BA2166">
            <w:pPr>
              <w:jc w:val="both"/>
              <w:rPr>
                <w:sz w:val="20"/>
              </w:rPr>
            </w:pPr>
            <w:r w:rsidRPr="00970E07">
              <w:rPr>
                <w:sz w:val="20"/>
              </w:rPr>
              <w:t xml:space="preserve">d) ustanovení, ktoré zabezpečujú úplné vykonávanie a presadzovanie tejto smernice, najmä pokiaľ ide o primerané ciele v oblasti zberu, ako aj predchádzanie nezákonnému obchodovaniu s OEEZ; </w:t>
            </w:r>
          </w:p>
          <w:p w14:paraId="4A309332" w14:textId="77777777" w:rsidR="008F3F74" w:rsidRPr="00970E07" w:rsidRDefault="008F3F74" w:rsidP="00BA2166">
            <w:pPr>
              <w:jc w:val="both"/>
              <w:rPr>
                <w:sz w:val="20"/>
              </w:rPr>
            </w:pPr>
            <w:r w:rsidRPr="00970E07">
              <w:rPr>
                <w:sz w:val="20"/>
              </w:rPr>
              <w:t>e) vytvorenia novej kategórie EEZ pre „</w:t>
            </w:r>
            <w:proofErr w:type="spellStart"/>
            <w:r w:rsidRPr="00970E07">
              <w:rPr>
                <w:sz w:val="20"/>
              </w:rPr>
              <w:t>fotovoltické</w:t>
            </w:r>
            <w:proofErr w:type="spellEnd"/>
            <w:r w:rsidRPr="00970E07">
              <w:rPr>
                <w:sz w:val="20"/>
              </w:rPr>
              <w:t xml:space="preserve"> panely“ podľa tejto smernice s cieľom oddeliť </w:t>
            </w:r>
            <w:proofErr w:type="spellStart"/>
            <w:r w:rsidRPr="00970E07">
              <w:rPr>
                <w:sz w:val="20"/>
              </w:rPr>
              <w:t>fotovoltické</w:t>
            </w:r>
            <w:proofErr w:type="spellEnd"/>
            <w:r w:rsidRPr="00970E07">
              <w:rPr>
                <w:sz w:val="20"/>
              </w:rPr>
              <w:t xml:space="preserve"> panely od existujúcej kategórie 4 EEZ „veľké zariadenia“, ako sa uvádza v prílohách III a IV, a vypočítanie cieľov zberu na základe odpadu z </w:t>
            </w:r>
            <w:proofErr w:type="spellStart"/>
            <w:r w:rsidRPr="00970E07">
              <w:rPr>
                <w:sz w:val="20"/>
              </w:rPr>
              <w:t>fotovoltických</w:t>
            </w:r>
            <w:proofErr w:type="spellEnd"/>
            <w:r w:rsidRPr="00970E07">
              <w:rPr>
                <w:sz w:val="20"/>
              </w:rPr>
              <w:t xml:space="preserve"> panelov, ktorý je k dispozícii na zber, na základe ich očakávanej životnosti, a nie objemu výrobkov uvádzaných na trh; </w:t>
            </w:r>
          </w:p>
          <w:p w14:paraId="448BC23A" w14:textId="77777777" w:rsidR="00A059FD" w:rsidRPr="00970E07" w:rsidRDefault="008F3F74" w:rsidP="00BA2166">
            <w:pPr>
              <w:jc w:val="both"/>
              <w:rPr>
                <w:sz w:val="20"/>
              </w:rPr>
            </w:pPr>
            <w:r w:rsidRPr="00970E07">
              <w:rPr>
                <w:sz w:val="20"/>
              </w:rPr>
              <w:t xml:space="preserve">f) vytvorenia mechanizmu na zabezpečenie toho, aby v prípade zlyhania alebo likvidácie výrobcu boli finančne pokryté budúce náklady na zber, spracovávanie, zhodnocovanie a environmentálne šetrné zneškodňovanie odpadu z </w:t>
            </w:r>
            <w:proofErr w:type="spellStart"/>
            <w:r w:rsidRPr="00970E07">
              <w:rPr>
                <w:sz w:val="20"/>
              </w:rPr>
              <w:t>fotovoltických</w:t>
            </w:r>
            <w:proofErr w:type="spellEnd"/>
            <w:r w:rsidRPr="00970E07">
              <w:rPr>
                <w:sz w:val="20"/>
              </w:rPr>
              <w:t xml:space="preserve"> panelov zo súkromných domácností aj od iných používateľov ako súkromných domácností.“</w:t>
            </w:r>
          </w:p>
        </w:tc>
        <w:tc>
          <w:tcPr>
            <w:tcW w:w="567" w:type="dxa"/>
            <w:tcBorders>
              <w:bottom w:val="single" w:sz="4" w:space="0" w:color="auto"/>
            </w:tcBorders>
          </w:tcPr>
          <w:p w14:paraId="40A6F579" w14:textId="77777777" w:rsidR="00A059FD" w:rsidRPr="00970E07" w:rsidRDefault="008F3F74" w:rsidP="00964863">
            <w:pPr>
              <w:jc w:val="both"/>
              <w:rPr>
                <w:sz w:val="20"/>
              </w:rPr>
            </w:pPr>
            <w:proofErr w:type="spellStart"/>
            <w:r w:rsidRPr="00970E07">
              <w:rPr>
                <w:sz w:val="20"/>
              </w:rPr>
              <w:lastRenderedPageBreak/>
              <w:t>n.a</w:t>
            </w:r>
            <w:proofErr w:type="spellEnd"/>
            <w:r w:rsidRPr="00970E07">
              <w:rPr>
                <w:sz w:val="20"/>
              </w:rPr>
              <w:t>.</w:t>
            </w:r>
          </w:p>
        </w:tc>
        <w:tc>
          <w:tcPr>
            <w:tcW w:w="914" w:type="dxa"/>
            <w:tcBorders>
              <w:bottom w:val="single" w:sz="4" w:space="0" w:color="auto"/>
            </w:tcBorders>
          </w:tcPr>
          <w:p w14:paraId="60240AF5" w14:textId="77777777" w:rsidR="00A420CF" w:rsidRPr="00970E07" w:rsidRDefault="00A420CF" w:rsidP="00A420CF">
            <w:pPr>
              <w:rPr>
                <w:sz w:val="20"/>
              </w:rPr>
            </w:pPr>
          </w:p>
        </w:tc>
        <w:tc>
          <w:tcPr>
            <w:tcW w:w="851" w:type="dxa"/>
            <w:tcBorders>
              <w:bottom w:val="single" w:sz="4" w:space="0" w:color="auto"/>
            </w:tcBorders>
          </w:tcPr>
          <w:p w14:paraId="61C53756" w14:textId="77777777" w:rsidR="00A420CF" w:rsidRPr="00970E07" w:rsidRDefault="00A420CF" w:rsidP="005B53BC">
            <w:pPr>
              <w:pStyle w:val="BodyText21"/>
              <w:spacing w:before="0" w:line="240" w:lineRule="auto"/>
              <w:jc w:val="left"/>
            </w:pPr>
          </w:p>
        </w:tc>
        <w:tc>
          <w:tcPr>
            <w:tcW w:w="4111" w:type="dxa"/>
            <w:tcBorders>
              <w:bottom w:val="single" w:sz="4" w:space="0" w:color="auto"/>
            </w:tcBorders>
          </w:tcPr>
          <w:p w14:paraId="65E8D261" w14:textId="77777777" w:rsidR="00A420CF" w:rsidRPr="00A420CF" w:rsidRDefault="00A420CF" w:rsidP="00B42D78">
            <w:pPr>
              <w:pStyle w:val="Odsekzoznamu"/>
              <w:spacing w:after="0" w:line="240" w:lineRule="auto"/>
              <w:ind w:left="0"/>
              <w:contextualSpacing w:val="0"/>
              <w:jc w:val="both"/>
              <w:rPr>
                <w:rFonts w:ascii="Times New Roman" w:hAnsi="Times New Roman"/>
                <w:sz w:val="20"/>
                <w:szCs w:val="20"/>
                <w:lang w:eastAsia="sk-SK"/>
              </w:rPr>
            </w:pPr>
          </w:p>
        </w:tc>
        <w:tc>
          <w:tcPr>
            <w:tcW w:w="708" w:type="dxa"/>
            <w:tcBorders>
              <w:bottom w:val="single" w:sz="4" w:space="0" w:color="auto"/>
            </w:tcBorders>
          </w:tcPr>
          <w:p w14:paraId="2FDBC1E9" w14:textId="77777777" w:rsidR="00A059FD" w:rsidRPr="00970E07" w:rsidRDefault="008F3F74" w:rsidP="00964863">
            <w:pPr>
              <w:jc w:val="both"/>
              <w:rPr>
                <w:sz w:val="20"/>
              </w:rPr>
            </w:pPr>
            <w:proofErr w:type="spellStart"/>
            <w:r w:rsidRPr="00970E07">
              <w:rPr>
                <w:sz w:val="20"/>
              </w:rPr>
              <w:t>n.a</w:t>
            </w:r>
            <w:proofErr w:type="spellEnd"/>
            <w:r w:rsidRPr="00970E07">
              <w:rPr>
                <w:sz w:val="20"/>
              </w:rPr>
              <w:t>.</w:t>
            </w:r>
          </w:p>
        </w:tc>
        <w:tc>
          <w:tcPr>
            <w:tcW w:w="993" w:type="dxa"/>
            <w:tcBorders>
              <w:bottom w:val="single" w:sz="4" w:space="0" w:color="auto"/>
            </w:tcBorders>
          </w:tcPr>
          <w:p w14:paraId="1CAAC5FD" w14:textId="77777777" w:rsidR="00A059FD" w:rsidRPr="00970E07" w:rsidRDefault="00A059FD" w:rsidP="00964863">
            <w:pPr>
              <w:jc w:val="both"/>
              <w:rPr>
                <w:sz w:val="20"/>
              </w:rPr>
            </w:pPr>
          </w:p>
        </w:tc>
        <w:tc>
          <w:tcPr>
            <w:tcW w:w="1134" w:type="dxa"/>
            <w:tcBorders>
              <w:bottom w:val="single" w:sz="4" w:space="0" w:color="auto"/>
            </w:tcBorders>
          </w:tcPr>
          <w:p w14:paraId="768B1D4F" w14:textId="77777777" w:rsidR="00A059FD" w:rsidRDefault="00A059FD" w:rsidP="00964863">
            <w:pPr>
              <w:jc w:val="both"/>
              <w:rPr>
                <w:sz w:val="20"/>
              </w:rPr>
            </w:pPr>
          </w:p>
          <w:p w14:paraId="5E7A332E" w14:textId="1857ACC1" w:rsidR="00CF0275" w:rsidRPr="00970E07" w:rsidRDefault="00CF0275" w:rsidP="00964863">
            <w:pPr>
              <w:jc w:val="both"/>
              <w:rPr>
                <w:sz w:val="20"/>
              </w:rPr>
            </w:pPr>
          </w:p>
        </w:tc>
        <w:tc>
          <w:tcPr>
            <w:tcW w:w="1417" w:type="dxa"/>
            <w:tcBorders>
              <w:bottom w:val="single" w:sz="4" w:space="0" w:color="auto"/>
            </w:tcBorders>
          </w:tcPr>
          <w:p w14:paraId="110A555D" w14:textId="77777777" w:rsidR="00A059FD" w:rsidRPr="009B730D" w:rsidRDefault="00A059FD" w:rsidP="00964863">
            <w:pPr>
              <w:jc w:val="both"/>
              <w:rPr>
                <w:sz w:val="20"/>
              </w:rPr>
            </w:pPr>
          </w:p>
        </w:tc>
      </w:tr>
      <w:tr w:rsidR="00A420CF" w:rsidRPr="00620A81" w14:paraId="5A0BD22B" w14:textId="77777777" w:rsidTr="00C54F2F">
        <w:trPr>
          <w:trHeight w:val="410"/>
        </w:trPr>
        <w:tc>
          <w:tcPr>
            <w:tcW w:w="701" w:type="dxa"/>
            <w:tcBorders>
              <w:top w:val="single" w:sz="4" w:space="0" w:color="auto"/>
              <w:bottom w:val="single" w:sz="4" w:space="0" w:color="auto"/>
            </w:tcBorders>
          </w:tcPr>
          <w:p w14:paraId="557A8883" w14:textId="77777777" w:rsidR="00A420CF" w:rsidRPr="00620A81" w:rsidRDefault="00A420CF" w:rsidP="00A420CF">
            <w:pPr>
              <w:jc w:val="both"/>
              <w:rPr>
                <w:sz w:val="20"/>
              </w:rPr>
            </w:pPr>
            <w:r w:rsidRPr="00620A81">
              <w:rPr>
                <w:sz w:val="20"/>
              </w:rPr>
              <w:t>Č</w:t>
            </w:r>
            <w:r>
              <w:rPr>
                <w:sz w:val="20"/>
              </w:rPr>
              <w:t>1 O2 Pa</w:t>
            </w:r>
          </w:p>
        </w:tc>
        <w:tc>
          <w:tcPr>
            <w:tcW w:w="3480" w:type="dxa"/>
            <w:tcBorders>
              <w:top w:val="single" w:sz="4" w:space="0" w:color="auto"/>
              <w:bottom w:val="single" w:sz="4" w:space="0" w:color="auto"/>
            </w:tcBorders>
          </w:tcPr>
          <w:p w14:paraId="58D3DA23" w14:textId="77777777" w:rsidR="00A420CF" w:rsidRDefault="00A420CF" w:rsidP="00A420CF">
            <w:pPr>
              <w:pStyle w:val="Default"/>
              <w:jc w:val="both"/>
              <w:rPr>
                <w:rFonts w:ascii="Times New Roman" w:hAnsi="Times New Roman" w:cs="Times New Roman"/>
                <w:sz w:val="20"/>
                <w:szCs w:val="20"/>
              </w:rPr>
            </w:pPr>
            <w:r w:rsidRPr="00BA2166">
              <w:rPr>
                <w:rFonts w:ascii="Times New Roman" w:hAnsi="Times New Roman" w:cs="Times New Roman"/>
                <w:sz w:val="20"/>
                <w:szCs w:val="20"/>
              </w:rPr>
              <w:t xml:space="preserve">2. Článok 12 sa mení takto: </w:t>
            </w:r>
          </w:p>
          <w:p w14:paraId="526454AB" w14:textId="77777777" w:rsidR="00A420CF" w:rsidRDefault="00A420CF" w:rsidP="00A420CF">
            <w:pPr>
              <w:pStyle w:val="Default"/>
              <w:jc w:val="both"/>
              <w:rPr>
                <w:rFonts w:ascii="Times New Roman" w:hAnsi="Times New Roman" w:cs="Times New Roman"/>
                <w:sz w:val="20"/>
                <w:szCs w:val="20"/>
              </w:rPr>
            </w:pPr>
            <w:r w:rsidRPr="00BA2166">
              <w:rPr>
                <w:rFonts w:ascii="Times New Roman" w:hAnsi="Times New Roman" w:cs="Times New Roman"/>
                <w:sz w:val="20"/>
                <w:szCs w:val="20"/>
              </w:rPr>
              <w:t xml:space="preserve">a) odsek 1 sa nahrádza takto: </w:t>
            </w:r>
          </w:p>
          <w:p w14:paraId="6E1109CC" w14:textId="77777777" w:rsidR="007E1C28" w:rsidRDefault="00A420CF" w:rsidP="00A420CF">
            <w:pPr>
              <w:pStyle w:val="Default"/>
              <w:jc w:val="both"/>
              <w:rPr>
                <w:rFonts w:ascii="Times New Roman" w:hAnsi="Times New Roman" w:cs="Times New Roman"/>
                <w:sz w:val="20"/>
                <w:szCs w:val="20"/>
              </w:rPr>
            </w:pPr>
            <w:r w:rsidRPr="00BA2166">
              <w:rPr>
                <w:rFonts w:ascii="Times New Roman" w:hAnsi="Times New Roman" w:cs="Times New Roman"/>
                <w:sz w:val="20"/>
                <w:szCs w:val="20"/>
              </w:rPr>
              <w:t xml:space="preserve">„1. Členské štáty zabezpečia, aby výrobcovia financovali aspoň zber, spracovávanie, zhodnocovanie a environmentálne šetrné zneškodňovanie OEEZ zo súkromných domácností odovzdaného do zberných zariadení zriadených podľa článku 5 ods. 2 takto: </w:t>
            </w:r>
          </w:p>
          <w:p w14:paraId="1EB1C39C" w14:textId="77777777" w:rsidR="00A420CF" w:rsidRDefault="00A420CF" w:rsidP="00A420CF">
            <w:pPr>
              <w:pStyle w:val="Default"/>
              <w:jc w:val="both"/>
              <w:rPr>
                <w:rFonts w:ascii="Times New Roman" w:hAnsi="Times New Roman" w:cs="Times New Roman"/>
                <w:sz w:val="20"/>
                <w:szCs w:val="20"/>
              </w:rPr>
            </w:pPr>
            <w:r w:rsidRPr="00BA2166">
              <w:rPr>
                <w:rFonts w:ascii="Times New Roman" w:hAnsi="Times New Roman" w:cs="Times New Roman"/>
                <w:sz w:val="20"/>
                <w:szCs w:val="20"/>
              </w:rPr>
              <w:lastRenderedPageBreak/>
              <w:t xml:space="preserve">a) v prípade OEEZ pochádzajúceho z EEZ uvedených v článku 2 ods. 1 písm. a) iných ako </w:t>
            </w:r>
            <w:proofErr w:type="spellStart"/>
            <w:r w:rsidRPr="00BA2166">
              <w:rPr>
                <w:rFonts w:ascii="Times New Roman" w:hAnsi="Times New Roman" w:cs="Times New Roman"/>
                <w:sz w:val="20"/>
                <w:szCs w:val="20"/>
              </w:rPr>
              <w:t>fotovoltické</w:t>
            </w:r>
            <w:proofErr w:type="spellEnd"/>
            <w:r w:rsidRPr="00BA2166">
              <w:rPr>
                <w:rFonts w:ascii="Times New Roman" w:hAnsi="Times New Roman" w:cs="Times New Roman"/>
                <w:sz w:val="20"/>
                <w:szCs w:val="20"/>
              </w:rPr>
              <w:t xml:space="preserve"> panely, ak boli tieto EEZ uvedené na trh po 13. auguste 2005; </w:t>
            </w:r>
          </w:p>
          <w:p w14:paraId="24A9EBC0" w14:textId="77777777" w:rsidR="00A420CF" w:rsidRDefault="00A420CF" w:rsidP="00A420CF">
            <w:pPr>
              <w:pStyle w:val="Default"/>
              <w:jc w:val="both"/>
              <w:rPr>
                <w:rFonts w:ascii="Times New Roman" w:hAnsi="Times New Roman" w:cs="Times New Roman"/>
                <w:sz w:val="20"/>
                <w:szCs w:val="20"/>
              </w:rPr>
            </w:pPr>
            <w:r w:rsidRPr="00BA2166">
              <w:rPr>
                <w:rFonts w:ascii="Times New Roman" w:hAnsi="Times New Roman" w:cs="Times New Roman"/>
                <w:sz w:val="20"/>
                <w:szCs w:val="20"/>
              </w:rPr>
              <w:t xml:space="preserve">b) v prípade OEEZ pochádzajúceho z </w:t>
            </w:r>
            <w:proofErr w:type="spellStart"/>
            <w:r w:rsidRPr="00BA2166">
              <w:rPr>
                <w:rFonts w:ascii="Times New Roman" w:hAnsi="Times New Roman" w:cs="Times New Roman"/>
                <w:sz w:val="20"/>
                <w:szCs w:val="20"/>
              </w:rPr>
              <w:t>fotovoltických</w:t>
            </w:r>
            <w:proofErr w:type="spellEnd"/>
            <w:r w:rsidRPr="00BA2166">
              <w:rPr>
                <w:rFonts w:ascii="Times New Roman" w:hAnsi="Times New Roman" w:cs="Times New Roman"/>
                <w:sz w:val="20"/>
                <w:szCs w:val="20"/>
              </w:rPr>
              <w:t xml:space="preserve"> panelov, ak boli tieto </w:t>
            </w:r>
            <w:proofErr w:type="spellStart"/>
            <w:r w:rsidRPr="00BA2166">
              <w:rPr>
                <w:rFonts w:ascii="Times New Roman" w:hAnsi="Times New Roman" w:cs="Times New Roman"/>
                <w:sz w:val="20"/>
                <w:szCs w:val="20"/>
              </w:rPr>
              <w:t>fotovoltické</w:t>
            </w:r>
            <w:proofErr w:type="spellEnd"/>
            <w:r w:rsidRPr="00BA2166">
              <w:rPr>
                <w:rFonts w:ascii="Times New Roman" w:hAnsi="Times New Roman" w:cs="Times New Roman"/>
                <w:sz w:val="20"/>
                <w:szCs w:val="20"/>
              </w:rPr>
              <w:t xml:space="preserve"> panely uvedené na trh od 13. augusta 2012; a </w:t>
            </w:r>
          </w:p>
          <w:p w14:paraId="25C5E172" w14:textId="77777777" w:rsidR="00A420CF" w:rsidRPr="00BA2166" w:rsidRDefault="00A420CF" w:rsidP="00A420CF">
            <w:pPr>
              <w:pStyle w:val="Default"/>
              <w:jc w:val="both"/>
              <w:rPr>
                <w:rFonts w:ascii="Times New Roman" w:hAnsi="Times New Roman" w:cs="Times New Roman"/>
                <w:sz w:val="20"/>
                <w:szCs w:val="20"/>
              </w:rPr>
            </w:pPr>
            <w:r w:rsidRPr="00BA2166">
              <w:rPr>
                <w:rFonts w:ascii="Times New Roman" w:hAnsi="Times New Roman" w:cs="Times New Roman"/>
                <w:sz w:val="20"/>
                <w:szCs w:val="20"/>
              </w:rPr>
              <w:t>c) v prípade OEEZ pochádzajúceho z EEZ uvedených v článku 2 ods. 1 písm. b), ktoré nepatria do rozsahu pôsobnosti článku 2 ods. 1 písm. a), ak boli tieto EEZ uvedené na trh od 15. augusta 2018.“;</w:t>
            </w:r>
          </w:p>
        </w:tc>
        <w:tc>
          <w:tcPr>
            <w:tcW w:w="567" w:type="dxa"/>
            <w:tcBorders>
              <w:top w:val="single" w:sz="4" w:space="0" w:color="auto"/>
              <w:bottom w:val="single" w:sz="4" w:space="0" w:color="auto"/>
            </w:tcBorders>
          </w:tcPr>
          <w:p w14:paraId="33668AD6" w14:textId="77777777" w:rsidR="00A420CF" w:rsidRPr="00970E07" w:rsidRDefault="00A420CF" w:rsidP="00A420CF">
            <w:pPr>
              <w:jc w:val="both"/>
              <w:rPr>
                <w:sz w:val="20"/>
              </w:rPr>
            </w:pPr>
            <w:r w:rsidRPr="00970E07">
              <w:rPr>
                <w:sz w:val="20"/>
              </w:rPr>
              <w:lastRenderedPageBreak/>
              <w:t>N</w:t>
            </w:r>
          </w:p>
        </w:tc>
        <w:tc>
          <w:tcPr>
            <w:tcW w:w="914" w:type="dxa"/>
            <w:tcBorders>
              <w:top w:val="single" w:sz="4" w:space="0" w:color="auto"/>
              <w:bottom w:val="single" w:sz="4" w:space="0" w:color="auto"/>
            </w:tcBorders>
          </w:tcPr>
          <w:p w14:paraId="7FE904F6" w14:textId="77777777" w:rsidR="00A420CF" w:rsidRDefault="00A420CF" w:rsidP="00A420CF">
            <w:pPr>
              <w:rPr>
                <w:sz w:val="20"/>
              </w:rPr>
            </w:pPr>
            <w:r>
              <w:rPr>
                <w:sz w:val="20"/>
              </w:rPr>
              <w:t>79/2015</w:t>
            </w:r>
          </w:p>
          <w:p w14:paraId="29704DAD" w14:textId="77777777" w:rsidR="00A420CF" w:rsidRDefault="00A420CF" w:rsidP="00A420CF">
            <w:pPr>
              <w:rPr>
                <w:sz w:val="20"/>
              </w:rPr>
            </w:pPr>
          </w:p>
          <w:p w14:paraId="5460A683" w14:textId="77777777" w:rsidR="00A420CF" w:rsidRDefault="00A420CF" w:rsidP="00A420CF">
            <w:pPr>
              <w:rPr>
                <w:sz w:val="20"/>
              </w:rPr>
            </w:pPr>
          </w:p>
          <w:p w14:paraId="1AE0C011" w14:textId="77777777" w:rsidR="00A420CF" w:rsidRDefault="00A420CF" w:rsidP="00A420CF">
            <w:pPr>
              <w:rPr>
                <w:sz w:val="20"/>
              </w:rPr>
            </w:pPr>
          </w:p>
          <w:p w14:paraId="3B3502CD" w14:textId="77777777" w:rsidR="00A420CF" w:rsidRDefault="00A420CF" w:rsidP="00A420CF">
            <w:pPr>
              <w:rPr>
                <w:sz w:val="20"/>
              </w:rPr>
            </w:pPr>
          </w:p>
          <w:p w14:paraId="7BB935E8" w14:textId="77777777" w:rsidR="00A420CF" w:rsidRDefault="00A420CF" w:rsidP="00A420CF">
            <w:pPr>
              <w:rPr>
                <w:sz w:val="20"/>
              </w:rPr>
            </w:pPr>
          </w:p>
          <w:p w14:paraId="0B55F168" w14:textId="77777777" w:rsidR="00A420CF" w:rsidRDefault="00A420CF" w:rsidP="00A420CF">
            <w:pPr>
              <w:rPr>
                <w:sz w:val="20"/>
              </w:rPr>
            </w:pPr>
          </w:p>
          <w:p w14:paraId="7B1ADA73" w14:textId="77777777" w:rsidR="00A420CF" w:rsidRDefault="00A420CF" w:rsidP="00A420CF">
            <w:pPr>
              <w:rPr>
                <w:sz w:val="20"/>
              </w:rPr>
            </w:pPr>
          </w:p>
          <w:p w14:paraId="503B6C68" w14:textId="77777777" w:rsidR="00A420CF" w:rsidRDefault="00A420CF" w:rsidP="00A420CF">
            <w:pPr>
              <w:rPr>
                <w:sz w:val="20"/>
              </w:rPr>
            </w:pPr>
          </w:p>
          <w:p w14:paraId="12BAAAB9" w14:textId="77777777" w:rsidR="00A420CF" w:rsidRDefault="00A420CF" w:rsidP="00A420CF">
            <w:pPr>
              <w:rPr>
                <w:sz w:val="20"/>
              </w:rPr>
            </w:pPr>
          </w:p>
          <w:p w14:paraId="1E3445FD" w14:textId="77777777" w:rsidR="00A420CF" w:rsidRDefault="00A420CF" w:rsidP="00A420CF">
            <w:pPr>
              <w:rPr>
                <w:sz w:val="20"/>
              </w:rPr>
            </w:pPr>
          </w:p>
          <w:p w14:paraId="566DB906" w14:textId="77777777" w:rsidR="00A420CF" w:rsidRDefault="00A420CF" w:rsidP="00A420CF">
            <w:pPr>
              <w:rPr>
                <w:sz w:val="20"/>
              </w:rPr>
            </w:pPr>
          </w:p>
          <w:p w14:paraId="4A600B46" w14:textId="77777777" w:rsidR="00A420CF" w:rsidRDefault="00A420CF" w:rsidP="00A420CF">
            <w:pPr>
              <w:rPr>
                <w:sz w:val="20"/>
              </w:rPr>
            </w:pPr>
          </w:p>
          <w:p w14:paraId="619D4C14" w14:textId="77777777" w:rsidR="00A420CF" w:rsidRDefault="00A420CF" w:rsidP="00A420CF">
            <w:pPr>
              <w:rPr>
                <w:sz w:val="20"/>
              </w:rPr>
            </w:pPr>
          </w:p>
          <w:p w14:paraId="6A7C7853" w14:textId="77777777" w:rsidR="00A420CF" w:rsidRDefault="00A420CF" w:rsidP="00A420CF">
            <w:pPr>
              <w:rPr>
                <w:sz w:val="20"/>
              </w:rPr>
            </w:pPr>
          </w:p>
          <w:p w14:paraId="4420F8EB" w14:textId="77777777" w:rsidR="00A420CF" w:rsidRDefault="00A420CF" w:rsidP="00A420CF">
            <w:pPr>
              <w:rPr>
                <w:sz w:val="20"/>
              </w:rPr>
            </w:pPr>
          </w:p>
          <w:p w14:paraId="3FFA375F" w14:textId="77777777" w:rsidR="00A420CF" w:rsidRDefault="00A420CF" w:rsidP="00A420CF">
            <w:pPr>
              <w:rPr>
                <w:sz w:val="20"/>
              </w:rPr>
            </w:pPr>
          </w:p>
          <w:p w14:paraId="7D2B15D8" w14:textId="77777777" w:rsidR="00A420CF" w:rsidRDefault="00A420CF" w:rsidP="00A420CF">
            <w:pPr>
              <w:rPr>
                <w:sz w:val="20"/>
              </w:rPr>
            </w:pPr>
          </w:p>
          <w:p w14:paraId="78F1F39B" w14:textId="77777777" w:rsidR="008541C9" w:rsidRDefault="008541C9" w:rsidP="00A420CF">
            <w:pPr>
              <w:rPr>
                <w:sz w:val="20"/>
              </w:rPr>
            </w:pPr>
          </w:p>
          <w:p w14:paraId="751B7020" w14:textId="77777777" w:rsidR="008541C9" w:rsidRDefault="008541C9" w:rsidP="00A420CF">
            <w:pPr>
              <w:rPr>
                <w:sz w:val="20"/>
              </w:rPr>
            </w:pPr>
          </w:p>
          <w:p w14:paraId="38A96E57" w14:textId="77777777" w:rsidR="008541C9" w:rsidRDefault="008541C9" w:rsidP="00A420CF">
            <w:pPr>
              <w:rPr>
                <w:sz w:val="20"/>
              </w:rPr>
            </w:pPr>
          </w:p>
          <w:p w14:paraId="56FADD0A" w14:textId="77777777" w:rsidR="008541C9" w:rsidRDefault="008541C9" w:rsidP="00A420CF">
            <w:pPr>
              <w:rPr>
                <w:sz w:val="20"/>
              </w:rPr>
            </w:pPr>
          </w:p>
          <w:p w14:paraId="70FEB5E0" w14:textId="77777777" w:rsidR="008541C9" w:rsidRDefault="008541C9" w:rsidP="00A420CF">
            <w:pPr>
              <w:rPr>
                <w:sz w:val="20"/>
              </w:rPr>
            </w:pPr>
          </w:p>
          <w:p w14:paraId="76944C21" w14:textId="77777777" w:rsidR="008541C9" w:rsidRDefault="008541C9" w:rsidP="00A420CF">
            <w:pPr>
              <w:rPr>
                <w:sz w:val="20"/>
              </w:rPr>
            </w:pPr>
          </w:p>
          <w:p w14:paraId="323994A3" w14:textId="77777777" w:rsidR="008541C9" w:rsidRDefault="008541C9" w:rsidP="00A420CF">
            <w:pPr>
              <w:rPr>
                <w:sz w:val="20"/>
              </w:rPr>
            </w:pPr>
            <w:r>
              <w:rPr>
                <w:sz w:val="20"/>
              </w:rPr>
              <w:t xml:space="preserve">79/2015, </w:t>
            </w:r>
            <w:r w:rsidRPr="008541C9">
              <w:rPr>
                <w:color w:val="FF0000"/>
                <w:sz w:val="20"/>
              </w:rPr>
              <w:t>NZ</w:t>
            </w:r>
          </w:p>
          <w:p w14:paraId="6607F46C" w14:textId="77777777" w:rsidR="00A420CF" w:rsidRDefault="00A420CF" w:rsidP="00A420CF">
            <w:pPr>
              <w:rPr>
                <w:sz w:val="20"/>
              </w:rPr>
            </w:pPr>
          </w:p>
          <w:p w14:paraId="5A38D0D0" w14:textId="77777777" w:rsidR="00A420CF" w:rsidRDefault="00A420CF" w:rsidP="00A420CF">
            <w:pPr>
              <w:rPr>
                <w:sz w:val="20"/>
              </w:rPr>
            </w:pPr>
          </w:p>
          <w:p w14:paraId="50AFA5E3" w14:textId="77777777" w:rsidR="00D61A42" w:rsidRDefault="00D61A42" w:rsidP="00A420CF">
            <w:pPr>
              <w:rPr>
                <w:sz w:val="20"/>
              </w:rPr>
            </w:pPr>
          </w:p>
          <w:p w14:paraId="7D7BC5A2" w14:textId="77777777" w:rsidR="00D61A42" w:rsidRDefault="00D61A42" w:rsidP="00A420CF">
            <w:pPr>
              <w:rPr>
                <w:sz w:val="20"/>
              </w:rPr>
            </w:pPr>
          </w:p>
          <w:p w14:paraId="1059E5B2" w14:textId="77777777" w:rsidR="00D61A42" w:rsidRDefault="00D61A42" w:rsidP="00A420CF">
            <w:pPr>
              <w:rPr>
                <w:sz w:val="20"/>
              </w:rPr>
            </w:pPr>
          </w:p>
          <w:p w14:paraId="63CD8B4B" w14:textId="77777777" w:rsidR="00D61A42" w:rsidRDefault="00D61A42" w:rsidP="00A420CF">
            <w:pPr>
              <w:rPr>
                <w:sz w:val="20"/>
              </w:rPr>
            </w:pPr>
          </w:p>
          <w:p w14:paraId="5F65ADD6" w14:textId="77777777" w:rsidR="00D61A42" w:rsidRDefault="00D61A42" w:rsidP="00A420CF">
            <w:pPr>
              <w:rPr>
                <w:sz w:val="20"/>
              </w:rPr>
            </w:pPr>
          </w:p>
          <w:p w14:paraId="5ACAD2AB" w14:textId="77777777" w:rsidR="00D61A42" w:rsidRDefault="00D61A42" w:rsidP="00A420CF">
            <w:pPr>
              <w:rPr>
                <w:sz w:val="20"/>
              </w:rPr>
            </w:pPr>
          </w:p>
          <w:p w14:paraId="3200C17D" w14:textId="77777777" w:rsidR="00D61A42" w:rsidRDefault="00D61A42" w:rsidP="00A420CF">
            <w:pPr>
              <w:rPr>
                <w:sz w:val="20"/>
              </w:rPr>
            </w:pPr>
          </w:p>
          <w:p w14:paraId="620BAA4E" w14:textId="77777777" w:rsidR="00D61A42" w:rsidRDefault="00D61A42" w:rsidP="00A420CF">
            <w:pPr>
              <w:rPr>
                <w:sz w:val="20"/>
              </w:rPr>
            </w:pPr>
          </w:p>
          <w:p w14:paraId="749160A1" w14:textId="77777777" w:rsidR="00D61A42" w:rsidRDefault="00D61A42" w:rsidP="00A420CF">
            <w:pPr>
              <w:rPr>
                <w:sz w:val="20"/>
              </w:rPr>
            </w:pPr>
          </w:p>
          <w:p w14:paraId="0834E8B8" w14:textId="77777777" w:rsidR="00D61A42" w:rsidRDefault="00D61A42" w:rsidP="00A420CF">
            <w:pPr>
              <w:rPr>
                <w:sz w:val="20"/>
              </w:rPr>
            </w:pPr>
          </w:p>
          <w:p w14:paraId="70D0816E" w14:textId="77777777" w:rsidR="00D61A42" w:rsidRDefault="00D61A42" w:rsidP="00A420CF">
            <w:pPr>
              <w:rPr>
                <w:sz w:val="20"/>
              </w:rPr>
            </w:pPr>
          </w:p>
          <w:p w14:paraId="0A0247B5" w14:textId="77777777" w:rsidR="00D61A42" w:rsidRDefault="00D61A42" w:rsidP="00A420CF">
            <w:pPr>
              <w:rPr>
                <w:sz w:val="20"/>
              </w:rPr>
            </w:pPr>
          </w:p>
          <w:p w14:paraId="1485B037" w14:textId="77777777" w:rsidR="00D61A42" w:rsidRDefault="00D61A42" w:rsidP="00A420CF">
            <w:pPr>
              <w:rPr>
                <w:sz w:val="20"/>
              </w:rPr>
            </w:pPr>
          </w:p>
          <w:p w14:paraId="67C5F011" w14:textId="77777777" w:rsidR="00D61A42" w:rsidRDefault="00D61A42" w:rsidP="00A420CF">
            <w:pPr>
              <w:rPr>
                <w:sz w:val="20"/>
              </w:rPr>
            </w:pPr>
          </w:p>
          <w:p w14:paraId="47BE226D" w14:textId="2A219E1C" w:rsidR="00D61A42" w:rsidRDefault="00D61A42" w:rsidP="00A420CF">
            <w:pPr>
              <w:rPr>
                <w:sz w:val="20"/>
              </w:rPr>
            </w:pPr>
          </w:p>
          <w:p w14:paraId="063B9184" w14:textId="77777777" w:rsidR="00D61A42" w:rsidRDefault="00D61A42" w:rsidP="00A420CF">
            <w:pPr>
              <w:rPr>
                <w:sz w:val="20"/>
              </w:rPr>
            </w:pPr>
            <w:r>
              <w:rPr>
                <w:sz w:val="20"/>
              </w:rPr>
              <w:t>79/2015</w:t>
            </w:r>
            <w:r w:rsidR="00134F1E">
              <w:rPr>
                <w:sz w:val="20"/>
              </w:rPr>
              <w:t>,</w:t>
            </w:r>
          </w:p>
          <w:p w14:paraId="643B7F2B" w14:textId="48CAE65E" w:rsidR="00134F1E" w:rsidRPr="00970E07" w:rsidRDefault="00134F1E" w:rsidP="00A420CF">
            <w:pPr>
              <w:rPr>
                <w:sz w:val="20"/>
              </w:rPr>
            </w:pPr>
            <w:r w:rsidRPr="00134F1E">
              <w:rPr>
                <w:color w:val="FF0000"/>
                <w:sz w:val="20"/>
              </w:rPr>
              <w:t>NZ</w:t>
            </w:r>
          </w:p>
        </w:tc>
        <w:tc>
          <w:tcPr>
            <w:tcW w:w="851" w:type="dxa"/>
            <w:tcBorders>
              <w:top w:val="single" w:sz="4" w:space="0" w:color="auto"/>
              <w:bottom w:val="single" w:sz="4" w:space="0" w:color="auto"/>
            </w:tcBorders>
          </w:tcPr>
          <w:p w14:paraId="598A9113" w14:textId="77777777" w:rsidR="00A420CF" w:rsidRPr="008541C9" w:rsidRDefault="00A420CF" w:rsidP="005B53BC">
            <w:pPr>
              <w:pStyle w:val="BodyText21"/>
              <w:spacing w:before="0" w:line="240" w:lineRule="auto"/>
              <w:jc w:val="left"/>
            </w:pPr>
            <w:r w:rsidRPr="008541C9">
              <w:lastRenderedPageBreak/>
              <w:t>§27 O5</w:t>
            </w:r>
          </w:p>
          <w:p w14:paraId="33EC7ACB" w14:textId="77777777" w:rsidR="00A420CF" w:rsidRPr="008541C9" w:rsidRDefault="00A420CF" w:rsidP="005B53BC">
            <w:pPr>
              <w:pStyle w:val="BodyText21"/>
              <w:spacing w:before="0" w:line="240" w:lineRule="auto"/>
              <w:jc w:val="left"/>
            </w:pPr>
          </w:p>
          <w:p w14:paraId="122F7F03" w14:textId="77777777" w:rsidR="00A420CF" w:rsidRPr="008541C9" w:rsidRDefault="00A420CF" w:rsidP="005B53BC">
            <w:pPr>
              <w:pStyle w:val="BodyText21"/>
              <w:spacing w:before="0" w:line="240" w:lineRule="auto"/>
              <w:jc w:val="left"/>
            </w:pPr>
          </w:p>
          <w:p w14:paraId="43285195" w14:textId="77777777" w:rsidR="00A420CF" w:rsidRPr="008541C9" w:rsidRDefault="00A420CF" w:rsidP="005B53BC">
            <w:pPr>
              <w:pStyle w:val="BodyText21"/>
              <w:spacing w:before="0" w:line="240" w:lineRule="auto"/>
              <w:jc w:val="left"/>
            </w:pPr>
          </w:p>
          <w:p w14:paraId="7CCEA382" w14:textId="77777777" w:rsidR="00A420CF" w:rsidRPr="008541C9" w:rsidRDefault="00A420CF" w:rsidP="005B53BC">
            <w:pPr>
              <w:pStyle w:val="BodyText21"/>
              <w:spacing w:before="0" w:line="240" w:lineRule="auto"/>
              <w:jc w:val="left"/>
            </w:pPr>
          </w:p>
          <w:p w14:paraId="1E639F06" w14:textId="77777777" w:rsidR="00A420CF" w:rsidRPr="008541C9" w:rsidRDefault="00A420CF" w:rsidP="005B53BC">
            <w:pPr>
              <w:pStyle w:val="BodyText21"/>
              <w:spacing w:before="0" w:line="240" w:lineRule="auto"/>
              <w:jc w:val="left"/>
            </w:pPr>
          </w:p>
          <w:p w14:paraId="6ED87920" w14:textId="77777777" w:rsidR="00A420CF" w:rsidRPr="008541C9" w:rsidRDefault="00A420CF" w:rsidP="005B53BC">
            <w:pPr>
              <w:pStyle w:val="BodyText21"/>
              <w:spacing w:before="0" w:line="240" w:lineRule="auto"/>
              <w:jc w:val="left"/>
            </w:pPr>
          </w:p>
          <w:p w14:paraId="01ABB990" w14:textId="77777777" w:rsidR="00A420CF" w:rsidRPr="008541C9" w:rsidRDefault="00A420CF" w:rsidP="005B53BC">
            <w:pPr>
              <w:pStyle w:val="BodyText21"/>
              <w:spacing w:before="0" w:line="240" w:lineRule="auto"/>
              <w:jc w:val="left"/>
            </w:pPr>
          </w:p>
          <w:p w14:paraId="33FA8362" w14:textId="77777777" w:rsidR="00A420CF" w:rsidRPr="008541C9" w:rsidRDefault="00A420CF" w:rsidP="005B53BC">
            <w:pPr>
              <w:pStyle w:val="BodyText21"/>
              <w:spacing w:before="0" w:line="240" w:lineRule="auto"/>
              <w:jc w:val="left"/>
            </w:pPr>
          </w:p>
          <w:p w14:paraId="2C8F17AE" w14:textId="77777777" w:rsidR="00A420CF" w:rsidRPr="008541C9" w:rsidRDefault="00A420CF" w:rsidP="005B53BC">
            <w:pPr>
              <w:pStyle w:val="BodyText21"/>
              <w:spacing w:before="0" w:line="240" w:lineRule="auto"/>
              <w:jc w:val="left"/>
            </w:pPr>
          </w:p>
          <w:p w14:paraId="088C26DC" w14:textId="77777777" w:rsidR="00A420CF" w:rsidRPr="008541C9" w:rsidRDefault="00A420CF" w:rsidP="005B53BC">
            <w:pPr>
              <w:pStyle w:val="BodyText21"/>
              <w:spacing w:before="0" w:line="240" w:lineRule="auto"/>
              <w:jc w:val="left"/>
            </w:pPr>
          </w:p>
          <w:p w14:paraId="03BB85B1" w14:textId="77777777" w:rsidR="00A420CF" w:rsidRPr="008541C9" w:rsidRDefault="00A420CF" w:rsidP="005B53BC">
            <w:pPr>
              <w:pStyle w:val="BodyText21"/>
              <w:spacing w:before="0" w:line="240" w:lineRule="auto"/>
              <w:jc w:val="left"/>
            </w:pPr>
          </w:p>
          <w:p w14:paraId="4C047A84" w14:textId="77777777" w:rsidR="00A420CF" w:rsidRPr="008541C9" w:rsidRDefault="00A420CF" w:rsidP="005B53BC">
            <w:pPr>
              <w:pStyle w:val="BodyText21"/>
              <w:spacing w:before="0" w:line="240" w:lineRule="auto"/>
              <w:jc w:val="left"/>
            </w:pPr>
          </w:p>
          <w:p w14:paraId="62DD0207" w14:textId="77777777" w:rsidR="00A420CF" w:rsidRPr="008541C9" w:rsidRDefault="00A420CF" w:rsidP="005B53BC">
            <w:pPr>
              <w:pStyle w:val="BodyText21"/>
              <w:spacing w:before="0" w:line="240" w:lineRule="auto"/>
              <w:jc w:val="left"/>
            </w:pPr>
          </w:p>
          <w:p w14:paraId="53A3ABD8" w14:textId="77777777" w:rsidR="00A420CF" w:rsidRPr="008541C9" w:rsidRDefault="00A420CF" w:rsidP="005B53BC">
            <w:pPr>
              <w:pStyle w:val="BodyText21"/>
              <w:spacing w:before="0" w:line="240" w:lineRule="auto"/>
              <w:jc w:val="left"/>
            </w:pPr>
          </w:p>
          <w:p w14:paraId="49046D7C" w14:textId="77777777" w:rsidR="00A420CF" w:rsidRPr="008541C9" w:rsidRDefault="00A420CF" w:rsidP="005B53BC">
            <w:pPr>
              <w:pStyle w:val="BodyText21"/>
              <w:spacing w:before="0" w:line="240" w:lineRule="auto"/>
              <w:jc w:val="left"/>
            </w:pPr>
          </w:p>
          <w:p w14:paraId="49E91D17" w14:textId="77777777" w:rsidR="00A420CF" w:rsidRPr="008541C9" w:rsidRDefault="00A420CF" w:rsidP="005B53BC">
            <w:pPr>
              <w:pStyle w:val="BodyText21"/>
              <w:spacing w:before="0" w:line="240" w:lineRule="auto"/>
              <w:jc w:val="left"/>
            </w:pPr>
          </w:p>
          <w:p w14:paraId="0F0DDC8A" w14:textId="77777777" w:rsidR="00A420CF" w:rsidRPr="008541C9" w:rsidRDefault="00A420CF" w:rsidP="005B53BC">
            <w:pPr>
              <w:pStyle w:val="BodyText21"/>
              <w:spacing w:before="0" w:line="240" w:lineRule="auto"/>
              <w:jc w:val="left"/>
            </w:pPr>
          </w:p>
          <w:p w14:paraId="21D2642A" w14:textId="77777777" w:rsidR="00A420CF" w:rsidRPr="008541C9" w:rsidRDefault="00A420CF" w:rsidP="005B53BC">
            <w:pPr>
              <w:pStyle w:val="BodyText21"/>
              <w:spacing w:before="0" w:line="240" w:lineRule="auto"/>
              <w:jc w:val="left"/>
            </w:pPr>
          </w:p>
          <w:p w14:paraId="1F59646B" w14:textId="77777777" w:rsidR="00A420CF" w:rsidRPr="008541C9" w:rsidRDefault="00A420CF" w:rsidP="005B53BC">
            <w:pPr>
              <w:pStyle w:val="BodyText21"/>
              <w:spacing w:before="0" w:line="240" w:lineRule="auto"/>
              <w:jc w:val="left"/>
            </w:pPr>
          </w:p>
          <w:p w14:paraId="436E2973" w14:textId="77777777" w:rsidR="00A420CF" w:rsidRPr="008541C9" w:rsidRDefault="00A420CF" w:rsidP="005B53BC">
            <w:pPr>
              <w:pStyle w:val="BodyText21"/>
              <w:spacing w:before="0" w:line="240" w:lineRule="auto"/>
              <w:jc w:val="left"/>
            </w:pPr>
          </w:p>
          <w:p w14:paraId="7438ECAD" w14:textId="77777777" w:rsidR="008541C9" w:rsidRDefault="008541C9" w:rsidP="005B53BC">
            <w:pPr>
              <w:pStyle w:val="BodyText21"/>
              <w:spacing w:before="0" w:line="240" w:lineRule="auto"/>
              <w:jc w:val="left"/>
            </w:pPr>
          </w:p>
          <w:p w14:paraId="46DCA920" w14:textId="77777777" w:rsidR="008541C9" w:rsidRDefault="008541C9" w:rsidP="005B53BC">
            <w:pPr>
              <w:pStyle w:val="BodyText21"/>
              <w:spacing w:before="0" w:line="240" w:lineRule="auto"/>
              <w:jc w:val="left"/>
            </w:pPr>
          </w:p>
          <w:p w14:paraId="1A510945" w14:textId="77777777" w:rsidR="008541C9" w:rsidRDefault="008541C9" w:rsidP="005B53BC">
            <w:pPr>
              <w:pStyle w:val="BodyText21"/>
              <w:spacing w:before="0" w:line="240" w:lineRule="auto"/>
              <w:jc w:val="left"/>
            </w:pPr>
          </w:p>
          <w:p w14:paraId="31DD4AF9" w14:textId="77777777" w:rsidR="008541C9" w:rsidRDefault="008541C9" w:rsidP="005B53BC">
            <w:pPr>
              <w:pStyle w:val="BodyText21"/>
              <w:spacing w:before="0" w:line="240" w:lineRule="auto"/>
              <w:jc w:val="left"/>
            </w:pPr>
            <w:r>
              <w:t>§35 O1</w:t>
            </w:r>
          </w:p>
          <w:p w14:paraId="1192010F" w14:textId="77777777" w:rsidR="008541C9" w:rsidRDefault="008541C9" w:rsidP="005B53BC">
            <w:pPr>
              <w:pStyle w:val="BodyText21"/>
              <w:spacing w:before="0" w:line="240" w:lineRule="auto"/>
              <w:jc w:val="left"/>
            </w:pPr>
          </w:p>
          <w:p w14:paraId="293F64AF" w14:textId="77777777" w:rsidR="008541C9" w:rsidRDefault="008541C9" w:rsidP="005B53BC">
            <w:pPr>
              <w:pStyle w:val="BodyText21"/>
              <w:spacing w:before="0" w:line="240" w:lineRule="auto"/>
              <w:jc w:val="left"/>
            </w:pPr>
          </w:p>
          <w:p w14:paraId="000644F3" w14:textId="77777777" w:rsidR="008541C9" w:rsidRDefault="008541C9" w:rsidP="005B53BC">
            <w:pPr>
              <w:pStyle w:val="BodyText21"/>
              <w:spacing w:before="0" w:line="240" w:lineRule="auto"/>
              <w:jc w:val="left"/>
            </w:pPr>
          </w:p>
          <w:p w14:paraId="0B8FDAAC" w14:textId="77777777" w:rsidR="008541C9" w:rsidRDefault="008541C9" w:rsidP="005B53BC">
            <w:pPr>
              <w:pStyle w:val="BodyText21"/>
              <w:spacing w:before="0" w:line="240" w:lineRule="auto"/>
              <w:jc w:val="left"/>
            </w:pPr>
          </w:p>
          <w:p w14:paraId="28C4BB66" w14:textId="77777777" w:rsidR="008541C9" w:rsidRDefault="008541C9" w:rsidP="005B53BC">
            <w:pPr>
              <w:pStyle w:val="BodyText21"/>
              <w:spacing w:before="0" w:line="240" w:lineRule="auto"/>
              <w:jc w:val="left"/>
            </w:pPr>
          </w:p>
          <w:p w14:paraId="1E56010E" w14:textId="77777777" w:rsidR="008541C9" w:rsidRDefault="008541C9" w:rsidP="005B53BC">
            <w:pPr>
              <w:pStyle w:val="BodyText21"/>
              <w:spacing w:before="0" w:line="240" w:lineRule="auto"/>
              <w:jc w:val="left"/>
            </w:pPr>
          </w:p>
          <w:p w14:paraId="647344E9" w14:textId="77777777" w:rsidR="008541C9" w:rsidRDefault="008541C9" w:rsidP="005B53BC">
            <w:pPr>
              <w:pStyle w:val="BodyText21"/>
              <w:spacing w:before="0" w:line="240" w:lineRule="auto"/>
              <w:jc w:val="left"/>
            </w:pPr>
          </w:p>
          <w:p w14:paraId="35277BC8" w14:textId="77777777" w:rsidR="008541C9" w:rsidRDefault="008541C9" w:rsidP="005B53BC">
            <w:pPr>
              <w:pStyle w:val="BodyText21"/>
              <w:spacing w:before="0" w:line="240" w:lineRule="auto"/>
              <w:jc w:val="left"/>
            </w:pPr>
          </w:p>
          <w:p w14:paraId="46C47907" w14:textId="36E48D29" w:rsidR="008541C9" w:rsidRDefault="008541C9" w:rsidP="005B53BC">
            <w:pPr>
              <w:pStyle w:val="BodyText21"/>
              <w:spacing w:before="0" w:line="240" w:lineRule="auto"/>
              <w:jc w:val="left"/>
            </w:pPr>
          </w:p>
          <w:p w14:paraId="79082EAA" w14:textId="65DBD834" w:rsidR="007F347B" w:rsidRDefault="007F347B" w:rsidP="005B53BC">
            <w:pPr>
              <w:pStyle w:val="BodyText21"/>
              <w:spacing w:before="0" w:line="240" w:lineRule="auto"/>
              <w:jc w:val="left"/>
            </w:pPr>
          </w:p>
          <w:p w14:paraId="3E022BDE" w14:textId="2CFAEB49" w:rsidR="007F347B" w:rsidRDefault="007F347B" w:rsidP="005B53BC">
            <w:pPr>
              <w:pStyle w:val="BodyText21"/>
              <w:spacing w:before="0" w:line="240" w:lineRule="auto"/>
              <w:jc w:val="left"/>
            </w:pPr>
          </w:p>
          <w:p w14:paraId="312122B1" w14:textId="6E84FA3C" w:rsidR="007F347B" w:rsidRDefault="007F347B" w:rsidP="005B53BC">
            <w:pPr>
              <w:pStyle w:val="BodyText21"/>
              <w:spacing w:before="0" w:line="240" w:lineRule="auto"/>
              <w:jc w:val="left"/>
            </w:pPr>
          </w:p>
          <w:p w14:paraId="7E80C98D" w14:textId="03347D9F" w:rsidR="007F347B" w:rsidRDefault="007F347B" w:rsidP="005B53BC">
            <w:pPr>
              <w:pStyle w:val="BodyText21"/>
              <w:spacing w:before="0" w:line="240" w:lineRule="auto"/>
              <w:jc w:val="left"/>
            </w:pPr>
          </w:p>
          <w:p w14:paraId="0FC3E022" w14:textId="6C5BA4D5" w:rsidR="007F347B" w:rsidRDefault="007F347B" w:rsidP="005B53BC">
            <w:pPr>
              <w:pStyle w:val="BodyText21"/>
              <w:spacing w:before="0" w:line="240" w:lineRule="auto"/>
              <w:jc w:val="left"/>
            </w:pPr>
          </w:p>
          <w:p w14:paraId="12CF717F" w14:textId="41EEC4B1" w:rsidR="007F347B" w:rsidRDefault="007F347B" w:rsidP="005B53BC">
            <w:pPr>
              <w:pStyle w:val="BodyText21"/>
              <w:spacing w:before="0" w:line="240" w:lineRule="auto"/>
              <w:jc w:val="left"/>
            </w:pPr>
          </w:p>
          <w:p w14:paraId="7FFC9CC1" w14:textId="754424D2" w:rsidR="007F347B" w:rsidRDefault="007F347B" w:rsidP="005B53BC">
            <w:pPr>
              <w:pStyle w:val="BodyText21"/>
              <w:spacing w:before="0" w:line="240" w:lineRule="auto"/>
              <w:jc w:val="left"/>
            </w:pPr>
          </w:p>
          <w:p w14:paraId="524578B6" w14:textId="1E26D10E" w:rsidR="007F347B" w:rsidRDefault="007F347B" w:rsidP="005B53BC">
            <w:pPr>
              <w:pStyle w:val="BodyText21"/>
              <w:spacing w:before="0" w:line="240" w:lineRule="auto"/>
              <w:jc w:val="left"/>
            </w:pPr>
          </w:p>
          <w:p w14:paraId="522ECC11" w14:textId="77777777" w:rsidR="007F347B" w:rsidRDefault="007F347B" w:rsidP="005B53BC">
            <w:pPr>
              <w:pStyle w:val="BodyText21"/>
              <w:spacing w:before="0" w:line="240" w:lineRule="auto"/>
              <w:jc w:val="left"/>
            </w:pPr>
          </w:p>
          <w:p w14:paraId="7A63E56B" w14:textId="77777777" w:rsidR="008541C9" w:rsidRDefault="008541C9" w:rsidP="005B53BC">
            <w:pPr>
              <w:pStyle w:val="BodyText21"/>
              <w:spacing w:before="0" w:line="240" w:lineRule="auto"/>
              <w:jc w:val="left"/>
            </w:pPr>
            <w:r>
              <w:t>§35 O2</w:t>
            </w:r>
          </w:p>
          <w:p w14:paraId="65653EF1" w14:textId="77777777" w:rsidR="008541C9" w:rsidRDefault="008541C9" w:rsidP="005B53BC">
            <w:pPr>
              <w:pStyle w:val="BodyText21"/>
              <w:spacing w:before="0" w:line="240" w:lineRule="auto"/>
              <w:jc w:val="left"/>
            </w:pPr>
          </w:p>
          <w:p w14:paraId="782C942A" w14:textId="77777777" w:rsidR="008541C9" w:rsidRDefault="008541C9" w:rsidP="005B53BC">
            <w:pPr>
              <w:pStyle w:val="BodyText21"/>
              <w:spacing w:before="0" w:line="240" w:lineRule="auto"/>
              <w:jc w:val="left"/>
            </w:pPr>
          </w:p>
          <w:p w14:paraId="613D0FAF" w14:textId="77777777" w:rsidR="008541C9" w:rsidRDefault="008541C9" w:rsidP="005B53BC">
            <w:pPr>
              <w:pStyle w:val="BodyText21"/>
              <w:spacing w:before="0" w:line="240" w:lineRule="auto"/>
              <w:jc w:val="left"/>
            </w:pPr>
          </w:p>
          <w:p w14:paraId="7E8F934C" w14:textId="77777777" w:rsidR="008541C9" w:rsidRDefault="008541C9" w:rsidP="005B53BC">
            <w:pPr>
              <w:pStyle w:val="BodyText21"/>
              <w:spacing w:before="0" w:line="240" w:lineRule="auto"/>
              <w:jc w:val="left"/>
            </w:pPr>
          </w:p>
          <w:p w14:paraId="6512CBEF" w14:textId="77777777" w:rsidR="008541C9" w:rsidRDefault="008541C9" w:rsidP="005B53BC">
            <w:pPr>
              <w:pStyle w:val="BodyText21"/>
              <w:spacing w:before="0" w:line="240" w:lineRule="auto"/>
              <w:jc w:val="left"/>
            </w:pPr>
          </w:p>
          <w:p w14:paraId="1D267D72" w14:textId="77777777" w:rsidR="008541C9" w:rsidRDefault="008541C9" w:rsidP="005B53BC">
            <w:pPr>
              <w:pStyle w:val="BodyText21"/>
              <w:spacing w:before="0" w:line="240" w:lineRule="auto"/>
              <w:jc w:val="left"/>
            </w:pPr>
          </w:p>
          <w:p w14:paraId="68A74E49" w14:textId="77777777" w:rsidR="00D76B92" w:rsidRDefault="00D76B92" w:rsidP="005B53BC">
            <w:pPr>
              <w:pStyle w:val="BodyText21"/>
              <w:spacing w:before="0" w:line="240" w:lineRule="auto"/>
              <w:jc w:val="left"/>
            </w:pPr>
          </w:p>
          <w:p w14:paraId="11700E62" w14:textId="77777777" w:rsidR="00134F1E" w:rsidRDefault="00134F1E" w:rsidP="005B53BC">
            <w:pPr>
              <w:pStyle w:val="BodyText21"/>
              <w:spacing w:before="0" w:line="240" w:lineRule="auto"/>
              <w:jc w:val="left"/>
            </w:pPr>
          </w:p>
          <w:p w14:paraId="05D4E838" w14:textId="393ED252" w:rsidR="00134F1E" w:rsidRDefault="00134F1E" w:rsidP="005B53BC">
            <w:pPr>
              <w:pStyle w:val="BodyText21"/>
              <w:spacing w:before="0" w:line="240" w:lineRule="auto"/>
              <w:jc w:val="left"/>
            </w:pPr>
          </w:p>
          <w:p w14:paraId="3A17683C" w14:textId="77777777" w:rsidR="00134F1E" w:rsidRDefault="00134F1E" w:rsidP="005B53BC">
            <w:pPr>
              <w:pStyle w:val="BodyText21"/>
              <w:spacing w:before="0" w:line="240" w:lineRule="auto"/>
              <w:jc w:val="left"/>
            </w:pPr>
          </w:p>
          <w:p w14:paraId="34859EB0" w14:textId="7981DBA9" w:rsidR="008541C9" w:rsidRPr="008541C9" w:rsidRDefault="008541C9" w:rsidP="005B53BC">
            <w:pPr>
              <w:pStyle w:val="BodyText21"/>
              <w:spacing w:before="0" w:line="240" w:lineRule="auto"/>
              <w:jc w:val="left"/>
            </w:pPr>
            <w:r>
              <w:t>§35 O3</w:t>
            </w:r>
          </w:p>
        </w:tc>
        <w:tc>
          <w:tcPr>
            <w:tcW w:w="4111" w:type="dxa"/>
            <w:tcBorders>
              <w:top w:val="single" w:sz="4" w:space="0" w:color="auto"/>
              <w:bottom w:val="single" w:sz="4" w:space="0" w:color="auto"/>
            </w:tcBorders>
          </w:tcPr>
          <w:p w14:paraId="0525A2A1" w14:textId="77777777" w:rsidR="00A420CF" w:rsidRPr="008541C9" w:rsidRDefault="00A420CF" w:rsidP="00A420CF">
            <w:pPr>
              <w:pStyle w:val="Odsekzoznamu"/>
              <w:spacing w:after="0" w:line="240" w:lineRule="auto"/>
              <w:ind w:left="0"/>
              <w:contextualSpacing w:val="0"/>
              <w:jc w:val="both"/>
              <w:rPr>
                <w:rFonts w:ascii="Times New Roman" w:hAnsi="Times New Roman"/>
                <w:sz w:val="20"/>
                <w:szCs w:val="20"/>
              </w:rPr>
            </w:pPr>
            <w:r w:rsidRPr="008541C9">
              <w:rPr>
                <w:rFonts w:ascii="Times New Roman" w:hAnsi="Times New Roman"/>
                <w:sz w:val="20"/>
                <w:szCs w:val="20"/>
              </w:rPr>
              <w:lastRenderedPageBreak/>
              <w:t xml:space="preserve">(5) 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w:t>
            </w:r>
            <w:r w:rsidRPr="008541C9">
              <w:rPr>
                <w:rFonts w:ascii="Times New Roman" w:hAnsi="Times New Roman"/>
                <w:sz w:val="20"/>
                <w:szCs w:val="20"/>
              </w:rPr>
              <w:lastRenderedPageBreak/>
              <w:t>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p w14:paraId="0FDCA20E" w14:textId="77777777" w:rsidR="00A420CF" w:rsidRPr="008541C9" w:rsidRDefault="00A420CF" w:rsidP="00A420CF">
            <w:pPr>
              <w:pStyle w:val="Odsekzoznamu"/>
              <w:spacing w:after="0" w:line="240" w:lineRule="auto"/>
              <w:ind w:left="0"/>
              <w:contextualSpacing w:val="0"/>
              <w:jc w:val="both"/>
              <w:rPr>
                <w:rFonts w:ascii="Times New Roman" w:hAnsi="Times New Roman"/>
                <w:sz w:val="20"/>
                <w:szCs w:val="20"/>
              </w:rPr>
            </w:pPr>
          </w:p>
          <w:p w14:paraId="1E41A2F8" w14:textId="77777777" w:rsidR="008541C9" w:rsidRDefault="008541C9" w:rsidP="008541C9">
            <w:pPr>
              <w:pStyle w:val="Odsekzoznamu"/>
              <w:spacing w:after="0" w:line="240" w:lineRule="auto"/>
              <w:ind w:left="0"/>
              <w:contextualSpacing w:val="0"/>
              <w:jc w:val="both"/>
              <w:rPr>
                <w:rFonts w:ascii="Times New Roman" w:hAnsi="Times New Roman"/>
                <w:sz w:val="20"/>
                <w:szCs w:val="20"/>
              </w:rPr>
            </w:pPr>
            <w:r w:rsidRPr="008541C9">
              <w:rPr>
                <w:rFonts w:ascii="Times New Roman" w:hAnsi="Times New Roman"/>
                <w:sz w:val="20"/>
                <w:szCs w:val="20"/>
              </w:rPr>
              <w:t>Nakladanie s </w:t>
            </w:r>
            <w:proofErr w:type="spellStart"/>
            <w:r w:rsidRPr="008541C9">
              <w:rPr>
                <w:rFonts w:ascii="Times New Roman" w:hAnsi="Times New Roman"/>
                <w:sz w:val="20"/>
                <w:szCs w:val="20"/>
              </w:rPr>
              <w:t>elektroodpadom</w:t>
            </w:r>
            <w:proofErr w:type="spellEnd"/>
            <w:r w:rsidRPr="008541C9">
              <w:rPr>
                <w:rFonts w:ascii="Times New Roman" w:hAnsi="Times New Roman"/>
                <w:sz w:val="20"/>
                <w:szCs w:val="20"/>
              </w:rPr>
              <w:t xml:space="preserve"> z domácností </w:t>
            </w:r>
          </w:p>
          <w:p w14:paraId="3D4EFDD0" w14:textId="77777777" w:rsidR="005116A3" w:rsidRPr="005116A3" w:rsidRDefault="008541C9" w:rsidP="005116A3">
            <w:pPr>
              <w:jc w:val="both"/>
              <w:rPr>
                <w:color w:val="FF0000"/>
                <w:sz w:val="20"/>
              </w:rPr>
            </w:pPr>
            <w:r w:rsidRPr="005116A3">
              <w:rPr>
                <w:sz w:val="20"/>
              </w:rPr>
              <w:t xml:space="preserve">(1) </w:t>
            </w:r>
            <w:r w:rsidR="00105A0A" w:rsidRPr="005116A3">
              <w:rPr>
                <w:sz w:val="20"/>
              </w:rPr>
              <w:t xml:space="preserve">Výrobca elektrozariadení je povinný zabezpečiť na vlastné náklady individuálne alebo kolektívne nakladanie s odovzdaným </w:t>
            </w:r>
            <w:proofErr w:type="spellStart"/>
            <w:r w:rsidR="00105A0A" w:rsidRPr="005116A3">
              <w:rPr>
                <w:sz w:val="20"/>
              </w:rPr>
              <w:t>elektroodpadom</w:t>
            </w:r>
            <w:proofErr w:type="spellEnd"/>
            <w:r w:rsidR="00105A0A" w:rsidRPr="005116A3">
              <w:rPr>
                <w:sz w:val="20"/>
              </w:rPr>
              <w:t xml:space="preserve"> z domácností [§ 34 ods. 1 písm. e) prvý bod], ak pochádza z elektrozariadení z jeho výroby, predaja, cezhraničnej prepravy z iného členského štátu do Slovenskej republiky alebo dovozu</w:t>
            </w:r>
            <w:r w:rsidR="00105A0A" w:rsidRPr="005116A3">
              <w:rPr>
                <w:color w:val="FF0000"/>
                <w:sz w:val="20"/>
              </w:rPr>
              <w:t xml:space="preserve">, </w:t>
            </w:r>
            <w:r w:rsidR="005116A3" w:rsidRPr="005116A3">
              <w:rPr>
                <w:color w:val="FF0000"/>
                <w:sz w:val="20"/>
              </w:rPr>
              <w:t>ak ide o</w:t>
            </w:r>
          </w:p>
          <w:p w14:paraId="1A6BE9D5" w14:textId="77777777" w:rsidR="005116A3" w:rsidRPr="005116A3" w:rsidRDefault="005116A3" w:rsidP="005116A3">
            <w:pPr>
              <w:jc w:val="both"/>
              <w:rPr>
                <w:color w:val="FF0000"/>
                <w:sz w:val="20"/>
              </w:rPr>
            </w:pPr>
            <w:r w:rsidRPr="005116A3">
              <w:rPr>
                <w:color w:val="FF0000"/>
                <w:sz w:val="20"/>
              </w:rPr>
              <w:t>a)</w:t>
            </w:r>
            <w:r w:rsidRPr="005116A3">
              <w:rPr>
                <w:color w:val="FF0000"/>
                <w:sz w:val="20"/>
              </w:rPr>
              <w:tab/>
            </w:r>
            <w:proofErr w:type="spellStart"/>
            <w:r w:rsidRPr="005116A3">
              <w:rPr>
                <w:color w:val="FF0000"/>
                <w:sz w:val="20"/>
              </w:rPr>
              <w:t>elektroodpad</w:t>
            </w:r>
            <w:proofErr w:type="spellEnd"/>
            <w:r w:rsidRPr="005116A3">
              <w:rPr>
                <w:color w:val="FF0000"/>
                <w:sz w:val="20"/>
              </w:rPr>
              <w:t xml:space="preserve"> pochádzajúci z elektrozariadení iných ako </w:t>
            </w:r>
            <w:proofErr w:type="spellStart"/>
            <w:r w:rsidRPr="005116A3">
              <w:rPr>
                <w:color w:val="FF0000"/>
                <w:sz w:val="20"/>
              </w:rPr>
              <w:t>fotovoltické</w:t>
            </w:r>
            <w:proofErr w:type="spellEnd"/>
            <w:r w:rsidRPr="005116A3">
              <w:rPr>
                <w:color w:val="FF0000"/>
                <w:sz w:val="20"/>
              </w:rPr>
              <w:t xml:space="preserve"> panely, ktoré boli uvedené na trh po 13. auguste 2005,</w:t>
            </w:r>
          </w:p>
          <w:p w14:paraId="38F65EFB" w14:textId="77777777" w:rsidR="005116A3" w:rsidRPr="005116A3" w:rsidRDefault="005116A3" w:rsidP="005116A3">
            <w:pPr>
              <w:jc w:val="both"/>
              <w:rPr>
                <w:color w:val="FF0000"/>
                <w:sz w:val="20"/>
              </w:rPr>
            </w:pPr>
            <w:r w:rsidRPr="005116A3">
              <w:rPr>
                <w:color w:val="FF0000"/>
                <w:sz w:val="20"/>
              </w:rPr>
              <w:t>b)</w:t>
            </w:r>
            <w:r w:rsidRPr="005116A3">
              <w:rPr>
                <w:color w:val="FF0000"/>
                <w:sz w:val="20"/>
              </w:rPr>
              <w:tab/>
            </w:r>
            <w:proofErr w:type="spellStart"/>
            <w:r w:rsidRPr="005116A3">
              <w:rPr>
                <w:color w:val="FF0000"/>
                <w:sz w:val="20"/>
              </w:rPr>
              <w:t>elektroodpad</w:t>
            </w:r>
            <w:proofErr w:type="spellEnd"/>
            <w:r w:rsidRPr="005116A3">
              <w:rPr>
                <w:color w:val="FF0000"/>
                <w:sz w:val="20"/>
              </w:rPr>
              <w:t xml:space="preserve"> pochádzajúci z </w:t>
            </w:r>
            <w:proofErr w:type="spellStart"/>
            <w:r w:rsidRPr="005116A3">
              <w:rPr>
                <w:color w:val="FF0000"/>
                <w:sz w:val="20"/>
              </w:rPr>
              <w:t>fotovoltických</w:t>
            </w:r>
            <w:proofErr w:type="spellEnd"/>
            <w:r w:rsidRPr="005116A3">
              <w:rPr>
                <w:color w:val="FF0000"/>
                <w:sz w:val="20"/>
              </w:rPr>
              <w:t xml:space="preserve"> panelov, ktoré boli uvedené na trh od 13. augusta 2012,</w:t>
            </w:r>
          </w:p>
          <w:p w14:paraId="28B4990E" w14:textId="5EA68B6A" w:rsidR="006D3EB8" w:rsidRDefault="005116A3" w:rsidP="005116A3">
            <w:pPr>
              <w:pStyle w:val="Odsekzoznamu"/>
              <w:spacing w:after="0" w:line="240" w:lineRule="auto"/>
              <w:ind w:left="0"/>
              <w:contextualSpacing w:val="0"/>
              <w:jc w:val="both"/>
              <w:rPr>
                <w:rFonts w:ascii="Times New Roman" w:hAnsi="Times New Roman"/>
                <w:color w:val="FF0000"/>
                <w:sz w:val="20"/>
                <w:szCs w:val="20"/>
              </w:rPr>
            </w:pPr>
            <w:r w:rsidRPr="005116A3">
              <w:rPr>
                <w:rFonts w:ascii="Times New Roman" w:hAnsi="Times New Roman"/>
                <w:color w:val="FF0000"/>
                <w:sz w:val="20"/>
                <w:szCs w:val="20"/>
              </w:rPr>
              <w:t>c)</w:t>
            </w:r>
            <w:r w:rsidRPr="005116A3">
              <w:rPr>
                <w:rFonts w:ascii="Times New Roman" w:hAnsi="Times New Roman"/>
                <w:color w:val="FF0000"/>
                <w:sz w:val="20"/>
                <w:szCs w:val="20"/>
              </w:rPr>
              <w:tab/>
            </w:r>
            <w:proofErr w:type="spellStart"/>
            <w:r w:rsidRPr="005116A3">
              <w:rPr>
                <w:rFonts w:ascii="Times New Roman" w:hAnsi="Times New Roman"/>
                <w:color w:val="FF0000"/>
                <w:sz w:val="20"/>
                <w:szCs w:val="20"/>
              </w:rPr>
              <w:t>elektroodpad</w:t>
            </w:r>
            <w:proofErr w:type="spellEnd"/>
            <w:r w:rsidRPr="005116A3">
              <w:rPr>
                <w:rFonts w:ascii="Times New Roman" w:hAnsi="Times New Roman"/>
                <w:color w:val="FF0000"/>
                <w:sz w:val="20"/>
                <w:szCs w:val="20"/>
              </w:rPr>
              <w:t xml:space="preserve"> pochádzajúci z elektrozariadení uvedených v prílohe č. 6 II. časti, ktoré boli uvedené na trh od 15. augusta 2018.</w:t>
            </w:r>
          </w:p>
          <w:p w14:paraId="5BC6A739" w14:textId="77777777" w:rsidR="00134F1E" w:rsidRPr="007F347B" w:rsidRDefault="00134F1E" w:rsidP="008541C9">
            <w:pPr>
              <w:pStyle w:val="Odsekzoznamu"/>
              <w:spacing w:after="0" w:line="240" w:lineRule="auto"/>
              <w:ind w:left="0"/>
              <w:contextualSpacing w:val="0"/>
              <w:jc w:val="both"/>
              <w:rPr>
                <w:rFonts w:ascii="Times New Roman" w:hAnsi="Times New Roman"/>
                <w:color w:val="FF0000"/>
                <w:sz w:val="20"/>
                <w:szCs w:val="20"/>
              </w:rPr>
            </w:pPr>
          </w:p>
          <w:p w14:paraId="7794C92E" w14:textId="723093F8" w:rsidR="008541C9" w:rsidRDefault="008541C9" w:rsidP="008541C9">
            <w:pPr>
              <w:pStyle w:val="Odsekzoznamu"/>
              <w:spacing w:after="0" w:line="240" w:lineRule="auto"/>
              <w:ind w:left="0"/>
              <w:contextualSpacing w:val="0"/>
              <w:jc w:val="both"/>
              <w:rPr>
                <w:rFonts w:ascii="Times New Roman" w:hAnsi="Times New Roman"/>
                <w:sz w:val="20"/>
                <w:szCs w:val="20"/>
              </w:rPr>
            </w:pPr>
            <w:r w:rsidRPr="00134F1E">
              <w:rPr>
                <w:rFonts w:ascii="Times New Roman" w:hAnsi="Times New Roman"/>
                <w:sz w:val="20"/>
                <w:szCs w:val="20"/>
              </w:rPr>
              <w:t xml:space="preserve">(2) </w:t>
            </w:r>
            <w:r w:rsidR="00134F1E" w:rsidRPr="00134F1E">
              <w:rPr>
                <w:rFonts w:ascii="Times New Roman" w:hAnsi="Times New Roman"/>
                <w:sz w:val="20"/>
                <w:szCs w:val="20"/>
              </w:rPr>
              <w:t xml:space="preserve">Výrobca elektrozariadení je povinný zabezpečiť na vlastné náklady kolektívne nakladanie s historickým </w:t>
            </w:r>
            <w:proofErr w:type="spellStart"/>
            <w:r w:rsidR="00134F1E" w:rsidRPr="00134F1E">
              <w:rPr>
                <w:rFonts w:ascii="Times New Roman" w:hAnsi="Times New Roman"/>
                <w:sz w:val="20"/>
                <w:szCs w:val="20"/>
              </w:rPr>
              <w:t>elektroodpadom</w:t>
            </w:r>
            <w:proofErr w:type="spellEnd"/>
            <w:r w:rsidR="00134F1E" w:rsidRPr="00134F1E">
              <w:rPr>
                <w:rFonts w:ascii="Times New Roman" w:hAnsi="Times New Roman"/>
                <w:sz w:val="20"/>
                <w:szCs w:val="20"/>
              </w:rPr>
              <w:t xml:space="preserve"> z domácností</w:t>
            </w:r>
            <w:r w:rsidR="00134F1E" w:rsidRPr="00134F1E">
              <w:rPr>
                <w:rFonts w:ascii="Times New Roman" w:hAnsi="Times New Roman"/>
                <w:color w:val="FF0000"/>
                <w:sz w:val="20"/>
                <w:szCs w:val="20"/>
              </w:rPr>
              <w:t xml:space="preserve">, okrem </w:t>
            </w:r>
            <w:proofErr w:type="spellStart"/>
            <w:r w:rsidR="00134F1E" w:rsidRPr="00134F1E">
              <w:rPr>
                <w:rFonts w:ascii="Times New Roman" w:hAnsi="Times New Roman"/>
                <w:color w:val="FF0000"/>
                <w:sz w:val="20"/>
                <w:szCs w:val="20"/>
              </w:rPr>
              <w:t>fotovoltických</w:t>
            </w:r>
            <w:proofErr w:type="spellEnd"/>
            <w:r w:rsidR="00134F1E" w:rsidRPr="00134F1E">
              <w:rPr>
                <w:rFonts w:ascii="Times New Roman" w:hAnsi="Times New Roman"/>
                <w:color w:val="FF0000"/>
                <w:sz w:val="20"/>
                <w:szCs w:val="20"/>
              </w:rPr>
              <w:t xml:space="preserve"> panelov</w:t>
            </w:r>
            <w:r w:rsidR="00134F1E" w:rsidRPr="00134F1E">
              <w:rPr>
                <w:rFonts w:ascii="Times New Roman" w:hAnsi="Times New Roman"/>
                <w:sz w:val="20"/>
                <w:szCs w:val="20"/>
              </w:rPr>
              <w:t xml:space="preserve">, podľa podielu výrobcov elektrozariadení na trhu, ktorý určí koordinačné centrum podľa § 31 ods. 13 pre každú kategóriu elektrozariadení </w:t>
            </w:r>
            <w:r w:rsidR="00134F1E" w:rsidRPr="00134F1E">
              <w:rPr>
                <w:rFonts w:ascii="Times New Roman" w:hAnsi="Times New Roman"/>
                <w:sz w:val="20"/>
                <w:szCs w:val="20"/>
              </w:rPr>
              <w:lastRenderedPageBreak/>
              <w:t>v kalendárnom roku na základe ohlásení podľa § 27 ods. 4 písm. h).</w:t>
            </w:r>
          </w:p>
          <w:p w14:paraId="4CA99484" w14:textId="77777777" w:rsidR="00134F1E" w:rsidRPr="00134F1E" w:rsidRDefault="00134F1E" w:rsidP="008541C9">
            <w:pPr>
              <w:pStyle w:val="Odsekzoznamu"/>
              <w:spacing w:after="0" w:line="240" w:lineRule="auto"/>
              <w:ind w:left="0"/>
              <w:contextualSpacing w:val="0"/>
              <w:jc w:val="both"/>
              <w:rPr>
                <w:rFonts w:ascii="Times New Roman" w:hAnsi="Times New Roman"/>
                <w:sz w:val="20"/>
                <w:szCs w:val="20"/>
              </w:rPr>
            </w:pPr>
          </w:p>
          <w:p w14:paraId="21F6F2AF" w14:textId="77777777" w:rsidR="008541C9" w:rsidRDefault="008541C9" w:rsidP="008541C9">
            <w:pPr>
              <w:pStyle w:val="Odsekzoznamu"/>
              <w:spacing w:after="0" w:line="240" w:lineRule="auto"/>
              <w:ind w:left="0"/>
              <w:contextualSpacing w:val="0"/>
              <w:jc w:val="both"/>
              <w:rPr>
                <w:rFonts w:ascii="Times New Roman" w:hAnsi="Times New Roman"/>
                <w:sz w:val="20"/>
                <w:szCs w:val="20"/>
              </w:rPr>
            </w:pPr>
            <w:r w:rsidRPr="008541C9">
              <w:rPr>
                <w:rFonts w:ascii="Times New Roman" w:hAnsi="Times New Roman"/>
                <w:sz w:val="20"/>
                <w:szCs w:val="20"/>
              </w:rPr>
              <w:t xml:space="preserve">(3) Výrobca elektrozariadení nesmie na úkor ostatných výrobcov elektrozariadení zabezpečovať kolektívne nakladanie s historickým </w:t>
            </w:r>
            <w:proofErr w:type="spellStart"/>
            <w:r w:rsidRPr="008541C9">
              <w:rPr>
                <w:rFonts w:ascii="Times New Roman" w:hAnsi="Times New Roman"/>
                <w:sz w:val="20"/>
                <w:szCs w:val="20"/>
              </w:rPr>
              <w:t>elektroodpadom</w:t>
            </w:r>
            <w:proofErr w:type="spellEnd"/>
            <w:r w:rsidRPr="008541C9">
              <w:rPr>
                <w:rFonts w:ascii="Times New Roman" w:hAnsi="Times New Roman"/>
                <w:sz w:val="20"/>
                <w:szCs w:val="20"/>
              </w:rPr>
              <w:t xml:space="preserve"> z domácností nad rozsah svojho podielu na trhu pre každú kategóriu a </w:t>
            </w:r>
            <w:proofErr w:type="spellStart"/>
            <w:r w:rsidRPr="008541C9">
              <w:rPr>
                <w:rFonts w:ascii="Times New Roman" w:hAnsi="Times New Roman"/>
                <w:sz w:val="20"/>
                <w:szCs w:val="20"/>
              </w:rPr>
              <w:t>podkategóriu</w:t>
            </w:r>
            <w:proofErr w:type="spellEnd"/>
            <w:r w:rsidRPr="008541C9">
              <w:rPr>
                <w:rFonts w:ascii="Times New Roman" w:hAnsi="Times New Roman"/>
                <w:sz w:val="20"/>
                <w:szCs w:val="20"/>
              </w:rPr>
              <w:t xml:space="preserve"> elektrozariadení v kalendárnom roku v súlade s povinnosťami uvedenými v § 27 ods. 4 písm. j), § 28 ods. 4 písm. q).</w:t>
            </w:r>
          </w:p>
          <w:p w14:paraId="19C8D88D" w14:textId="77777777" w:rsidR="00260108" w:rsidRPr="008541C9" w:rsidRDefault="00260108" w:rsidP="008541C9">
            <w:pPr>
              <w:pStyle w:val="Odsekzoznamu"/>
              <w:spacing w:after="0" w:line="240" w:lineRule="auto"/>
              <w:ind w:left="0"/>
              <w:contextualSpacing w:val="0"/>
              <w:jc w:val="both"/>
              <w:rPr>
                <w:rFonts w:ascii="Times New Roman" w:hAnsi="Times New Roman"/>
                <w:sz w:val="20"/>
                <w:szCs w:val="20"/>
                <w:lang w:eastAsia="sk-SK"/>
              </w:rPr>
            </w:pPr>
          </w:p>
        </w:tc>
        <w:tc>
          <w:tcPr>
            <w:tcW w:w="708" w:type="dxa"/>
            <w:tcBorders>
              <w:top w:val="single" w:sz="4" w:space="0" w:color="auto"/>
              <w:bottom w:val="single" w:sz="4" w:space="0" w:color="auto"/>
            </w:tcBorders>
          </w:tcPr>
          <w:p w14:paraId="49285CCF" w14:textId="77777777" w:rsidR="00A420CF" w:rsidRPr="00970E07" w:rsidRDefault="00A420CF" w:rsidP="00A420CF">
            <w:pPr>
              <w:jc w:val="both"/>
              <w:rPr>
                <w:sz w:val="20"/>
              </w:rPr>
            </w:pPr>
            <w:r w:rsidRPr="00970E07">
              <w:rPr>
                <w:sz w:val="20"/>
              </w:rPr>
              <w:lastRenderedPageBreak/>
              <w:t>Ú</w:t>
            </w:r>
          </w:p>
        </w:tc>
        <w:tc>
          <w:tcPr>
            <w:tcW w:w="993" w:type="dxa"/>
            <w:tcBorders>
              <w:top w:val="single" w:sz="4" w:space="0" w:color="auto"/>
              <w:bottom w:val="single" w:sz="4" w:space="0" w:color="auto"/>
            </w:tcBorders>
          </w:tcPr>
          <w:p w14:paraId="2C7D44E5" w14:textId="77777777" w:rsidR="00A420CF" w:rsidRPr="00970E07" w:rsidRDefault="00A420CF" w:rsidP="00A420CF">
            <w:pPr>
              <w:jc w:val="both"/>
              <w:rPr>
                <w:sz w:val="20"/>
              </w:rPr>
            </w:pPr>
          </w:p>
        </w:tc>
        <w:tc>
          <w:tcPr>
            <w:tcW w:w="1134" w:type="dxa"/>
            <w:tcBorders>
              <w:top w:val="single" w:sz="4" w:space="0" w:color="auto"/>
              <w:bottom w:val="single" w:sz="4" w:space="0" w:color="auto"/>
            </w:tcBorders>
          </w:tcPr>
          <w:p w14:paraId="5CC8DAE8" w14:textId="77777777" w:rsidR="00A420CF" w:rsidRPr="00970E07" w:rsidRDefault="00A420CF" w:rsidP="00A420CF">
            <w:pPr>
              <w:jc w:val="both"/>
              <w:rPr>
                <w:sz w:val="20"/>
              </w:rPr>
            </w:pPr>
            <w:r w:rsidRPr="00970E07">
              <w:rPr>
                <w:sz w:val="20"/>
              </w:rPr>
              <w:t>GP - N</w:t>
            </w:r>
          </w:p>
        </w:tc>
        <w:tc>
          <w:tcPr>
            <w:tcW w:w="1417" w:type="dxa"/>
            <w:tcBorders>
              <w:top w:val="single" w:sz="4" w:space="0" w:color="auto"/>
              <w:bottom w:val="single" w:sz="4" w:space="0" w:color="auto"/>
            </w:tcBorders>
          </w:tcPr>
          <w:p w14:paraId="2082EEB1" w14:textId="77777777" w:rsidR="00A420CF" w:rsidRPr="00620A81" w:rsidRDefault="00A420CF" w:rsidP="00A420CF">
            <w:pPr>
              <w:jc w:val="both"/>
              <w:rPr>
                <w:sz w:val="20"/>
              </w:rPr>
            </w:pPr>
          </w:p>
        </w:tc>
      </w:tr>
      <w:tr w:rsidR="00A420CF" w:rsidRPr="00620A81" w14:paraId="72D90DE0" w14:textId="77777777" w:rsidTr="00C54F2F">
        <w:trPr>
          <w:trHeight w:val="70"/>
        </w:trPr>
        <w:tc>
          <w:tcPr>
            <w:tcW w:w="701" w:type="dxa"/>
            <w:tcBorders>
              <w:top w:val="single" w:sz="4" w:space="0" w:color="auto"/>
              <w:bottom w:val="single" w:sz="4" w:space="0" w:color="auto"/>
            </w:tcBorders>
          </w:tcPr>
          <w:p w14:paraId="128A9B9B" w14:textId="77777777" w:rsidR="00A420CF" w:rsidRPr="00620A81" w:rsidRDefault="00A420CF" w:rsidP="00A420CF">
            <w:pPr>
              <w:jc w:val="both"/>
              <w:rPr>
                <w:sz w:val="20"/>
              </w:rPr>
            </w:pPr>
            <w:r w:rsidRPr="00620A81">
              <w:rPr>
                <w:sz w:val="20"/>
              </w:rPr>
              <w:lastRenderedPageBreak/>
              <w:t>Č</w:t>
            </w:r>
            <w:r>
              <w:rPr>
                <w:sz w:val="20"/>
              </w:rPr>
              <w:t>1 O2 Pb</w:t>
            </w:r>
          </w:p>
        </w:tc>
        <w:tc>
          <w:tcPr>
            <w:tcW w:w="3480" w:type="dxa"/>
            <w:tcBorders>
              <w:top w:val="single" w:sz="4" w:space="0" w:color="auto"/>
              <w:bottom w:val="single" w:sz="4" w:space="0" w:color="auto"/>
            </w:tcBorders>
          </w:tcPr>
          <w:p w14:paraId="6A8056EF" w14:textId="77777777" w:rsidR="00A420CF" w:rsidRDefault="00A420CF" w:rsidP="00A420CF">
            <w:pPr>
              <w:autoSpaceDE w:val="0"/>
              <w:autoSpaceDN w:val="0"/>
              <w:adjustRightInd w:val="0"/>
              <w:jc w:val="both"/>
              <w:rPr>
                <w:sz w:val="20"/>
              </w:rPr>
            </w:pPr>
            <w:r w:rsidRPr="00BA2166">
              <w:rPr>
                <w:sz w:val="20"/>
              </w:rPr>
              <w:t xml:space="preserve">b) v odseku 3 sa prvý </w:t>
            </w:r>
            <w:proofErr w:type="spellStart"/>
            <w:r w:rsidRPr="00BA2166">
              <w:rPr>
                <w:sz w:val="20"/>
              </w:rPr>
              <w:t>pododsek</w:t>
            </w:r>
            <w:proofErr w:type="spellEnd"/>
            <w:r w:rsidRPr="00BA2166">
              <w:rPr>
                <w:sz w:val="20"/>
              </w:rPr>
              <w:t xml:space="preserve"> nahrádza takto: </w:t>
            </w:r>
          </w:p>
          <w:p w14:paraId="5893EF8E" w14:textId="77777777" w:rsidR="00A420CF" w:rsidRPr="00BA2166" w:rsidRDefault="00A420CF" w:rsidP="00A420CF">
            <w:pPr>
              <w:autoSpaceDE w:val="0"/>
              <w:autoSpaceDN w:val="0"/>
              <w:adjustRightInd w:val="0"/>
              <w:jc w:val="both"/>
              <w:rPr>
                <w:color w:val="231F20"/>
                <w:sz w:val="20"/>
                <w:lang w:eastAsia="sk-SK"/>
              </w:rPr>
            </w:pPr>
            <w:r w:rsidRPr="00BA2166">
              <w:rPr>
                <w:sz w:val="20"/>
              </w:rPr>
              <w:t>„3. Každý výrobca je zodpovedný za financovanie činností uvedených v odseku 1, ktoré sa týkajú odpadu z jeho vlastných výrobkov. Výrobca si môže zvoliť, či si túto svoju povinnosť splní individuálne, alebo sa zapojí do kolektívneho systému.“;</w:t>
            </w:r>
          </w:p>
        </w:tc>
        <w:tc>
          <w:tcPr>
            <w:tcW w:w="567" w:type="dxa"/>
            <w:tcBorders>
              <w:top w:val="single" w:sz="4" w:space="0" w:color="auto"/>
              <w:bottom w:val="single" w:sz="4" w:space="0" w:color="auto"/>
            </w:tcBorders>
          </w:tcPr>
          <w:p w14:paraId="3E5A0788" w14:textId="77777777" w:rsidR="00A420CF" w:rsidRPr="00970E07" w:rsidRDefault="00A420CF" w:rsidP="00A420CF">
            <w:pPr>
              <w:jc w:val="both"/>
              <w:rPr>
                <w:sz w:val="20"/>
              </w:rPr>
            </w:pPr>
            <w:r w:rsidRPr="00970E07">
              <w:rPr>
                <w:sz w:val="20"/>
              </w:rPr>
              <w:t>N</w:t>
            </w:r>
          </w:p>
        </w:tc>
        <w:tc>
          <w:tcPr>
            <w:tcW w:w="914" w:type="dxa"/>
            <w:tcBorders>
              <w:top w:val="single" w:sz="4" w:space="0" w:color="auto"/>
              <w:bottom w:val="single" w:sz="4" w:space="0" w:color="auto"/>
            </w:tcBorders>
          </w:tcPr>
          <w:p w14:paraId="1EDFCA4B" w14:textId="77777777" w:rsidR="00A420CF" w:rsidRDefault="00B947DC" w:rsidP="00A420CF">
            <w:pPr>
              <w:rPr>
                <w:sz w:val="20"/>
              </w:rPr>
            </w:pPr>
            <w:r>
              <w:rPr>
                <w:sz w:val="20"/>
              </w:rPr>
              <w:t>79/2015,</w:t>
            </w:r>
          </w:p>
          <w:p w14:paraId="0A606994" w14:textId="77777777" w:rsidR="00B947DC" w:rsidRPr="00970E07" w:rsidRDefault="00B947DC" w:rsidP="00A420CF">
            <w:pPr>
              <w:rPr>
                <w:sz w:val="20"/>
              </w:rPr>
            </w:pPr>
            <w:r w:rsidRPr="00B947DC">
              <w:rPr>
                <w:color w:val="FF0000"/>
                <w:sz w:val="20"/>
              </w:rPr>
              <w:t>NZ</w:t>
            </w:r>
          </w:p>
        </w:tc>
        <w:tc>
          <w:tcPr>
            <w:tcW w:w="851" w:type="dxa"/>
            <w:tcBorders>
              <w:top w:val="single" w:sz="4" w:space="0" w:color="auto"/>
              <w:bottom w:val="single" w:sz="4" w:space="0" w:color="auto"/>
            </w:tcBorders>
          </w:tcPr>
          <w:p w14:paraId="2FBF0D70" w14:textId="77777777" w:rsidR="00A420CF" w:rsidRPr="00970E07" w:rsidRDefault="00B947DC" w:rsidP="005B53BC">
            <w:pPr>
              <w:pStyle w:val="BodyText21"/>
              <w:spacing w:before="0"/>
              <w:jc w:val="left"/>
            </w:pPr>
            <w:r>
              <w:t>§35 O1</w:t>
            </w:r>
          </w:p>
        </w:tc>
        <w:tc>
          <w:tcPr>
            <w:tcW w:w="4111" w:type="dxa"/>
            <w:tcBorders>
              <w:top w:val="single" w:sz="4" w:space="0" w:color="auto"/>
              <w:bottom w:val="single" w:sz="4" w:space="0" w:color="auto"/>
            </w:tcBorders>
          </w:tcPr>
          <w:p w14:paraId="49D754B0" w14:textId="77777777" w:rsidR="00134F1E" w:rsidRDefault="00134F1E" w:rsidP="00134F1E">
            <w:pPr>
              <w:pStyle w:val="Odsekzoznamu"/>
              <w:spacing w:after="0" w:line="240" w:lineRule="auto"/>
              <w:ind w:left="0"/>
              <w:contextualSpacing w:val="0"/>
              <w:jc w:val="both"/>
              <w:rPr>
                <w:rFonts w:ascii="Times New Roman" w:hAnsi="Times New Roman"/>
                <w:sz w:val="20"/>
                <w:szCs w:val="20"/>
              </w:rPr>
            </w:pPr>
            <w:r w:rsidRPr="008541C9">
              <w:rPr>
                <w:rFonts w:ascii="Times New Roman" w:hAnsi="Times New Roman"/>
                <w:sz w:val="20"/>
                <w:szCs w:val="20"/>
              </w:rPr>
              <w:t>Nakladanie s </w:t>
            </w:r>
            <w:proofErr w:type="spellStart"/>
            <w:r w:rsidRPr="008541C9">
              <w:rPr>
                <w:rFonts w:ascii="Times New Roman" w:hAnsi="Times New Roman"/>
                <w:sz w:val="20"/>
                <w:szCs w:val="20"/>
              </w:rPr>
              <w:t>elektroodpadom</w:t>
            </w:r>
            <w:proofErr w:type="spellEnd"/>
            <w:r w:rsidRPr="008541C9">
              <w:rPr>
                <w:rFonts w:ascii="Times New Roman" w:hAnsi="Times New Roman"/>
                <w:sz w:val="20"/>
                <w:szCs w:val="20"/>
              </w:rPr>
              <w:t xml:space="preserve"> z domácností </w:t>
            </w:r>
          </w:p>
          <w:p w14:paraId="2C674257" w14:textId="77777777" w:rsidR="00BA1209" w:rsidRPr="00BA1209" w:rsidRDefault="00134F1E" w:rsidP="00BA1209">
            <w:pPr>
              <w:jc w:val="both"/>
              <w:rPr>
                <w:color w:val="FF0000"/>
                <w:sz w:val="20"/>
              </w:rPr>
            </w:pPr>
            <w:r w:rsidRPr="00BA1209">
              <w:rPr>
                <w:sz w:val="20"/>
              </w:rPr>
              <w:t xml:space="preserve">(1) Výrobca elektrozariadení je povinný zabezpečiť na vlastné náklady individuálne alebo kolektívne nakladanie s odovzdaným </w:t>
            </w:r>
            <w:proofErr w:type="spellStart"/>
            <w:r w:rsidRPr="00BA1209">
              <w:rPr>
                <w:sz w:val="20"/>
              </w:rPr>
              <w:t>elektroodpadom</w:t>
            </w:r>
            <w:proofErr w:type="spellEnd"/>
            <w:r w:rsidRPr="00BA1209">
              <w:rPr>
                <w:sz w:val="20"/>
              </w:rPr>
              <w:t xml:space="preserve"> z domácností [§ 34 ods. 1 písm. e) prvý bod], ak pochádza z elektrozariadení z jeho výroby, predaja, cezhraničnej prepravy z iného členského štátu do Slovenskej republiky alebo dovozu</w:t>
            </w:r>
            <w:r w:rsidRPr="00BA1209">
              <w:rPr>
                <w:color w:val="FF0000"/>
                <w:sz w:val="20"/>
              </w:rPr>
              <w:t xml:space="preserve">, </w:t>
            </w:r>
            <w:r w:rsidR="00BA1209" w:rsidRPr="00BA1209">
              <w:rPr>
                <w:color w:val="FF0000"/>
                <w:sz w:val="20"/>
              </w:rPr>
              <w:t>ak ide o</w:t>
            </w:r>
          </w:p>
          <w:p w14:paraId="1068C53F" w14:textId="77777777" w:rsidR="00BA1209" w:rsidRPr="00BA1209" w:rsidRDefault="00BA1209" w:rsidP="00BA1209">
            <w:pPr>
              <w:jc w:val="both"/>
              <w:rPr>
                <w:color w:val="FF0000"/>
                <w:sz w:val="20"/>
              </w:rPr>
            </w:pPr>
            <w:r w:rsidRPr="00BA1209">
              <w:rPr>
                <w:color w:val="FF0000"/>
                <w:sz w:val="20"/>
              </w:rPr>
              <w:t>a)</w:t>
            </w:r>
            <w:r w:rsidRPr="00BA1209">
              <w:rPr>
                <w:color w:val="FF0000"/>
                <w:sz w:val="20"/>
              </w:rPr>
              <w:tab/>
            </w:r>
            <w:proofErr w:type="spellStart"/>
            <w:r w:rsidRPr="00BA1209">
              <w:rPr>
                <w:color w:val="FF0000"/>
                <w:sz w:val="20"/>
              </w:rPr>
              <w:t>elektroodpad</w:t>
            </w:r>
            <w:proofErr w:type="spellEnd"/>
            <w:r w:rsidRPr="00BA1209">
              <w:rPr>
                <w:color w:val="FF0000"/>
                <w:sz w:val="20"/>
              </w:rPr>
              <w:t xml:space="preserve"> pochádzajúci z elektrozariadení iných ako </w:t>
            </w:r>
            <w:proofErr w:type="spellStart"/>
            <w:r w:rsidRPr="00BA1209">
              <w:rPr>
                <w:color w:val="FF0000"/>
                <w:sz w:val="20"/>
              </w:rPr>
              <w:t>fotovoltické</w:t>
            </w:r>
            <w:proofErr w:type="spellEnd"/>
            <w:r w:rsidRPr="00BA1209">
              <w:rPr>
                <w:color w:val="FF0000"/>
                <w:sz w:val="20"/>
              </w:rPr>
              <w:t xml:space="preserve"> panely, ktoré boli uvedené na trh po 13. auguste 2005,</w:t>
            </w:r>
          </w:p>
          <w:p w14:paraId="1E63B9DC" w14:textId="77777777" w:rsidR="00BA1209" w:rsidRPr="00BA1209" w:rsidRDefault="00BA1209" w:rsidP="00BA1209">
            <w:pPr>
              <w:jc w:val="both"/>
              <w:rPr>
                <w:color w:val="FF0000"/>
                <w:sz w:val="20"/>
              </w:rPr>
            </w:pPr>
            <w:r w:rsidRPr="00BA1209">
              <w:rPr>
                <w:color w:val="FF0000"/>
                <w:sz w:val="20"/>
              </w:rPr>
              <w:t>b)</w:t>
            </w:r>
            <w:r w:rsidRPr="00BA1209">
              <w:rPr>
                <w:color w:val="FF0000"/>
                <w:sz w:val="20"/>
              </w:rPr>
              <w:tab/>
            </w:r>
            <w:proofErr w:type="spellStart"/>
            <w:r w:rsidRPr="00BA1209">
              <w:rPr>
                <w:color w:val="FF0000"/>
                <w:sz w:val="20"/>
              </w:rPr>
              <w:t>elektroodpad</w:t>
            </w:r>
            <w:proofErr w:type="spellEnd"/>
            <w:r w:rsidRPr="00BA1209">
              <w:rPr>
                <w:color w:val="FF0000"/>
                <w:sz w:val="20"/>
              </w:rPr>
              <w:t xml:space="preserve"> pochádzajúci z </w:t>
            </w:r>
            <w:proofErr w:type="spellStart"/>
            <w:r w:rsidRPr="00BA1209">
              <w:rPr>
                <w:color w:val="FF0000"/>
                <w:sz w:val="20"/>
              </w:rPr>
              <w:t>fotovoltických</w:t>
            </w:r>
            <w:proofErr w:type="spellEnd"/>
            <w:r w:rsidRPr="00BA1209">
              <w:rPr>
                <w:color w:val="FF0000"/>
                <w:sz w:val="20"/>
              </w:rPr>
              <w:t xml:space="preserve"> panelov, ktoré boli uvedené na trh od 13. augusta 2012,</w:t>
            </w:r>
          </w:p>
          <w:p w14:paraId="4B80DE47" w14:textId="72DDFAB2" w:rsidR="00A420CF" w:rsidRPr="00970E07" w:rsidRDefault="00BA1209" w:rsidP="00BA1209">
            <w:pPr>
              <w:jc w:val="both"/>
              <w:rPr>
                <w:sz w:val="20"/>
              </w:rPr>
            </w:pPr>
            <w:r w:rsidRPr="00BA1209">
              <w:rPr>
                <w:color w:val="FF0000"/>
                <w:sz w:val="20"/>
              </w:rPr>
              <w:t>c)</w:t>
            </w:r>
            <w:r w:rsidRPr="00BA1209">
              <w:rPr>
                <w:color w:val="FF0000"/>
                <w:sz w:val="20"/>
              </w:rPr>
              <w:tab/>
            </w:r>
            <w:proofErr w:type="spellStart"/>
            <w:r w:rsidRPr="00BA1209">
              <w:rPr>
                <w:color w:val="FF0000"/>
                <w:sz w:val="20"/>
              </w:rPr>
              <w:t>elektroodpad</w:t>
            </w:r>
            <w:proofErr w:type="spellEnd"/>
            <w:r w:rsidRPr="00BA1209">
              <w:rPr>
                <w:color w:val="FF0000"/>
                <w:sz w:val="20"/>
              </w:rPr>
              <w:t xml:space="preserve"> pochádzajúci z elektrozariadení uvedených v prílohe č. 6 II. časti, ktoré boli uvedené na trh od 15. augusta 2018.</w:t>
            </w:r>
          </w:p>
        </w:tc>
        <w:tc>
          <w:tcPr>
            <w:tcW w:w="708" w:type="dxa"/>
            <w:tcBorders>
              <w:top w:val="single" w:sz="4" w:space="0" w:color="auto"/>
              <w:bottom w:val="single" w:sz="4" w:space="0" w:color="auto"/>
            </w:tcBorders>
          </w:tcPr>
          <w:p w14:paraId="29DC1CBE" w14:textId="77777777" w:rsidR="00A420CF" w:rsidRPr="00970E07" w:rsidRDefault="00A420CF" w:rsidP="00A420CF">
            <w:pPr>
              <w:jc w:val="both"/>
              <w:rPr>
                <w:sz w:val="20"/>
              </w:rPr>
            </w:pPr>
            <w:r w:rsidRPr="00970E07">
              <w:rPr>
                <w:sz w:val="20"/>
              </w:rPr>
              <w:t>Ú</w:t>
            </w:r>
          </w:p>
        </w:tc>
        <w:tc>
          <w:tcPr>
            <w:tcW w:w="993" w:type="dxa"/>
            <w:tcBorders>
              <w:top w:val="single" w:sz="4" w:space="0" w:color="auto"/>
              <w:bottom w:val="single" w:sz="4" w:space="0" w:color="auto"/>
            </w:tcBorders>
          </w:tcPr>
          <w:p w14:paraId="7C475B6B" w14:textId="77777777" w:rsidR="00A420CF" w:rsidRPr="00970E07" w:rsidRDefault="00A420CF" w:rsidP="00A420CF">
            <w:pPr>
              <w:autoSpaceDE w:val="0"/>
              <w:autoSpaceDN w:val="0"/>
              <w:adjustRightInd w:val="0"/>
              <w:jc w:val="both"/>
              <w:rPr>
                <w:color w:val="231F20"/>
                <w:sz w:val="20"/>
                <w:lang w:eastAsia="sk-SK"/>
              </w:rPr>
            </w:pPr>
          </w:p>
        </w:tc>
        <w:tc>
          <w:tcPr>
            <w:tcW w:w="1134" w:type="dxa"/>
            <w:tcBorders>
              <w:top w:val="single" w:sz="4" w:space="0" w:color="auto"/>
              <w:bottom w:val="single" w:sz="4" w:space="0" w:color="auto"/>
            </w:tcBorders>
          </w:tcPr>
          <w:p w14:paraId="588B1321" w14:textId="77777777" w:rsidR="00A420CF" w:rsidRPr="00970E07" w:rsidRDefault="00A420CF" w:rsidP="00A420CF">
            <w:pPr>
              <w:autoSpaceDE w:val="0"/>
              <w:autoSpaceDN w:val="0"/>
              <w:adjustRightInd w:val="0"/>
              <w:jc w:val="both"/>
              <w:rPr>
                <w:color w:val="231F20"/>
                <w:sz w:val="20"/>
                <w:lang w:eastAsia="sk-SK"/>
              </w:rPr>
            </w:pPr>
            <w:r w:rsidRPr="00970E07">
              <w:rPr>
                <w:sz w:val="20"/>
              </w:rPr>
              <w:t>GP - N</w:t>
            </w:r>
          </w:p>
        </w:tc>
        <w:tc>
          <w:tcPr>
            <w:tcW w:w="1417" w:type="dxa"/>
            <w:tcBorders>
              <w:top w:val="single" w:sz="4" w:space="0" w:color="auto"/>
              <w:bottom w:val="single" w:sz="4" w:space="0" w:color="auto"/>
            </w:tcBorders>
          </w:tcPr>
          <w:p w14:paraId="6A69AB2F" w14:textId="77777777" w:rsidR="00A420CF" w:rsidRPr="00620A81" w:rsidRDefault="00A420CF" w:rsidP="00A420CF">
            <w:pPr>
              <w:autoSpaceDE w:val="0"/>
              <w:autoSpaceDN w:val="0"/>
              <w:adjustRightInd w:val="0"/>
              <w:jc w:val="both"/>
              <w:rPr>
                <w:color w:val="231F20"/>
                <w:sz w:val="20"/>
                <w:lang w:eastAsia="sk-SK"/>
              </w:rPr>
            </w:pPr>
          </w:p>
        </w:tc>
      </w:tr>
      <w:tr w:rsidR="00A420CF" w:rsidRPr="00620A81" w14:paraId="2E6EB237" w14:textId="77777777" w:rsidTr="00C54F2F">
        <w:trPr>
          <w:trHeight w:val="720"/>
        </w:trPr>
        <w:tc>
          <w:tcPr>
            <w:tcW w:w="701" w:type="dxa"/>
            <w:tcBorders>
              <w:top w:val="single" w:sz="4" w:space="0" w:color="auto"/>
              <w:bottom w:val="single" w:sz="4" w:space="0" w:color="auto"/>
            </w:tcBorders>
          </w:tcPr>
          <w:p w14:paraId="0BF6487C" w14:textId="77777777" w:rsidR="00A420CF" w:rsidRPr="00620A81" w:rsidRDefault="00A420CF" w:rsidP="00A420CF">
            <w:pPr>
              <w:jc w:val="both"/>
              <w:rPr>
                <w:sz w:val="20"/>
              </w:rPr>
            </w:pPr>
            <w:r w:rsidRPr="00620A81">
              <w:rPr>
                <w:sz w:val="20"/>
              </w:rPr>
              <w:t>Č</w:t>
            </w:r>
            <w:r>
              <w:rPr>
                <w:sz w:val="20"/>
              </w:rPr>
              <w:t>1 O2 Pc</w:t>
            </w:r>
          </w:p>
        </w:tc>
        <w:tc>
          <w:tcPr>
            <w:tcW w:w="3480" w:type="dxa"/>
            <w:tcBorders>
              <w:top w:val="single" w:sz="4" w:space="0" w:color="auto"/>
              <w:bottom w:val="single" w:sz="4" w:space="0" w:color="auto"/>
            </w:tcBorders>
          </w:tcPr>
          <w:p w14:paraId="02476523" w14:textId="77777777" w:rsidR="00A420CF" w:rsidRDefault="00A420CF" w:rsidP="00A420CF">
            <w:pPr>
              <w:autoSpaceDE w:val="0"/>
              <w:autoSpaceDN w:val="0"/>
              <w:adjustRightInd w:val="0"/>
              <w:jc w:val="both"/>
              <w:rPr>
                <w:sz w:val="20"/>
              </w:rPr>
            </w:pPr>
            <w:r w:rsidRPr="00BA2166">
              <w:rPr>
                <w:sz w:val="20"/>
              </w:rPr>
              <w:t xml:space="preserve">c) odsek 4 nahrádza takto: </w:t>
            </w:r>
          </w:p>
          <w:p w14:paraId="07FFAA03" w14:textId="77777777" w:rsidR="00A420CF" w:rsidRPr="00BA2166" w:rsidRDefault="00A420CF" w:rsidP="00A420CF">
            <w:pPr>
              <w:autoSpaceDE w:val="0"/>
              <w:autoSpaceDN w:val="0"/>
              <w:adjustRightInd w:val="0"/>
              <w:jc w:val="both"/>
              <w:rPr>
                <w:color w:val="231F20"/>
                <w:sz w:val="20"/>
                <w:lang w:eastAsia="sk-SK"/>
              </w:rPr>
            </w:pPr>
            <w:r w:rsidRPr="00BA2166">
              <w:rPr>
                <w:sz w:val="20"/>
              </w:rPr>
              <w:t xml:space="preserve">„4. Zodpovednosť za financovanie nákladov súvisiacich s nakladaním s OEEZ z výrobkov uvedených v článku 2 ods. 1 písm. a) okrem </w:t>
            </w:r>
            <w:proofErr w:type="spellStart"/>
            <w:r w:rsidRPr="00BA2166">
              <w:rPr>
                <w:sz w:val="20"/>
              </w:rPr>
              <w:t>fotovoltických</w:t>
            </w:r>
            <w:proofErr w:type="spellEnd"/>
            <w:r w:rsidRPr="00BA2166">
              <w:rPr>
                <w:sz w:val="20"/>
              </w:rPr>
              <w:t xml:space="preserve"> panelov, ktoré boli uvedené na trh 13. augusta 2005 alebo pred 13. augustom 2005 (‚historický odpad’), znáša jeden alebo viacero systémov, do ktorých prispejú proporcionálne, napr. v pomere k ich podielu na trhu podľa druhu zariadenia, všetci výrobcovia </w:t>
            </w:r>
            <w:r w:rsidRPr="00BA2166">
              <w:rPr>
                <w:sz w:val="20"/>
              </w:rPr>
              <w:lastRenderedPageBreak/>
              <w:t>nachádzajúci sa na trhu, keď vzniknú príslušné náklady.“</w:t>
            </w:r>
          </w:p>
        </w:tc>
        <w:tc>
          <w:tcPr>
            <w:tcW w:w="567" w:type="dxa"/>
            <w:tcBorders>
              <w:top w:val="single" w:sz="4" w:space="0" w:color="auto"/>
              <w:bottom w:val="single" w:sz="4" w:space="0" w:color="auto"/>
            </w:tcBorders>
          </w:tcPr>
          <w:p w14:paraId="7629F4B4" w14:textId="77777777" w:rsidR="00A420CF" w:rsidRPr="00970E07" w:rsidRDefault="00A420CF" w:rsidP="00A420CF">
            <w:pPr>
              <w:jc w:val="both"/>
              <w:rPr>
                <w:sz w:val="20"/>
              </w:rPr>
            </w:pPr>
            <w:r w:rsidRPr="00970E07">
              <w:rPr>
                <w:sz w:val="20"/>
              </w:rPr>
              <w:lastRenderedPageBreak/>
              <w:t>N</w:t>
            </w:r>
          </w:p>
        </w:tc>
        <w:tc>
          <w:tcPr>
            <w:tcW w:w="914" w:type="dxa"/>
            <w:tcBorders>
              <w:top w:val="single" w:sz="4" w:space="0" w:color="auto"/>
              <w:bottom w:val="single" w:sz="4" w:space="0" w:color="auto"/>
            </w:tcBorders>
          </w:tcPr>
          <w:p w14:paraId="429D9664" w14:textId="77777777" w:rsidR="0005530A" w:rsidRDefault="0005530A" w:rsidP="0005530A">
            <w:pPr>
              <w:rPr>
                <w:sz w:val="20"/>
              </w:rPr>
            </w:pPr>
            <w:r>
              <w:rPr>
                <w:sz w:val="20"/>
              </w:rPr>
              <w:t>79/2015,</w:t>
            </w:r>
          </w:p>
          <w:p w14:paraId="329F525F" w14:textId="77777777" w:rsidR="00A420CF" w:rsidRDefault="0005530A" w:rsidP="0005530A">
            <w:pPr>
              <w:rPr>
                <w:color w:val="FF0000"/>
                <w:sz w:val="20"/>
              </w:rPr>
            </w:pPr>
            <w:r w:rsidRPr="00B947DC">
              <w:rPr>
                <w:color w:val="FF0000"/>
                <w:sz w:val="20"/>
              </w:rPr>
              <w:t>NZ</w:t>
            </w:r>
          </w:p>
          <w:p w14:paraId="2527CA66" w14:textId="77777777" w:rsidR="00D61A42" w:rsidRDefault="00D61A42" w:rsidP="0005530A">
            <w:pPr>
              <w:rPr>
                <w:color w:val="FF0000"/>
                <w:sz w:val="20"/>
              </w:rPr>
            </w:pPr>
          </w:p>
          <w:p w14:paraId="028C7444" w14:textId="77777777" w:rsidR="00D61A42" w:rsidRDefault="00D61A42" w:rsidP="0005530A">
            <w:pPr>
              <w:rPr>
                <w:color w:val="FF0000"/>
                <w:sz w:val="20"/>
              </w:rPr>
            </w:pPr>
          </w:p>
          <w:p w14:paraId="6154F392" w14:textId="77777777" w:rsidR="00D61A42" w:rsidRDefault="00D61A42" w:rsidP="0005530A">
            <w:pPr>
              <w:rPr>
                <w:color w:val="FF0000"/>
                <w:sz w:val="20"/>
              </w:rPr>
            </w:pPr>
          </w:p>
          <w:p w14:paraId="131121F4" w14:textId="77777777" w:rsidR="00D61A42" w:rsidRDefault="00D61A42" w:rsidP="0005530A">
            <w:pPr>
              <w:rPr>
                <w:color w:val="FF0000"/>
                <w:sz w:val="20"/>
              </w:rPr>
            </w:pPr>
          </w:p>
          <w:p w14:paraId="13504611" w14:textId="77777777" w:rsidR="00D61A42" w:rsidRDefault="00D61A42" w:rsidP="0005530A">
            <w:pPr>
              <w:rPr>
                <w:color w:val="FF0000"/>
                <w:sz w:val="20"/>
              </w:rPr>
            </w:pPr>
          </w:p>
          <w:p w14:paraId="099CA50A" w14:textId="77777777" w:rsidR="00D61A42" w:rsidRDefault="00D61A42" w:rsidP="0005530A">
            <w:pPr>
              <w:rPr>
                <w:color w:val="FF0000"/>
                <w:sz w:val="20"/>
              </w:rPr>
            </w:pPr>
          </w:p>
          <w:p w14:paraId="59742036" w14:textId="77777777" w:rsidR="00D61A42" w:rsidRDefault="00D61A42" w:rsidP="0005530A">
            <w:pPr>
              <w:rPr>
                <w:color w:val="FF0000"/>
                <w:sz w:val="20"/>
              </w:rPr>
            </w:pPr>
          </w:p>
          <w:p w14:paraId="57049E91" w14:textId="77777777" w:rsidR="00D61A42" w:rsidRDefault="00D61A42" w:rsidP="0005530A">
            <w:pPr>
              <w:rPr>
                <w:color w:val="FF0000"/>
                <w:sz w:val="20"/>
              </w:rPr>
            </w:pPr>
          </w:p>
          <w:p w14:paraId="6744108B" w14:textId="77777777" w:rsidR="00D61A42" w:rsidRDefault="00D61A42" w:rsidP="0005530A">
            <w:pPr>
              <w:rPr>
                <w:color w:val="FF0000"/>
                <w:sz w:val="20"/>
              </w:rPr>
            </w:pPr>
          </w:p>
          <w:p w14:paraId="393B859B" w14:textId="77777777" w:rsidR="00D61A42" w:rsidRPr="00970E07" w:rsidRDefault="00D61A42" w:rsidP="0005530A">
            <w:pPr>
              <w:rPr>
                <w:sz w:val="20"/>
              </w:rPr>
            </w:pPr>
            <w:r>
              <w:rPr>
                <w:sz w:val="20"/>
              </w:rPr>
              <w:t>79/2015</w:t>
            </w:r>
          </w:p>
        </w:tc>
        <w:tc>
          <w:tcPr>
            <w:tcW w:w="851" w:type="dxa"/>
            <w:tcBorders>
              <w:top w:val="single" w:sz="4" w:space="0" w:color="auto"/>
              <w:bottom w:val="single" w:sz="4" w:space="0" w:color="auto"/>
            </w:tcBorders>
          </w:tcPr>
          <w:p w14:paraId="3B814E5F" w14:textId="77777777" w:rsidR="0005530A" w:rsidRDefault="0005530A" w:rsidP="0005530A">
            <w:pPr>
              <w:pStyle w:val="BodyText21"/>
              <w:spacing w:before="0" w:line="240" w:lineRule="auto"/>
              <w:jc w:val="left"/>
            </w:pPr>
            <w:r>
              <w:t>§35 O2</w:t>
            </w:r>
          </w:p>
          <w:p w14:paraId="6AA85BCA" w14:textId="77777777" w:rsidR="0005530A" w:rsidRDefault="0005530A" w:rsidP="0005530A">
            <w:pPr>
              <w:pStyle w:val="BodyText21"/>
              <w:spacing w:before="0" w:line="240" w:lineRule="auto"/>
              <w:jc w:val="left"/>
            </w:pPr>
          </w:p>
          <w:p w14:paraId="57D646F2" w14:textId="77777777" w:rsidR="0005530A" w:rsidRDefault="0005530A" w:rsidP="0005530A">
            <w:pPr>
              <w:pStyle w:val="BodyText21"/>
              <w:spacing w:before="0" w:line="240" w:lineRule="auto"/>
              <w:jc w:val="left"/>
            </w:pPr>
          </w:p>
          <w:p w14:paraId="526CA7B3" w14:textId="77777777" w:rsidR="0005530A" w:rsidRDefault="0005530A" w:rsidP="0005530A">
            <w:pPr>
              <w:pStyle w:val="BodyText21"/>
              <w:spacing w:before="0" w:line="240" w:lineRule="auto"/>
              <w:jc w:val="left"/>
            </w:pPr>
          </w:p>
          <w:p w14:paraId="2D6A6C8C" w14:textId="77777777" w:rsidR="0005530A" w:rsidRDefault="0005530A" w:rsidP="0005530A">
            <w:pPr>
              <w:pStyle w:val="BodyText21"/>
              <w:spacing w:before="0" w:line="240" w:lineRule="auto"/>
              <w:jc w:val="left"/>
            </w:pPr>
          </w:p>
          <w:p w14:paraId="66D30DA0" w14:textId="77777777" w:rsidR="0005530A" w:rsidRDefault="0005530A" w:rsidP="0005530A">
            <w:pPr>
              <w:pStyle w:val="BodyText21"/>
              <w:spacing w:before="0" w:line="240" w:lineRule="auto"/>
              <w:jc w:val="left"/>
            </w:pPr>
          </w:p>
          <w:p w14:paraId="49BE9A00" w14:textId="77777777" w:rsidR="0005530A" w:rsidRDefault="0005530A" w:rsidP="0005530A">
            <w:pPr>
              <w:pStyle w:val="BodyText21"/>
              <w:spacing w:before="0" w:line="240" w:lineRule="auto"/>
              <w:jc w:val="left"/>
            </w:pPr>
          </w:p>
          <w:p w14:paraId="3026DAE7" w14:textId="77777777" w:rsidR="0005530A" w:rsidRDefault="0005530A" w:rsidP="0005530A">
            <w:pPr>
              <w:pStyle w:val="BodyText21"/>
              <w:spacing w:before="0" w:line="240" w:lineRule="auto"/>
              <w:jc w:val="left"/>
            </w:pPr>
          </w:p>
          <w:p w14:paraId="5DA88EC8" w14:textId="77777777" w:rsidR="0005530A" w:rsidRDefault="0005530A" w:rsidP="0005530A">
            <w:pPr>
              <w:pStyle w:val="BodyText21"/>
              <w:spacing w:before="0" w:line="240" w:lineRule="auto"/>
              <w:jc w:val="left"/>
            </w:pPr>
          </w:p>
          <w:p w14:paraId="267A77B5" w14:textId="77777777" w:rsidR="0005530A" w:rsidRDefault="0005530A" w:rsidP="0005530A">
            <w:pPr>
              <w:pStyle w:val="BodyText21"/>
              <w:spacing w:before="0" w:line="240" w:lineRule="auto"/>
              <w:jc w:val="left"/>
            </w:pPr>
          </w:p>
          <w:p w14:paraId="434F278E" w14:textId="77777777" w:rsidR="0005530A" w:rsidRDefault="0005530A" w:rsidP="0005530A">
            <w:pPr>
              <w:pStyle w:val="BodyText21"/>
              <w:spacing w:before="0" w:line="240" w:lineRule="auto"/>
              <w:jc w:val="left"/>
            </w:pPr>
          </w:p>
          <w:p w14:paraId="4EAD5365" w14:textId="77777777" w:rsidR="00A420CF" w:rsidRPr="00970E07" w:rsidRDefault="0005530A" w:rsidP="0005530A">
            <w:pPr>
              <w:pStyle w:val="BodyText21"/>
              <w:spacing w:before="0"/>
              <w:jc w:val="left"/>
            </w:pPr>
            <w:r>
              <w:t>§35 O3</w:t>
            </w:r>
          </w:p>
        </w:tc>
        <w:tc>
          <w:tcPr>
            <w:tcW w:w="4111" w:type="dxa"/>
            <w:tcBorders>
              <w:top w:val="single" w:sz="4" w:space="0" w:color="auto"/>
              <w:bottom w:val="single" w:sz="4" w:space="0" w:color="auto"/>
            </w:tcBorders>
          </w:tcPr>
          <w:p w14:paraId="3D7C0A79" w14:textId="6AE61008" w:rsidR="00134F1E" w:rsidRDefault="00134F1E" w:rsidP="00134F1E">
            <w:pPr>
              <w:pStyle w:val="Odsekzoznamu"/>
              <w:spacing w:after="0" w:line="240" w:lineRule="auto"/>
              <w:ind w:left="0"/>
              <w:contextualSpacing w:val="0"/>
              <w:jc w:val="both"/>
              <w:rPr>
                <w:rFonts w:ascii="Times New Roman" w:hAnsi="Times New Roman"/>
                <w:sz w:val="20"/>
                <w:szCs w:val="20"/>
              </w:rPr>
            </w:pPr>
            <w:r w:rsidRPr="00134F1E">
              <w:rPr>
                <w:rFonts w:ascii="Times New Roman" w:hAnsi="Times New Roman"/>
                <w:sz w:val="20"/>
                <w:szCs w:val="20"/>
              </w:rPr>
              <w:t xml:space="preserve">(2) Výrobca elektrozariadení je povinný zabezpečiť na vlastné náklady kolektívne nakladanie s historickým </w:t>
            </w:r>
            <w:proofErr w:type="spellStart"/>
            <w:r w:rsidRPr="00134F1E">
              <w:rPr>
                <w:rFonts w:ascii="Times New Roman" w:hAnsi="Times New Roman"/>
                <w:sz w:val="20"/>
                <w:szCs w:val="20"/>
              </w:rPr>
              <w:t>elektroodpadom</w:t>
            </w:r>
            <w:proofErr w:type="spellEnd"/>
            <w:r w:rsidRPr="00134F1E">
              <w:rPr>
                <w:rFonts w:ascii="Times New Roman" w:hAnsi="Times New Roman"/>
                <w:sz w:val="20"/>
                <w:szCs w:val="20"/>
              </w:rPr>
              <w:t xml:space="preserve"> z domácností</w:t>
            </w:r>
            <w:r w:rsidRPr="00134F1E">
              <w:rPr>
                <w:rFonts w:ascii="Times New Roman" w:hAnsi="Times New Roman"/>
                <w:color w:val="FF0000"/>
                <w:sz w:val="20"/>
                <w:szCs w:val="20"/>
              </w:rPr>
              <w:t xml:space="preserve">, okrem </w:t>
            </w:r>
            <w:proofErr w:type="spellStart"/>
            <w:r w:rsidRPr="00134F1E">
              <w:rPr>
                <w:rFonts w:ascii="Times New Roman" w:hAnsi="Times New Roman"/>
                <w:color w:val="FF0000"/>
                <w:sz w:val="20"/>
                <w:szCs w:val="20"/>
              </w:rPr>
              <w:t>fotovoltických</w:t>
            </w:r>
            <w:proofErr w:type="spellEnd"/>
            <w:r w:rsidRPr="00134F1E">
              <w:rPr>
                <w:rFonts w:ascii="Times New Roman" w:hAnsi="Times New Roman"/>
                <w:color w:val="FF0000"/>
                <w:sz w:val="20"/>
                <w:szCs w:val="20"/>
              </w:rPr>
              <w:t xml:space="preserve"> panelov</w:t>
            </w:r>
            <w:r w:rsidRPr="00134F1E">
              <w:rPr>
                <w:rFonts w:ascii="Times New Roman" w:hAnsi="Times New Roman"/>
                <w:sz w:val="20"/>
                <w:szCs w:val="20"/>
              </w:rPr>
              <w:t>, podľa podielu výrobcov elektrozariadení na trhu, ktorý určí koordinačné centrum podľa § 31 ods. 13 pre každú kategóriu elektrozariadení v kalendárnom roku na základe ohlásení podľa § 27 ods. 4 písm. h).</w:t>
            </w:r>
          </w:p>
          <w:p w14:paraId="1701FC11" w14:textId="77777777" w:rsidR="00134F1E" w:rsidRDefault="00134F1E" w:rsidP="00134F1E">
            <w:pPr>
              <w:pStyle w:val="Odsekzoznamu"/>
              <w:spacing w:after="0" w:line="240" w:lineRule="auto"/>
              <w:ind w:left="0"/>
              <w:contextualSpacing w:val="0"/>
              <w:jc w:val="both"/>
              <w:rPr>
                <w:rFonts w:ascii="Times New Roman" w:hAnsi="Times New Roman"/>
                <w:sz w:val="20"/>
                <w:szCs w:val="20"/>
              </w:rPr>
            </w:pPr>
          </w:p>
          <w:p w14:paraId="43397F4A" w14:textId="5AAAA224" w:rsidR="00A420CF" w:rsidRDefault="00134F1E" w:rsidP="00134F1E">
            <w:pPr>
              <w:jc w:val="both"/>
              <w:rPr>
                <w:sz w:val="20"/>
              </w:rPr>
            </w:pPr>
            <w:r w:rsidRPr="008541C9">
              <w:rPr>
                <w:sz w:val="20"/>
              </w:rPr>
              <w:t xml:space="preserve"> </w:t>
            </w:r>
            <w:r w:rsidR="0005530A" w:rsidRPr="008541C9">
              <w:rPr>
                <w:sz w:val="20"/>
              </w:rPr>
              <w:t xml:space="preserve">(3) Výrobca elektrozariadení nesmie na úkor ostatných výrobcov elektrozariadení </w:t>
            </w:r>
            <w:r w:rsidR="0005530A" w:rsidRPr="008541C9">
              <w:rPr>
                <w:sz w:val="20"/>
              </w:rPr>
              <w:lastRenderedPageBreak/>
              <w:t xml:space="preserve">zabezpečovať kolektívne nakladanie s historickým </w:t>
            </w:r>
            <w:proofErr w:type="spellStart"/>
            <w:r w:rsidR="0005530A" w:rsidRPr="008541C9">
              <w:rPr>
                <w:sz w:val="20"/>
              </w:rPr>
              <w:t>elektroodpadom</w:t>
            </w:r>
            <w:proofErr w:type="spellEnd"/>
            <w:r w:rsidR="0005530A" w:rsidRPr="008541C9">
              <w:rPr>
                <w:sz w:val="20"/>
              </w:rPr>
              <w:t xml:space="preserve"> z domácností nad rozsah svojho podielu na trhu pre každú kategóriu a </w:t>
            </w:r>
            <w:proofErr w:type="spellStart"/>
            <w:r w:rsidR="0005530A" w:rsidRPr="008541C9">
              <w:rPr>
                <w:sz w:val="20"/>
              </w:rPr>
              <w:t>podkategóriu</w:t>
            </w:r>
            <w:proofErr w:type="spellEnd"/>
            <w:r w:rsidR="0005530A" w:rsidRPr="008541C9">
              <w:rPr>
                <w:sz w:val="20"/>
              </w:rPr>
              <w:t xml:space="preserve"> elektrozariadení v kalendárnom roku v súlade s povinnosťami uvedenými v § 27 ods. 4 písm. j), § 28 ods. 4 písm. q).</w:t>
            </w:r>
          </w:p>
          <w:p w14:paraId="0FD50497" w14:textId="77777777" w:rsidR="00260108" w:rsidRPr="00970E07" w:rsidRDefault="00260108" w:rsidP="0005530A">
            <w:pPr>
              <w:jc w:val="both"/>
              <w:rPr>
                <w:sz w:val="20"/>
              </w:rPr>
            </w:pPr>
          </w:p>
        </w:tc>
        <w:tc>
          <w:tcPr>
            <w:tcW w:w="708" w:type="dxa"/>
            <w:tcBorders>
              <w:top w:val="single" w:sz="4" w:space="0" w:color="auto"/>
              <w:bottom w:val="single" w:sz="4" w:space="0" w:color="auto"/>
            </w:tcBorders>
          </w:tcPr>
          <w:p w14:paraId="7A1DCC00" w14:textId="77777777" w:rsidR="00A420CF" w:rsidRPr="00970E07" w:rsidRDefault="00A420CF" w:rsidP="00A420CF">
            <w:pPr>
              <w:jc w:val="both"/>
              <w:rPr>
                <w:sz w:val="20"/>
              </w:rPr>
            </w:pPr>
            <w:r w:rsidRPr="00970E07">
              <w:rPr>
                <w:sz w:val="20"/>
              </w:rPr>
              <w:lastRenderedPageBreak/>
              <w:t>Ú</w:t>
            </w:r>
          </w:p>
        </w:tc>
        <w:tc>
          <w:tcPr>
            <w:tcW w:w="993" w:type="dxa"/>
            <w:tcBorders>
              <w:top w:val="single" w:sz="4" w:space="0" w:color="auto"/>
              <w:bottom w:val="single" w:sz="4" w:space="0" w:color="auto"/>
            </w:tcBorders>
          </w:tcPr>
          <w:p w14:paraId="64281036" w14:textId="77777777" w:rsidR="00A420CF" w:rsidRPr="00970E07" w:rsidRDefault="00A420CF" w:rsidP="00A420CF">
            <w:pPr>
              <w:jc w:val="both"/>
              <w:rPr>
                <w:sz w:val="20"/>
              </w:rPr>
            </w:pPr>
          </w:p>
        </w:tc>
        <w:tc>
          <w:tcPr>
            <w:tcW w:w="1134" w:type="dxa"/>
            <w:tcBorders>
              <w:top w:val="single" w:sz="4" w:space="0" w:color="auto"/>
              <w:bottom w:val="single" w:sz="4" w:space="0" w:color="auto"/>
            </w:tcBorders>
          </w:tcPr>
          <w:p w14:paraId="7002DD54" w14:textId="77777777" w:rsidR="00A420CF" w:rsidRPr="00970E07" w:rsidRDefault="00A420CF" w:rsidP="00A420CF">
            <w:pPr>
              <w:jc w:val="both"/>
              <w:rPr>
                <w:sz w:val="20"/>
              </w:rPr>
            </w:pPr>
            <w:r w:rsidRPr="00970E07">
              <w:rPr>
                <w:sz w:val="20"/>
              </w:rPr>
              <w:t>GP - N</w:t>
            </w:r>
          </w:p>
        </w:tc>
        <w:tc>
          <w:tcPr>
            <w:tcW w:w="1417" w:type="dxa"/>
            <w:tcBorders>
              <w:top w:val="single" w:sz="4" w:space="0" w:color="auto"/>
              <w:bottom w:val="single" w:sz="4" w:space="0" w:color="auto"/>
            </w:tcBorders>
          </w:tcPr>
          <w:p w14:paraId="38F1C711" w14:textId="77777777" w:rsidR="00A420CF" w:rsidRPr="00620A81" w:rsidRDefault="00A420CF" w:rsidP="00A420CF">
            <w:pPr>
              <w:jc w:val="both"/>
              <w:rPr>
                <w:sz w:val="20"/>
              </w:rPr>
            </w:pPr>
          </w:p>
        </w:tc>
      </w:tr>
      <w:tr w:rsidR="00A420CF" w:rsidRPr="00620A81" w14:paraId="60BAD5F8" w14:textId="77777777" w:rsidTr="00C54F2F">
        <w:trPr>
          <w:trHeight w:val="720"/>
        </w:trPr>
        <w:tc>
          <w:tcPr>
            <w:tcW w:w="701" w:type="dxa"/>
            <w:tcBorders>
              <w:top w:val="single" w:sz="4" w:space="0" w:color="auto"/>
              <w:bottom w:val="single" w:sz="4" w:space="0" w:color="auto"/>
            </w:tcBorders>
          </w:tcPr>
          <w:p w14:paraId="67B7B60E" w14:textId="77777777" w:rsidR="00A420CF" w:rsidRPr="00620A81" w:rsidRDefault="00A420CF" w:rsidP="00A420CF">
            <w:pPr>
              <w:jc w:val="both"/>
              <w:rPr>
                <w:sz w:val="20"/>
              </w:rPr>
            </w:pPr>
            <w:r>
              <w:rPr>
                <w:sz w:val="20"/>
              </w:rPr>
              <w:t>Č1 O3</w:t>
            </w:r>
            <w:r w:rsidRPr="00620A81">
              <w:rPr>
                <w:sz w:val="20"/>
              </w:rPr>
              <w:t xml:space="preserve"> </w:t>
            </w:r>
          </w:p>
        </w:tc>
        <w:tc>
          <w:tcPr>
            <w:tcW w:w="3480" w:type="dxa"/>
            <w:tcBorders>
              <w:top w:val="single" w:sz="4" w:space="0" w:color="auto"/>
              <w:bottom w:val="single" w:sz="4" w:space="0" w:color="auto"/>
            </w:tcBorders>
          </w:tcPr>
          <w:p w14:paraId="0DD01B45" w14:textId="77777777" w:rsidR="00A420CF" w:rsidRDefault="00A420CF" w:rsidP="00A420CF">
            <w:pPr>
              <w:jc w:val="both"/>
              <w:rPr>
                <w:sz w:val="20"/>
              </w:rPr>
            </w:pPr>
            <w:r w:rsidRPr="00BA2166">
              <w:rPr>
                <w:sz w:val="20"/>
              </w:rPr>
              <w:t xml:space="preserve">3. V článku 13 sa odsek 1 nahrádza takto: </w:t>
            </w:r>
          </w:p>
          <w:p w14:paraId="03B2D3ED" w14:textId="77777777" w:rsidR="00A420CF" w:rsidRDefault="00A420CF" w:rsidP="00A420CF">
            <w:pPr>
              <w:jc w:val="both"/>
              <w:rPr>
                <w:sz w:val="20"/>
              </w:rPr>
            </w:pPr>
            <w:r w:rsidRPr="00BA2166">
              <w:rPr>
                <w:sz w:val="20"/>
              </w:rPr>
              <w:t xml:space="preserve">„1. Členské štáty zabezpečia, aby financovanie nákladov na zber, spracovávanie, zhodnocovanie a environmentálne šetrné zneškodňovanie OEEZ od iných užívateľov ako súkromných domácností zabezpečovali výrobcovia takto: </w:t>
            </w:r>
          </w:p>
          <w:p w14:paraId="7E78E4DD" w14:textId="77777777" w:rsidR="00A420CF" w:rsidRDefault="00A420CF" w:rsidP="00A420CF">
            <w:pPr>
              <w:jc w:val="both"/>
              <w:rPr>
                <w:sz w:val="20"/>
              </w:rPr>
            </w:pPr>
            <w:r w:rsidRPr="00BA2166">
              <w:rPr>
                <w:sz w:val="20"/>
              </w:rPr>
              <w:t xml:space="preserve">a) v prípade OEEZ pochádzajúceho z EEZ uvedených v článku 2 ods. 1 písm. a) okrem </w:t>
            </w:r>
            <w:proofErr w:type="spellStart"/>
            <w:r w:rsidRPr="00BA2166">
              <w:rPr>
                <w:sz w:val="20"/>
              </w:rPr>
              <w:t>fotovoltických</w:t>
            </w:r>
            <w:proofErr w:type="spellEnd"/>
            <w:r w:rsidRPr="00BA2166">
              <w:rPr>
                <w:sz w:val="20"/>
              </w:rPr>
              <w:t xml:space="preserve"> panelov, ak boli tieto EEZ uvedené na trh po 13. auguste 2005; </w:t>
            </w:r>
          </w:p>
          <w:p w14:paraId="7EF0F435" w14:textId="77777777" w:rsidR="00A420CF" w:rsidRDefault="00A420CF" w:rsidP="00A420CF">
            <w:pPr>
              <w:jc w:val="both"/>
              <w:rPr>
                <w:sz w:val="20"/>
              </w:rPr>
            </w:pPr>
            <w:r w:rsidRPr="00BA2166">
              <w:rPr>
                <w:sz w:val="20"/>
              </w:rPr>
              <w:t xml:space="preserve">b) v prípade OEEZ pochádzajúceho z </w:t>
            </w:r>
            <w:proofErr w:type="spellStart"/>
            <w:r w:rsidRPr="00BA2166">
              <w:rPr>
                <w:sz w:val="20"/>
              </w:rPr>
              <w:t>fotovoltických</w:t>
            </w:r>
            <w:proofErr w:type="spellEnd"/>
            <w:r w:rsidRPr="00BA2166">
              <w:rPr>
                <w:sz w:val="20"/>
              </w:rPr>
              <w:t xml:space="preserve"> panelov, ak boli tieto </w:t>
            </w:r>
            <w:proofErr w:type="spellStart"/>
            <w:r w:rsidRPr="00BA2166">
              <w:rPr>
                <w:sz w:val="20"/>
              </w:rPr>
              <w:t>fotovoltické</w:t>
            </w:r>
            <w:proofErr w:type="spellEnd"/>
            <w:r w:rsidRPr="00BA2166">
              <w:rPr>
                <w:sz w:val="20"/>
              </w:rPr>
              <w:t xml:space="preserve"> panely uvedené na trh od 13. augusta 2012; a </w:t>
            </w:r>
          </w:p>
          <w:p w14:paraId="7CD59441" w14:textId="77777777" w:rsidR="00A420CF" w:rsidRDefault="00A420CF" w:rsidP="00A420CF">
            <w:pPr>
              <w:jc w:val="both"/>
              <w:rPr>
                <w:sz w:val="20"/>
              </w:rPr>
            </w:pPr>
            <w:r w:rsidRPr="00BA2166">
              <w:rPr>
                <w:sz w:val="20"/>
              </w:rPr>
              <w:t xml:space="preserve">c) v prípade OEEZ pochádzajúceho z EEZ uvedených v článku 2 ods. 1 písm. b), ktoré nepatria do rozsahu pôsobnosti článku 2 ods. 1 písm. a), ak boli tieto EEZ uvedené na trh od 15. augusta 2018. </w:t>
            </w:r>
          </w:p>
          <w:p w14:paraId="28A57D52" w14:textId="77777777" w:rsidR="00A420CF" w:rsidRDefault="00A420CF" w:rsidP="00A420CF">
            <w:pPr>
              <w:jc w:val="both"/>
              <w:rPr>
                <w:sz w:val="20"/>
              </w:rPr>
            </w:pPr>
            <w:r w:rsidRPr="00BA2166">
              <w:rPr>
                <w:sz w:val="20"/>
              </w:rPr>
              <w:t xml:space="preserve">Financovanie nákladov na nakladanie s historickým odpadom z EEZ uvedeným v článku 2 ods. 1 písm. a) okrem </w:t>
            </w:r>
            <w:proofErr w:type="spellStart"/>
            <w:r w:rsidRPr="00BA2166">
              <w:rPr>
                <w:sz w:val="20"/>
              </w:rPr>
              <w:t>fotovoltických</w:t>
            </w:r>
            <w:proofErr w:type="spellEnd"/>
            <w:r w:rsidRPr="00BA2166">
              <w:rPr>
                <w:sz w:val="20"/>
              </w:rPr>
              <w:t xml:space="preserve"> panelov, ktoré sa nahrádzajú novými rovnocennými výrobkami alebo novými výrobkami plniacimi tie isté funkcie, zabezpečujú výrobcovia týchto výrobkov pri ich dodaní. Členské štáty môžu alternatívne ustanoviť, aby iní užívatelia ako súkromné domácnosti boli tiež čiastočne alebo celkom zodpovední za toto financovanie. </w:t>
            </w:r>
          </w:p>
          <w:p w14:paraId="6FC5886E" w14:textId="77777777" w:rsidR="00A420CF" w:rsidRPr="00BA2166" w:rsidRDefault="00A420CF" w:rsidP="00A420CF">
            <w:pPr>
              <w:jc w:val="both"/>
              <w:rPr>
                <w:sz w:val="20"/>
                <w:lang w:eastAsia="sk-SK"/>
              </w:rPr>
            </w:pPr>
            <w:r w:rsidRPr="00BA2166">
              <w:rPr>
                <w:sz w:val="20"/>
              </w:rPr>
              <w:lastRenderedPageBreak/>
              <w:t xml:space="preserve">Financovanie nákladov na iný historický odpad z EEZ uvedený v článku 2 ods. 1 písm. a) okrem </w:t>
            </w:r>
            <w:proofErr w:type="spellStart"/>
            <w:r w:rsidRPr="00BA2166">
              <w:rPr>
                <w:sz w:val="20"/>
              </w:rPr>
              <w:t>fotovoltických</w:t>
            </w:r>
            <w:proofErr w:type="spellEnd"/>
            <w:r w:rsidRPr="00BA2166">
              <w:rPr>
                <w:sz w:val="20"/>
              </w:rPr>
              <w:t xml:space="preserve"> panelov zabezpečujú iní užívatelia ako súkromné domácnosti.“</w:t>
            </w:r>
          </w:p>
        </w:tc>
        <w:tc>
          <w:tcPr>
            <w:tcW w:w="567" w:type="dxa"/>
            <w:tcBorders>
              <w:top w:val="single" w:sz="4" w:space="0" w:color="auto"/>
              <w:bottom w:val="single" w:sz="4" w:space="0" w:color="auto"/>
            </w:tcBorders>
          </w:tcPr>
          <w:p w14:paraId="080FD568" w14:textId="77777777" w:rsidR="00A420CF" w:rsidRPr="00970E07" w:rsidRDefault="00A420CF" w:rsidP="00A420CF">
            <w:pPr>
              <w:jc w:val="both"/>
              <w:rPr>
                <w:sz w:val="20"/>
              </w:rPr>
            </w:pPr>
            <w:r w:rsidRPr="00970E07">
              <w:rPr>
                <w:sz w:val="20"/>
              </w:rPr>
              <w:lastRenderedPageBreak/>
              <w:t>N</w:t>
            </w:r>
          </w:p>
        </w:tc>
        <w:tc>
          <w:tcPr>
            <w:tcW w:w="914" w:type="dxa"/>
            <w:tcBorders>
              <w:top w:val="single" w:sz="4" w:space="0" w:color="auto"/>
              <w:bottom w:val="single" w:sz="4" w:space="0" w:color="auto"/>
            </w:tcBorders>
          </w:tcPr>
          <w:p w14:paraId="627AAA8E" w14:textId="77777777" w:rsidR="00A420CF" w:rsidRDefault="00920B94" w:rsidP="00A420CF">
            <w:pPr>
              <w:rPr>
                <w:sz w:val="20"/>
              </w:rPr>
            </w:pPr>
            <w:r>
              <w:rPr>
                <w:sz w:val="20"/>
              </w:rPr>
              <w:t>79/2015</w:t>
            </w:r>
          </w:p>
          <w:p w14:paraId="16EDF722" w14:textId="77777777" w:rsidR="00920B94" w:rsidRDefault="00920B94" w:rsidP="00A420CF">
            <w:pPr>
              <w:rPr>
                <w:sz w:val="20"/>
              </w:rPr>
            </w:pPr>
          </w:p>
          <w:p w14:paraId="422E9C42" w14:textId="77777777" w:rsidR="00920B94" w:rsidRDefault="00920B94" w:rsidP="00A420CF">
            <w:pPr>
              <w:rPr>
                <w:sz w:val="20"/>
              </w:rPr>
            </w:pPr>
          </w:p>
          <w:p w14:paraId="112D5FB4" w14:textId="77777777" w:rsidR="00920B94" w:rsidRDefault="00920B94" w:rsidP="00A420CF">
            <w:pPr>
              <w:rPr>
                <w:sz w:val="20"/>
              </w:rPr>
            </w:pPr>
          </w:p>
          <w:p w14:paraId="14BD3A0F" w14:textId="77777777" w:rsidR="00920B94" w:rsidRDefault="00920B94" w:rsidP="00A420CF">
            <w:pPr>
              <w:rPr>
                <w:sz w:val="20"/>
              </w:rPr>
            </w:pPr>
          </w:p>
          <w:p w14:paraId="3A6917BC" w14:textId="77777777" w:rsidR="00920B94" w:rsidRDefault="00920B94" w:rsidP="00A420CF">
            <w:pPr>
              <w:rPr>
                <w:sz w:val="20"/>
              </w:rPr>
            </w:pPr>
          </w:p>
          <w:p w14:paraId="6CC0494E" w14:textId="77777777" w:rsidR="00920B94" w:rsidRDefault="00920B94" w:rsidP="00A420CF">
            <w:pPr>
              <w:rPr>
                <w:sz w:val="20"/>
              </w:rPr>
            </w:pPr>
          </w:p>
          <w:p w14:paraId="27C93684" w14:textId="77777777" w:rsidR="00920B94" w:rsidRDefault="00920B94" w:rsidP="00A420CF">
            <w:pPr>
              <w:rPr>
                <w:sz w:val="20"/>
              </w:rPr>
            </w:pPr>
          </w:p>
          <w:p w14:paraId="6D3D1F1F" w14:textId="77777777" w:rsidR="00920B94" w:rsidRDefault="00920B94" w:rsidP="00A420CF">
            <w:pPr>
              <w:rPr>
                <w:sz w:val="20"/>
              </w:rPr>
            </w:pPr>
          </w:p>
          <w:p w14:paraId="5CDFD8CD" w14:textId="77777777" w:rsidR="00920B94" w:rsidRDefault="00920B94" w:rsidP="00A420CF">
            <w:pPr>
              <w:rPr>
                <w:sz w:val="20"/>
              </w:rPr>
            </w:pPr>
          </w:p>
          <w:p w14:paraId="128D2A16" w14:textId="77777777" w:rsidR="00920B94" w:rsidRDefault="00920B94" w:rsidP="00A420CF">
            <w:pPr>
              <w:rPr>
                <w:sz w:val="20"/>
              </w:rPr>
            </w:pPr>
          </w:p>
          <w:p w14:paraId="4C9439E6" w14:textId="77777777" w:rsidR="00920B94" w:rsidRDefault="00920B94" w:rsidP="00A420CF">
            <w:pPr>
              <w:rPr>
                <w:sz w:val="20"/>
              </w:rPr>
            </w:pPr>
          </w:p>
          <w:p w14:paraId="6D7E1753" w14:textId="77777777" w:rsidR="00920B94" w:rsidRDefault="00920B94" w:rsidP="00A420CF">
            <w:pPr>
              <w:rPr>
                <w:sz w:val="20"/>
              </w:rPr>
            </w:pPr>
          </w:p>
          <w:p w14:paraId="1951C523" w14:textId="77777777" w:rsidR="00920B94" w:rsidRDefault="00920B94" w:rsidP="00A420CF">
            <w:pPr>
              <w:rPr>
                <w:sz w:val="20"/>
              </w:rPr>
            </w:pPr>
          </w:p>
          <w:p w14:paraId="71049E76" w14:textId="77777777" w:rsidR="00920B94" w:rsidRDefault="00920B94" w:rsidP="00A420CF">
            <w:pPr>
              <w:rPr>
                <w:sz w:val="20"/>
              </w:rPr>
            </w:pPr>
          </w:p>
          <w:p w14:paraId="59401166" w14:textId="77777777" w:rsidR="00920B94" w:rsidRDefault="00920B94" w:rsidP="00A420CF">
            <w:pPr>
              <w:rPr>
                <w:sz w:val="20"/>
              </w:rPr>
            </w:pPr>
          </w:p>
          <w:p w14:paraId="09E84BB4" w14:textId="77777777" w:rsidR="00920B94" w:rsidRDefault="00920B94" w:rsidP="00A420CF">
            <w:pPr>
              <w:rPr>
                <w:sz w:val="20"/>
              </w:rPr>
            </w:pPr>
          </w:p>
          <w:p w14:paraId="2FACDD1B" w14:textId="77777777" w:rsidR="00920B94" w:rsidRDefault="00920B94" w:rsidP="00A420CF">
            <w:pPr>
              <w:rPr>
                <w:sz w:val="20"/>
              </w:rPr>
            </w:pPr>
          </w:p>
          <w:p w14:paraId="15AB2ECD" w14:textId="77777777" w:rsidR="00920B94" w:rsidRDefault="00920B94" w:rsidP="00A420CF">
            <w:pPr>
              <w:rPr>
                <w:sz w:val="20"/>
              </w:rPr>
            </w:pPr>
          </w:p>
          <w:p w14:paraId="632F27B7" w14:textId="77777777" w:rsidR="00920B94" w:rsidRDefault="00920B94" w:rsidP="00A420CF">
            <w:pPr>
              <w:rPr>
                <w:sz w:val="20"/>
              </w:rPr>
            </w:pPr>
          </w:p>
          <w:p w14:paraId="23138EFE" w14:textId="77777777" w:rsidR="00920B94" w:rsidRDefault="00920B94" w:rsidP="00A420CF">
            <w:pPr>
              <w:rPr>
                <w:sz w:val="20"/>
              </w:rPr>
            </w:pPr>
          </w:p>
          <w:p w14:paraId="40617540" w14:textId="6E4F41E4" w:rsidR="00920B94" w:rsidRDefault="00920B94" w:rsidP="00A420CF">
            <w:pPr>
              <w:rPr>
                <w:sz w:val="20"/>
              </w:rPr>
            </w:pPr>
          </w:p>
          <w:p w14:paraId="719FA93B" w14:textId="77777777" w:rsidR="00134F1E" w:rsidRDefault="00134F1E" w:rsidP="00A420CF">
            <w:pPr>
              <w:rPr>
                <w:sz w:val="20"/>
              </w:rPr>
            </w:pPr>
          </w:p>
          <w:p w14:paraId="75DBDCF5" w14:textId="77777777" w:rsidR="00920B94" w:rsidRDefault="00920B94" w:rsidP="00A420CF">
            <w:pPr>
              <w:rPr>
                <w:sz w:val="20"/>
              </w:rPr>
            </w:pPr>
          </w:p>
          <w:p w14:paraId="0EB89280" w14:textId="77777777" w:rsidR="00920B94" w:rsidRDefault="00920B94" w:rsidP="00920B94">
            <w:pPr>
              <w:rPr>
                <w:sz w:val="20"/>
              </w:rPr>
            </w:pPr>
            <w:r>
              <w:rPr>
                <w:sz w:val="20"/>
              </w:rPr>
              <w:t>79/2015,</w:t>
            </w:r>
          </w:p>
          <w:p w14:paraId="59D8F6C4" w14:textId="77777777" w:rsidR="00920B94" w:rsidRDefault="00920B94" w:rsidP="00920B94">
            <w:pPr>
              <w:rPr>
                <w:color w:val="FF0000"/>
                <w:sz w:val="20"/>
              </w:rPr>
            </w:pPr>
            <w:r w:rsidRPr="00B947DC">
              <w:rPr>
                <w:color w:val="FF0000"/>
                <w:sz w:val="20"/>
              </w:rPr>
              <w:t>NZ</w:t>
            </w:r>
          </w:p>
          <w:p w14:paraId="737F94DE" w14:textId="77777777" w:rsidR="00920B94" w:rsidRPr="00970E07" w:rsidRDefault="00920B94" w:rsidP="00A420CF">
            <w:pPr>
              <w:rPr>
                <w:sz w:val="20"/>
              </w:rPr>
            </w:pPr>
          </w:p>
        </w:tc>
        <w:tc>
          <w:tcPr>
            <w:tcW w:w="851" w:type="dxa"/>
            <w:tcBorders>
              <w:top w:val="single" w:sz="4" w:space="0" w:color="auto"/>
              <w:bottom w:val="single" w:sz="4" w:space="0" w:color="auto"/>
            </w:tcBorders>
          </w:tcPr>
          <w:p w14:paraId="007EF66C" w14:textId="77777777" w:rsidR="00A420CF" w:rsidRDefault="00920B94" w:rsidP="005B53BC">
            <w:pPr>
              <w:pStyle w:val="BodyText21"/>
              <w:spacing w:before="0" w:line="240" w:lineRule="auto"/>
              <w:jc w:val="left"/>
            </w:pPr>
            <w:r>
              <w:t>§27 O5</w:t>
            </w:r>
          </w:p>
          <w:p w14:paraId="21C044C2" w14:textId="77777777" w:rsidR="00920B94" w:rsidRDefault="00920B94" w:rsidP="005B53BC">
            <w:pPr>
              <w:pStyle w:val="BodyText21"/>
              <w:spacing w:before="0" w:line="240" w:lineRule="auto"/>
              <w:jc w:val="left"/>
            </w:pPr>
          </w:p>
          <w:p w14:paraId="681A90CE" w14:textId="77777777" w:rsidR="00920B94" w:rsidRDefault="00920B94" w:rsidP="005B53BC">
            <w:pPr>
              <w:pStyle w:val="BodyText21"/>
              <w:spacing w:before="0" w:line="240" w:lineRule="auto"/>
              <w:jc w:val="left"/>
            </w:pPr>
          </w:p>
          <w:p w14:paraId="5E321B5E" w14:textId="77777777" w:rsidR="00920B94" w:rsidRDefault="00920B94" w:rsidP="005B53BC">
            <w:pPr>
              <w:pStyle w:val="BodyText21"/>
              <w:spacing w:before="0" w:line="240" w:lineRule="auto"/>
              <w:jc w:val="left"/>
            </w:pPr>
          </w:p>
          <w:p w14:paraId="4350D64A" w14:textId="77777777" w:rsidR="00920B94" w:rsidRDefault="00920B94" w:rsidP="005B53BC">
            <w:pPr>
              <w:pStyle w:val="BodyText21"/>
              <w:spacing w:before="0" w:line="240" w:lineRule="auto"/>
              <w:jc w:val="left"/>
            </w:pPr>
          </w:p>
          <w:p w14:paraId="0F39B95D" w14:textId="77777777" w:rsidR="00920B94" w:rsidRDefault="00920B94" w:rsidP="005B53BC">
            <w:pPr>
              <w:pStyle w:val="BodyText21"/>
              <w:spacing w:before="0" w:line="240" w:lineRule="auto"/>
              <w:jc w:val="left"/>
            </w:pPr>
          </w:p>
          <w:p w14:paraId="3488EE84" w14:textId="77777777" w:rsidR="00920B94" w:rsidRDefault="00920B94" w:rsidP="005B53BC">
            <w:pPr>
              <w:pStyle w:val="BodyText21"/>
              <w:spacing w:before="0" w:line="240" w:lineRule="auto"/>
              <w:jc w:val="left"/>
            </w:pPr>
          </w:p>
          <w:p w14:paraId="04330D9B" w14:textId="77777777" w:rsidR="00920B94" w:rsidRDefault="00920B94" w:rsidP="005B53BC">
            <w:pPr>
              <w:pStyle w:val="BodyText21"/>
              <w:spacing w:before="0" w:line="240" w:lineRule="auto"/>
              <w:jc w:val="left"/>
            </w:pPr>
          </w:p>
          <w:p w14:paraId="359DAA02" w14:textId="77777777" w:rsidR="00920B94" w:rsidRDefault="00920B94" w:rsidP="005B53BC">
            <w:pPr>
              <w:pStyle w:val="BodyText21"/>
              <w:spacing w:before="0" w:line="240" w:lineRule="auto"/>
              <w:jc w:val="left"/>
            </w:pPr>
          </w:p>
          <w:p w14:paraId="7C8FD921" w14:textId="77777777" w:rsidR="00260108" w:rsidRDefault="00260108" w:rsidP="005B53BC">
            <w:pPr>
              <w:pStyle w:val="BodyText21"/>
              <w:spacing w:before="0" w:line="240" w:lineRule="auto"/>
              <w:jc w:val="left"/>
            </w:pPr>
          </w:p>
          <w:p w14:paraId="3589AEFD" w14:textId="77777777" w:rsidR="00260108" w:rsidRDefault="00260108" w:rsidP="005B53BC">
            <w:pPr>
              <w:pStyle w:val="BodyText21"/>
              <w:spacing w:before="0" w:line="240" w:lineRule="auto"/>
              <w:jc w:val="left"/>
            </w:pPr>
          </w:p>
          <w:p w14:paraId="7E0AFE3E" w14:textId="77777777" w:rsidR="00260108" w:rsidRDefault="00260108" w:rsidP="005B53BC">
            <w:pPr>
              <w:pStyle w:val="BodyText21"/>
              <w:spacing w:before="0" w:line="240" w:lineRule="auto"/>
              <w:jc w:val="left"/>
            </w:pPr>
          </w:p>
          <w:p w14:paraId="06C884AB" w14:textId="77777777" w:rsidR="00260108" w:rsidRDefault="00260108" w:rsidP="005B53BC">
            <w:pPr>
              <w:pStyle w:val="BodyText21"/>
              <w:spacing w:before="0" w:line="240" w:lineRule="auto"/>
              <w:jc w:val="left"/>
            </w:pPr>
          </w:p>
          <w:p w14:paraId="55963636" w14:textId="77777777" w:rsidR="00260108" w:rsidRDefault="00260108" w:rsidP="005B53BC">
            <w:pPr>
              <w:pStyle w:val="BodyText21"/>
              <w:spacing w:before="0" w:line="240" w:lineRule="auto"/>
              <w:jc w:val="left"/>
            </w:pPr>
          </w:p>
          <w:p w14:paraId="7EAAA841" w14:textId="77777777" w:rsidR="00260108" w:rsidRDefault="00260108" w:rsidP="005B53BC">
            <w:pPr>
              <w:pStyle w:val="BodyText21"/>
              <w:spacing w:before="0" w:line="240" w:lineRule="auto"/>
              <w:jc w:val="left"/>
            </w:pPr>
          </w:p>
          <w:p w14:paraId="7405C25E" w14:textId="77777777" w:rsidR="00260108" w:rsidRDefault="00260108" w:rsidP="005B53BC">
            <w:pPr>
              <w:pStyle w:val="BodyText21"/>
              <w:spacing w:before="0" w:line="240" w:lineRule="auto"/>
              <w:jc w:val="left"/>
            </w:pPr>
          </w:p>
          <w:p w14:paraId="1BFE7AA0" w14:textId="77777777" w:rsidR="00260108" w:rsidRDefault="00260108" w:rsidP="005B53BC">
            <w:pPr>
              <w:pStyle w:val="BodyText21"/>
              <w:spacing w:before="0" w:line="240" w:lineRule="auto"/>
              <w:jc w:val="left"/>
            </w:pPr>
          </w:p>
          <w:p w14:paraId="0CB303F3" w14:textId="77777777" w:rsidR="00260108" w:rsidRDefault="00260108" w:rsidP="005B53BC">
            <w:pPr>
              <w:pStyle w:val="BodyText21"/>
              <w:spacing w:before="0" w:line="240" w:lineRule="auto"/>
              <w:jc w:val="left"/>
            </w:pPr>
          </w:p>
          <w:p w14:paraId="4AAB411E" w14:textId="77777777" w:rsidR="00260108" w:rsidRDefault="00260108" w:rsidP="005B53BC">
            <w:pPr>
              <w:pStyle w:val="BodyText21"/>
              <w:spacing w:before="0" w:line="240" w:lineRule="auto"/>
              <w:jc w:val="left"/>
            </w:pPr>
          </w:p>
          <w:p w14:paraId="26EDEC73" w14:textId="77777777" w:rsidR="00260108" w:rsidRDefault="00260108" w:rsidP="005B53BC">
            <w:pPr>
              <w:pStyle w:val="BodyText21"/>
              <w:spacing w:before="0" w:line="240" w:lineRule="auto"/>
              <w:jc w:val="left"/>
            </w:pPr>
          </w:p>
          <w:p w14:paraId="1094B55F" w14:textId="77777777" w:rsidR="00260108" w:rsidRDefault="00260108" w:rsidP="005B53BC">
            <w:pPr>
              <w:pStyle w:val="BodyText21"/>
              <w:spacing w:before="0" w:line="240" w:lineRule="auto"/>
              <w:jc w:val="left"/>
            </w:pPr>
          </w:p>
          <w:p w14:paraId="33FEBCD4" w14:textId="77777777" w:rsidR="00260108" w:rsidRDefault="00260108" w:rsidP="005B53BC">
            <w:pPr>
              <w:pStyle w:val="BodyText21"/>
              <w:spacing w:before="0" w:line="240" w:lineRule="auto"/>
              <w:jc w:val="left"/>
            </w:pPr>
          </w:p>
          <w:p w14:paraId="4E9ED726" w14:textId="4B8E5734" w:rsidR="00260108" w:rsidRDefault="00260108" w:rsidP="005B53BC">
            <w:pPr>
              <w:pStyle w:val="BodyText21"/>
              <w:spacing w:before="0" w:line="240" w:lineRule="auto"/>
              <w:jc w:val="left"/>
            </w:pPr>
          </w:p>
          <w:p w14:paraId="2EB44008" w14:textId="77777777" w:rsidR="00134F1E" w:rsidRDefault="00134F1E" w:rsidP="005B53BC">
            <w:pPr>
              <w:pStyle w:val="BodyText21"/>
              <w:spacing w:before="0" w:line="240" w:lineRule="auto"/>
              <w:jc w:val="left"/>
            </w:pPr>
          </w:p>
          <w:p w14:paraId="3EB0A73E" w14:textId="77777777" w:rsidR="00260108" w:rsidRDefault="00260108" w:rsidP="005B53BC">
            <w:pPr>
              <w:pStyle w:val="BodyText21"/>
              <w:spacing w:before="0" w:line="240" w:lineRule="auto"/>
              <w:jc w:val="left"/>
            </w:pPr>
            <w:r>
              <w:t>§36 O1</w:t>
            </w:r>
          </w:p>
          <w:p w14:paraId="1A0CD895" w14:textId="77777777" w:rsidR="00260108" w:rsidRDefault="00260108" w:rsidP="005B53BC">
            <w:pPr>
              <w:pStyle w:val="BodyText21"/>
              <w:spacing w:before="0" w:line="240" w:lineRule="auto"/>
              <w:jc w:val="left"/>
            </w:pPr>
          </w:p>
          <w:p w14:paraId="79DD848C" w14:textId="77777777" w:rsidR="00260108" w:rsidRDefault="00260108" w:rsidP="005B53BC">
            <w:pPr>
              <w:pStyle w:val="BodyText21"/>
              <w:spacing w:before="0" w:line="240" w:lineRule="auto"/>
              <w:jc w:val="left"/>
            </w:pPr>
          </w:p>
          <w:p w14:paraId="4232E672" w14:textId="77777777" w:rsidR="00260108" w:rsidRDefault="00260108" w:rsidP="005B53BC">
            <w:pPr>
              <w:pStyle w:val="BodyText21"/>
              <w:spacing w:before="0" w:line="240" w:lineRule="auto"/>
              <w:jc w:val="left"/>
            </w:pPr>
          </w:p>
          <w:p w14:paraId="35BF795C" w14:textId="77777777" w:rsidR="00260108" w:rsidRDefault="00260108" w:rsidP="005B53BC">
            <w:pPr>
              <w:pStyle w:val="BodyText21"/>
              <w:spacing w:before="0" w:line="240" w:lineRule="auto"/>
              <w:jc w:val="left"/>
            </w:pPr>
          </w:p>
          <w:p w14:paraId="0D9F7F03" w14:textId="77777777" w:rsidR="00260108" w:rsidRDefault="00260108" w:rsidP="005B53BC">
            <w:pPr>
              <w:pStyle w:val="BodyText21"/>
              <w:spacing w:before="0" w:line="240" w:lineRule="auto"/>
              <w:jc w:val="left"/>
            </w:pPr>
          </w:p>
          <w:p w14:paraId="3AD85F98" w14:textId="77777777" w:rsidR="00260108" w:rsidRDefault="00260108" w:rsidP="005B53BC">
            <w:pPr>
              <w:pStyle w:val="BodyText21"/>
              <w:spacing w:before="0" w:line="240" w:lineRule="auto"/>
              <w:jc w:val="left"/>
            </w:pPr>
          </w:p>
          <w:p w14:paraId="19D82B54" w14:textId="77777777" w:rsidR="00260108" w:rsidRDefault="00260108" w:rsidP="005B53BC">
            <w:pPr>
              <w:pStyle w:val="BodyText21"/>
              <w:spacing w:before="0" w:line="240" w:lineRule="auto"/>
              <w:jc w:val="left"/>
            </w:pPr>
          </w:p>
          <w:p w14:paraId="1502F894" w14:textId="77777777" w:rsidR="00260108" w:rsidRDefault="00260108" w:rsidP="005B53BC">
            <w:pPr>
              <w:pStyle w:val="BodyText21"/>
              <w:spacing w:before="0" w:line="240" w:lineRule="auto"/>
              <w:jc w:val="left"/>
            </w:pPr>
          </w:p>
          <w:p w14:paraId="2E070F0C" w14:textId="3F0C47F4" w:rsidR="00260108" w:rsidRDefault="00260108" w:rsidP="005B53BC">
            <w:pPr>
              <w:pStyle w:val="BodyText21"/>
              <w:spacing w:before="0" w:line="240" w:lineRule="auto"/>
              <w:jc w:val="left"/>
            </w:pPr>
          </w:p>
          <w:p w14:paraId="5531242C" w14:textId="046A48DE" w:rsidR="00134F1E" w:rsidRDefault="00134F1E" w:rsidP="005B53BC">
            <w:pPr>
              <w:pStyle w:val="BodyText21"/>
              <w:spacing w:before="0" w:line="240" w:lineRule="auto"/>
              <w:jc w:val="left"/>
            </w:pPr>
          </w:p>
          <w:p w14:paraId="7C7A2943" w14:textId="2EFFB6F3" w:rsidR="00134F1E" w:rsidRDefault="00134F1E" w:rsidP="005B53BC">
            <w:pPr>
              <w:pStyle w:val="BodyText21"/>
              <w:spacing w:before="0" w:line="240" w:lineRule="auto"/>
              <w:jc w:val="left"/>
            </w:pPr>
          </w:p>
          <w:p w14:paraId="231A47BE" w14:textId="2AEA5ECD" w:rsidR="00134F1E" w:rsidRDefault="00134F1E" w:rsidP="005B53BC">
            <w:pPr>
              <w:pStyle w:val="BodyText21"/>
              <w:spacing w:before="0" w:line="240" w:lineRule="auto"/>
              <w:jc w:val="left"/>
            </w:pPr>
          </w:p>
          <w:p w14:paraId="7C43B16A" w14:textId="18C7DB60" w:rsidR="00134F1E" w:rsidRDefault="00134F1E" w:rsidP="005B53BC">
            <w:pPr>
              <w:pStyle w:val="BodyText21"/>
              <w:spacing w:before="0" w:line="240" w:lineRule="auto"/>
              <w:jc w:val="left"/>
            </w:pPr>
          </w:p>
          <w:p w14:paraId="4637A2F4" w14:textId="0927E9FF" w:rsidR="00134F1E" w:rsidRDefault="00134F1E" w:rsidP="005B53BC">
            <w:pPr>
              <w:pStyle w:val="BodyText21"/>
              <w:spacing w:before="0" w:line="240" w:lineRule="auto"/>
              <w:jc w:val="left"/>
            </w:pPr>
          </w:p>
          <w:p w14:paraId="5B48A032" w14:textId="11412A1F" w:rsidR="00134F1E" w:rsidRDefault="00134F1E" w:rsidP="005B53BC">
            <w:pPr>
              <w:pStyle w:val="BodyText21"/>
              <w:spacing w:before="0" w:line="240" w:lineRule="auto"/>
              <w:jc w:val="left"/>
            </w:pPr>
          </w:p>
          <w:p w14:paraId="0BF990ED" w14:textId="150E491F" w:rsidR="00134F1E" w:rsidRDefault="00134F1E" w:rsidP="005B53BC">
            <w:pPr>
              <w:pStyle w:val="BodyText21"/>
              <w:spacing w:before="0" w:line="240" w:lineRule="auto"/>
              <w:jc w:val="left"/>
            </w:pPr>
          </w:p>
          <w:p w14:paraId="6017F304" w14:textId="26AC02F8" w:rsidR="00134F1E" w:rsidRDefault="00134F1E" w:rsidP="005B53BC">
            <w:pPr>
              <w:pStyle w:val="BodyText21"/>
              <w:spacing w:before="0" w:line="240" w:lineRule="auto"/>
              <w:jc w:val="left"/>
            </w:pPr>
          </w:p>
          <w:p w14:paraId="2FFAA043" w14:textId="77777777" w:rsidR="00134F1E" w:rsidRDefault="00134F1E" w:rsidP="005B53BC">
            <w:pPr>
              <w:pStyle w:val="BodyText21"/>
              <w:spacing w:before="0" w:line="240" w:lineRule="auto"/>
              <w:jc w:val="left"/>
            </w:pPr>
          </w:p>
          <w:p w14:paraId="1CD9CB5E" w14:textId="77777777" w:rsidR="00BA1209" w:rsidRDefault="00BA1209" w:rsidP="005B53BC">
            <w:pPr>
              <w:pStyle w:val="BodyText21"/>
              <w:spacing w:before="0" w:line="240" w:lineRule="auto"/>
              <w:jc w:val="left"/>
            </w:pPr>
          </w:p>
          <w:p w14:paraId="3B4637E5" w14:textId="77777777" w:rsidR="00BA1209" w:rsidRDefault="00BA1209" w:rsidP="005B53BC">
            <w:pPr>
              <w:pStyle w:val="BodyText21"/>
              <w:spacing w:before="0" w:line="240" w:lineRule="auto"/>
              <w:jc w:val="left"/>
            </w:pPr>
          </w:p>
          <w:p w14:paraId="5FD90B8F" w14:textId="05EB9F2D" w:rsidR="00260108" w:rsidRDefault="00260108" w:rsidP="005B53BC">
            <w:pPr>
              <w:pStyle w:val="BodyText21"/>
              <w:spacing w:before="0" w:line="240" w:lineRule="auto"/>
              <w:jc w:val="left"/>
            </w:pPr>
            <w:r>
              <w:t>§36 O2</w:t>
            </w:r>
          </w:p>
          <w:p w14:paraId="249D62BD" w14:textId="77777777" w:rsidR="00260108" w:rsidRDefault="00260108" w:rsidP="005B53BC">
            <w:pPr>
              <w:pStyle w:val="BodyText21"/>
              <w:spacing w:before="0" w:line="240" w:lineRule="auto"/>
              <w:jc w:val="left"/>
            </w:pPr>
          </w:p>
          <w:p w14:paraId="44E1B4D1" w14:textId="77777777" w:rsidR="00260108" w:rsidRDefault="00260108" w:rsidP="005B53BC">
            <w:pPr>
              <w:pStyle w:val="BodyText21"/>
              <w:spacing w:before="0" w:line="240" w:lineRule="auto"/>
              <w:jc w:val="left"/>
            </w:pPr>
          </w:p>
          <w:p w14:paraId="21E28CB2" w14:textId="77777777" w:rsidR="00260108" w:rsidRDefault="00260108" w:rsidP="005B53BC">
            <w:pPr>
              <w:pStyle w:val="BodyText21"/>
              <w:spacing w:before="0" w:line="240" w:lineRule="auto"/>
              <w:jc w:val="left"/>
            </w:pPr>
          </w:p>
          <w:p w14:paraId="0B3C492E" w14:textId="77777777" w:rsidR="00260108" w:rsidRDefault="00260108" w:rsidP="005B53BC">
            <w:pPr>
              <w:pStyle w:val="BodyText21"/>
              <w:spacing w:before="0" w:line="240" w:lineRule="auto"/>
              <w:jc w:val="left"/>
            </w:pPr>
          </w:p>
          <w:p w14:paraId="22D02C40" w14:textId="77777777" w:rsidR="00260108" w:rsidRDefault="00260108" w:rsidP="005B53BC">
            <w:pPr>
              <w:pStyle w:val="BodyText21"/>
              <w:spacing w:before="0" w:line="240" w:lineRule="auto"/>
              <w:jc w:val="left"/>
            </w:pPr>
          </w:p>
          <w:p w14:paraId="273E521E" w14:textId="77777777" w:rsidR="00260108" w:rsidRDefault="00260108" w:rsidP="005B53BC">
            <w:pPr>
              <w:pStyle w:val="BodyText21"/>
              <w:spacing w:before="0" w:line="240" w:lineRule="auto"/>
              <w:jc w:val="left"/>
            </w:pPr>
          </w:p>
          <w:p w14:paraId="1CE10B96" w14:textId="77777777" w:rsidR="00260108" w:rsidRDefault="00260108" w:rsidP="005B53BC">
            <w:pPr>
              <w:pStyle w:val="BodyText21"/>
              <w:spacing w:before="0" w:line="240" w:lineRule="auto"/>
              <w:jc w:val="left"/>
            </w:pPr>
          </w:p>
          <w:p w14:paraId="0086464C" w14:textId="07B419BC" w:rsidR="00260108" w:rsidRDefault="00260108" w:rsidP="005B53BC">
            <w:pPr>
              <w:pStyle w:val="BodyText21"/>
              <w:spacing w:before="0" w:line="240" w:lineRule="auto"/>
              <w:jc w:val="left"/>
            </w:pPr>
          </w:p>
          <w:p w14:paraId="234BE51D" w14:textId="77777777" w:rsidR="00134F1E" w:rsidRDefault="00134F1E" w:rsidP="005B53BC">
            <w:pPr>
              <w:pStyle w:val="BodyText21"/>
              <w:spacing w:before="0" w:line="240" w:lineRule="auto"/>
              <w:jc w:val="left"/>
            </w:pPr>
          </w:p>
          <w:p w14:paraId="3A438C0E" w14:textId="77777777" w:rsidR="00260108" w:rsidRDefault="00260108" w:rsidP="005B53BC">
            <w:pPr>
              <w:pStyle w:val="BodyText21"/>
              <w:spacing w:before="0" w:line="240" w:lineRule="auto"/>
              <w:jc w:val="left"/>
            </w:pPr>
            <w:r>
              <w:t>§36 O3</w:t>
            </w:r>
          </w:p>
          <w:p w14:paraId="4C60C2A3" w14:textId="77777777" w:rsidR="00260108" w:rsidRDefault="00260108" w:rsidP="005B53BC">
            <w:pPr>
              <w:pStyle w:val="BodyText21"/>
              <w:spacing w:before="0" w:line="240" w:lineRule="auto"/>
              <w:jc w:val="left"/>
            </w:pPr>
          </w:p>
          <w:p w14:paraId="3717CC72" w14:textId="6E2EE6EF" w:rsidR="00260108" w:rsidRDefault="00260108" w:rsidP="005B53BC">
            <w:pPr>
              <w:pStyle w:val="BodyText21"/>
              <w:spacing w:before="0" w:line="240" w:lineRule="auto"/>
              <w:jc w:val="left"/>
            </w:pPr>
          </w:p>
          <w:p w14:paraId="185E634D" w14:textId="77777777" w:rsidR="00134F1E" w:rsidRDefault="00134F1E" w:rsidP="005B53BC">
            <w:pPr>
              <w:pStyle w:val="BodyText21"/>
              <w:spacing w:before="0" w:line="240" w:lineRule="auto"/>
              <w:jc w:val="left"/>
            </w:pPr>
          </w:p>
          <w:p w14:paraId="270AF41A" w14:textId="77777777" w:rsidR="00260108" w:rsidRDefault="00260108" w:rsidP="005B53BC">
            <w:pPr>
              <w:pStyle w:val="BodyText21"/>
              <w:spacing w:before="0" w:line="240" w:lineRule="auto"/>
              <w:jc w:val="left"/>
            </w:pPr>
            <w:r>
              <w:t>§36 O4</w:t>
            </w:r>
          </w:p>
          <w:p w14:paraId="6A43563F" w14:textId="77777777" w:rsidR="00920B94" w:rsidRDefault="00920B94" w:rsidP="005B53BC">
            <w:pPr>
              <w:pStyle w:val="BodyText21"/>
              <w:spacing w:before="0" w:line="240" w:lineRule="auto"/>
              <w:jc w:val="left"/>
            </w:pPr>
          </w:p>
          <w:p w14:paraId="34508FB2" w14:textId="77777777" w:rsidR="00920B94" w:rsidRDefault="00920B94" w:rsidP="005B53BC">
            <w:pPr>
              <w:pStyle w:val="BodyText21"/>
              <w:spacing w:before="0" w:line="240" w:lineRule="auto"/>
              <w:jc w:val="left"/>
            </w:pPr>
          </w:p>
          <w:p w14:paraId="11A56D38" w14:textId="77777777" w:rsidR="00920B94" w:rsidRDefault="00920B94" w:rsidP="005B53BC">
            <w:pPr>
              <w:pStyle w:val="BodyText21"/>
              <w:spacing w:before="0" w:line="240" w:lineRule="auto"/>
              <w:jc w:val="left"/>
            </w:pPr>
          </w:p>
          <w:p w14:paraId="125BB0BF" w14:textId="77777777" w:rsidR="00920B94" w:rsidRDefault="00920B94" w:rsidP="005B53BC">
            <w:pPr>
              <w:pStyle w:val="BodyText21"/>
              <w:spacing w:before="0" w:line="240" w:lineRule="auto"/>
              <w:jc w:val="left"/>
            </w:pPr>
          </w:p>
          <w:p w14:paraId="62985A17" w14:textId="77777777" w:rsidR="00920B94" w:rsidRDefault="00920B94" w:rsidP="005B53BC">
            <w:pPr>
              <w:pStyle w:val="BodyText21"/>
              <w:spacing w:before="0" w:line="240" w:lineRule="auto"/>
              <w:jc w:val="left"/>
            </w:pPr>
          </w:p>
          <w:p w14:paraId="09C501DF" w14:textId="77777777" w:rsidR="00920B94" w:rsidRDefault="00920B94" w:rsidP="005B53BC">
            <w:pPr>
              <w:pStyle w:val="BodyText21"/>
              <w:spacing w:before="0" w:line="240" w:lineRule="auto"/>
              <w:jc w:val="left"/>
            </w:pPr>
          </w:p>
          <w:p w14:paraId="65E56F7F" w14:textId="77777777" w:rsidR="00920B94" w:rsidRDefault="00920B94" w:rsidP="005B53BC">
            <w:pPr>
              <w:pStyle w:val="BodyText21"/>
              <w:spacing w:before="0" w:line="240" w:lineRule="auto"/>
              <w:jc w:val="left"/>
            </w:pPr>
          </w:p>
          <w:p w14:paraId="2DF350C7" w14:textId="77777777" w:rsidR="00920B94" w:rsidRDefault="00920B94" w:rsidP="005B53BC">
            <w:pPr>
              <w:pStyle w:val="BodyText21"/>
              <w:spacing w:before="0" w:line="240" w:lineRule="auto"/>
              <w:jc w:val="left"/>
            </w:pPr>
          </w:p>
          <w:p w14:paraId="6A6E9C83" w14:textId="77777777" w:rsidR="00920B94" w:rsidRPr="00970E07" w:rsidRDefault="00920B94" w:rsidP="005B53BC">
            <w:pPr>
              <w:pStyle w:val="BodyText21"/>
              <w:spacing w:before="0" w:line="240" w:lineRule="auto"/>
              <w:jc w:val="left"/>
            </w:pPr>
          </w:p>
        </w:tc>
        <w:tc>
          <w:tcPr>
            <w:tcW w:w="4111" w:type="dxa"/>
            <w:tcBorders>
              <w:top w:val="single" w:sz="4" w:space="0" w:color="auto"/>
              <w:bottom w:val="single" w:sz="4" w:space="0" w:color="auto"/>
            </w:tcBorders>
          </w:tcPr>
          <w:p w14:paraId="30772C9A" w14:textId="1016C46F" w:rsidR="00D61A42" w:rsidRDefault="00D61A42" w:rsidP="00D61A42">
            <w:pPr>
              <w:pStyle w:val="Odsekzoznamu"/>
              <w:spacing w:after="0" w:line="240" w:lineRule="auto"/>
              <w:ind w:left="0"/>
              <w:contextualSpacing w:val="0"/>
              <w:jc w:val="both"/>
              <w:rPr>
                <w:rFonts w:ascii="Times New Roman" w:hAnsi="Times New Roman"/>
                <w:sz w:val="20"/>
                <w:szCs w:val="20"/>
              </w:rPr>
            </w:pPr>
            <w:r w:rsidRPr="008541C9">
              <w:rPr>
                <w:rFonts w:ascii="Times New Roman" w:hAnsi="Times New Roman"/>
                <w:sz w:val="20"/>
                <w:szCs w:val="20"/>
              </w:rPr>
              <w:lastRenderedPageBreak/>
              <w:t>(5) 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r w:rsidR="002B3261">
              <w:rPr>
                <w:rFonts w:ascii="Times New Roman" w:hAnsi="Times New Roman"/>
                <w:sz w:val="20"/>
                <w:szCs w:val="20"/>
              </w:rPr>
              <w:t xml:space="preserve"> </w:t>
            </w:r>
          </w:p>
          <w:p w14:paraId="547A9796" w14:textId="77777777" w:rsidR="00134F1E" w:rsidRPr="008541C9" w:rsidRDefault="00134F1E" w:rsidP="00D61A42">
            <w:pPr>
              <w:pStyle w:val="Odsekzoznamu"/>
              <w:spacing w:after="0" w:line="240" w:lineRule="auto"/>
              <w:ind w:left="0"/>
              <w:contextualSpacing w:val="0"/>
              <w:jc w:val="both"/>
              <w:rPr>
                <w:rFonts w:ascii="Times New Roman" w:hAnsi="Times New Roman"/>
                <w:sz w:val="20"/>
                <w:szCs w:val="20"/>
              </w:rPr>
            </w:pPr>
          </w:p>
          <w:p w14:paraId="072525FC" w14:textId="77777777" w:rsidR="00134F1E" w:rsidRPr="00134F1E" w:rsidRDefault="00134F1E" w:rsidP="00134F1E">
            <w:pPr>
              <w:pStyle w:val="Odsekzoznamu"/>
              <w:spacing w:after="0" w:line="240" w:lineRule="auto"/>
              <w:ind w:left="0"/>
              <w:contextualSpacing w:val="0"/>
              <w:jc w:val="both"/>
              <w:rPr>
                <w:rFonts w:ascii="Times New Roman" w:hAnsi="Times New Roman"/>
                <w:color w:val="FF0000"/>
                <w:sz w:val="20"/>
                <w:szCs w:val="20"/>
              </w:rPr>
            </w:pPr>
            <w:r w:rsidRPr="00134F1E">
              <w:rPr>
                <w:rFonts w:ascii="Times New Roman" w:hAnsi="Times New Roman"/>
                <w:sz w:val="20"/>
              </w:rPr>
              <w:t xml:space="preserve">(1) Výrobca elektrozariadení je povinný zabezpečiť na vlastné náklady individuálne nakladanie alebo kolektívne nakladanie s odovzdaným novým </w:t>
            </w:r>
            <w:proofErr w:type="spellStart"/>
            <w:r w:rsidRPr="00134F1E">
              <w:rPr>
                <w:rFonts w:ascii="Times New Roman" w:hAnsi="Times New Roman"/>
                <w:sz w:val="20"/>
              </w:rPr>
              <w:t>elektroodpadom</w:t>
            </w:r>
            <w:proofErr w:type="spellEnd"/>
            <w:r w:rsidRPr="00134F1E">
              <w:rPr>
                <w:rFonts w:ascii="Times New Roman" w:hAnsi="Times New Roman"/>
                <w:sz w:val="20"/>
              </w:rPr>
              <w:t xml:space="preserve">, ktorý nie je </w:t>
            </w:r>
            <w:proofErr w:type="spellStart"/>
            <w:r w:rsidRPr="00134F1E">
              <w:rPr>
                <w:rFonts w:ascii="Times New Roman" w:hAnsi="Times New Roman"/>
                <w:sz w:val="20"/>
              </w:rPr>
              <w:t>elektroodpadom</w:t>
            </w:r>
            <w:proofErr w:type="spellEnd"/>
            <w:r w:rsidRPr="00134F1E">
              <w:rPr>
                <w:rFonts w:ascii="Times New Roman" w:hAnsi="Times New Roman"/>
                <w:sz w:val="20"/>
              </w:rPr>
              <w:t xml:space="preserve"> z domácností [§ 34 ods. 1 písm. e) druhý bod], ak pochádza z elektrozariadení z jeho výroby, predaja, cezhraničnej prepravy z iného členského štátu do Slovenskej republiky alebo dovozu</w:t>
            </w:r>
            <w:r w:rsidRPr="00134F1E">
              <w:rPr>
                <w:rFonts w:ascii="Times New Roman" w:hAnsi="Times New Roman"/>
                <w:color w:val="FF0000"/>
                <w:sz w:val="20"/>
                <w:szCs w:val="20"/>
              </w:rPr>
              <w:t>, ak ide o:</w:t>
            </w:r>
          </w:p>
          <w:p w14:paraId="372ED883" w14:textId="77777777" w:rsidR="00134F1E" w:rsidRPr="00134F1E" w:rsidRDefault="00134F1E" w:rsidP="00134F1E">
            <w:pPr>
              <w:pStyle w:val="Odsekzoznamu"/>
              <w:spacing w:after="0" w:line="240" w:lineRule="auto"/>
              <w:ind w:left="0"/>
              <w:contextualSpacing w:val="0"/>
              <w:jc w:val="both"/>
              <w:rPr>
                <w:rFonts w:ascii="Times New Roman" w:hAnsi="Times New Roman"/>
                <w:color w:val="FF0000"/>
                <w:sz w:val="20"/>
                <w:szCs w:val="20"/>
              </w:rPr>
            </w:pPr>
            <w:r w:rsidRPr="00134F1E">
              <w:rPr>
                <w:rFonts w:ascii="Times New Roman" w:hAnsi="Times New Roman"/>
                <w:color w:val="FF0000"/>
                <w:sz w:val="20"/>
                <w:szCs w:val="20"/>
              </w:rPr>
              <w:lastRenderedPageBreak/>
              <w:t xml:space="preserve">a) </w:t>
            </w:r>
            <w:proofErr w:type="spellStart"/>
            <w:r w:rsidRPr="00134F1E">
              <w:rPr>
                <w:rFonts w:ascii="Times New Roman" w:hAnsi="Times New Roman"/>
                <w:color w:val="FF0000"/>
                <w:sz w:val="20"/>
                <w:szCs w:val="20"/>
              </w:rPr>
              <w:t>elektroodpad</w:t>
            </w:r>
            <w:proofErr w:type="spellEnd"/>
            <w:r w:rsidRPr="00134F1E">
              <w:rPr>
                <w:rFonts w:ascii="Times New Roman" w:hAnsi="Times New Roman"/>
                <w:color w:val="FF0000"/>
                <w:sz w:val="20"/>
                <w:szCs w:val="20"/>
              </w:rPr>
              <w:t xml:space="preserve"> pochádzajúci z elektrozariadení iných ako </w:t>
            </w:r>
            <w:proofErr w:type="spellStart"/>
            <w:r w:rsidRPr="00134F1E">
              <w:rPr>
                <w:rFonts w:ascii="Times New Roman" w:hAnsi="Times New Roman"/>
                <w:color w:val="FF0000"/>
                <w:sz w:val="20"/>
                <w:szCs w:val="20"/>
              </w:rPr>
              <w:t>fotovoltické</w:t>
            </w:r>
            <w:proofErr w:type="spellEnd"/>
            <w:r w:rsidRPr="00134F1E">
              <w:rPr>
                <w:rFonts w:ascii="Times New Roman" w:hAnsi="Times New Roman"/>
                <w:color w:val="FF0000"/>
                <w:sz w:val="20"/>
                <w:szCs w:val="20"/>
              </w:rPr>
              <w:t xml:space="preserve"> panely, ktoré boli uvedené na trh po 13. auguste 2005,</w:t>
            </w:r>
          </w:p>
          <w:p w14:paraId="1B34FAA0" w14:textId="77777777" w:rsidR="00134F1E" w:rsidRPr="00134F1E" w:rsidRDefault="00134F1E" w:rsidP="00134F1E">
            <w:pPr>
              <w:pStyle w:val="Odsekzoznamu"/>
              <w:spacing w:after="0" w:line="240" w:lineRule="auto"/>
              <w:ind w:left="0"/>
              <w:contextualSpacing w:val="0"/>
              <w:jc w:val="both"/>
              <w:rPr>
                <w:rFonts w:ascii="Times New Roman" w:hAnsi="Times New Roman"/>
                <w:color w:val="FF0000"/>
                <w:sz w:val="20"/>
                <w:szCs w:val="20"/>
              </w:rPr>
            </w:pPr>
            <w:r w:rsidRPr="00134F1E">
              <w:rPr>
                <w:rFonts w:ascii="Times New Roman" w:hAnsi="Times New Roman"/>
                <w:color w:val="FF0000"/>
                <w:sz w:val="20"/>
                <w:szCs w:val="20"/>
              </w:rPr>
              <w:t xml:space="preserve">b) </w:t>
            </w:r>
            <w:proofErr w:type="spellStart"/>
            <w:r w:rsidRPr="00134F1E">
              <w:rPr>
                <w:rFonts w:ascii="Times New Roman" w:hAnsi="Times New Roman"/>
                <w:color w:val="FF0000"/>
                <w:sz w:val="20"/>
                <w:szCs w:val="20"/>
              </w:rPr>
              <w:t>elektroodpad</w:t>
            </w:r>
            <w:proofErr w:type="spellEnd"/>
            <w:r w:rsidRPr="00134F1E">
              <w:rPr>
                <w:rFonts w:ascii="Times New Roman" w:hAnsi="Times New Roman"/>
                <w:color w:val="FF0000"/>
                <w:sz w:val="20"/>
                <w:szCs w:val="20"/>
              </w:rPr>
              <w:t xml:space="preserve"> pochádzajúci z </w:t>
            </w:r>
            <w:proofErr w:type="spellStart"/>
            <w:r w:rsidRPr="00134F1E">
              <w:rPr>
                <w:rFonts w:ascii="Times New Roman" w:hAnsi="Times New Roman"/>
                <w:color w:val="FF0000"/>
                <w:sz w:val="20"/>
                <w:szCs w:val="20"/>
              </w:rPr>
              <w:t>fotovoltických</w:t>
            </w:r>
            <w:proofErr w:type="spellEnd"/>
            <w:r w:rsidRPr="00134F1E">
              <w:rPr>
                <w:rFonts w:ascii="Times New Roman" w:hAnsi="Times New Roman"/>
                <w:color w:val="FF0000"/>
                <w:sz w:val="20"/>
                <w:szCs w:val="20"/>
              </w:rPr>
              <w:t xml:space="preserve"> panelov, ktoré boli uvedené na trh od 13. augusta 2012,</w:t>
            </w:r>
          </w:p>
          <w:p w14:paraId="5A7F8837" w14:textId="77777777" w:rsidR="00134F1E" w:rsidRPr="00134F1E" w:rsidRDefault="00134F1E" w:rsidP="00134F1E">
            <w:pPr>
              <w:pStyle w:val="Odsekzoznamu"/>
              <w:spacing w:after="0" w:line="240" w:lineRule="auto"/>
              <w:ind w:left="0"/>
              <w:contextualSpacing w:val="0"/>
              <w:jc w:val="both"/>
              <w:rPr>
                <w:rFonts w:ascii="Times New Roman" w:hAnsi="Times New Roman"/>
                <w:color w:val="FF0000"/>
                <w:sz w:val="20"/>
                <w:szCs w:val="20"/>
              </w:rPr>
            </w:pPr>
            <w:r w:rsidRPr="00134F1E">
              <w:rPr>
                <w:rFonts w:ascii="Times New Roman" w:hAnsi="Times New Roman"/>
                <w:color w:val="FF0000"/>
                <w:sz w:val="20"/>
                <w:szCs w:val="20"/>
              </w:rPr>
              <w:t xml:space="preserve">c) </w:t>
            </w:r>
            <w:proofErr w:type="spellStart"/>
            <w:r w:rsidRPr="00134F1E">
              <w:rPr>
                <w:rFonts w:ascii="Times New Roman" w:hAnsi="Times New Roman"/>
                <w:color w:val="FF0000"/>
                <w:sz w:val="20"/>
                <w:szCs w:val="20"/>
              </w:rPr>
              <w:t>elektroodpad</w:t>
            </w:r>
            <w:proofErr w:type="spellEnd"/>
            <w:r w:rsidRPr="00134F1E">
              <w:rPr>
                <w:rFonts w:ascii="Times New Roman" w:hAnsi="Times New Roman"/>
                <w:color w:val="FF0000"/>
                <w:sz w:val="20"/>
                <w:szCs w:val="20"/>
              </w:rPr>
              <w:t xml:space="preserve"> pochádzajúci z elektrozariadení uvedených v II. časti prílohy č. 6 zákona, ktoré boli uvedené na trh od 15. augusta 2018.</w:t>
            </w:r>
          </w:p>
          <w:p w14:paraId="699999BE" w14:textId="77777777" w:rsidR="00134F1E" w:rsidRPr="00134F1E" w:rsidRDefault="00134F1E" w:rsidP="00134F1E">
            <w:pPr>
              <w:jc w:val="both"/>
              <w:rPr>
                <w:sz w:val="20"/>
                <w:highlight w:val="yellow"/>
              </w:rPr>
            </w:pPr>
          </w:p>
          <w:p w14:paraId="44AC0037" w14:textId="7A6AE5C4" w:rsidR="00134F1E" w:rsidRDefault="00134F1E" w:rsidP="00134F1E">
            <w:pPr>
              <w:jc w:val="both"/>
              <w:rPr>
                <w:sz w:val="20"/>
              </w:rPr>
            </w:pPr>
            <w:r w:rsidRPr="00134F1E">
              <w:rPr>
                <w:sz w:val="20"/>
              </w:rPr>
              <w:t xml:space="preserve">(2) Výrobca elektrozariadení je povinný zabezpečiť na vlastné náklady individuálne nakladanie s historickým </w:t>
            </w:r>
            <w:proofErr w:type="spellStart"/>
            <w:r w:rsidRPr="00134F1E">
              <w:rPr>
                <w:sz w:val="20"/>
              </w:rPr>
              <w:t>elektroodpadom</w:t>
            </w:r>
            <w:proofErr w:type="spellEnd"/>
            <w:r w:rsidRPr="00134F1E">
              <w:rPr>
                <w:sz w:val="20"/>
              </w:rPr>
              <w:t xml:space="preserve">, ktorý nie je </w:t>
            </w:r>
            <w:proofErr w:type="spellStart"/>
            <w:r w:rsidRPr="00134F1E">
              <w:rPr>
                <w:sz w:val="20"/>
              </w:rPr>
              <w:t>elektroodpadom</w:t>
            </w:r>
            <w:proofErr w:type="spellEnd"/>
            <w:r w:rsidRPr="00134F1E">
              <w:rPr>
                <w:sz w:val="20"/>
              </w:rPr>
              <w:t xml:space="preserve"> z domácností</w:t>
            </w:r>
            <w:r w:rsidRPr="00134F1E">
              <w:rPr>
                <w:color w:val="FF0000"/>
                <w:sz w:val="20"/>
              </w:rPr>
              <w:t xml:space="preserve">, okrem </w:t>
            </w:r>
            <w:proofErr w:type="spellStart"/>
            <w:r w:rsidRPr="00134F1E">
              <w:rPr>
                <w:color w:val="FF0000"/>
                <w:sz w:val="20"/>
              </w:rPr>
              <w:t>fotovoltických</w:t>
            </w:r>
            <w:proofErr w:type="spellEnd"/>
            <w:r w:rsidRPr="00134F1E">
              <w:rPr>
                <w:color w:val="FF0000"/>
                <w:sz w:val="20"/>
              </w:rPr>
              <w:t xml:space="preserve"> panelov</w:t>
            </w:r>
            <w:r w:rsidRPr="00134F1E">
              <w:rPr>
                <w:sz w:val="20"/>
              </w:rPr>
              <w:t xml:space="preserve">, ak takýto </w:t>
            </w:r>
            <w:proofErr w:type="spellStart"/>
            <w:r w:rsidRPr="00134F1E">
              <w:rPr>
                <w:sz w:val="20"/>
              </w:rPr>
              <w:t>elektroodpad</w:t>
            </w:r>
            <w:proofErr w:type="spellEnd"/>
            <w:r w:rsidRPr="00134F1E">
              <w:rPr>
                <w:sz w:val="20"/>
              </w:rPr>
              <w:t xml:space="preserve"> pochádza z elektrozariadenia rovnakej kategórie alebo rovnakého funkčného určenia, ako je nahradzujúce elektrozariadenie, a to pri jeho predaji [§ 34 ods. 1 písm. e) druhý bod].</w:t>
            </w:r>
          </w:p>
          <w:p w14:paraId="71FD9CB1" w14:textId="77777777" w:rsidR="00134F1E" w:rsidRPr="00134F1E" w:rsidRDefault="00134F1E" w:rsidP="00134F1E">
            <w:pPr>
              <w:jc w:val="both"/>
              <w:rPr>
                <w:sz w:val="20"/>
                <w:highlight w:val="yellow"/>
              </w:rPr>
            </w:pPr>
          </w:p>
          <w:p w14:paraId="159110EE" w14:textId="38126FF8" w:rsidR="00134F1E" w:rsidRDefault="00134F1E" w:rsidP="00134F1E">
            <w:pPr>
              <w:jc w:val="both"/>
              <w:rPr>
                <w:sz w:val="20"/>
              </w:rPr>
            </w:pPr>
            <w:r w:rsidRPr="00134F1E">
              <w:rPr>
                <w:sz w:val="20"/>
              </w:rPr>
              <w:t xml:space="preserve">(3) Nakladanie s historickým </w:t>
            </w:r>
            <w:proofErr w:type="spellStart"/>
            <w:r w:rsidRPr="00134F1E">
              <w:rPr>
                <w:sz w:val="20"/>
              </w:rPr>
              <w:t>elektroodpadom</w:t>
            </w:r>
            <w:proofErr w:type="spellEnd"/>
            <w:r w:rsidRPr="00134F1E">
              <w:rPr>
                <w:sz w:val="20"/>
              </w:rPr>
              <w:t xml:space="preserve">, ktorý nie je </w:t>
            </w:r>
            <w:proofErr w:type="spellStart"/>
            <w:r w:rsidRPr="00134F1E">
              <w:rPr>
                <w:sz w:val="20"/>
              </w:rPr>
              <w:t>elektroodpadom</w:t>
            </w:r>
            <w:proofErr w:type="spellEnd"/>
            <w:r w:rsidRPr="00134F1E">
              <w:rPr>
                <w:sz w:val="20"/>
              </w:rPr>
              <w:t xml:space="preserve"> z domácností a nie je uvedený v odseku 2, zabezpečí jeho držiteľ. </w:t>
            </w:r>
          </w:p>
          <w:p w14:paraId="365E4BB2" w14:textId="77777777" w:rsidR="00134F1E" w:rsidRPr="00134F1E" w:rsidRDefault="00134F1E" w:rsidP="00134F1E">
            <w:pPr>
              <w:jc w:val="both"/>
              <w:rPr>
                <w:sz w:val="20"/>
              </w:rPr>
            </w:pPr>
          </w:p>
          <w:p w14:paraId="6092CDF6" w14:textId="794330DB" w:rsidR="00A420CF" w:rsidRPr="00970E07" w:rsidRDefault="00134F1E" w:rsidP="00134F1E">
            <w:pPr>
              <w:jc w:val="both"/>
              <w:rPr>
                <w:sz w:val="20"/>
              </w:rPr>
            </w:pPr>
            <w:r w:rsidRPr="00134F1E">
              <w:rPr>
                <w:sz w:val="20"/>
              </w:rPr>
              <w:t xml:space="preserve">(4) Výrobca elektrozariadení a používateľ elektrozariadenia môžu na základe písomnej zmluvy pri predaji elektrozariadenia vzájomne dohodnúť podiel zodpovednosti výrobcu elektrozariadení a držiteľa </w:t>
            </w:r>
            <w:proofErr w:type="spellStart"/>
            <w:r w:rsidRPr="00134F1E">
              <w:rPr>
                <w:sz w:val="20"/>
              </w:rPr>
              <w:t>elektroodpadu</w:t>
            </w:r>
            <w:proofErr w:type="spellEnd"/>
            <w:r w:rsidRPr="00134F1E">
              <w:rPr>
                <w:sz w:val="20"/>
              </w:rPr>
              <w:t xml:space="preserve"> z neho pochádzajúceho za nakladanie s </w:t>
            </w:r>
            <w:proofErr w:type="spellStart"/>
            <w:r w:rsidRPr="00134F1E">
              <w:rPr>
                <w:sz w:val="20"/>
              </w:rPr>
              <w:t>elektroodpadom</w:t>
            </w:r>
            <w:proofErr w:type="spellEnd"/>
            <w:r w:rsidRPr="00134F1E">
              <w:rPr>
                <w:sz w:val="20"/>
              </w:rPr>
              <w:t xml:space="preserve">, ktorý nie je </w:t>
            </w:r>
            <w:proofErr w:type="spellStart"/>
            <w:r w:rsidRPr="00134F1E">
              <w:rPr>
                <w:sz w:val="20"/>
              </w:rPr>
              <w:t>elektroodpadom</w:t>
            </w:r>
            <w:proofErr w:type="spellEnd"/>
            <w:r w:rsidRPr="00134F1E">
              <w:rPr>
                <w:sz w:val="20"/>
              </w:rPr>
              <w:t xml:space="preserve"> z domácnosti inak, ako je ustanovené v odsekoch 1 až 3.</w:t>
            </w:r>
          </w:p>
        </w:tc>
        <w:tc>
          <w:tcPr>
            <w:tcW w:w="708" w:type="dxa"/>
            <w:tcBorders>
              <w:top w:val="single" w:sz="4" w:space="0" w:color="auto"/>
              <w:bottom w:val="single" w:sz="4" w:space="0" w:color="auto"/>
            </w:tcBorders>
          </w:tcPr>
          <w:p w14:paraId="7AF44662" w14:textId="77777777" w:rsidR="00A420CF" w:rsidRPr="00970E07" w:rsidRDefault="00A420CF" w:rsidP="00A420CF">
            <w:pPr>
              <w:jc w:val="both"/>
              <w:rPr>
                <w:sz w:val="20"/>
              </w:rPr>
            </w:pPr>
            <w:r w:rsidRPr="00970E07">
              <w:rPr>
                <w:sz w:val="20"/>
              </w:rPr>
              <w:lastRenderedPageBreak/>
              <w:t>Ú</w:t>
            </w:r>
          </w:p>
        </w:tc>
        <w:tc>
          <w:tcPr>
            <w:tcW w:w="993" w:type="dxa"/>
            <w:tcBorders>
              <w:top w:val="single" w:sz="4" w:space="0" w:color="auto"/>
              <w:bottom w:val="single" w:sz="4" w:space="0" w:color="auto"/>
            </w:tcBorders>
          </w:tcPr>
          <w:p w14:paraId="083D0CA6" w14:textId="77777777" w:rsidR="00A420CF" w:rsidRPr="00970E07" w:rsidRDefault="00A420CF" w:rsidP="00A420CF">
            <w:pPr>
              <w:jc w:val="both"/>
              <w:rPr>
                <w:sz w:val="20"/>
              </w:rPr>
            </w:pPr>
          </w:p>
        </w:tc>
        <w:tc>
          <w:tcPr>
            <w:tcW w:w="1134" w:type="dxa"/>
            <w:tcBorders>
              <w:top w:val="single" w:sz="4" w:space="0" w:color="auto"/>
              <w:bottom w:val="single" w:sz="4" w:space="0" w:color="auto"/>
            </w:tcBorders>
          </w:tcPr>
          <w:p w14:paraId="291AF746" w14:textId="77777777" w:rsidR="00A420CF" w:rsidRPr="00970E07" w:rsidRDefault="00A420CF" w:rsidP="00A420CF">
            <w:pPr>
              <w:jc w:val="both"/>
              <w:rPr>
                <w:sz w:val="20"/>
              </w:rPr>
            </w:pPr>
            <w:r w:rsidRPr="00970E07">
              <w:rPr>
                <w:sz w:val="20"/>
              </w:rPr>
              <w:t>GP - N</w:t>
            </w:r>
          </w:p>
        </w:tc>
        <w:tc>
          <w:tcPr>
            <w:tcW w:w="1417" w:type="dxa"/>
            <w:tcBorders>
              <w:top w:val="single" w:sz="4" w:space="0" w:color="auto"/>
              <w:bottom w:val="single" w:sz="4" w:space="0" w:color="auto"/>
            </w:tcBorders>
          </w:tcPr>
          <w:p w14:paraId="0A8D1066" w14:textId="77777777" w:rsidR="00A420CF" w:rsidRPr="00620A81" w:rsidRDefault="00A420CF" w:rsidP="00A420CF">
            <w:pPr>
              <w:jc w:val="both"/>
              <w:rPr>
                <w:sz w:val="20"/>
              </w:rPr>
            </w:pPr>
          </w:p>
        </w:tc>
      </w:tr>
      <w:tr w:rsidR="00A420CF" w:rsidRPr="00620A81" w14:paraId="48C81569" w14:textId="77777777" w:rsidTr="00C54F2F">
        <w:trPr>
          <w:trHeight w:val="720"/>
        </w:trPr>
        <w:tc>
          <w:tcPr>
            <w:tcW w:w="701" w:type="dxa"/>
            <w:tcBorders>
              <w:top w:val="single" w:sz="4" w:space="0" w:color="auto"/>
              <w:bottom w:val="single" w:sz="4" w:space="0" w:color="auto"/>
            </w:tcBorders>
          </w:tcPr>
          <w:p w14:paraId="7AAF7EC8" w14:textId="77777777" w:rsidR="00A420CF" w:rsidRDefault="00A420CF" w:rsidP="00A420CF">
            <w:pPr>
              <w:jc w:val="both"/>
              <w:rPr>
                <w:sz w:val="20"/>
              </w:rPr>
            </w:pPr>
            <w:r>
              <w:rPr>
                <w:sz w:val="20"/>
              </w:rPr>
              <w:t>Č1 O4</w:t>
            </w:r>
          </w:p>
        </w:tc>
        <w:tc>
          <w:tcPr>
            <w:tcW w:w="3480" w:type="dxa"/>
            <w:tcBorders>
              <w:top w:val="single" w:sz="4" w:space="0" w:color="auto"/>
              <w:bottom w:val="single" w:sz="4" w:space="0" w:color="auto"/>
            </w:tcBorders>
          </w:tcPr>
          <w:p w14:paraId="399FA9E1" w14:textId="77777777" w:rsidR="00A420CF" w:rsidRDefault="00A420CF" w:rsidP="00A420CF">
            <w:pPr>
              <w:jc w:val="both"/>
              <w:rPr>
                <w:sz w:val="20"/>
              </w:rPr>
            </w:pPr>
            <w:r w:rsidRPr="00BA2166">
              <w:rPr>
                <w:sz w:val="20"/>
              </w:rPr>
              <w:t xml:space="preserve">4. V článku 14 sa odsek 4 nahrádza takto: </w:t>
            </w:r>
          </w:p>
          <w:p w14:paraId="3D44F3E1" w14:textId="77777777" w:rsidR="00A420CF" w:rsidRPr="00BA2166" w:rsidRDefault="00A420CF" w:rsidP="00A420CF">
            <w:pPr>
              <w:jc w:val="both"/>
              <w:rPr>
                <w:sz w:val="20"/>
                <w:lang w:eastAsia="sk-SK"/>
              </w:rPr>
            </w:pPr>
            <w:r w:rsidRPr="00BA2166">
              <w:rPr>
                <w:sz w:val="20"/>
              </w:rPr>
              <w:t xml:space="preserve">„4. S cieľom minimalizovať zneškodňovanie OEEZ ako netriedeného komunálneho odpadu a uľahčiť jeho separovaný zber zabezpečia členské štáty, aby výrobcovia vhodne označovali EEZ uvedené na trh – podľa možnosti v súlade s európskou normou EN 50419:2022 – </w:t>
            </w:r>
            <w:r w:rsidRPr="00BA2166">
              <w:rPr>
                <w:sz w:val="20"/>
              </w:rPr>
              <w:lastRenderedPageBreak/>
              <w:t>príslušným symbolom, ktorý je uvedený v prílohe IX. Vo výnimočných prípadoch, ak je to potrebné kvôli veľkosti alebo funkcii výrobku, sa symbol vytlačí na balenie, návod na použitie a na záručný list EEZ.“</w:t>
            </w:r>
          </w:p>
        </w:tc>
        <w:tc>
          <w:tcPr>
            <w:tcW w:w="567" w:type="dxa"/>
            <w:tcBorders>
              <w:top w:val="single" w:sz="4" w:space="0" w:color="auto"/>
              <w:bottom w:val="single" w:sz="4" w:space="0" w:color="auto"/>
            </w:tcBorders>
          </w:tcPr>
          <w:p w14:paraId="194CE219" w14:textId="77777777" w:rsidR="00A420CF" w:rsidRPr="00970E07" w:rsidRDefault="00A420CF" w:rsidP="00A420CF">
            <w:pPr>
              <w:jc w:val="both"/>
              <w:rPr>
                <w:sz w:val="20"/>
              </w:rPr>
            </w:pPr>
            <w:r w:rsidRPr="00970E07">
              <w:rPr>
                <w:sz w:val="20"/>
              </w:rPr>
              <w:lastRenderedPageBreak/>
              <w:t>N</w:t>
            </w:r>
          </w:p>
        </w:tc>
        <w:tc>
          <w:tcPr>
            <w:tcW w:w="914" w:type="dxa"/>
            <w:tcBorders>
              <w:top w:val="single" w:sz="4" w:space="0" w:color="auto"/>
              <w:bottom w:val="single" w:sz="4" w:space="0" w:color="auto"/>
            </w:tcBorders>
          </w:tcPr>
          <w:p w14:paraId="358A8704" w14:textId="77777777" w:rsidR="00A420CF" w:rsidRDefault="005B53BC" w:rsidP="00A420CF">
            <w:pPr>
              <w:rPr>
                <w:sz w:val="20"/>
              </w:rPr>
            </w:pPr>
            <w:r>
              <w:rPr>
                <w:sz w:val="20"/>
              </w:rPr>
              <w:t>79/2015</w:t>
            </w:r>
            <w:r w:rsidR="00C323D1">
              <w:rPr>
                <w:sz w:val="20"/>
              </w:rPr>
              <w:t xml:space="preserve">, </w:t>
            </w:r>
            <w:r w:rsidR="00C323D1" w:rsidRPr="00C323D1">
              <w:rPr>
                <w:color w:val="FF0000"/>
                <w:sz w:val="20"/>
              </w:rPr>
              <w:t>NZ</w:t>
            </w:r>
          </w:p>
          <w:p w14:paraId="1E6A6532" w14:textId="77777777" w:rsidR="005B53BC" w:rsidRDefault="005B53BC" w:rsidP="00A420CF">
            <w:pPr>
              <w:rPr>
                <w:sz w:val="20"/>
              </w:rPr>
            </w:pPr>
          </w:p>
          <w:p w14:paraId="72B8E03D" w14:textId="77777777" w:rsidR="005B53BC" w:rsidRDefault="005B53BC" w:rsidP="00A420CF">
            <w:pPr>
              <w:rPr>
                <w:sz w:val="20"/>
              </w:rPr>
            </w:pPr>
          </w:p>
          <w:p w14:paraId="397F8364" w14:textId="77777777" w:rsidR="005B53BC" w:rsidRDefault="005B53BC" w:rsidP="00A420CF">
            <w:pPr>
              <w:rPr>
                <w:sz w:val="20"/>
              </w:rPr>
            </w:pPr>
          </w:p>
          <w:p w14:paraId="6BE05749" w14:textId="77777777" w:rsidR="005B53BC" w:rsidRDefault="005B53BC" w:rsidP="00A420CF">
            <w:pPr>
              <w:rPr>
                <w:sz w:val="20"/>
              </w:rPr>
            </w:pPr>
          </w:p>
          <w:p w14:paraId="1881820F" w14:textId="77777777" w:rsidR="005B53BC" w:rsidRDefault="005B53BC" w:rsidP="00A420CF">
            <w:pPr>
              <w:rPr>
                <w:sz w:val="20"/>
              </w:rPr>
            </w:pPr>
          </w:p>
          <w:p w14:paraId="3B673AB6" w14:textId="77777777" w:rsidR="005B53BC" w:rsidRDefault="005B53BC" w:rsidP="00A420CF">
            <w:pPr>
              <w:rPr>
                <w:sz w:val="20"/>
              </w:rPr>
            </w:pPr>
          </w:p>
          <w:p w14:paraId="024439FA" w14:textId="77777777" w:rsidR="005B53BC" w:rsidRDefault="005B53BC" w:rsidP="00A420CF">
            <w:pPr>
              <w:rPr>
                <w:sz w:val="20"/>
              </w:rPr>
            </w:pPr>
          </w:p>
          <w:p w14:paraId="0E70E7D7" w14:textId="77777777" w:rsidR="005B53BC" w:rsidRDefault="005B53BC" w:rsidP="00A420CF">
            <w:pPr>
              <w:rPr>
                <w:sz w:val="20"/>
              </w:rPr>
            </w:pPr>
          </w:p>
          <w:p w14:paraId="1C7AE98B" w14:textId="77777777" w:rsidR="005B53BC" w:rsidRDefault="005B53BC" w:rsidP="00A420CF">
            <w:pPr>
              <w:rPr>
                <w:sz w:val="20"/>
              </w:rPr>
            </w:pPr>
          </w:p>
          <w:p w14:paraId="325E3A16" w14:textId="77777777" w:rsidR="005B53BC" w:rsidRDefault="005B53BC" w:rsidP="00A420CF">
            <w:pPr>
              <w:rPr>
                <w:sz w:val="20"/>
              </w:rPr>
            </w:pPr>
          </w:p>
          <w:p w14:paraId="63E7277F" w14:textId="77777777" w:rsidR="005B53BC" w:rsidRDefault="005B53BC" w:rsidP="00A420CF">
            <w:pPr>
              <w:rPr>
                <w:sz w:val="20"/>
              </w:rPr>
            </w:pPr>
          </w:p>
          <w:p w14:paraId="35E3143F" w14:textId="77777777" w:rsidR="00C323D1" w:rsidRDefault="00C323D1" w:rsidP="00A420CF">
            <w:pPr>
              <w:rPr>
                <w:sz w:val="20"/>
              </w:rPr>
            </w:pPr>
          </w:p>
          <w:p w14:paraId="638C77F2" w14:textId="77777777" w:rsidR="00C323D1" w:rsidRDefault="00C323D1" w:rsidP="00A420CF">
            <w:pPr>
              <w:rPr>
                <w:sz w:val="20"/>
              </w:rPr>
            </w:pPr>
          </w:p>
          <w:p w14:paraId="1EE26E8F" w14:textId="77777777" w:rsidR="00C323D1" w:rsidRDefault="00C323D1" w:rsidP="00A420CF">
            <w:pPr>
              <w:rPr>
                <w:sz w:val="20"/>
              </w:rPr>
            </w:pPr>
          </w:p>
          <w:p w14:paraId="02493BA5" w14:textId="77777777" w:rsidR="00C323D1" w:rsidRDefault="00C634AB" w:rsidP="00A420CF">
            <w:pPr>
              <w:rPr>
                <w:sz w:val="20"/>
              </w:rPr>
            </w:pPr>
            <w:r w:rsidRPr="003F4059">
              <w:rPr>
                <w:sz w:val="20"/>
              </w:rPr>
              <w:t>79/2015</w:t>
            </w:r>
          </w:p>
          <w:p w14:paraId="4E81E974" w14:textId="77777777" w:rsidR="005B53BC" w:rsidRDefault="005B53BC" w:rsidP="00A420CF">
            <w:pPr>
              <w:rPr>
                <w:sz w:val="20"/>
              </w:rPr>
            </w:pPr>
          </w:p>
          <w:p w14:paraId="1F30EE72" w14:textId="4309219B" w:rsidR="006F4FCF" w:rsidRDefault="006F4FCF" w:rsidP="00A420CF">
            <w:pPr>
              <w:rPr>
                <w:sz w:val="20"/>
              </w:rPr>
            </w:pPr>
          </w:p>
          <w:p w14:paraId="426C5567" w14:textId="77777777" w:rsidR="00BA1209" w:rsidRDefault="00BA1209" w:rsidP="00AC1CEE">
            <w:pPr>
              <w:rPr>
                <w:sz w:val="20"/>
              </w:rPr>
            </w:pPr>
          </w:p>
          <w:p w14:paraId="01C1BFB1" w14:textId="346FDC89" w:rsidR="00AC1CEE" w:rsidRDefault="00AC1CEE" w:rsidP="00AC1CEE">
            <w:pPr>
              <w:rPr>
                <w:sz w:val="20"/>
              </w:rPr>
            </w:pPr>
            <w:r>
              <w:rPr>
                <w:sz w:val="20"/>
              </w:rPr>
              <w:t>373/2015</w:t>
            </w:r>
          </w:p>
          <w:p w14:paraId="505B15DE" w14:textId="67A0E090" w:rsidR="00AC1CEE" w:rsidRDefault="00AC1CEE" w:rsidP="00A420CF">
            <w:pPr>
              <w:rPr>
                <w:sz w:val="20"/>
              </w:rPr>
            </w:pPr>
          </w:p>
          <w:p w14:paraId="21D3DFFD" w14:textId="77777777" w:rsidR="00AC1CEE" w:rsidRDefault="00AC1CEE" w:rsidP="00A420CF">
            <w:pPr>
              <w:rPr>
                <w:sz w:val="20"/>
              </w:rPr>
            </w:pPr>
          </w:p>
          <w:p w14:paraId="550750D9" w14:textId="77777777" w:rsidR="00AC1CEE" w:rsidRDefault="00AC1CEE" w:rsidP="00A420CF">
            <w:pPr>
              <w:rPr>
                <w:sz w:val="20"/>
              </w:rPr>
            </w:pPr>
          </w:p>
          <w:p w14:paraId="17AF5C10" w14:textId="77777777" w:rsidR="00AC1CEE" w:rsidRDefault="00AC1CEE" w:rsidP="00A420CF">
            <w:pPr>
              <w:rPr>
                <w:sz w:val="20"/>
              </w:rPr>
            </w:pPr>
          </w:p>
          <w:p w14:paraId="02ECE198" w14:textId="77777777" w:rsidR="00AC1CEE" w:rsidRDefault="00AC1CEE" w:rsidP="00A420CF">
            <w:pPr>
              <w:rPr>
                <w:sz w:val="20"/>
              </w:rPr>
            </w:pPr>
          </w:p>
          <w:p w14:paraId="1928B436" w14:textId="77777777" w:rsidR="00AC1CEE" w:rsidRDefault="00AC1CEE" w:rsidP="00A420CF">
            <w:pPr>
              <w:rPr>
                <w:sz w:val="20"/>
              </w:rPr>
            </w:pPr>
          </w:p>
          <w:p w14:paraId="47EEA717" w14:textId="2B02FEC6" w:rsidR="00DC14C8" w:rsidRDefault="00DC14C8" w:rsidP="00A420CF">
            <w:pPr>
              <w:rPr>
                <w:sz w:val="20"/>
              </w:rPr>
            </w:pPr>
            <w:r>
              <w:rPr>
                <w:sz w:val="20"/>
              </w:rPr>
              <w:t>373/2015</w:t>
            </w:r>
          </w:p>
          <w:p w14:paraId="68E5F00A" w14:textId="69A54C27" w:rsidR="005B53BC" w:rsidRPr="00970E07" w:rsidRDefault="005B53BC" w:rsidP="00A420CF">
            <w:pPr>
              <w:rPr>
                <w:sz w:val="20"/>
              </w:rPr>
            </w:pPr>
          </w:p>
        </w:tc>
        <w:tc>
          <w:tcPr>
            <w:tcW w:w="851" w:type="dxa"/>
            <w:tcBorders>
              <w:top w:val="single" w:sz="4" w:space="0" w:color="auto"/>
              <w:bottom w:val="single" w:sz="4" w:space="0" w:color="auto"/>
            </w:tcBorders>
          </w:tcPr>
          <w:p w14:paraId="5836ABDD" w14:textId="77777777" w:rsidR="005B53BC" w:rsidRDefault="005B53BC" w:rsidP="005B53BC">
            <w:pPr>
              <w:pStyle w:val="BodyText21"/>
              <w:spacing w:before="0" w:line="240" w:lineRule="auto"/>
              <w:jc w:val="left"/>
            </w:pPr>
            <w:r>
              <w:lastRenderedPageBreak/>
              <w:t>§34 O1 Pb</w:t>
            </w:r>
          </w:p>
          <w:p w14:paraId="446C1D45" w14:textId="77777777" w:rsidR="005B53BC" w:rsidRDefault="005B53BC" w:rsidP="005B53BC">
            <w:pPr>
              <w:pStyle w:val="BodyText21"/>
              <w:spacing w:before="0" w:line="240" w:lineRule="auto"/>
              <w:jc w:val="left"/>
            </w:pPr>
          </w:p>
          <w:p w14:paraId="02ABADB2" w14:textId="77777777" w:rsidR="005B53BC" w:rsidRDefault="005B53BC" w:rsidP="005B53BC">
            <w:pPr>
              <w:pStyle w:val="BodyText21"/>
              <w:spacing w:before="0" w:line="240" w:lineRule="auto"/>
              <w:jc w:val="left"/>
            </w:pPr>
          </w:p>
          <w:p w14:paraId="0F334009" w14:textId="77777777" w:rsidR="005B53BC" w:rsidRDefault="005B53BC" w:rsidP="005B53BC">
            <w:pPr>
              <w:pStyle w:val="BodyText21"/>
              <w:spacing w:before="0" w:line="240" w:lineRule="auto"/>
              <w:jc w:val="left"/>
            </w:pPr>
          </w:p>
          <w:p w14:paraId="3C2C5FDB" w14:textId="77777777" w:rsidR="005B53BC" w:rsidRDefault="005B53BC" w:rsidP="005B53BC">
            <w:pPr>
              <w:pStyle w:val="BodyText21"/>
              <w:spacing w:before="0" w:line="240" w:lineRule="auto"/>
              <w:jc w:val="left"/>
            </w:pPr>
          </w:p>
          <w:p w14:paraId="0D662316" w14:textId="77777777" w:rsidR="005B53BC" w:rsidRDefault="005B53BC" w:rsidP="005B53BC">
            <w:pPr>
              <w:pStyle w:val="BodyText21"/>
              <w:spacing w:before="0" w:line="240" w:lineRule="auto"/>
              <w:jc w:val="left"/>
            </w:pPr>
          </w:p>
          <w:p w14:paraId="225CC442" w14:textId="77777777" w:rsidR="005B53BC" w:rsidRDefault="005B53BC" w:rsidP="005B53BC">
            <w:pPr>
              <w:pStyle w:val="BodyText21"/>
              <w:spacing w:before="0" w:line="240" w:lineRule="auto"/>
              <w:jc w:val="left"/>
            </w:pPr>
          </w:p>
          <w:p w14:paraId="5BE1D378" w14:textId="77777777" w:rsidR="005B53BC" w:rsidRDefault="005B53BC" w:rsidP="005B53BC">
            <w:pPr>
              <w:pStyle w:val="BodyText21"/>
              <w:spacing w:before="0" w:line="240" w:lineRule="auto"/>
              <w:jc w:val="left"/>
            </w:pPr>
          </w:p>
          <w:p w14:paraId="017A84FB" w14:textId="77777777" w:rsidR="005B53BC" w:rsidRDefault="005B53BC" w:rsidP="005B53BC">
            <w:pPr>
              <w:pStyle w:val="BodyText21"/>
              <w:spacing w:before="0" w:line="240" w:lineRule="auto"/>
              <w:jc w:val="left"/>
            </w:pPr>
          </w:p>
          <w:p w14:paraId="544C3141" w14:textId="77777777" w:rsidR="00C323D1" w:rsidRDefault="00C323D1" w:rsidP="005B53BC">
            <w:pPr>
              <w:pStyle w:val="BodyText21"/>
              <w:spacing w:before="0" w:line="240" w:lineRule="auto"/>
              <w:jc w:val="left"/>
            </w:pPr>
          </w:p>
          <w:p w14:paraId="0A0A5A91" w14:textId="77777777" w:rsidR="00C323D1" w:rsidRDefault="00C323D1" w:rsidP="005B53BC">
            <w:pPr>
              <w:pStyle w:val="BodyText21"/>
              <w:spacing w:before="0" w:line="240" w:lineRule="auto"/>
              <w:jc w:val="left"/>
            </w:pPr>
          </w:p>
          <w:p w14:paraId="4A412459" w14:textId="77777777" w:rsidR="00C323D1" w:rsidRDefault="00C323D1" w:rsidP="005B53BC">
            <w:pPr>
              <w:pStyle w:val="BodyText21"/>
              <w:spacing w:before="0" w:line="240" w:lineRule="auto"/>
              <w:jc w:val="left"/>
            </w:pPr>
          </w:p>
          <w:p w14:paraId="401C4299" w14:textId="77777777" w:rsidR="00C323D1" w:rsidRDefault="00C323D1" w:rsidP="005B53BC">
            <w:pPr>
              <w:pStyle w:val="BodyText21"/>
              <w:spacing w:before="0" w:line="240" w:lineRule="auto"/>
              <w:jc w:val="left"/>
            </w:pPr>
          </w:p>
          <w:p w14:paraId="1733C060" w14:textId="77777777" w:rsidR="00C323D1" w:rsidRDefault="00C323D1" w:rsidP="005B53BC">
            <w:pPr>
              <w:pStyle w:val="BodyText21"/>
              <w:spacing w:before="0" w:line="240" w:lineRule="auto"/>
              <w:jc w:val="left"/>
            </w:pPr>
          </w:p>
          <w:p w14:paraId="3767DFB8" w14:textId="77777777" w:rsidR="00C323D1" w:rsidRDefault="00C323D1" w:rsidP="005B53BC">
            <w:pPr>
              <w:pStyle w:val="BodyText21"/>
              <w:spacing w:before="0" w:line="240" w:lineRule="auto"/>
              <w:jc w:val="left"/>
            </w:pPr>
          </w:p>
          <w:p w14:paraId="4821AD4C" w14:textId="77777777" w:rsidR="005B53BC" w:rsidRDefault="00C634AB" w:rsidP="005B53BC">
            <w:pPr>
              <w:pStyle w:val="BodyText21"/>
              <w:spacing w:before="0" w:line="240" w:lineRule="auto"/>
              <w:jc w:val="left"/>
            </w:pPr>
            <w:r w:rsidRPr="003F4059">
              <w:t xml:space="preserve">§34 O1 </w:t>
            </w:r>
            <w:r w:rsidR="005B53BC" w:rsidRPr="003F4059">
              <w:t>Pc</w:t>
            </w:r>
          </w:p>
          <w:p w14:paraId="10024D6F" w14:textId="74919929" w:rsidR="006F4FCF" w:rsidRDefault="006F4FCF" w:rsidP="005B53BC">
            <w:pPr>
              <w:pStyle w:val="BodyText21"/>
              <w:spacing w:before="0" w:line="240" w:lineRule="auto"/>
              <w:jc w:val="left"/>
            </w:pPr>
          </w:p>
          <w:p w14:paraId="7D434F5B" w14:textId="77777777" w:rsidR="00BA1209" w:rsidRDefault="00BA1209" w:rsidP="005B53BC">
            <w:pPr>
              <w:pStyle w:val="BodyText21"/>
              <w:spacing w:before="0" w:line="240" w:lineRule="auto"/>
              <w:jc w:val="left"/>
            </w:pPr>
          </w:p>
          <w:p w14:paraId="10ADA7D1" w14:textId="28631C59" w:rsidR="00AC1CEE" w:rsidRDefault="00AC1CEE" w:rsidP="005B53BC">
            <w:pPr>
              <w:pStyle w:val="BodyText21"/>
              <w:spacing w:before="0" w:line="240" w:lineRule="auto"/>
              <w:jc w:val="left"/>
            </w:pPr>
            <w:r>
              <w:t xml:space="preserve">§ 11 O2 </w:t>
            </w:r>
          </w:p>
          <w:p w14:paraId="545AD2DF" w14:textId="77777777" w:rsidR="00AC1CEE" w:rsidRDefault="00AC1CEE" w:rsidP="005B53BC">
            <w:pPr>
              <w:pStyle w:val="BodyText21"/>
              <w:spacing w:before="0" w:line="240" w:lineRule="auto"/>
              <w:jc w:val="left"/>
            </w:pPr>
          </w:p>
          <w:p w14:paraId="526624F6" w14:textId="33F0A36A" w:rsidR="00AC1CEE" w:rsidRDefault="00AC1CEE" w:rsidP="005B53BC">
            <w:pPr>
              <w:pStyle w:val="BodyText21"/>
              <w:spacing w:before="0" w:line="240" w:lineRule="auto"/>
              <w:jc w:val="left"/>
            </w:pPr>
          </w:p>
          <w:p w14:paraId="31B9EC01" w14:textId="73BF8483" w:rsidR="00AC1CEE" w:rsidRDefault="00AC1CEE" w:rsidP="005B53BC">
            <w:pPr>
              <w:pStyle w:val="BodyText21"/>
              <w:spacing w:before="0" w:line="240" w:lineRule="auto"/>
              <w:jc w:val="left"/>
            </w:pPr>
          </w:p>
          <w:p w14:paraId="154B9B0A" w14:textId="44D71D98" w:rsidR="00AC1CEE" w:rsidRDefault="00AC1CEE" w:rsidP="005B53BC">
            <w:pPr>
              <w:pStyle w:val="BodyText21"/>
              <w:spacing w:before="0" w:line="240" w:lineRule="auto"/>
              <w:jc w:val="left"/>
            </w:pPr>
          </w:p>
          <w:p w14:paraId="0B973C1E" w14:textId="46A2635B" w:rsidR="00AC1CEE" w:rsidRDefault="00AC1CEE" w:rsidP="005B53BC">
            <w:pPr>
              <w:pStyle w:val="BodyText21"/>
              <w:spacing w:before="0" w:line="240" w:lineRule="auto"/>
              <w:jc w:val="left"/>
            </w:pPr>
          </w:p>
          <w:p w14:paraId="5ECA6B35" w14:textId="77777777" w:rsidR="00AC1CEE" w:rsidRDefault="00AC1CEE" w:rsidP="005B53BC">
            <w:pPr>
              <w:pStyle w:val="BodyText21"/>
              <w:spacing w:before="0" w:line="240" w:lineRule="auto"/>
              <w:jc w:val="left"/>
            </w:pPr>
          </w:p>
          <w:p w14:paraId="4F0229A1" w14:textId="44718773" w:rsidR="005B53BC" w:rsidRPr="00970E07" w:rsidRDefault="005B53BC" w:rsidP="005B53BC">
            <w:pPr>
              <w:pStyle w:val="BodyText21"/>
              <w:spacing w:before="0" w:line="240" w:lineRule="auto"/>
              <w:jc w:val="left"/>
            </w:pPr>
            <w:r>
              <w:t>Príloha 9</w:t>
            </w:r>
          </w:p>
        </w:tc>
        <w:tc>
          <w:tcPr>
            <w:tcW w:w="4111" w:type="dxa"/>
            <w:tcBorders>
              <w:top w:val="single" w:sz="4" w:space="0" w:color="auto"/>
              <w:bottom w:val="single" w:sz="4" w:space="0" w:color="auto"/>
            </w:tcBorders>
          </w:tcPr>
          <w:p w14:paraId="3E47988C" w14:textId="442A967C" w:rsidR="00134F1E" w:rsidRPr="00134F1E" w:rsidRDefault="00134F1E" w:rsidP="00134F1E">
            <w:pPr>
              <w:jc w:val="both"/>
              <w:rPr>
                <w:sz w:val="20"/>
              </w:rPr>
            </w:pPr>
            <w:r w:rsidRPr="00134F1E">
              <w:rPr>
                <w:sz w:val="20"/>
              </w:rPr>
              <w:lastRenderedPageBreak/>
              <w:t>(1) Výrobca elektrozariadení je v súlade s povinnosťami uvedenými v § 27 ods. 4 povinný</w:t>
            </w:r>
          </w:p>
          <w:p w14:paraId="2DC98A82" w14:textId="77777777" w:rsidR="00AC1CEE" w:rsidRDefault="00AC1CEE" w:rsidP="00134F1E">
            <w:pPr>
              <w:jc w:val="both"/>
              <w:rPr>
                <w:sz w:val="20"/>
              </w:rPr>
            </w:pPr>
          </w:p>
          <w:p w14:paraId="23B4B2C5" w14:textId="5D76B34D" w:rsidR="00134F1E" w:rsidRPr="00C90CD9" w:rsidRDefault="00AC1CEE" w:rsidP="00134F1E">
            <w:pPr>
              <w:jc w:val="both"/>
              <w:rPr>
                <w:color w:val="FF0000"/>
                <w:sz w:val="16"/>
              </w:rPr>
            </w:pPr>
            <w:r w:rsidRPr="00C90CD9">
              <w:rPr>
                <w:color w:val="FF0000"/>
                <w:sz w:val="20"/>
              </w:rPr>
              <w:t xml:space="preserve">b) označiť elektrozariadenie pri jeho uvedení na trh ochrannou známkou alebo označením, ktoré výrobca používa na svoju identifikáciu, a časovým údajom o tom, že elektrozariadenie iné ako </w:t>
            </w:r>
            <w:proofErr w:type="spellStart"/>
            <w:r w:rsidRPr="00C90CD9">
              <w:rPr>
                <w:color w:val="FF0000"/>
                <w:sz w:val="20"/>
              </w:rPr>
              <w:t>fotovoltické</w:t>
            </w:r>
            <w:proofErr w:type="spellEnd"/>
            <w:r w:rsidRPr="00C90CD9">
              <w:rPr>
                <w:color w:val="FF0000"/>
                <w:sz w:val="20"/>
              </w:rPr>
              <w:t xml:space="preserve"> panely bolo uvedené na trh po </w:t>
            </w:r>
            <w:r w:rsidRPr="00C90CD9">
              <w:rPr>
                <w:color w:val="FF0000"/>
                <w:sz w:val="20"/>
              </w:rPr>
              <w:lastRenderedPageBreak/>
              <w:t xml:space="preserve">13. auguste 2005, </w:t>
            </w:r>
            <w:proofErr w:type="spellStart"/>
            <w:r w:rsidRPr="00C90CD9">
              <w:rPr>
                <w:color w:val="FF0000"/>
                <w:sz w:val="20"/>
              </w:rPr>
              <w:t>fotovoltické</w:t>
            </w:r>
            <w:proofErr w:type="spellEnd"/>
            <w:r w:rsidRPr="00C90CD9">
              <w:rPr>
                <w:color w:val="FF0000"/>
                <w:sz w:val="20"/>
              </w:rPr>
              <w:t xml:space="preserve"> panely boli uvedené na trh od 13. augusta 2012 alebo elektrozariadenie uvedené v II. časti prílohy č. 6 zákona bolo uvedené na trh od 15. augusta 2018; povinnosť označiť elektrozariadenie, vrátane </w:t>
            </w:r>
            <w:proofErr w:type="spellStart"/>
            <w:r w:rsidRPr="00C90CD9">
              <w:rPr>
                <w:color w:val="FF0000"/>
                <w:sz w:val="20"/>
              </w:rPr>
              <w:t>fotovoltických</w:t>
            </w:r>
            <w:proofErr w:type="spellEnd"/>
            <w:r w:rsidRPr="00C90CD9">
              <w:rPr>
                <w:color w:val="FF0000"/>
                <w:sz w:val="20"/>
              </w:rPr>
              <w:t xml:space="preserve"> panelov, časovým údajom možno splniť aj označením elektrozariadenia grafickým symbolom podľa písmena c),</w:t>
            </w:r>
          </w:p>
          <w:p w14:paraId="66341984" w14:textId="3D03A35A" w:rsidR="005B53BC" w:rsidRDefault="005B53BC" w:rsidP="005B53BC">
            <w:pPr>
              <w:jc w:val="both"/>
              <w:rPr>
                <w:sz w:val="20"/>
              </w:rPr>
            </w:pPr>
            <w:r w:rsidRPr="005B53BC">
              <w:rPr>
                <w:sz w:val="20"/>
              </w:rPr>
              <w:t>c) uvádzať na trh elektrozariadenie označené grafickým symbolom,</w:t>
            </w:r>
          </w:p>
          <w:p w14:paraId="4F9E7F99" w14:textId="240F28F5" w:rsidR="00AC1CEE" w:rsidRDefault="00AC1CEE" w:rsidP="005B53BC">
            <w:pPr>
              <w:jc w:val="both"/>
              <w:rPr>
                <w:sz w:val="20"/>
              </w:rPr>
            </w:pPr>
          </w:p>
          <w:p w14:paraId="74A30715" w14:textId="77777777" w:rsidR="00AC1CEE" w:rsidRDefault="00AC1CEE" w:rsidP="005B53BC">
            <w:pPr>
              <w:jc w:val="both"/>
              <w:rPr>
                <w:sz w:val="20"/>
              </w:rPr>
            </w:pPr>
          </w:p>
          <w:p w14:paraId="2B74AA8A" w14:textId="27075552" w:rsidR="00134F1E" w:rsidRDefault="00AC1CEE" w:rsidP="005B53BC">
            <w:pPr>
              <w:jc w:val="both"/>
              <w:rPr>
                <w:sz w:val="20"/>
              </w:rPr>
            </w:pPr>
            <w:r w:rsidRPr="00AC1CEE">
              <w:rPr>
                <w:sz w:val="20"/>
              </w:rPr>
              <w:t>Grafické symboly sa musia vyznačiť na elektrozariadení viditeľne, čitateľne a nezmazateľne; ak je to potrebné kvôli veľkosti alebo funkcii výrobku, symbol sa vytlačí na obaly, návod na použitie a na záručný list EEZ.</w:t>
            </w:r>
          </w:p>
          <w:p w14:paraId="23D9BE62" w14:textId="64AE807F" w:rsidR="00AC1CEE" w:rsidRDefault="00AC1CEE" w:rsidP="005B53BC">
            <w:pPr>
              <w:jc w:val="both"/>
              <w:rPr>
                <w:sz w:val="20"/>
              </w:rPr>
            </w:pPr>
          </w:p>
          <w:p w14:paraId="15847682" w14:textId="77777777" w:rsidR="00AC1CEE" w:rsidRDefault="00AC1CEE" w:rsidP="005B53BC">
            <w:pPr>
              <w:jc w:val="both"/>
              <w:rPr>
                <w:sz w:val="20"/>
              </w:rPr>
            </w:pPr>
          </w:p>
          <w:p w14:paraId="77C3D104" w14:textId="2FB770F1" w:rsidR="005B53BC" w:rsidRPr="005B53BC" w:rsidRDefault="005B53BC" w:rsidP="005B53BC">
            <w:pPr>
              <w:jc w:val="both"/>
              <w:rPr>
                <w:sz w:val="20"/>
              </w:rPr>
            </w:pPr>
            <w:r w:rsidRPr="005B53BC">
              <w:rPr>
                <w:sz w:val="20"/>
              </w:rPr>
              <w:t>Grafický symbol pre označenie elektrozariadenia určeného pre oddelený zber, ktoré bolo uvedené na trh pred 13. augustom 2005</w:t>
            </w:r>
          </w:p>
          <w:p w14:paraId="2E366E28" w14:textId="77777777" w:rsidR="005B53BC" w:rsidRDefault="005B53BC" w:rsidP="005B53BC">
            <w:pPr>
              <w:jc w:val="both"/>
              <w:rPr>
                <w:sz w:val="20"/>
              </w:rPr>
            </w:pPr>
            <w:r w:rsidRPr="005B53BC">
              <w:rPr>
                <w:sz w:val="20"/>
              </w:rPr>
              <w:t>Grafický symbol pre označenie elektrozariadenia určeného pre oddelený zber, ktoré sa uvádza na trh po 13. auguste 2005</w:t>
            </w:r>
          </w:p>
          <w:p w14:paraId="792CB6FD" w14:textId="16199E7D" w:rsidR="005B53BC" w:rsidRPr="00B739B7" w:rsidRDefault="005B53BC" w:rsidP="005B53BC">
            <w:pPr>
              <w:jc w:val="both"/>
              <w:rPr>
                <w:color w:val="FF0000"/>
                <w:sz w:val="16"/>
              </w:rPr>
            </w:pPr>
          </w:p>
        </w:tc>
        <w:tc>
          <w:tcPr>
            <w:tcW w:w="708" w:type="dxa"/>
            <w:tcBorders>
              <w:top w:val="single" w:sz="4" w:space="0" w:color="auto"/>
              <w:bottom w:val="single" w:sz="4" w:space="0" w:color="auto"/>
            </w:tcBorders>
          </w:tcPr>
          <w:p w14:paraId="43750C89" w14:textId="77777777" w:rsidR="00A420CF" w:rsidRPr="00970E07" w:rsidRDefault="00A420CF" w:rsidP="00A420CF">
            <w:pPr>
              <w:jc w:val="both"/>
              <w:rPr>
                <w:sz w:val="20"/>
              </w:rPr>
            </w:pPr>
            <w:r w:rsidRPr="00970E07">
              <w:rPr>
                <w:sz w:val="20"/>
              </w:rPr>
              <w:lastRenderedPageBreak/>
              <w:t>Ú</w:t>
            </w:r>
          </w:p>
        </w:tc>
        <w:tc>
          <w:tcPr>
            <w:tcW w:w="993" w:type="dxa"/>
            <w:tcBorders>
              <w:top w:val="single" w:sz="4" w:space="0" w:color="auto"/>
              <w:bottom w:val="single" w:sz="4" w:space="0" w:color="auto"/>
            </w:tcBorders>
          </w:tcPr>
          <w:p w14:paraId="7C6EAAB9" w14:textId="77777777" w:rsidR="00A420CF" w:rsidRPr="00970E07" w:rsidRDefault="00A420CF" w:rsidP="00A420CF">
            <w:pPr>
              <w:jc w:val="both"/>
              <w:rPr>
                <w:sz w:val="20"/>
              </w:rPr>
            </w:pPr>
          </w:p>
        </w:tc>
        <w:tc>
          <w:tcPr>
            <w:tcW w:w="1134" w:type="dxa"/>
            <w:tcBorders>
              <w:top w:val="single" w:sz="4" w:space="0" w:color="auto"/>
              <w:bottom w:val="single" w:sz="4" w:space="0" w:color="auto"/>
            </w:tcBorders>
          </w:tcPr>
          <w:p w14:paraId="3C987BEF" w14:textId="77777777" w:rsidR="00A420CF" w:rsidRPr="00970E07" w:rsidRDefault="00A420CF" w:rsidP="00A420CF">
            <w:pPr>
              <w:jc w:val="both"/>
              <w:rPr>
                <w:sz w:val="20"/>
              </w:rPr>
            </w:pPr>
            <w:r w:rsidRPr="00970E07">
              <w:rPr>
                <w:sz w:val="20"/>
              </w:rPr>
              <w:t>GP - N</w:t>
            </w:r>
          </w:p>
        </w:tc>
        <w:tc>
          <w:tcPr>
            <w:tcW w:w="1417" w:type="dxa"/>
            <w:tcBorders>
              <w:top w:val="single" w:sz="4" w:space="0" w:color="auto"/>
              <w:bottom w:val="single" w:sz="4" w:space="0" w:color="auto"/>
            </w:tcBorders>
          </w:tcPr>
          <w:p w14:paraId="40D75C10" w14:textId="77777777" w:rsidR="00A420CF" w:rsidRDefault="00A420CF" w:rsidP="00A420CF">
            <w:pPr>
              <w:jc w:val="both"/>
              <w:rPr>
                <w:sz w:val="20"/>
              </w:rPr>
            </w:pPr>
          </w:p>
          <w:p w14:paraId="20F39C4B" w14:textId="77777777" w:rsidR="008E5707" w:rsidRDefault="008E5707" w:rsidP="00A420CF">
            <w:pPr>
              <w:jc w:val="both"/>
              <w:rPr>
                <w:sz w:val="20"/>
              </w:rPr>
            </w:pPr>
          </w:p>
          <w:p w14:paraId="3CBFB1DA" w14:textId="77777777" w:rsidR="008E5707" w:rsidRDefault="008E5707" w:rsidP="00A420CF">
            <w:pPr>
              <w:jc w:val="both"/>
              <w:rPr>
                <w:sz w:val="20"/>
              </w:rPr>
            </w:pPr>
          </w:p>
          <w:p w14:paraId="2116D269" w14:textId="77777777" w:rsidR="008E5707" w:rsidRDefault="008E5707" w:rsidP="00A420CF">
            <w:pPr>
              <w:jc w:val="both"/>
              <w:rPr>
                <w:sz w:val="20"/>
              </w:rPr>
            </w:pPr>
          </w:p>
          <w:p w14:paraId="0392D44C" w14:textId="77777777" w:rsidR="008E5707" w:rsidRDefault="008E5707" w:rsidP="00A420CF">
            <w:pPr>
              <w:jc w:val="both"/>
              <w:rPr>
                <w:sz w:val="20"/>
              </w:rPr>
            </w:pPr>
          </w:p>
          <w:p w14:paraId="32E72C65" w14:textId="77777777" w:rsidR="008E5707" w:rsidRDefault="008E5707" w:rsidP="00A420CF">
            <w:pPr>
              <w:jc w:val="both"/>
              <w:rPr>
                <w:sz w:val="20"/>
              </w:rPr>
            </w:pPr>
          </w:p>
          <w:p w14:paraId="699EEECA" w14:textId="77777777" w:rsidR="008E5707" w:rsidRDefault="008E5707" w:rsidP="00A420CF">
            <w:pPr>
              <w:jc w:val="both"/>
              <w:rPr>
                <w:sz w:val="20"/>
              </w:rPr>
            </w:pPr>
          </w:p>
          <w:p w14:paraId="113B9BE5" w14:textId="77777777" w:rsidR="008E5707" w:rsidRDefault="008E5707" w:rsidP="00A420CF">
            <w:pPr>
              <w:jc w:val="both"/>
              <w:rPr>
                <w:sz w:val="20"/>
              </w:rPr>
            </w:pPr>
          </w:p>
          <w:p w14:paraId="36D851DF" w14:textId="77777777" w:rsidR="008E5707" w:rsidRDefault="008E5707" w:rsidP="00A420CF">
            <w:pPr>
              <w:jc w:val="both"/>
              <w:rPr>
                <w:sz w:val="20"/>
              </w:rPr>
            </w:pPr>
          </w:p>
          <w:p w14:paraId="23C99BE6" w14:textId="77777777" w:rsidR="008E5707" w:rsidRDefault="008E5707" w:rsidP="00A420CF">
            <w:pPr>
              <w:jc w:val="both"/>
              <w:rPr>
                <w:sz w:val="20"/>
              </w:rPr>
            </w:pPr>
          </w:p>
          <w:p w14:paraId="086E8FC3" w14:textId="77777777" w:rsidR="008E5707" w:rsidRDefault="008E5707" w:rsidP="00A420CF">
            <w:pPr>
              <w:jc w:val="both"/>
              <w:rPr>
                <w:sz w:val="20"/>
              </w:rPr>
            </w:pPr>
          </w:p>
          <w:p w14:paraId="148DF114" w14:textId="77777777" w:rsidR="008E5707" w:rsidRDefault="008E5707" w:rsidP="00A420CF">
            <w:pPr>
              <w:jc w:val="both"/>
              <w:rPr>
                <w:sz w:val="20"/>
              </w:rPr>
            </w:pPr>
          </w:p>
          <w:p w14:paraId="24663973" w14:textId="77777777" w:rsidR="008E5707" w:rsidRDefault="008E5707" w:rsidP="00A420CF">
            <w:pPr>
              <w:jc w:val="both"/>
              <w:rPr>
                <w:sz w:val="20"/>
              </w:rPr>
            </w:pPr>
          </w:p>
          <w:p w14:paraId="00B6B890" w14:textId="77777777" w:rsidR="008E5707" w:rsidRDefault="008E5707" w:rsidP="00A420CF">
            <w:pPr>
              <w:jc w:val="both"/>
              <w:rPr>
                <w:sz w:val="20"/>
              </w:rPr>
            </w:pPr>
          </w:p>
          <w:p w14:paraId="7CD3203C" w14:textId="77777777" w:rsidR="008E5707" w:rsidRDefault="008E5707" w:rsidP="00A420CF">
            <w:pPr>
              <w:jc w:val="both"/>
              <w:rPr>
                <w:sz w:val="20"/>
              </w:rPr>
            </w:pPr>
          </w:p>
          <w:p w14:paraId="4A889948" w14:textId="77777777" w:rsidR="008E5707" w:rsidRDefault="008E5707" w:rsidP="00A420CF">
            <w:pPr>
              <w:jc w:val="both"/>
              <w:rPr>
                <w:sz w:val="20"/>
              </w:rPr>
            </w:pPr>
          </w:p>
          <w:p w14:paraId="756D2B5B" w14:textId="77777777" w:rsidR="008E5707" w:rsidRDefault="008E5707" w:rsidP="00A420CF">
            <w:pPr>
              <w:jc w:val="both"/>
              <w:rPr>
                <w:sz w:val="20"/>
              </w:rPr>
            </w:pPr>
          </w:p>
          <w:p w14:paraId="782537D8" w14:textId="77777777" w:rsidR="008E5707" w:rsidRDefault="008E5707" w:rsidP="00A420CF">
            <w:pPr>
              <w:jc w:val="both"/>
              <w:rPr>
                <w:sz w:val="20"/>
              </w:rPr>
            </w:pPr>
          </w:p>
          <w:p w14:paraId="46DC47FD" w14:textId="77777777" w:rsidR="008E5707" w:rsidRDefault="008E5707" w:rsidP="00A420CF">
            <w:pPr>
              <w:jc w:val="both"/>
              <w:rPr>
                <w:sz w:val="20"/>
              </w:rPr>
            </w:pPr>
          </w:p>
          <w:p w14:paraId="0BC28BC1" w14:textId="77777777" w:rsidR="008E5707" w:rsidRDefault="008E5707" w:rsidP="00A420CF">
            <w:pPr>
              <w:jc w:val="both"/>
              <w:rPr>
                <w:sz w:val="20"/>
              </w:rPr>
            </w:pPr>
          </w:p>
          <w:p w14:paraId="41783298" w14:textId="77777777" w:rsidR="008E5707" w:rsidRDefault="008E5707" w:rsidP="00A420CF">
            <w:pPr>
              <w:jc w:val="both"/>
              <w:rPr>
                <w:sz w:val="20"/>
              </w:rPr>
            </w:pPr>
          </w:p>
          <w:p w14:paraId="3B39D5FF" w14:textId="77777777" w:rsidR="008E5707" w:rsidRDefault="008E5707" w:rsidP="00A420CF">
            <w:pPr>
              <w:jc w:val="both"/>
              <w:rPr>
                <w:sz w:val="20"/>
              </w:rPr>
            </w:pPr>
          </w:p>
          <w:p w14:paraId="34D37D3E" w14:textId="77777777" w:rsidR="008E5707" w:rsidRDefault="008E5707" w:rsidP="00A420CF">
            <w:pPr>
              <w:jc w:val="both"/>
              <w:rPr>
                <w:sz w:val="20"/>
              </w:rPr>
            </w:pPr>
          </w:p>
          <w:p w14:paraId="307872B0" w14:textId="77777777" w:rsidR="008E5707" w:rsidRDefault="008E5707" w:rsidP="00A420CF">
            <w:pPr>
              <w:jc w:val="both"/>
              <w:rPr>
                <w:sz w:val="20"/>
              </w:rPr>
            </w:pPr>
          </w:p>
          <w:p w14:paraId="17D4A880" w14:textId="77777777" w:rsidR="008E5707" w:rsidRDefault="008E5707" w:rsidP="00A420CF">
            <w:pPr>
              <w:jc w:val="both"/>
              <w:rPr>
                <w:sz w:val="20"/>
              </w:rPr>
            </w:pPr>
          </w:p>
          <w:p w14:paraId="40801E3B" w14:textId="2E5438E1" w:rsidR="008E5707" w:rsidRDefault="008E5707" w:rsidP="00A420CF">
            <w:pPr>
              <w:jc w:val="both"/>
              <w:rPr>
                <w:sz w:val="20"/>
              </w:rPr>
            </w:pPr>
          </w:p>
          <w:p w14:paraId="0E14A344" w14:textId="14BDD466" w:rsidR="008E5707" w:rsidRPr="00620A81" w:rsidRDefault="008E5707" w:rsidP="00A420CF">
            <w:pPr>
              <w:jc w:val="both"/>
              <w:rPr>
                <w:sz w:val="20"/>
              </w:rPr>
            </w:pPr>
          </w:p>
        </w:tc>
      </w:tr>
      <w:tr w:rsidR="00A420CF" w:rsidRPr="00620A81" w14:paraId="4F51B18D" w14:textId="77777777" w:rsidTr="00C54F2F">
        <w:trPr>
          <w:trHeight w:val="720"/>
        </w:trPr>
        <w:tc>
          <w:tcPr>
            <w:tcW w:w="701" w:type="dxa"/>
            <w:tcBorders>
              <w:top w:val="single" w:sz="4" w:space="0" w:color="auto"/>
              <w:bottom w:val="single" w:sz="4" w:space="0" w:color="auto"/>
            </w:tcBorders>
          </w:tcPr>
          <w:p w14:paraId="3EEA2F57" w14:textId="77777777" w:rsidR="00A420CF" w:rsidRDefault="00A420CF" w:rsidP="00A420CF">
            <w:pPr>
              <w:jc w:val="both"/>
              <w:rPr>
                <w:sz w:val="20"/>
              </w:rPr>
            </w:pPr>
            <w:r>
              <w:rPr>
                <w:sz w:val="20"/>
              </w:rPr>
              <w:lastRenderedPageBreak/>
              <w:t>Č1 O5</w:t>
            </w:r>
          </w:p>
        </w:tc>
        <w:tc>
          <w:tcPr>
            <w:tcW w:w="3480" w:type="dxa"/>
            <w:tcBorders>
              <w:top w:val="single" w:sz="4" w:space="0" w:color="auto"/>
              <w:bottom w:val="single" w:sz="4" w:space="0" w:color="auto"/>
            </w:tcBorders>
          </w:tcPr>
          <w:p w14:paraId="39270069" w14:textId="77777777" w:rsidR="00A420CF" w:rsidRDefault="00A420CF" w:rsidP="00A420CF">
            <w:pPr>
              <w:jc w:val="both"/>
              <w:rPr>
                <w:sz w:val="20"/>
              </w:rPr>
            </w:pPr>
            <w:r w:rsidRPr="00BA2166">
              <w:rPr>
                <w:sz w:val="20"/>
              </w:rPr>
              <w:t xml:space="preserve">5. V článku 15 sa odsek 2 nahrádza takto: </w:t>
            </w:r>
          </w:p>
          <w:p w14:paraId="284793E3" w14:textId="77777777" w:rsidR="00A420CF" w:rsidRDefault="00A420CF" w:rsidP="00A420CF">
            <w:pPr>
              <w:jc w:val="both"/>
              <w:rPr>
                <w:sz w:val="20"/>
              </w:rPr>
            </w:pPr>
            <w:r w:rsidRPr="00BA2166">
              <w:rPr>
                <w:sz w:val="20"/>
              </w:rPr>
              <w:t xml:space="preserve">„2. Aby bolo možné s určitosťou stanoviť dátum, kedy bolo EEZ uvedené na trh, členské štáty zabezpečia, aby značka na EEZ obsahovala informáciu, že EEZ bolo uvedené na trh po 13. auguste 2005. Na tento účel sa podľa možnosti uplatňuje európska norma EN 50419:2022. </w:t>
            </w:r>
          </w:p>
          <w:p w14:paraId="5D0139D7" w14:textId="77777777" w:rsidR="00A420CF" w:rsidRPr="00BA2166" w:rsidRDefault="00A420CF" w:rsidP="00A420CF">
            <w:pPr>
              <w:jc w:val="both"/>
              <w:rPr>
                <w:sz w:val="20"/>
              </w:rPr>
            </w:pPr>
            <w:r w:rsidRPr="00BA2166">
              <w:rPr>
                <w:sz w:val="20"/>
              </w:rPr>
              <w:t xml:space="preserve">V prípade </w:t>
            </w:r>
            <w:proofErr w:type="spellStart"/>
            <w:r w:rsidRPr="00BA2166">
              <w:rPr>
                <w:sz w:val="20"/>
              </w:rPr>
              <w:t>fotovoltických</w:t>
            </w:r>
            <w:proofErr w:type="spellEnd"/>
            <w:r w:rsidRPr="00BA2166">
              <w:rPr>
                <w:sz w:val="20"/>
              </w:rPr>
              <w:t xml:space="preserve"> panelov sa povinnosť uvedená v prvom </w:t>
            </w:r>
            <w:proofErr w:type="spellStart"/>
            <w:r w:rsidRPr="00BA2166">
              <w:rPr>
                <w:sz w:val="20"/>
              </w:rPr>
              <w:t>pododseku</w:t>
            </w:r>
            <w:proofErr w:type="spellEnd"/>
            <w:r w:rsidRPr="00BA2166">
              <w:rPr>
                <w:sz w:val="20"/>
              </w:rPr>
              <w:t xml:space="preserve"> vzťahuje len na </w:t>
            </w:r>
            <w:proofErr w:type="spellStart"/>
            <w:r w:rsidRPr="00BA2166">
              <w:rPr>
                <w:sz w:val="20"/>
              </w:rPr>
              <w:t>fotovoltické</w:t>
            </w:r>
            <w:proofErr w:type="spellEnd"/>
            <w:r w:rsidRPr="00BA2166">
              <w:rPr>
                <w:sz w:val="20"/>
              </w:rPr>
              <w:t xml:space="preserve"> panely uvedené na trh od 13. augusta 2012.</w:t>
            </w:r>
          </w:p>
          <w:p w14:paraId="1314C6CC" w14:textId="77777777" w:rsidR="00A420CF" w:rsidRPr="00BA2166" w:rsidRDefault="00A420CF" w:rsidP="00A420CF">
            <w:pPr>
              <w:jc w:val="both"/>
              <w:rPr>
                <w:sz w:val="20"/>
                <w:lang w:eastAsia="sk-SK"/>
              </w:rPr>
            </w:pPr>
            <w:r w:rsidRPr="00BA2166">
              <w:rPr>
                <w:sz w:val="20"/>
              </w:rPr>
              <w:t xml:space="preserve">V prípade EEZ uvedených v článku 2 ods. 1 písm. b), ktoré nepatria do rozsahu pôsobnosti článku 2 ods. 1 písm. a), sa povinnosť uvedená v prvom </w:t>
            </w:r>
            <w:proofErr w:type="spellStart"/>
            <w:r w:rsidRPr="00BA2166">
              <w:rPr>
                <w:sz w:val="20"/>
              </w:rPr>
              <w:t>pododseku</w:t>
            </w:r>
            <w:proofErr w:type="spellEnd"/>
            <w:r w:rsidRPr="00BA2166">
              <w:rPr>
                <w:sz w:val="20"/>
              </w:rPr>
              <w:t xml:space="preserve"> </w:t>
            </w:r>
            <w:r w:rsidRPr="00BA2166">
              <w:rPr>
                <w:sz w:val="20"/>
              </w:rPr>
              <w:lastRenderedPageBreak/>
              <w:t>tohto odseku vzťahuje len na EEZ uvedené na trh od 15. augusta 2018.“</w:t>
            </w:r>
          </w:p>
        </w:tc>
        <w:tc>
          <w:tcPr>
            <w:tcW w:w="567" w:type="dxa"/>
            <w:tcBorders>
              <w:top w:val="single" w:sz="4" w:space="0" w:color="auto"/>
              <w:bottom w:val="single" w:sz="4" w:space="0" w:color="auto"/>
            </w:tcBorders>
          </w:tcPr>
          <w:p w14:paraId="1F1B43D9" w14:textId="77777777" w:rsidR="00A420CF" w:rsidRPr="00970E07" w:rsidRDefault="00A420CF" w:rsidP="00A420CF">
            <w:pPr>
              <w:jc w:val="both"/>
              <w:rPr>
                <w:sz w:val="20"/>
              </w:rPr>
            </w:pPr>
            <w:r w:rsidRPr="00970E07">
              <w:rPr>
                <w:sz w:val="20"/>
              </w:rPr>
              <w:lastRenderedPageBreak/>
              <w:t>N</w:t>
            </w:r>
          </w:p>
        </w:tc>
        <w:tc>
          <w:tcPr>
            <w:tcW w:w="914" w:type="dxa"/>
            <w:tcBorders>
              <w:top w:val="single" w:sz="4" w:space="0" w:color="auto"/>
              <w:bottom w:val="single" w:sz="4" w:space="0" w:color="auto"/>
            </w:tcBorders>
          </w:tcPr>
          <w:p w14:paraId="4BEAEFAC" w14:textId="77777777" w:rsidR="006F4FCF" w:rsidRDefault="00CB7D71" w:rsidP="00BB3A6B">
            <w:pPr>
              <w:rPr>
                <w:sz w:val="20"/>
              </w:rPr>
            </w:pPr>
            <w:r>
              <w:rPr>
                <w:sz w:val="20"/>
              </w:rPr>
              <w:t xml:space="preserve">79/2015, </w:t>
            </w:r>
          </w:p>
          <w:p w14:paraId="74069719" w14:textId="03466F8F" w:rsidR="00A420CF" w:rsidRDefault="00CB7D71" w:rsidP="00BB3A6B">
            <w:pPr>
              <w:rPr>
                <w:color w:val="FF0000"/>
                <w:sz w:val="20"/>
              </w:rPr>
            </w:pPr>
            <w:r w:rsidRPr="00CB7D71">
              <w:rPr>
                <w:color w:val="FF0000"/>
                <w:sz w:val="20"/>
              </w:rPr>
              <w:t>NZ</w:t>
            </w:r>
          </w:p>
          <w:p w14:paraId="3BDF8DEC" w14:textId="77777777" w:rsidR="00C323D1" w:rsidRDefault="00C323D1" w:rsidP="00BB3A6B">
            <w:pPr>
              <w:rPr>
                <w:color w:val="FF0000"/>
                <w:sz w:val="20"/>
              </w:rPr>
            </w:pPr>
          </w:p>
          <w:p w14:paraId="0A5469AF" w14:textId="77777777" w:rsidR="00C323D1" w:rsidRDefault="00C323D1" w:rsidP="00BB3A6B">
            <w:pPr>
              <w:rPr>
                <w:color w:val="FF0000"/>
                <w:sz w:val="20"/>
              </w:rPr>
            </w:pPr>
          </w:p>
          <w:p w14:paraId="636714F8" w14:textId="77777777" w:rsidR="00C323D1" w:rsidRDefault="00C323D1" w:rsidP="00BB3A6B">
            <w:pPr>
              <w:rPr>
                <w:color w:val="FF0000"/>
                <w:sz w:val="20"/>
              </w:rPr>
            </w:pPr>
          </w:p>
          <w:p w14:paraId="049C695B" w14:textId="77777777" w:rsidR="00C323D1" w:rsidRDefault="00C323D1" w:rsidP="00BB3A6B">
            <w:pPr>
              <w:rPr>
                <w:color w:val="FF0000"/>
                <w:sz w:val="20"/>
              </w:rPr>
            </w:pPr>
          </w:p>
          <w:p w14:paraId="7F8273D0" w14:textId="77777777" w:rsidR="00C323D1" w:rsidRDefault="00C323D1" w:rsidP="00BB3A6B">
            <w:pPr>
              <w:rPr>
                <w:color w:val="FF0000"/>
                <w:sz w:val="20"/>
              </w:rPr>
            </w:pPr>
          </w:p>
          <w:p w14:paraId="4AA1F5C3" w14:textId="77777777" w:rsidR="00C323D1" w:rsidRDefault="00C323D1" w:rsidP="00BB3A6B">
            <w:pPr>
              <w:rPr>
                <w:color w:val="FF0000"/>
                <w:sz w:val="20"/>
              </w:rPr>
            </w:pPr>
          </w:p>
          <w:p w14:paraId="26A3C60C" w14:textId="1348ACE1" w:rsidR="00C323D1" w:rsidRDefault="00C323D1" w:rsidP="00BB3A6B">
            <w:pPr>
              <w:rPr>
                <w:color w:val="FF0000"/>
                <w:sz w:val="20"/>
              </w:rPr>
            </w:pPr>
          </w:p>
          <w:p w14:paraId="0B7FE8E1" w14:textId="4267649D" w:rsidR="00DC7D0E" w:rsidRDefault="00DC7D0E" w:rsidP="00BB3A6B">
            <w:pPr>
              <w:rPr>
                <w:color w:val="FF0000"/>
                <w:sz w:val="20"/>
              </w:rPr>
            </w:pPr>
          </w:p>
          <w:p w14:paraId="138BC2E4" w14:textId="718CAE50" w:rsidR="00821B79" w:rsidRDefault="00821B79" w:rsidP="00BB3A6B">
            <w:pPr>
              <w:rPr>
                <w:color w:val="FF0000"/>
                <w:sz w:val="20"/>
              </w:rPr>
            </w:pPr>
          </w:p>
          <w:p w14:paraId="3D08366A" w14:textId="5628E56F" w:rsidR="00821B79" w:rsidRDefault="00821B79" w:rsidP="00BB3A6B">
            <w:pPr>
              <w:rPr>
                <w:color w:val="FF0000"/>
                <w:sz w:val="20"/>
              </w:rPr>
            </w:pPr>
          </w:p>
          <w:p w14:paraId="79F6AA76" w14:textId="3016C563" w:rsidR="00821B79" w:rsidRDefault="00821B79" w:rsidP="00BB3A6B">
            <w:pPr>
              <w:rPr>
                <w:color w:val="FF0000"/>
                <w:sz w:val="20"/>
              </w:rPr>
            </w:pPr>
          </w:p>
          <w:p w14:paraId="749F31F7" w14:textId="7026BBF3" w:rsidR="00821B79" w:rsidRDefault="00821B79" w:rsidP="00BB3A6B">
            <w:pPr>
              <w:rPr>
                <w:color w:val="FF0000"/>
                <w:sz w:val="20"/>
              </w:rPr>
            </w:pPr>
          </w:p>
          <w:p w14:paraId="19055F54" w14:textId="1A3CCAAB" w:rsidR="00821B79" w:rsidRDefault="00821B79" w:rsidP="00BB3A6B">
            <w:pPr>
              <w:rPr>
                <w:color w:val="FF0000"/>
                <w:sz w:val="20"/>
              </w:rPr>
            </w:pPr>
          </w:p>
          <w:p w14:paraId="2937C496" w14:textId="6AFCA689" w:rsidR="00821B79" w:rsidRDefault="00821B79" w:rsidP="00BB3A6B">
            <w:pPr>
              <w:rPr>
                <w:color w:val="FF0000"/>
                <w:sz w:val="20"/>
              </w:rPr>
            </w:pPr>
          </w:p>
          <w:p w14:paraId="04C8FE61" w14:textId="77777777" w:rsidR="003F4059" w:rsidRPr="00E6321A" w:rsidRDefault="003F4059" w:rsidP="003F4059">
            <w:pPr>
              <w:rPr>
                <w:sz w:val="20"/>
              </w:rPr>
            </w:pPr>
            <w:r w:rsidRPr="00E6321A">
              <w:rPr>
                <w:sz w:val="20"/>
              </w:rPr>
              <w:lastRenderedPageBreak/>
              <w:t>79/2015</w:t>
            </w:r>
          </w:p>
          <w:p w14:paraId="2DD38CC1" w14:textId="77777777" w:rsidR="003F4059" w:rsidRDefault="003F4059" w:rsidP="003F4059">
            <w:pPr>
              <w:rPr>
                <w:color w:val="FF0000"/>
                <w:sz w:val="20"/>
              </w:rPr>
            </w:pPr>
          </w:p>
          <w:p w14:paraId="53316AA8" w14:textId="0D5632A4" w:rsidR="00821B79" w:rsidRDefault="00821B79" w:rsidP="00BB3A6B">
            <w:pPr>
              <w:rPr>
                <w:color w:val="FF0000"/>
                <w:sz w:val="20"/>
              </w:rPr>
            </w:pPr>
          </w:p>
          <w:p w14:paraId="3EE1770C" w14:textId="77777777" w:rsidR="003F4059" w:rsidRDefault="003F4059" w:rsidP="00BB3A6B">
            <w:pPr>
              <w:rPr>
                <w:color w:val="FF0000"/>
                <w:sz w:val="20"/>
              </w:rPr>
            </w:pPr>
          </w:p>
          <w:p w14:paraId="2314F2F8" w14:textId="3F20DB07" w:rsidR="00C323D1" w:rsidRPr="00970E07" w:rsidRDefault="00C323D1" w:rsidP="008521BC">
            <w:pPr>
              <w:rPr>
                <w:sz w:val="20"/>
              </w:rPr>
            </w:pPr>
            <w:r>
              <w:rPr>
                <w:sz w:val="20"/>
              </w:rPr>
              <w:t>373/2015</w:t>
            </w:r>
          </w:p>
        </w:tc>
        <w:tc>
          <w:tcPr>
            <w:tcW w:w="851" w:type="dxa"/>
            <w:tcBorders>
              <w:top w:val="single" w:sz="4" w:space="0" w:color="auto"/>
              <w:bottom w:val="single" w:sz="4" w:space="0" w:color="auto"/>
            </w:tcBorders>
          </w:tcPr>
          <w:p w14:paraId="75B9D2BB" w14:textId="77777777" w:rsidR="00A420CF" w:rsidRDefault="00CB7D71" w:rsidP="00BB3A6B">
            <w:pPr>
              <w:pStyle w:val="BodyText21"/>
              <w:spacing w:before="0" w:line="240" w:lineRule="auto"/>
              <w:jc w:val="left"/>
            </w:pPr>
            <w:r>
              <w:lastRenderedPageBreak/>
              <w:t>§34 O1 Pb</w:t>
            </w:r>
          </w:p>
          <w:p w14:paraId="74D64A70" w14:textId="77777777" w:rsidR="00CB7D71" w:rsidRDefault="00CB7D71" w:rsidP="00BB3A6B">
            <w:pPr>
              <w:pStyle w:val="BodyText21"/>
              <w:spacing w:before="0" w:line="240" w:lineRule="auto"/>
              <w:jc w:val="left"/>
            </w:pPr>
          </w:p>
          <w:p w14:paraId="5BF2AA4A" w14:textId="77777777" w:rsidR="00CB7D71" w:rsidRDefault="00CB7D71" w:rsidP="00BB3A6B">
            <w:pPr>
              <w:pStyle w:val="BodyText21"/>
              <w:spacing w:before="0" w:line="240" w:lineRule="auto"/>
              <w:jc w:val="left"/>
            </w:pPr>
          </w:p>
          <w:p w14:paraId="077BBF9D" w14:textId="77777777" w:rsidR="00CB7D71" w:rsidRDefault="00CB7D71" w:rsidP="00BB3A6B">
            <w:pPr>
              <w:pStyle w:val="BodyText21"/>
              <w:spacing w:before="0" w:line="240" w:lineRule="auto"/>
              <w:jc w:val="left"/>
            </w:pPr>
          </w:p>
          <w:p w14:paraId="31729EA3" w14:textId="77777777" w:rsidR="00CB7D71" w:rsidRDefault="00CB7D71" w:rsidP="00BB3A6B">
            <w:pPr>
              <w:pStyle w:val="BodyText21"/>
              <w:spacing w:before="0" w:line="240" w:lineRule="auto"/>
              <w:jc w:val="left"/>
            </w:pPr>
          </w:p>
          <w:p w14:paraId="153C9A53" w14:textId="77777777" w:rsidR="00CB7D71" w:rsidRDefault="00CB7D71" w:rsidP="00BB3A6B">
            <w:pPr>
              <w:pStyle w:val="BodyText21"/>
              <w:spacing w:before="0" w:line="240" w:lineRule="auto"/>
              <w:jc w:val="left"/>
            </w:pPr>
          </w:p>
          <w:p w14:paraId="50F92417" w14:textId="77777777" w:rsidR="00CB7D71" w:rsidRDefault="00CB7D71" w:rsidP="00BB3A6B">
            <w:pPr>
              <w:pStyle w:val="BodyText21"/>
              <w:spacing w:before="0" w:line="240" w:lineRule="auto"/>
              <w:jc w:val="left"/>
            </w:pPr>
          </w:p>
          <w:p w14:paraId="00EA5A34" w14:textId="77777777" w:rsidR="00CB7D71" w:rsidRDefault="00CB7D71" w:rsidP="00BB3A6B">
            <w:pPr>
              <w:pStyle w:val="BodyText21"/>
              <w:spacing w:before="0" w:line="240" w:lineRule="auto"/>
              <w:jc w:val="left"/>
            </w:pPr>
          </w:p>
          <w:p w14:paraId="39933A2F" w14:textId="77777777" w:rsidR="00CB7D71" w:rsidRDefault="00CB7D71" w:rsidP="00BB3A6B">
            <w:pPr>
              <w:pStyle w:val="BodyText21"/>
              <w:spacing w:before="0" w:line="240" w:lineRule="auto"/>
              <w:jc w:val="left"/>
            </w:pPr>
          </w:p>
          <w:p w14:paraId="602BE6E1" w14:textId="77777777" w:rsidR="00C323D1" w:rsidRDefault="00C323D1" w:rsidP="00BB3A6B">
            <w:pPr>
              <w:pStyle w:val="BodyText21"/>
              <w:spacing w:before="0" w:line="240" w:lineRule="auto"/>
              <w:jc w:val="left"/>
            </w:pPr>
          </w:p>
          <w:p w14:paraId="0F4527D3" w14:textId="77777777" w:rsidR="00C323D1" w:rsidRDefault="00C323D1" w:rsidP="00BB3A6B">
            <w:pPr>
              <w:pStyle w:val="BodyText21"/>
              <w:spacing w:before="0" w:line="240" w:lineRule="auto"/>
              <w:jc w:val="left"/>
            </w:pPr>
          </w:p>
          <w:p w14:paraId="6B157436" w14:textId="77777777" w:rsidR="00C323D1" w:rsidRDefault="00C323D1" w:rsidP="00BB3A6B">
            <w:pPr>
              <w:pStyle w:val="BodyText21"/>
              <w:spacing w:before="0" w:line="240" w:lineRule="auto"/>
              <w:jc w:val="left"/>
            </w:pPr>
          </w:p>
          <w:p w14:paraId="31181C0D" w14:textId="77777777" w:rsidR="00C323D1" w:rsidRDefault="00C323D1" w:rsidP="00BB3A6B">
            <w:pPr>
              <w:pStyle w:val="BodyText21"/>
              <w:spacing w:before="0" w:line="240" w:lineRule="auto"/>
              <w:jc w:val="left"/>
            </w:pPr>
          </w:p>
          <w:p w14:paraId="7C2E737C" w14:textId="40B93F1D" w:rsidR="00BB3A6B" w:rsidRDefault="00BB3A6B" w:rsidP="00BB3A6B">
            <w:pPr>
              <w:pStyle w:val="BodyText21"/>
              <w:spacing w:before="0" w:line="240" w:lineRule="auto"/>
              <w:jc w:val="left"/>
            </w:pPr>
          </w:p>
          <w:p w14:paraId="1DB70917" w14:textId="054641F8" w:rsidR="00821B79" w:rsidRDefault="00821B79" w:rsidP="00BB3A6B">
            <w:pPr>
              <w:pStyle w:val="BodyText21"/>
              <w:spacing w:before="0" w:line="240" w:lineRule="auto"/>
              <w:jc w:val="left"/>
            </w:pPr>
          </w:p>
          <w:p w14:paraId="03086647" w14:textId="77777777" w:rsidR="003F4059" w:rsidRDefault="003F4059" w:rsidP="003F4059">
            <w:pPr>
              <w:pStyle w:val="BodyText21"/>
              <w:spacing w:before="0" w:line="240" w:lineRule="auto"/>
              <w:jc w:val="left"/>
            </w:pPr>
            <w:r>
              <w:lastRenderedPageBreak/>
              <w:t>§34 O1 Pc</w:t>
            </w:r>
          </w:p>
          <w:p w14:paraId="7057E5E3" w14:textId="77777777" w:rsidR="00821B79" w:rsidRDefault="00821B79" w:rsidP="00BB3A6B">
            <w:pPr>
              <w:pStyle w:val="BodyText21"/>
              <w:spacing w:before="0" w:line="240" w:lineRule="auto"/>
              <w:jc w:val="left"/>
            </w:pPr>
          </w:p>
          <w:p w14:paraId="304A5D14" w14:textId="77777777" w:rsidR="00821B79" w:rsidRDefault="00821B79" w:rsidP="00BB3A6B">
            <w:pPr>
              <w:pStyle w:val="BodyText21"/>
              <w:spacing w:before="0" w:line="240" w:lineRule="auto"/>
              <w:jc w:val="left"/>
            </w:pPr>
          </w:p>
          <w:p w14:paraId="0F813C65" w14:textId="655B0E43" w:rsidR="00C323D1" w:rsidRPr="00970E07" w:rsidRDefault="00C323D1" w:rsidP="00BB3A6B">
            <w:pPr>
              <w:pStyle w:val="BodyText21"/>
              <w:spacing w:before="0" w:line="240" w:lineRule="auto"/>
              <w:jc w:val="left"/>
            </w:pPr>
            <w:r>
              <w:t>Príloha 9</w:t>
            </w:r>
          </w:p>
        </w:tc>
        <w:tc>
          <w:tcPr>
            <w:tcW w:w="4111" w:type="dxa"/>
            <w:tcBorders>
              <w:top w:val="single" w:sz="4" w:space="0" w:color="auto"/>
              <w:bottom w:val="single" w:sz="4" w:space="0" w:color="auto"/>
            </w:tcBorders>
          </w:tcPr>
          <w:p w14:paraId="14245E6D" w14:textId="77777777" w:rsidR="00821B79" w:rsidRPr="00134F1E" w:rsidRDefault="00821B79" w:rsidP="00821B79">
            <w:pPr>
              <w:jc w:val="both"/>
              <w:rPr>
                <w:sz w:val="20"/>
              </w:rPr>
            </w:pPr>
            <w:r w:rsidRPr="00134F1E">
              <w:rPr>
                <w:sz w:val="20"/>
              </w:rPr>
              <w:lastRenderedPageBreak/>
              <w:t>(1) Výrobca elektrozariadení je v súlade s povinnosťami uvedenými v § 27 ods. 4 povinný</w:t>
            </w:r>
          </w:p>
          <w:p w14:paraId="60BFBBD0" w14:textId="77777777" w:rsidR="003F4059" w:rsidRDefault="003F4059" w:rsidP="00821B79">
            <w:pPr>
              <w:jc w:val="both"/>
              <w:rPr>
                <w:sz w:val="20"/>
              </w:rPr>
            </w:pPr>
          </w:p>
          <w:p w14:paraId="4F4EF7DF" w14:textId="77777777" w:rsidR="003F4059" w:rsidRPr="00BA1209" w:rsidRDefault="003F4059" w:rsidP="00C323D1">
            <w:pPr>
              <w:jc w:val="both"/>
              <w:rPr>
                <w:color w:val="FF0000"/>
              </w:rPr>
            </w:pPr>
            <w:r w:rsidRPr="00BA1209">
              <w:rPr>
                <w:color w:val="FF0000"/>
                <w:sz w:val="20"/>
              </w:rPr>
              <w:t xml:space="preserve">b) označiť elektrozariadenie pri jeho uvedení na trh ochrannou známkou alebo označením, ktoré výrobca používa na svoju identifikáciu, a časovým údajom o tom, že elektrozariadenie iné ako </w:t>
            </w:r>
            <w:proofErr w:type="spellStart"/>
            <w:r w:rsidRPr="00BA1209">
              <w:rPr>
                <w:color w:val="FF0000"/>
                <w:sz w:val="20"/>
              </w:rPr>
              <w:t>fotovoltické</w:t>
            </w:r>
            <w:proofErr w:type="spellEnd"/>
            <w:r w:rsidRPr="00BA1209">
              <w:rPr>
                <w:color w:val="FF0000"/>
                <w:sz w:val="20"/>
              </w:rPr>
              <w:t xml:space="preserve"> panely bolo uvedené na trh po 13. auguste 2005, </w:t>
            </w:r>
            <w:proofErr w:type="spellStart"/>
            <w:r w:rsidRPr="00BA1209">
              <w:rPr>
                <w:color w:val="FF0000"/>
                <w:sz w:val="20"/>
              </w:rPr>
              <w:t>fotovoltické</w:t>
            </w:r>
            <w:proofErr w:type="spellEnd"/>
            <w:r w:rsidRPr="00BA1209">
              <w:rPr>
                <w:color w:val="FF0000"/>
                <w:sz w:val="20"/>
              </w:rPr>
              <w:t xml:space="preserve"> panely boli uvedené na trh od 13. augusta 2012 alebo elektrozariadenie uvedené v II. časti prílohy č. 6 zákona bolo uvedené na trh od 15. augusta 2018; povinnosť označiť elektrozariadenie, vrátane </w:t>
            </w:r>
            <w:proofErr w:type="spellStart"/>
            <w:r w:rsidRPr="00BA1209">
              <w:rPr>
                <w:color w:val="FF0000"/>
                <w:sz w:val="20"/>
              </w:rPr>
              <w:t>fotovoltických</w:t>
            </w:r>
            <w:proofErr w:type="spellEnd"/>
            <w:r w:rsidRPr="00BA1209">
              <w:rPr>
                <w:color w:val="FF0000"/>
                <w:sz w:val="20"/>
              </w:rPr>
              <w:t xml:space="preserve"> panelov, časovým údajom možno splniť aj označením elektrozariadenia grafickým symbolom podľa písmena c)</w:t>
            </w:r>
            <w:r w:rsidRPr="00BA1209">
              <w:rPr>
                <w:color w:val="FF0000"/>
              </w:rPr>
              <w:t>,</w:t>
            </w:r>
          </w:p>
          <w:p w14:paraId="073CDFDF" w14:textId="3B47DF51" w:rsidR="006F4FCF" w:rsidRDefault="00CB7D71" w:rsidP="00C323D1">
            <w:pPr>
              <w:jc w:val="both"/>
              <w:rPr>
                <w:sz w:val="20"/>
              </w:rPr>
            </w:pPr>
            <w:r w:rsidRPr="005B53BC">
              <w:rPr>
                <w:sz w:val="20"/>
              </w:rPr>
              <w:lastRenderedPageBreak/>
              <w:t>c) uvádzať na trh elektrozariadenie označené grafickým symbolom,</w:t>
            </w:r>
          </w:p>
          <w:p w14:paraId="285FED3C" w14:textId="77777777" w:rsidR="00821B79" w:rsidRDefault="00821B79" w:rsidP="00C323D1">
            <w:pPr>
              <w:jc w:val="both"/>
              <w:rPr>
                <w:sz w:val="20"/>
              </w:rPr>
            </w:pPr>
          </w:p>
          <w:p w14:paraId="342C3BAB" w14:textId="77777777" w:rsidR="00BA1209" w:rsidRDefault="00BA1209" w:rsidP="00C323D1">
            <w:pPr>
              <w:jc w:val="both"/>
              <w:rPr>
                <w:sz w:val="20"/>
              </w:rPr>
            </w:pPr>
          </w:p>
          <w:p w14:paraId="78EED56E" w14:textId="03F048F9" w:rsidR="00C323D1" w:rsidRPr="005B53BC" w:rsidRDefault="00C323D1" w:rsidP="00C323D1">
            <w:pPr>
              <w:jc w:val="both"/>
              <w:rPr>
                <w:sz w:val="20"/>
              </w:rPr>
            </w:pPr>
            <w:r w:rsidRPr="005B53BC">
              <w:rPr>
                <w:sz w:val="20"/>
              </w:rPr>
              <w:t>Grafický symbol pre označenie elektrozariadenia určeného pre oddelený zber, ktoré bolo uvedené na trh pred 13. augustom 2005</w:t>
            </w:r>
          </w:p>
          <w:p w14:paraId="7D7ED1D8" w14:textId="77777777" w:rsidR="00CB7D71" w:rsidRDefault="00C323D1" w:rsidP="00C323D1">
            <w:pPr>
              <w:jc w:val="both"/>
              <w:rPr>
                <w:sz w:val="20"/>
              </w:rPr>
            </w:pPr>
            <w:r w:rsidRPr="005B53BC">
              <w:rPr>
                <w:sz w:val="20"/>
              </w:rPr>
              <w:t>Grafický symbol pre označenie elektrozariadenia určeného pre oddelený zber, ktoré sa uvádza na trh po 13. auguste 2005</w:t>
            </w:r>
          </w:p>
          <w:p w14:paraId="05455976" w14:textId="4DFBF14C" w:rsidR="00CB7D71" w:rsidRPr="00970E07" w:rsidRDefault="00CB7D71" w:rsidP="00C323D1">
            <w:pPr>
              <w:jc w:val="both"/>
              <w:rPr>
                <w:sz w:val="20"/>
              </w:rPr>
            </w:pPr>
          </w:p>
        </w:tc>
        <w:tc>
          <w:tcPr>
            <w:tcW w:w="708" w:type="dxa"/>
            <w:tcBorders>
              <w:top w:val="single" w:sz="4" w:space="0" w:color="auto"/>
              <w:bottom w:val="single" w:sz="4" w:space="0" w:color="auto"/>
            </w:tcBorders>
          </w:tcPr>
          <w:p w14:paraId="5085BF6F" w14:textId="77777777" w:rsidR="00A420CF" w:rsidRPr="00970E07" w:rsidRDefault="00A420CF" w:rsidP="00A420CF">
            <w:pPr>
              <w:jc w:val="both"/>
              <w:rPr>
                <w:sz w:val="20"/>
              </w:rPr>
            </w:pPr>
            <w:r w:rsidRPr="00970E07">
              <w:rPr>
                <w:sz w:val="20"/>
              </w:rPr>
              <w:lastRenderedPageBreak/>
              <w:t>Ú</w:t>
            </w:r>
          </w:p>
        </w:tc>
        <w:tc>
          <w:tcPr>
            <w:tcW w:w="993" w:type="dxa"/>
            <w:tcBorders>
              <w:top w:val="single" w:sz="4" w:space="0" w:color="auto"/>
              <w:bottom w:val="single" w:sz="4" w:space="0" w:color="auto"/>
            </w:tcBorders>
          </w:tcPr>
          <w:p w14:paraId="360DEEAD" w14:textId="77777777" w:rsidR="00A420CF" w:rsidRPr="00970E07" w:rsidRDefault="00A420CF" w:rsidP="00A420CF">
            <w:pPr>
              <w:jc w:val="both"/>
              <w:rPr>
                <w:sz w:val="20"/>
              </w:rPr>
            </w:pPr>
          </w:p>
        </w:tc>
        <w:tc>
          <w:tcPr>
            <w:tcW w:w="1134" w:type="dxa"/>
            <w:tcBorders>
              <w:top w:val="single" w:sz="4" w:space="0" w:color="auto"/>
              <w:bottom w:val="single" w:sz="4" w:space="0" w:color="auto"/>
            </w:tcBorders>
          </w:tcPr>
          <w:p w14:paraId="4F8A2529" w14:textId="77777777" w:rsidR="00A420CF" w:rsidRPr="00970E07" w:rsidRDefault="00A420CF" w:rsidP="00A420CF">
            <w:pPr>
              <w:jc w:val="both"/>
              <w:rPr>
                <w:sz w:val="20"/>
              </w:rPr>
            </w:pPr>
            <w:r w:rsidRPr="00970E07">
              <w:rPr>
                <w:sz w:val="20"/>
              </w:rPr>
              <w:t>GP - N</w:t>
            </w:r>
          </w:p>
        </w:tc>
        <w:tc>
          <w:tcPr>
            <w:tcW w:w="1417" w:type="dxa"/>
            <w:tcBorders>
              <w:top w:val="single" w:sz="4" w:space="0" w:color="auto"/>
              <w:bottom w:val="single" w:sz="4" w:space="0" w:color="auto"/>
            </w:tcBorders>
          </w:tcPr>
          <w:p w14:paraId="01C06639" w14:textId="77777777" w:rsidR="00A420CF" w:rsidRDefault="00A420CF" w:rsidP="00A420CF">
            <w:pPr>
              <w:jc w:val="both"/>
              <w:rPr>
                <w:sz w:val="20"/>
              </w:rPr>
            </w:pPr>
          </w:p>
          <w:p w14:paraId="4D1E4165" w14:textId="77777777" w:rsidR="00726440" w:rsidRDefault="00726440" w:rsidP="00A420CF">
            <w:pPr>
              <w:jc w:val="both"/>
              <w:rPr>
                <w:sz w:val="20"/>
              </w:rPr>
            </w:pPr>
          </w:p>
          <w:p w14:paraId="1CBF8B60" w14:textId="77777777" w:rsidR="00726440" w:rsidRDefault="00726440" w:rsidP="00A420CF">
            <w:pPr>
              <w:jc w:val="both"/>
              <w:rPr>
                <w:sz w:val="20"/>
              </w:rPr>
            </w:pPr>
          </w:p>
          <w:p w14:paraId="7B529785" w14:textId="77777777" w:rsidR="00726440" w:rsidRDefault="00726440" w:rsidP="00A420CF">
            <w:pPr>
              <w:jc w:val="both"/>
              <w:rPr>
                <w:sz w:val="20"/>
              </w:rPr>
            </w:pPr>
          </w:p>
          <w:p w14:paraId="2A8BCB9E" w14:textId="77777777" w:rsidR="00726440" w:rsidRDefault="00726440" w:rsidP="00A420CF">
            <w:pPr>
              <w:jc w:val="both"/>
              <w:rPr>
                <w:sz w:val="20"/>
              </w:rPr>
            </w:pPr>
          </w:p>
          <w:p w14:paraId="500F4171" w14:textId="77777777" w:rsidR="00726440" w:rsidRDefault="00726440" w:rsidP="00A420CF">
            <w:pPr>
              <w:jc w:val="both"/>
              <w:rPr>
                <w:sz w:val="20"/>
              </w:rPr>
            </w:pPr>
          </w:p>
          <w:p w14:paraId="744E6C1B" w14:textId="77777777" w:rsidR="00726440" w:rsidRDefault="00726440" w:rsidP="00A420CF">
            <w:pPr>
              <w:jc w:val="both"/>
              <w:rPr>
                <w:sz w:val="20"/>
              </w:rPr>
            </w:pPr>
          </w:p>
          <w:p w14:paraId="7F9642C3" w14:textId="77777777" w:rsidR="00726440" w:rsidRDefault="00726440" w:rsidP="00A420CF">
            <w:pPr>
              <w:jc w:val="both"/>
              <w:rPr>
                <w:sz w:val="20"/>
              </w:rPr>
            </w:pPr>
          </w:p>
          <w:p w14:paraId="428C35E4" w14:textId="77777777" w:rsidR="00726440" w:rsidRDefault="00726440" w:rsidP="00A420CF">
            <w:pPr>
              <w:jc w:val="both"/>
              <w:rPr>
                <w:sz w:val="20"/>
              </w:rPr>
            </w:pPr>
          </w:p>
          <w:p w14:paraId="17FC39D5" w14:textId="77777777" w:rsidR="00726440" w:rsidRDefault="00726440" w:rsidP="00A420CF">
            <w:pPr>
              <w:jc w:val="both"/>
              <w:rPr>
                <w:sz w:val="20"/>
              </w:rPr>
            </w:pPr>
          </w:p>
          <w:p w14:paraId="4243573A" w14:textId="77777777" w:rsidR="00726440" w:rsidRDefault="00726440" w:rsidP="00A420CF">
            <w:pPr>
              <w:jc w:val="both"/>
              <w:rPr>
                <w:sz w:val="20"/>
              </w:rPr>
            </w:pPr>
          </w:p>
          <w:p w14:paraId="2C76246A" w14:textId="77777777" w:rsidR="00726440" w:rsidRDefault="00726440" w:rsidP="00A420CF">
            <w:pPr>
              <w:jc w:val="both"/>
              <w:rPr>
                <w:sz w:val="20"/>
              </w:rPr>
            </w:pPr>
          </w:p>
          <w:p w14:paraId="4B5FAFE7" w14:textId="77777777" w:rsidR="00726440" w:rsidRDefault="00726440" w:rsidP="00A420CF">
            <w:pPr>
              <w:jc w:val="both"/>
              <w:rPr>
                <w:sz w:val="20"/>
              </w:rPr>
            </w:pPr>
          </w:p>
          <w:p w14:paraId="30EC1001" w14:textId="77777777" w:rsidR="00726440" w:rsidRDefault="00726440" w:rsidP="00A420CF">
            <w:pPr>
              <w:jc w:val="both"/>
              <w:rPr>
                <w:sz w:val="20"/>
              </w:rPr>
            </w:pPr>
          </w:p>
          <w:p w14:paraId="6B2EBD18" w14:textId="77777777" w:rsidR="00726440" w:rsidRDefault="00726440" w:rsidP="00A420CF">
            <w:pPr>
              <w:jc w:val="both"/>
              <w:rPr>
                <w:sz w:val="20"/>
              </w:rPr>
            </w:pPr>
          </w:p>
          <w:p w14:paraId="7B192D8A" w14:textId="77777777" w:rsidR="00726440" w:rsidRDefault="00726440" w:rsidP="00A420CF">
            <w:pPr>
              <w:jc w:val="both"/>
              <w:rPr>
                <w:sz w:val="20"/>
              </w:rPr>
            </w:pPr>
          </w:p>
          <w:p w14:paraId="0FF4EFA9" w14:textId="77777777" w:rsidR="00726440" w:rsidRDefault="00726440" w:rsidP="00A420CF">
            <w:pPr>
              <w:jc w:val="both"/>
              <w:rPr>
                <w:sz w:val="20"/>
              </w:rPr>
            </w:pPr>
          </w:p>
          <w:p w14:paraId="429AE8DB" w14:textId="77777777" w:rsidR="00726440" w:rsidRDefault="00726440" w:rsidP="00A420CF">
            <w:pPr>
              <w:jc w:val="both"/>
              <w:rPr>
                <w:sz w:val="20"/>
              </w:rPr>
            </w:pPr>
          </w:p>
          <w:p w14:paraId="4BE3F7D1" w14:textId="77777777" w:rsidR="00726440" w:rsidRDefault="00726440" w:rsidP="00A420CF">
            <w:pPr>
              <w:jc w:val="both"/>
              <w:rPr>
                <w:sz w:val="20"/>
              </w:rPr>
            </w:pPr>
          </w:p>
          <w:p w14:paraId="03A6FA1A" w14:textId="77777777" w:rsidR="00726440" w:rsidRDefault="00726440" w:rsidP="00A420CF">
            <w:pPr>
              <w:jc w:val="both"/>
              <w:rPr>
                <w:sz w:val="20"/>
              </w:rPr>
            </w:pPr>
          </w:p>
          <w:p w14:paraId="37D55D82" w14:textId="77777777" w:rsidR="00726440" w:rsidRDefault="00726440" w:rsidP="00A420CF">
            <w:pPr>
              <w:jc w:val="both"/>
              <w:rPr>
                <w:sz w:val="20"/>
              </w:rPr>
            </w:pPr>
          </w:p>
          <w:p w14:paraId="0F71288F" w14:textId="77777777" w:rsidR="00726440" w:rsidRDefault="00726440" w:rsidP="00A420CF">
            <w:pPr>
              <w:jc w:val="both"/>
              <w:rPr>
                <w:sz w:val="20"/>
              </w:rPr>
            </w:pPr>
          </w:p>
          <w:p w14:paraId="032DB1BF" w14:textId="2AB26D99" w:rsidR="00726440" w:rsidRDefault="00726440" w:rsidP="00A420CF">
            <w:pPr>
              <w:jc w:val="both"/>
              <w:rPr>
                <w:sz w:val="20"/>
              </w:rPr>
            </w:pPr>
          </w:p>
          <w:p w14:paraId="1A2358A2" w14:textId="77777777" w:rsidR="00A85D57" w:rsidRDefault="00A85D57" w:rsidP="00A420CF">
            <w:pPr>
              <w:jc w:val="both"/>
              <w:rPr>
                <w:sz w:val="20"/>
              </w:rPr>
            </w:pPr>
          </w:p>
          <w:p w14:paraId="0B089DEB" w14:textId="77777777" w:rsidR="00726440" w:rsidRDefault="00726440" w:rsidP="00A420CF">
            <w:pPr>
              <w:jc w:val="both"/>
              <w:rPr>
                <w:sz w:val="20"/>
              </w:rPr>
            </w:pPr>
          </w:p>
          <w:p w14:paraId="649EF652" w14:textId="77777777" w:rsidR="00726440" w:rsidRDefault="00726440" w:rsidP="00A420CF">
            <w:pPr>
              <w:jc w:val="both"/>
              <w:rPr>
                <w:sz w:val="20"/>
              </w:rPr>
            </w:pPr>
          </w:p>
          <w:p w14:paraId="1715F9EF" w14:textId="13A45E35" w:rsidR="00726440" w:rsidRDefault="00726440" w:rsidP="00A420CF">
            <w:pPr>
              <w:jc w:val="both"/>
              <w:rPr>
                <w:sz w:val="20"/>
              </w:rPr>
            </w:pPr>
          </w:p>
          <w:p w14:paraId="5B3FF5CD" w14:textId="77777777" w:rsidR="00821B79" w:rsidRDefault="00821B79" w:rsidP="00A420CF">
            <w:pPr>
              <w:jc w:val="both"/>
              <w:rPr>
                <w:sz w:val="20"/>
              </w:rPr>
            </w:pPr>
          </w:p>
          <w:p w14:paraId="1C3D56CB" w14:textId="77777777" w:rsidR="00821B79" w:rsidRDefault="00821B79" w:rsidP="00A420CF">
            <w:pPr>
              <w:jc w:val="both"/>
              <w:rPr>
                <w:sz w:val="20"/>
              </w:rPr>
            </w:pPr>
          </w:p>
          <w:p w14:paraId="4121F8C7" w14:textId="2AD7AD94" w:rsidR="00726440" w:rsidRPr="00620A81" w:rsidRDefault="00726440" w:rsidP="00A420CF">
            <w:pPr>
              <w:jc w:val="both"/>
              <w:rPr>
                <w:sz w:val="20"/>
              </w:rPr>
            </w:pPr>
          </w:p>
        </w:tc>
      </w:tr>
      <w:tr w:rsidR="00A420CF" w:rsidRPr="00620A81" w14:paraId="1DFF27A8" w14:textId="77777777" w:rsidTr="00F9725D">
        <w:trPr>
          <w:trHeight w:val="720"/>
        </w:trPr>
        <w:tc>
          <w:tcPr>
            <w:tcW w:w="701" w:type="dxa"/>
            <w:tcBorders>
              <w:top w:val="single" w:sz="4" w:space="0" w:color="auto"/>
              <w:bottom w:val="single" w:sz="4" w:space="0" w:color="auto"/>
            </w:tcBorders>
          </w:tcPr>
          <w:p w14:paraId="0C153E1A" w14:textId="77777777" w:rsidR="00A420CF" w:rsidRDefault="00A420CF" w:rsidP="00A420CF">
            <w:pPr>
              <w:jc w:val="both"/>
              <w:rPr>
                <w:sz w:val="20"/>
              </w:rPr>
            </w:pPr>
            <w:r>
              <w:rPr>
                <w:sz w:val="20"/>
              </w:rPr>
              <w:lastRenderedPageBreak/>
              <w:t>Č2</w:t>
            </w:r>
          </w:p>
        </w:tc>
        <w:tc>
          <w:tcPr>
            <w:tcW w:w="3480" w:type="dxa"/>
            <w:tcBorders>
              <w:top w:val="single" w:sz="4" w:space="0" w:color="auto"/>
              <w:bottom w:val="single" w:sz="4" w:space="0" w:color="auto"/>
            </w:tcBorders>
          </w:tcPr>
          <w:p w14:paraId="25FC10B0" w14:textId="77777777" w:rsidR="00A420CF" w:rsidRPr="00BA2166" w:rsidRDefault="00A420CF" w:rsidP="00A420CF">
            <w:pPr>
              <w:jc w:val="both"/>
              <w:rPr>
                <w:sz w:val="20"/>
              </w:rPr>
            </w:pPr>
            <w:r w:rsidRPr="00BA2166">
              <w:rPr>
                <w:sz w:val="20"/>
              </w:rPr>
              <w:t xml:space="preserve">Transpozícia </w:t>
            </w:r>
          </w:p>
          <w:p w14:paraId="5218EDFA" w14:textId="77777777" w:rsidR="00A420CF" w:rsidRPr="00BA2166" w:rsidRDefault="00A420CF" w:rsidP="00A420CF">
            <w:pPr>
              <w:jc w:val="both"/>
              <w:rPr>
                <w:sz w:val="20"/>
              </w:rPr>
            </w:pPr>
            <w:r w:rsidRPr="00BA2166">
              <w:rPr>
                <w:sz w:val="20"/>
              </w:rPr>
              <w:t xml:space="preserve">1. Členské štáty uvedú do účinnosti zákony, iné právne predpisy a správne opatrenia potrebné na dosiahnutie súladu s touto smernicou do 9. októbra 2025. Bezodkladne o tom informujú Komisiu. </w:t>
            </w:r>
          </w:p>
          <w:p w14:paraId="216E78F2" w14:textId="77777777" w:rsidR="00A420CF" w:rsidRPr="00BA2166" w:rsidRDefault="00A420CF" w:rsidP="00A420CF">
            <w:pPr>
              <w:jc w:val="both"/>
              <w:rPr>
                <w:sz w:val="20"/>
              </w:rPr>
            </w:pPr>
            <w:r w:rsidRPr="00BA2166">
              <w:rPr>
                <w:sz w:val="20"/>
              </w:rPr>
              <w:t xml:space="preserve">Členské štáty uvedú priamo v prijatých opatreniach alebo pri ich úradnom uverejnení odkaz na túto smernicu. Podrobnosti o odkaze upravia členské štáty. </w:t>
            </w:r>
          </w:p>
          <w:p w14:paraId="2622AFB0" w14:textId="77777777" w:rsidR="00A420CF" w:rsidRPr="00BA2166" w:rsidRDefault="00A420CF" w:rsidP="00A420CF">
            <w:pPr>
              <w:jc w:val="both"/>
              <w:rPr>
                <w:sz w:val="20"/>
                <w:lang w:eastAsia="sk-SK"/>
              </w:rPr>
            </w:pPr>
            <w:r w:rsidRPr="00BA2166">
              <w:rPr>
                <w:sz w:val="20"/>
              </w:rPr>
              <w:t>2. Členské štáty oznámia Komisii znenie hlavných opatrení vnútroštátnych právnych predpisov, ktoré prijmú v oblasti pôsobnosti tejto smernice.</w:t>
            </w:r>
          </w:p>
        </w:tc>
        <w:tc>
          <w:tcPr>
            <w:tcW w:w="567" w:type="dxa"/>
            <w:tcBorders>
              <w:top w:val="single" w:sz="4" w:space="0" w:color="auto"/>
              <w:bottom w:val="single" w:sz="4" w:space="0" w:color="auto"/>
            </w:tcBorders>
          </w:tcPr>
          <w:p w14:paraId="1BBAA943" w14:textId="0F31130E" w:rsidR="00A420CF" w:rsidRPr="008F3F74" w:rsidRDefault="00FA31AE" w:rsidP="00A420CF">
            <w:pPr>
              <w:jc w:val="both"/>
              <w:rPr>
                <w:sz w:val="20"/>
              </w:rPr>
            </w:pPr>
            <w:r>
              <w:rPr>
                <w:sz w:val="20"/>
              </w:rPr>
              <w:t>N</w:t>
            </w:r>
          </w:p>
        </w:tc>
        <w:tc>
          <w:tcPr>
            <w:tcW w:w="914" w:type="dxa"/>
            <w:tcBorders>
              <w:top w:val="single" w:sz="4" w:space="0" w:color="auto"/>
              <w:bottom w:val="single" w:sz="4" w:space="0" w:color="auto"/>
            </w:tcBorders>
          </w:tcPr>
          <w:p w14:paraId="4B846B9E" w14:textId="77777777" w:rsidR="00A420CF" w:rsidRDefault="00FA31AE" w:rsidP="00A420CF">
            <w:pPr>
              <w:rPr>
                <w:sz w:val="20"/>
              </w:rPr>
            </w:pPr>
            <w:r>
              <w:rPr>
                <w:sz w:val="20"/>
              </w:rPr>
              <w:t>575/2001</w:t>
            </w:r>
          </w:p>
          <w:p w14:paraId="1B4E3E65" w14:textId="77777777" w:rsidR="00FA31AE" w:rsidRDefault="00FA31AE" w:rsidP="00A420CF">
            <w:pPr>
              <w:rPr>
                <w:sz w:val="20"/>
              </w:rPr>
            </w:pPr>
          </w:p>
          <w:p w14:paraId="20F98BFD" w14:textId="77777777" w:rsidR="00FA31AE" w:rsidRDefault="00FA31AE" w:rsidP="00A420CF">
            <w:pPr>
              <w:rPr>
                <w:sz w:val="20"/>
              </w:rPr>
            </w:pPr>
          </w:p>
          <w:p w14:paraId="04D19F89" w14:textId="77777777" w:rsidR="00FA31AE" w:rsidRDefault="00FA31AE" w:rsidP="00A420CF">
            <w:pPr>
              <w:rPr>
                <w:sz w:val="20"/>
              </w:rPr>
            </w:pPr>
          </w:p>
          <w:p w14:paraId="381C9D27" w14:textId="77777777" w:rsidR="00FA31AE" w:rsidRDefault="00FA31AE" w:rsidP="00A420CF">
            <w:pPr>
              <w:rPr>
                <w:sz w:val="20"/>
              </w:rPr>
            </w:pPr>
          </w:p>
          <w:p w14:paraId="0E1AAA3F" w14:textId="77777777" w:rsidR="00FA31AE" w:rsidRDefault="00FA31AE" w:rsidP="00A420CF">
            <w:pPr>
              <w:rPr>
                <w:sz w:val="20"/>
              </w:rPr>
            </w:pPr>
          </w:p>
          <w:p w14:paraId="2B4B217A" w14:textId="58EE7390" w:rsidR="00FA31AE" w:rsidRDefault="00BA1209" w:rsidP="00A420CF">
            <w:pPr>
              <w:rPr>
                <w:sz w:val="20"/>
              </w:rPr>
            </w:pPr>
            <w:r>
              <w:rPr>
                <w:sz w:val="20"/>
              </w:rPr>
              <w:t>79/2015</w:t>
            </w:r>
          </w:p>
          <w:p w14:paraId="4ED43527" w14:textId="5DE63795" w:rsidR="00BA1209" w:rsidRDefault="00BA1209" w:rsidP="00A420CF">
            <w:pPr>
              <w:rPr>
                <w:sz w:val="20"/>
              </w:rPr>
            </w:pPr>
          </w:p>
          <w:p w14:paraId="63EF40B8" w14:textId="3C4801C1" w:rsidR="00BA1209" w:rsidRDefault="00BA1209" w:rsidP="00A420CF">
            <w:pPr>
              <w:rPr>
                <w:sz w:val="20"/>
              </w:rPr>
            </w:pPr>
          </w:p>
          <w:p w14:paraId="317829EC" w14:textId="663E77EB" w:rsidR="00BA1209" w:rsidRDefault="00BA1209" w:rsidP="00A420CF">
            <w:pPr>
              <w:rPr>
                <w:sz w:val="20"/>
              </w:rPr>
            </w:pPr>
          </w:p>
          <w:p w14:paraId="5249766D" w14:textId="1B83E81D" w:rsidR="00BA1209" w:rsidRDefault="00BA1209" w:rsidP="00BA1209">
            <w:pPr>
              <w:rPr>
                <w:sz w:val="20"/>
              </w:rPr>
            </w:pPr>
            <w:r>
              <w:rPr>
                <w:sz w:val="20"/>
              </w:rPr>
              <w:t>NZ</w:t>
            </w:r>
          </w:p>
          <w:p w14:paraId="058B579A" w14:textId="77777777" w:rsidR="00BA1209" w:rsidRDefault="00BA1209" w:rsidP="00A420CF">
            <w:pPr>
              <w:rPr>
                <w:sz w:val="20"/>
              </w:rPr>
            </w:pPr>
          </w:p>
          <w:p w14:paraId="452B15C6" w14:textId="77777777" w:rsidR="00FA31AE" w:rsidRDefault="00FA31AE" w:rsidP="00A420CF">
            <w:pPr>
              <w:rPr>
                <w:sz w:val="20"/>
              </w:rPr>
            </w:pPr>
          </w:p>
          <w:p w14:paraId="3FD027E9" w14:textId="77777777" w:rsidR="00FA31AE" w:rsidRDefault="00FA31AE" w:rsidP="00A420CF">
            <w:pPr>
              <w:rPr>
                <w:sz w:val="20"/>
              </w:rPr>
            </w:pPr>
          </w:p>
          <w:p w14:paraId="62FC3D43" w14:textId="7F4CC936" w:rsidR="00FA31AE" w:rsidRPr="008F3F74" w:rsidRDefault="00FA31AE" w:rsidP="00A420CF">
            <w:pPr>
              <w:rPr>
                <w:sz w:val="20"/>
              </w:rPr>
            </w:pPr>
            <w:bookmarkStart w:id="0" w:name="_GoBack"/>
            <w:bookmarkEnd w:id="0"/>
          </w:p>
        </w:tc>
        <w:tc>
          <w:tcPr>
            <w:tcW w:w="851" w:type="dxa"/>
            <w:tcBorders>
              <w:top w:val="single" w:sz="4" w:space="0" w:color="auto"/>
              <w:bottom w:val="single" w:sz="4" w:space="0" w:color="auto"/>
            </w:tcBorders>
          </w:tcPr>
          <w:p w14:paraId="0891ED27" w14:textId="77777777" w:rsidR="00A420CF" w:rsidRPr="00F9725D" w:rsidRDefault="00FA31AE" w:rsidP="005B53BC">
            <w:pPr>
              <w:pStyle w:val="BodyText21"/>
              <w:spacing w:before="0" w:line="240" w:lineRule="auto"/>
              <w:jc w:val="left"/>
            </w:pPr>
            <w:r w:rsidRPr="00F9725D">
              <w:t>§35 O7</w:t>
            </w:r>
          </w:p>
          <w:p w14:paraId="4BD0305B" w14:textId="77777777" w:rsidR="00BA1209" w:rsidRPr="00F9725D" w:rsidRDefault="00BA1209" w:rsidP="005B53BC">
            <w:pPr>
              <w:pStyle w:val="BodyText21"/>
              <w:spacing w:before="0" w:line="240" w:lineRule="auto"/>
              <w:jc w:val="left"/>
            </w:pPr>
          </w:p>
          <w:p w14:paraId="1637E36E" w14:textId="77777777" w:rsidR="00BA1209" w:rsidRPr="00F9725D" w:rsidRDefault="00BA1209" w:rsidP="005B53BC">
            <w:pPr>
              <w:pStyle w:val="BodyText21"/>
              <w:spacing w:before="0" w:line="240" w:lineRule="auto"/>
              <w:jc w:val="left"/>
            </w:pPr>
          </w:p>
          <w:p w14:paraId="7AD443A8" w14:textId="77777777" w:rsidR="00BA1209" w:rsidRPr="00F9725D" w:rsidRDefault="00BA1209" w:rsidP="005B53BC">
            <w:pPr>
              <w:pStyle w:val="BodyText21"/>
              <w:spacing w:before="0" w:line="240" w:lineRule="auto"/>
              <w:jc w:val="left"/>
            </w:pPr>
          </w:p>
          <w:p w14:paraId="368BF8C8" w14:textId="77777777" w:rsidR="00BA1209" w:rsidRPr="00F9725D" w:rsidRDefault="00BA1209" w:rsidP="005B53BC">
            <w:pPr>
              <w:pStyle w:val="BodyText21"/>
              <w:spacing w:before="0" w:line="240" w:lineRule="auto"/>
              <w:jc w:val="left"/>
            </w:pPr>
          </w:p>
          <w:p w14:paraId="5C8BA8EA" w14:textId="77777777" w:rsidR="00BA1209" w:rsidRPr="00F9725D" w:rsidRDefault="00BA1209" w:rsidP="005B53BC">
            <w:pPr>
              <w:pStyle w:val="BodyText21"/>
              <w:spacing w:before="0" w:line="240" w:lineRule="auto"/>
              <w:jc w:val="left"/>
            </w:pPr>
          </w:p>
          <w:p w14:paraId="70C82511" w14:textId="77777777" w:rsidR="00BA1209" w:rsidRPr="00F9725D" w:rsidRDefault="00BA1209" w:rsidP="005B53BC">
            <w:pPr>
              <w:pStyle w:val="BodyText21"/>
              <w:spacing w:before="0" w:line="240" w:lineRule="auto"/>
              <w:jc w:val="left"/>
            </w:pPr>
            <w:r w:rsidRPr="00F9725D">
              <w:t>§ 138</w:t>
            </w:r>
          </w:p>
          <w:p w14:paraId="7EE885A8" w14:textId="77777777" w:rsidR="00BA1209" w:rsidRPr="00F9725D" w:rsidRDefault="00BA1209" w:rsidP="005B53BC">
            <w:pPr>
              <w:pStyle w:val="BodyText21"/>
              <w:spacing w:before="0" w:line="240" w:lineRule="auto"/>
              <w:jc w:val="left"/>
            </w:pPr>
          </w:p>
          <w:p w14:paraId="588D3C37" w14:textId="77777777" w:rsidR="00BA1209" w:rsidRPr="00F9725D" w:rsidRDefault="00BA1209" w:rsidP="005B53BC">
            <w:pPr>
              <w:pStyle w:val="BodyText21"/>
              <w:spacing w:before="0" w:line="240" w:lineRule="auto"/>
              <w:jc w:val="left"/>
            </w:pPr>
          </w:p>
          <w:p w14:paraId="3417C2E0" w14:textId="77777777" w:rsidR="00BA1209" w:rsidRPr="00F9725D" w:rsidRDefault="00BA1209" w:rsidP="005B53BC">
            <w:pPr>
              <w:pStyle w:val="BodyText21"/>
              <w:spacing w:before="0" w:line="240" w:lineRule="auto"/>
              <w:jc w:val="left"/>
            </w:pPr>
          </w:p>
          <w:p w14:paraId="01C72FF3" w14:textId="6582B397" w:rsidR="00BA1209" w:rsidRPr="00F9725D" w:rsidRDefault="00BA1209" w:rsidP="005B53BC">
            <w:pPr>
              <w:pStyle w:val="BodyText21"/>
              <w:spacing w:before="0" w:line="240" w:lineRule="auto"/>
              <w:jc w:val="left"/>
            </w:pPr>
            <w:r w:rsidRPr="00F9725D">
              <w:t xml:space="preserve">Príloha 9. </w:t>
            </w:r>
          </w:p>
        </w:tc>
        <w:tc>
          <w:tcPr>
            <w:tcW w:w="4111" w:type="dxa"/>
            <w:tcBorders>
              <w:top w:val="single" w:sz="4" w:space="0" w:color="auto"/>
              <w:bottom w:val="single" w:sz="4" w:space="0" w:color="auto"/>
            </w:tcBorders>
            <w:shd w:val="clear" w:color="auto" w:fill="auto"/>
          </w:tcPr>
          <w:p w14:paraId="073424B5" w14:textId="77777777" w:rsidR="00A420CF" w:rsidRPr="00F9725D" w:rsidRDefault="00FA31AE" w:rsidP="00A420CF">
            <w:pPr>
              <w:pStyle w:val="Odsekzoznamu"/>
              <w:spacing w:after="0" w:line="240" w:lineRule="auto"/>
              <w:ind w:left="0"/>
              <w:contextualSpacing w:val="0"/>
              <w:jc w:val="both"/>
              <w:rPr>
                <w:rFonts w:ascii="Times New Roman" w:hAnsi="Times New Roman"/>
                <w:sz w:val="20"/>
                <w:szCs w:val="20"/>
                <w:lang w:eastAsia="sk-SK"/>
              </w:rPr>
            </w:pPr>
            <w:r w:rsidRPr="00F9725D">
              <w:rPr>
                <w:rFonts w:ascii="Times New Roman" w:hAnsi="Times New Roman"/>
                <w:sz w:val="20"/>
                <w:szCs w:val="20"/>
                <w:lang w:eastAsia="sk-SK"/>
              </w:rPr>
              <w:t>(7) Ministerstvá a ostatné ústredné orgány štátnej správy v rozsahu vymedzenej pôsobnosti plnia voči orgánom Európskej únie informačnú a oznamovaciu povinnosť, ktorá im vyplýva z právne záväzných aktov týchto orgánov.</w:t>
            </w:r>
          </w:p>
          <w:p w14:paraId="25952DF0" w14:textId="77777777" w:rsidR="00FA31AE" w:rsidRPr="00F9725D" w:rsidRDefault="00FA31AE" w:rsidP="00A420CF">
            <w:pPr>
              <w:pStyle w:val="Odsekzoznamu"/>
              <w:spacing w:after="0" w:line="240" w:lineRule="auto"/>
              <w:ind w:left="0"/>
              <w:contextualSpacing w:val="0"/>
              <w:jc w:val="both"/>
              <w:rPr>
                <w:rFonts w:ascii="Times New Roman" w:hAnsi="Times New Roman"/>
                <w:sz w:val="20"/>
                <w:szCs w:val="20"/>
                <w:lang w:eastAsia="sk-SK"/>
              </w:rPr>
            </w:pPr>
          </w:p>
          <w:p w14:paraId="4CEDF618" w14:textId="77777777" w:rsidR="00FA31AE" w:rsidRPr="00F9725D" w:rsidRDefault="00BA1209" w:rsidP="00BA1209">
            <w:pPr>
              <w:pStyle w:val="Odsekzoznamu"/>
              <w:spacing w:after="0" w:line="240" w:lineRule="auto"/>
              <w:ind w:left="0"/>
              <w:contextualSpacing w:val="0"/>
              <w:jc w:val="both"/>
              <w:rPr>
                <w:rFonts w:ascii="Times New Roman" w:hAnsi="Times New Roman"/>
                <w:sz w:val="20"/>
                <w:szCs w:val="20"/>
                <w:lang w:eastAsia="sk-SK"/>
              </w:rPr>
            </w:pPr>
            <w:r w:rsidRPr="00F9725D">
              <w:rPr>
                <w:rFonts w:ascii="Times New Roman" w:hAnsi="Times New Roman"/>
                <w:sz w:val="20"/>
                <w:szCs w:val="20"/>
                <w:lang w:eastAsia="sk-SK"/>
              </w:rPr>
              <w:t xml:space="preserve">Týmto zákonom sa preberajú právne záväzné akty Európskej únie uvedené v prílohe č. 9. </w:t>
            </w:r>
          </w:p>
          <w:p w14:paraId="5090F186" w14:textId="77777777" w:rsidR="00BA1209" w:rsidRPr="00F9725D" w:rsidRDefault="00BA1209" w:rsidP="00BA1209">
            <w:pPr>
              <w:pStyle w:val="Odsekzoznamu"/>
              <w:spacing w:after="0" w:line="240" w:lineRule="auto"/>
              <w:ind w:left="0"/>
              <w:contextualSpacing w:val="0"/>
              <w:jc w:val="both"/>
              <w:rPr>
                <w:rFonts w:ascii="Times New Roman" w:hAnsi="Times New Roman"/>
                <w:sz w:val="20"/>
                <w:szCs w:val="20"/>
                <w:lang w:eastAsia="sk-SK"/>
              </w:rPr>
            </w:pPr>
          </w:p>
          <w:p w14:paraId="2DF44E39" w14:textId="77777777" w:rsidR="00BA1209" w:rsidRPr="00F9725D" w:rsidRDefault="00BA1209" w:rsidP="00BA1209">
            <w:pPr>
              <w:pStyle w:val="Odsekzoznamu"/>
              <w:spacing w:after="0" w:line="240" w:lineRule="auto"/>
              <w:ind w:left="0"/>
              <w:contextualSpacing w:val="0"/>
              <w:jc w:val="both"/>
              <w:rPr>
                <w:rFonts w:ascii="Times New Roman" w:hAnsi="Times New Roman"/>
                <w:sz w:val="20"/>
                <w:szCs w:val="20"/>
                <w:lang w:eastAsia="sk-SK"/>
              </w:rPr>
            </w:pPr>
          </w:p>
          <w:p w14:paraId="51873360" w14:textId="4CBDF887" w:rsidR="00BA1209" w:rsidRPr="00F9725D" w:rsidRDefault="00F9725D" w:rsidP="00BA1209">
            <w:pPr>
              <w:pStyle w:val="Odsekzoznamu"/>
              <w:spacing w:after="0" w:line="240" w:lineRule="auto"/>
              <w:ind w:left="0"/>
              <w:contextualSpacing w:val="0"/>
              <w:jc w:val="both"/>
              <w:rPr>
                <w:rFonts w:ascii="Times New Roman" w:hAnsi="Times New Roman"/>
                <w:color w:val="FF0000"/>
                <w:sz w:val="20"/>
                <w:szCs w:val="20"/>
                <w:lang w:eastAsia="sk-SK"/>
              </w:rPr>
            </w:pPr>
            <w:r w:rsidRPr="00F9725D">
              <w:rPr>
                <w:rFonts w:ascii="Times New Roman" w:hAnsi="Times New Roman"/>
                <w:sz w:val="20"/>
                <w:szCs w:val="20"/>
                <w:lang w:eastAsia="sk-SK"/>
              </w:rPr>
              <w:t>15. Smernica Európskeho parlamentu a Rady (EÚ) 2024/884 z 13. marca 2024, ktorou sa mení smernica 2012/19/EÚ o odpade z elektrických a elektronických zariadení (OEZZ)</w:t>
            </w:r>
          </w:p>
        </w:tc>
        <w:tc>
          <w:tcPr>
            <w:tcW w:w="708" w:type="dxa"/>
            <w:tcBorders>
              <w:top w:val="single" w:sz="4" w:space="0" w:color="auto"/>
              <w:bottom w:val="single" w:sz="4" w:space="0" w:color="auto"/>
            </w:tcBorders>
          </w:tcPr>
          <w:p w14:paraId="7CA3D0E1" w14:textId="77777777" w:rsidR="00A420CF" w:rsidRDefault="00A420CF" w:rsidP="00A420CF">
            <w:pPr>
              <w:jc w:val="both"/>
              <w:rPr>
                <w:sz w:val="20"/>
              </w:rPr>
            </w:pPr>
            <w:proofErr w:type="spellStart"/>
            <w:r w:rsidRPr="008F3F74">
              <w:rPr>
                <w:sz w:val="20"/>
              </w:rPr>
              <w:t>n.a</w:t>
            </w:r>
            <w:proofErr w:type="spellEnd"/>
            <w:r w:rsidRPr="008F3F74">
              <w:rPr>
                <w:sz w:val="20"/>
              </w:rPr>
              <w:t>.</w:t>
            </w:r>
          </w:p>
          <w:p w14:paraId="4F99B89D" w14:textId="77777777" w:rsidR="00BA1209" w:rsidRDefault="00BA1209" w:rsidP="00A420CF">
            <w:pPr>
              <w:jc w:val="both"/>
              <w:rPr>
                <w:sz w:val="20"/>
              </w:rPr>
            </w:pPr>
          </w:p>
          <w:p w14:paraId="45C984C7" w14:textId="77777777" w:rsidR="00BA1209" w:rsidRDefault="00BA1209" w:rsidP="00A420CF">
            <w:pPr>
              <w:jc w:val="both"/>
              <w:rPr>
                <w:sz w:val="20"/>
              </w:rPr>
            </w:pPr>
          </w:p>
          <w:p w14:paraId="35089E6D" w14:textId="77777777" w:rsidR="00BA1209" w:rsidRDefault="00BA1209" w:rsidP="00A420CF">
            <w:pPr>
              <w:jc w:val="both"/>
              <w:rPr>
                <w:sz w:val="20"/>
              </w:rPr>
            </w:pPr>
          </w:p>
          <w:p w14:paraId="3448790A" w14:textId="77777777" w:rsidR="00BA1209" w:rsidRDefault="00BA1209" w:rsidP="00A420CF">
            <w:pPr>
              <w:jc w:val="both"/>
              <w:rPr>
                <w:sz w:val="20"/>
              </w:rPr>
            </w:pPr>
          </w:p>
          <w:p w14:paraId="3ECB88DB" w14:textId="77777777" w:rsidR="00BA1209" w:rsidRDefault="00BA1209" w:rsidP="00A420CF">
            <w:pPr>
              <w:jc w:val="both"/>
              <w:rPr>
                <w:sz w:val="20"/>
              </w:rPr>
            </w:pPr>
          </w:p>
          <w:p w14:paraId="7977F34E" w14:textId="77777777" w:rsidR="00BA1209" w:rsidRDefault="00BA1209" w:rsidP="00A420CF">
            <w:pPr>
              <w:jc w:val="both"/>
              <w:rPr>
                <w:sz w:val="20"/>
              </w:rPr>
            </w:pPr>
            <w:proofErr w:type="spellStart"/>
            <w:r w:rsidRPr="008F3F74">
              <w:rPr>
                <w:sz w:val="20"/>
              </w:rPr>
              <w:t>n.a</w:t>
            </w:r>
            <w:proofErr w:type="spellEnd"/>
            <w:r w:rsidRPr="008F3F74">
              <w:rPr>
                <w:sz w:val="20"/>
              </w:rPr>
              <w:t>.</w:t>
            </w:r>
          </w:p>
          <w:p w14:paraId="2FEEE370" w14:textId="77777777" w:rsidR="00F9725D" w:rsidRDefault="00F9725D" w:rsidP="00A420CF">
            <w:pPr>
              <w:jc w:val="both"/>
              <w:rPr>
                <w:sz w:val="20"/>
              </w:rPr>
            </w:pPr>
          </w:p>
          <w:p w14:paraId="180311D5" w14:textId="77777777" w:rsidR="00F9725D" w:rsidRDefault="00F9725D" w:rsidP="00A420CF">
            <w:pPr>
              <w:jc w:val="both"/>
              <w:rPr>
                <w:sz w:val="20"/>
              </w:rPr>
            </w:pPr>
          </w:p>
          <w:p w14:paraId="2CDDB0D3" w14:textId="77777777" w:rsidR="00F9725D" w:rsidRDefault="00F9725D" w:rsidP="00A420CF">
            <w:pPr>
              <w:jc w:val="both"/>
              <w:rPr>
                <w:sz w:val="20"/>
              </w:rPr>
            </w:pPr>
          </w:p>
          <w:p w14:paraId="4ACAC943" w14:textId="3ADDAF7E" w:rsidR="00F9725D" w:rsidRPr="008F3F74" w:rsidRDefault="00F9725D" w:rsidP="00A420CF">
            <w:pPr>
              <w:jc w:val="both"/>
              <w:rPr>
                <w:sz w:val="20"/>
              </w:rPr>
            </w:pPr>
            <w:proofErr w:type="spellStart"/>
            <w:r w:rsidRPr="008F3F74">
              <w:rPr>
                <w:sz w:val="20"/>
              </w:rPr>
              <w:t>n.a</w:t>
            </w:r>
            <w:proofErr w:type="spellEnd"/>
            <w:r w:rsidRPr="008F3F74">
              <w:rPr>
                <w:sz w:val="20"/>
              </w:rPr>
              <w:t>.</w:t>
            </w:r>
          </w:p>
        </w:tc>
        <w:tc>
          <w:tcPr>
            <w:tcW w:w="993" w:type="dxa"/>
            <w:tcBorders>
              <w:top w:val="single" w:sz="4" w:space="0" w:color="auto"/>
              <w:bottom w:val="single" w:sz="4" w:space="0" w:color="auto"/>
            </w:tcBorders>
          </w:tcPr>
          <w:p w14:paraId="6097E295" w14:textId="77777777" w:rsidR="00A420CF" w:rsidRPr="00620A81" w:rsidRDefault="00A420CF" w:rsidP="00A420CF">
            <w:pPr>
              <w:jc w:val="both"/>
              <w:rPr>
                <w:sz w:val="20"/>
              </w:rPr>
            </w:pPr>
          </w:p>
        </w:tc>
        <w:tc>
          <w:tcPr>
            <w:tcW w:w="1134" w:type="dxa"/>
            <w:tcBorders>
              <w:top w:val="single" w:sz="4" w:space="0" w:color="auto"/>
              <w:bottom w:val="single" w:sz="4" w:space="0" w:color="auto"/>
            </w:tcBorders>
          </w:tcPr>
          <w:p w14:paraId="07F4377F" w14:textId="2A656B73" w:rsidR="00A420CF" w:rsidRDefault="00FD1928" w:rsidP="00A420CF">
            <w:pPr>
              <w:jc w:val="both"/>
              <w:rPr>
                <w:sz w:val="20"/>
              </w:rPr>
            </w:pPr>
            <w:r w:rsidRPr="00970E07">
              <w:rPr>
                <w:sz w:val="20"/>
              </w:rPr>
              <w:t xml:space="preserve">GP </w:t>
            </w:r>
            <w:r w:rsidR="00BA1209">
              <w:rPr>
                <w:sz w:val="20"/>
              </w:rPr>
              <w:t>–</w:t>
            </w:r>
            <w:r w:rsidRPr="00970E07">
              <w:rPr>
                <w:sz w:val="20"/>
              </w:rPr>
              <w:t xml:space="preserve"> N</w:t>
            </w:r>
          </w:p>
          <w:p w14:paraId="533B4674" w14:textId="77777777" w:rsidR="00BA1209" w:rsidRDefault="00BA1209" w:rsidP="00A420CF">
            <w:pPr>
              <w:jc w:val="both"/>
              <w:rPr>
                <w:sz w:val="20"/>
              </w:rPr>
            </w:pPr>
          </w:p>
          <w:p w14:paraId="39758F9F" w14:textId="77777777" w:rsidR="00BA1209" w:rsidRDefault="00BA1209" w:rsidP="00A420CF">
            <w:pPr>
              <w:jc w:val="both"/>
              <w:rPr>
                <w:sz w:val="20"/>
              </w:rPr>
            </w:pPr>
          </w:p>
          <w:p w14:paraId="2C0DA9A0" w14:textId="77777777" w:rsidR="00BA1209" w:rsidRDefault="00BA1209" w:rsidP="00A420CF">
            <w:pPr>
              <w:jc w:val="both"/>
              <w:rPr>
                <w:sz w:val="20"/>
              </w:rPr>
            </w:pPr>
          </w:p>
          <w:p w14:paraId="6F86E2C3" w14:textId="77777777" w:rsidR="00BA1209" w:rsidRDefault="00BA1209" w:rsidP="00A420CF">
            <w:pPr>
              <w:jc w:val="both"/>
              <w:rPr>
                <w:sz w:val="20"/>
              </w:rPr>
            </w:pPr>
          </w:p>
          <w:p w14:paraId="3CB04F4B" w14:textId="77777777" w:rsidR="00BA1209" w:rsidRDefault="00BA1209" w:rsidP="00A420CF">
            <w:pPr>
              <w:jc w:val="both"/>
              <w:rPr>
                <w:sz w:val="20"/>
              </w:rPr>
            </w:pPr>
          </w:p>
          <w:p w14:paraId="251DEB6E" w14:textId="594ED7AA" w:rsidR="00BA1209" w:rsidRDefault="00BA1209" w:rsidP="00A420CF">
            <w:pPr>
              <w:jc w:val="both"/>
              <w:rPr>
                <w:sz w:val="20"/>
              </w:rPr>
            </w:pPr>
            <w:r w:rsidRPr="00970E07">
              <w:rPr>
                <w:sz w:val="20"/>
              </w:rPr>
              <w:t xml:space="preserve">GP </w:t>
            </w:r>
            <w:r w:rsidR="00F9725D">
              <w:rPr>
                <w:sz w:val="20"/>
              </w:rPr>
              <w:t>–</w:t>
            </w:r>
            <w:r w:rsidRPr="00970E07">
              <w:rPr>
                <w:sz w:val="20"/>
              </w:rPr>
              <w:t xml:space="preserve"> N</w:t>
            </w:r>
          </w:p>
          <w:p w14:paraId="7CE259BB" w14:textId="77777777" w:rsidR="00F9725D" w:rsidRDefault="00F9725D" w:rsidP="00A420CF">
            <w:pPr>
              <w:jc w:val="both"/>
              <w:rPr>
                <w:sz w:val="20"/>
              </w:rPr>
            </w:pPr>
          </w:p>
          <w:p w14:paraId="7A018492" w14:textId="77777777" w:rsidR="00F9725D" w:rsidRDefault="00F9725D" w:rsidP="00A420CF">
            <w:pPr>
              <w:jc w:val="both"/>
              <w:rPr>
                <w:sz w:val="20"/>
              </w:rPr>
            </w:pPr>
          </w:p>
          <w:p w14:paraId="7295B8D9" w14:textId="77777777" w:rsidR="00F9725D" w:rsidRDefault="00F9725D" w:rsidP="00A420CF">
            <w:pPr>
              <w:jc w:val="both"/>
              <w:rPr>
                <w:sz w:val="20"/>
              </w:rPr>
            </w:pPr>
          </w:p>
          <w:p w14:paraId="3DDC66C4" w14:textId="37BC61FF" w:rsidR="00F9725D" w:rsidRPr="00620A81" w:rsidRDefault="00F9725D" w:rsidP="00A420CF">
            <w:pPr>
              <w:jc w:val="both"/>
              <w:rPr>
                <w:sz w:val="20"/>
              </w:rPr>
            </w:pPr>
            <w:r w:rsidRPr="00970E07">
              <w:rPr>
                <w:sz w:val="20"/>
              </w:rPr>
              <w:t>GP - N</w:t>
            </w:r>
          </w:p>
        </w:tc>
        <w:tc>
          <w:tcPr>
            <w:tcW w:w="1417" w:type="dxa"/>
            <w:tcBorders>
              <w:top w:val="single" w:sz="4" w:space="0" w:color="auto"/>
              <w:bottom w:val="single" w:sz="4" w:space="0" w:color="auto"/>
            </w:tcBorders>
          </w:tcPr>
          <w:p w14:paraId="4B5F319D" w14:textId="77777777" w:rsidR="00A420CF" w:rsidRPr="00620A81" w:rsidRDefault="00A420CF" w:rsidP="00A420CF">
            <w:pPr>
              <w:jc w:val="both"/>
              <w:rPr>
                <w:sz w:val="20"/>
              </w:rPr>
            </w:pPr>
          </w:p>
        </w:tc>
      </w:tr>
      <w:tr w:rsidR="00A420CF" w:rsidRPr="00620A81" w14:paraId="3158625E" w14:textId="77777777" w:rsidTr="00C54F2F">
        <w:trPr>
          <w:trHeight w:val="720"/>
        </w:trPr>
        <w:tc>
          <w:tcPr>
            <w:tcW w:w="701" w:type="dxa"/>
            <w:tcBorders>
              <w:top w:val="single" w:sz="4" w:space="0" w:color="auto"/>
              <w:bottom w:val="single" w:sz="4" w:space="0" w:color="auto"/>
            </w:tcBorders>
          </w:tcPr>
          <w:p w14:paraId="60A126C7" w14:textId="77777777" w:rsidR="00A420CF" w:rsidRDefault="00A420CF" w:rsidP="00A420CF">
            <w:pPr>
              <w:jc w:val="both"/>
              <w:rPr>
                <w:sz w:val="20"/>
              </w:rPr>
            </w:pPr>
            <w:r>
              <w:rPr>
                <w:sz w:val="20"/>
              </w:rPr>
              <w:t>Č3</w:t>
            </w:r>
          </w:p>
        </w:tc>
        <w:tc>
          <w:tcPr>
            <w:tcW w:w="3480" w:type="dxa"/>
            <w:tcBorders>
              <w:top w:val="single" w:sz="4" w:space="0" w:color="auto"/>
              <w:bottom w:val="single" w:sz="4" w:space="0" w:color="auto"/>
            </w:tcBorders>
          </w:tcPr>
          <w:p w14:paraId="21599CD3" w14:textId="77777777" w:rsidR="00A420CF" w:rsidRPr="00BA2166" w:rsidRDefault="00A420CF" w:rsidP="00A420CF">
            <w:pPr>
              <w:jc w:val="both"/>
              <w:rPr>
                <w:sz w:val="20"/>
              </w:rPr>
            </w:pPr>
            <w:r w:rsidRPr="00BA2166">
              <w:rPr>
                <w:sz w:val="20"/>
              </w:rPr>
              <w:t xml:space="preserve">Nadobudnutie účinnosti </w:t>
            </w:r>
          </w:p>
          <w:p w14:paraId="05E22026" w14:textId="77777777" w:rsidR="00A420CF" w:rsidRPr="00BA2166" w:rsidRDefault="00A420CF" w:rsidP="00A420CF">
            <w:pPr>
              <w:jc w:val="both"/>
              <w:rPr>
                <w:sz w:val="20"/>
                <w:lang w:eastAsia="sk-SK"/>
              </w:rPr>
            </w:pPr>
            <w:r w:rsidRPr="00BA2166">
              <w:rPr>
                <w:sz w:val="20"/>
              </w:rPr>
              <w:t>Táto smernica nadobúda účinnosť dvadsiatym dňom po jej uverejnení v Úradnom vestníku Európskej únie.</w:t>
            </w:r>
          </w:p>
        </w:tc>
        <w:tc>
          <w:tcPr>
            <w:tcW w:w="567" w:type="dxa"/>
            <w:tcBorders>
              <w:top w:val="single" w:sz="4" w:space="0" w:color="auto"/>
              <w:bottom w:val="single" w:sz="4" w:space="0" w:color="auto"/>
            </w:tcBorders>
          </w:tcPr>
          <w:p w14:paraId="4EF80EF2" w14:textId="77777777" w:rsidR="00A420CF" w:rsidRPr="008F3F74" w:rsidRDefault="00A420CF" w:rsidP="00A420CF">
            <w:pPr>
              <w:jc w:val="both"/>
              <w:rPr>
                <w:sz w:val="20"/>
              </w:rPr>
            </w:pPr>
            <w:proofErr w:type="spellStart"/>
            <w:r w:rsidRPr="008F3F74">
              <w:rPr>
                <w:sz w:val="20"/>
              </w:rPr>
              <w:t>n.a</w:t>
            </w:r>
            <w:proofErr w:type="spellEnd"/>
            <w:r w:rsidRPr="008F3F74">
              <w:rPr>
                <w:sz w:val="20"/>
              </w:rPr>
              <w:t>.</w:t>
            </w:r>
          </w:p>
        </w:tc>
        <w:tc>
          <w:tcPr>
            <w:tcW w:w="914" w:type="dxa"/>
            <w:tcBorders>
              <w:top w:val="single" w:sz="4" w:space="0" w:color="auto"/>
              <w:bottom w:val="single" w:sz="4" w:space="0" w:color="auto"/>
            </w:tcBorders>
          </w:tcPr>
          <w:p w14:paraId="1D623C26" w14:textId="77777777" w:rsidR="00A420CF" w:rsidRPr="008F3F74" w:rsidRDefault="00A420CF" w:rsidP="00A420CF">
            <w:pPr>
              <w:rPr>
                <w:sz w:val="20"/>
              </w:rPr>
            </w:pPr>
          </w:p>
        </w:tc>
        <w:tc>
          <w:tcPr>
            <w:tcW w:w="851" w:type="dxa"/>
            <w:tcBorders>
              <w:top w:val="single" w:sz="4" w:space="0" w:color="auto"/>
              <w:bottom w:val="single" w:sz="4" w:space="0" w:color="auto"/>
            </w:tcBorders>
          </w:tcPr>
          <w:p w14:paraId="5CAA364D" w14:textId="77777777" w:rsidR="00A420CF" w:rsidRPr="008F3F74" w:rsidRDefault="00A420CF" w:rsidP="005B53BC">
            <w:pPr>
              <w:pStyle w:val="BodyText21"/>
              <w:spacing w:before="0" w:line="240" w:lineRule="auto"/>
              <w:jc w:val="left"/>
            </w:pPr>
          </w:p>
        </w:tc>
        <w:tc>
          <w:tcPr>
            <w:tcW w:w="4111" w:type="dxa"/>
            <w:tcBorders>
              <w:top w:val="single" w:sz="4" w:space="0" w:color="auto"/>
              <w:bottom w:val="single" w:sz="4" w:space="0" w:color="auto"/>
            </w:tcBorders>
          </w:tcPr>
          <w:p w14:paraId="08F2002B" w14:textId="01B4772E" w:rsidR="00A420CF" w:rsidRPr="008F3F74" w:rsidRDefault="00FA31AE" w:rsidP="00A420CF">
            <w:pPr>
              <w:pStyle w:val="Odsekzoznamu"/>
              <w:spacing w:after="0" w:line="240" w:lineRule="auto"/>
              <w:ind w:left="0"/>
              <w:contextualSpacing w:val="0"/>
              <w:jc w:val="both"/>
              <w:rPr>
                <w:rFonts w:ascii="Times New Roman" w:hAnsi="Times New Roman"/>
                <w:sz w:val="20"/>
                <w:szCs w:val="20"/>
                <w:lang w:eastAsia="sk-SK"/>
              </w:rPr>
            </w:pPr>
            <w:r>
              <w:rPr>
                <w:rFonts w:ascii="Times New Roman" w:hAnsi="Times New Roman"/>
                <w:sz w:val="20"/>
                <w:szCs w:val="20"/>
                <w:lang w:eastAsia="sk-SK"/>
              </w:rPr>
              <w:t>1. január 2026</w:t>
            </w:r>
          </w:p>
        </w:tc>
        <w:tc>
          <w:tcPr>
            <w:tcW w:w="708" w:type="dxa"/>
            <w:tcBorders>
              <w:top w:val="single" w:sz="4" w:space="0" w:color="auto"/>
              <w:bottom w:val="single" w:sz="4" w:space="0" w:color="auto"/>
            </w:tcBorders>
          </w:tcPr>
          <w:p w14:paraId="46FD1D14" w14:textId="77777777" w:rsidR="00A420CF" w:rsidRPr="008F3F74" w:rsidRDefault="00A420CF" w:rsidP="00A420CF">
            <w:pPr>
              <w:jc w:val="both"/>
              <w:rPr>
                <w:sz w:val="20"/>
              </w:rPr>
            </w:pPr>
            <w:proofErr w:type="spellStart"/>
            <w:r w:rsidRPr="008F3F74">
              <w:rPr>
                <w:sz w:val="20"/>
              </w:rPr>
              <w:t>n.a</w:t>
            </w:r>
            <w:proofErr w:type="spellEnd"/>
            <w:r w:rsidRPr="008F3F74">
              <w:rPr>
                <w:sz w:val="20"/>
              </w:rPr>
              <w:t>.</w:t>
            </w:r>
          </w:p>
        </w:tc>
        <w:tc>
          <w:tcPr>
            <w:tcW w:w="993" w:type="dxa"/>
            <w:tcBorders>
              <w:top w:val="single" w:sz="4" w:space="0" w:color="auto"/>
              <w:bottom w:val="single" w:sz="4" w:space="0" w:color="auto"/>
            </w:tcBorders>
          </w:tcPr>
          <w:p w14:paraId="77516F97" w14:textId="77777777" w:rsidR="00A420CF" w:rsidRPr="00620A81" w:rsidRDefault="00A420CF" w:rsidP="00A420CF">
            <w:pPr>
              <w:jc w:val="both"/>
              <w:rPr>
                <w:sz w:val="20"/>
              </w:rPr>
            </w:pPr>
          </w:p>
        </w:tc>
        <w:tc>
          <w:tcPr>
            <w:tcW w:w="1134" w:type="dxa"/>
            <w:tcBorders>
              <w:top w:val="single" w:sz="4" w:space="0" w:color="auto"/>
              <w:bottom w:val="single" w:sz="4" w:space="0" w:color="auto"/>
            </w:tcBorders>
          </w:tcPr>
          <w:p w14:paraId="0A32E035" w14:textId="1F3A6091" w:rsidR="00A420CF" w:rsidRPr="00620A81" w:rsidRDefault="00A420CF" w:rsidP="00A420CF">
            <w:pPr>
              <w:jc w:val="both"/>
              <w:rPr>
                <w:sz w:val="20"/>
              </w:rPr>
            </w:pPr>
          </w:p>
        </w:tc>
        <w:tc>
          <w:tcPr>
            <w:tcW w:w="1417" w:type="dxa"/>
            <w:tcBorders>
              <w:top w:val="single" w:sz="4" w:space="0" w:color="auto"/>
              <w:bottom w:val="single" w:sz="4" w:space="0" w:color="auto"/>
            </w:tcBorders>
          </w:tcPr>
          <w:p w14:paraId="5CCFF78A" w14:textId="77777777" w:rsidR="00A420CF" w:rsidRPr="00620A81" w:rsidRDefault="00A420CF" w:rsidP="00A420CF">
            <w:pPr>
              <w:jc w:val="both"/>
              <w:rPr>
                <w:sz w:val="20"/>
              </w:rPr>
            </w:pPr>
          </w:p>
        </w:tc>
      </w:tr>
      <w:tr w:rsidR="00A420CF" w:rsidRPr="00620A81" w14:paraId="057BB4D0" w14:textId="77777777" w:rsidTr="00C54F2F">
        <w:trPr>
          <w:trHeight w:val="720"/>
        </w:trPr>
        <w:tc>
          <w:tcPr>
            <w:tcW w:w="701" w:type="dxa"/>
            <w:tcBorders>
              <w:top w:val="single" w:sz="4" w:space="0" w:color="auto"/>
              <w:bottom w:val="single" w:sz="4" w:space="0" w:color="auto"/>
            </w:tcBorders>
          </w:tcPr>
          <w:p w14:paraId="26C285F1" w14:textId="77777777" w:rsidR="00A420CF" w:rsidRDefault="00A420CF" w:rsidP="00A420CF">
            <w:pPr>
              <w:jc w:val="both"/>
              <w:rPr>
                <w:sz w:val="20"/>
              </w:rPr>
            </w:pPr>
            <w:r>
              <w:rPr>
                <w:sz w:val="20"/>
              </w:rPr>
              <w:t>Č4</w:t>
            </w:r>
          </w:p>
        </w:tc>
        <w:tc>
          <w:tcPr>
            <w:tcW w:w="3480" w:type="dxa"/>
            <w:tcBorders>
              <w:top w:val="single" w:sz="4" w:space="0" w:color="auto"/>
              <w:bottom w:val="single" w:sz="4" w:space="0" w:color="auto"/>
            </w:tcBorders>
          </w:tcPr>
          <w:p w14:paraId="0F994792" w14:textId="77777777" w:rsidR="00A420CF" w:rsidRPr="00BA2166" w:rsidRDefault="00A420CF" w:rsidP="00A420CF">
            <w:pPr>
              <w:jc w:val="both"/>
              <w:rPr>
                <w:sz w:val="20"/>
              </w:rPr>
            </w:pPr>
            <w:r w:rsidRPr="00BA2166">
              <w:rPr>
                <w:sz w:val="20"/>
              </w:rPr>
              <w:t xml:space="preserve">Adresáti </w:t>
            </w:r>
          </w:p>
          <w:p w14:paraId="065B576D" w14:textId="77777777" w:rsidR="00A420CF" w:rsidRPr="00BA2166" w:rsidRDefault="00A420CF" w:rsidP="00A420CF">
            <w:pPr>
              <w:jc w:val="both"/>
              <w:rPr>
                <w:sz w:val="20"/>
                <w:lang w:eastAsia="sk-SK"/>
              </w:rPr>
            </w:pPr>
            <w:r w:rsidRPr="00BA2166">
              <w:rPr>
                <w:sz w:val="20"/>
              </w:rPr>
              <w:t>Táto smernica je určená členským štátom.</w:t>
            </w:r>
          </w:p>
        </w:tc>
        <w:tc>
          <w:tcPr>
            <w:tcW w:w="567" w:type="dxa"/>
            <w:tcBorders>
              <w:top w:val="single" w:sz="4" w:space="0" w:color="auto"/>
              <w:bottom w:val="single" w:sz="4" w:space="0" w:color="auto"/>
            </w:tcBorders>
          </w:tcPr>
          <w:p w14:paraId="7935AA97" w14:textId="77777777" w:rsidR="00A420CF" w:rsidRPr="008F3F74" w:rsidRDefault="00A420CF" w:rsidP="00A420CF">
            <w:pPr>
              <w:jc w:val="both"/>
              <w:rPr>
                <w:sz w:val="20"/>
              </w:rPr>
            </w:pPr>
            <w:proofErr w:type="spellStart"/>
            <w:r w:rsidRPr="008F3F74">
              <w:rPr>
                <w:sz w:val="20"/>
              </w:rPr>
              <w:t>n.a</w:t>
            </w:r>
            <w:proofErr w:type="spellEnd"/>
            <w:r w:rsidRPr="008F3F74">
              <w:rPr>
                <w:sz w:val="20"/>
              </w:rPr>
              <w:t>.</w:t>
            </w:r>
          </w:p>
        </w:tc>
        <w:tc>
          <w:tcPr>
            <w:tcW w:w="914" w:type="dxa"/>
            <w:tcBorders>
              <w:top w:val="single" w:sz="4" w:space="0" w:color="auto"/>
              <w:bottom w:val="single" w:sz="4" w:space="0" w:color="auto"/>
            </w:tcBorders>
          </w:tcPr>
          <w:p w14:paraId="1ADE5353" w14:textId="77777777" w:rsidR="00A420CF" w:rsidRPr="008F3F74" w:rsidRDefault="00A420CF" w:rsidP="00A420CF">
            <w:pPr>
              <w:rPr>
                <w:sz w:val="20"/>
              </w:rPr>
            </w:pPr>
          </w:p>
        </w:tc>
        <w:tc>
          <w:tcPr>
            <w:tcW w:w="851" w:type="dxa"/>
            <w:tcBorders>
              <w:top w:val="single" w:sz="4" w:space="0" w:color="auto"/>
              <w:bottom w:val="single" w:sz="4" w:space="0" w:color="auto"/>
            </w:tcBorders>
          </w:tcPr>
          <w:p w14:paraId="5E2F635A" w14:textId="77777777" w:rsidR="00A420CF" w:rsidRPr="008F3F74" w:rsidRDefault="00A420CF" w:rsidP="005B53BC">
            <w:pPr>
              <w:pStyle w:val="BodyText21"/>
              <w:spacing w:before="0" w:line="240" w:lineRule="auto"/>
              <w:jc w:val="left"/>
            </w:pPr>
          </w:p>
        </w:tc>
        <w:tc>
          <w:tcPr>
            <w:tcW w:w="4111" w:type="dxa"/>
            <w:tcBorders>
              <w:top w:val="single" w:sz="4" w:space="0" w:color="auto"/>
              <w:bottom w:val="single" w:sz="4" w:space="0" w:color="auto"/>
            </w:tcBorders>
          </w:tcPr>
          <w:p w14:paraId="5B03697B" w14:textId="77777777" w:rsidR="00A420CF" w:rsidRPr="008F3F74" w:rsidRDefault="00A420CF" w:rsidP="00A420CF">
            <w:pPr>
              <w:pStyle w:val="Odsekzoznamu"/>
              <w:spacing w:after="0" w:line="240" w:lineRule="auto"/>
              <w:ind w:left="0"/>
              <w:contextualSpacing w:val="0"/>
              <w:jc w:val="both"/>
              <w:rPr>
                <w:rFonts w:ascii="Times New Roman" w:hAnsi="Times New Roman"/>
                <w:sz w:val="20"/>
                <w:szCs w:val="20"/>
                <w:lang w:eastAsia="sk-SK"/>
              </w:rPr>
            </w:pPr>
          </w:p>
        </w:tc>
        <w:tc>
          <w:tcPr>
            <w:tcW w:w="708" w:type="dxa"/>
            <w:tcBorders>
              <w:top w:val="single" w:sz="4" w:space="0" w:color="auto"/>
              <w:bottom w:val="single" w:sz="4" w:space="0" w:color="auto"/>
            </w:tcBorders>
          </w:tcPr>
          <w:p w14:paraId="2CF28234" w14:textId="77777777" w:rsidR="00A420CF" w:rsidRPr="008F3F74" w:rsidRDefault="00A420CF" w:rsidP="00A420CF">
            <w:pPr>
              <w:jc w:val="both"/>
              <w:rPr>
                <w:sz w:val="20"/>
              </w:rPr>
            </w:pPr>
            <w:proofErr w:type="spellStart"/>
            <w:r w:rsidRPr="008F3F74">
              <w:rPr>
                <w:sz w:val="20"/>
              </w:rPr>
              <w:t>n.a</w:t>
            </w:r>
            <w:proofErr w:type="spellEnd"/>
            <w:r w:rsidRPr="008F3F74">
              <w:rPr>
                <w:sz w:val="20"/>
              </w:rPr>
              <w:t>.</w:t>
            </w:r>
          </w:p>
        </w:tc>
        <w:tc>
          <w:tcPr>
            <w:tcW w:w="993" w:type="dxa"/>
            <w:tcBorders>
              <w:top w:val="single" w:sz="4" w:space="0" w:color="auto"/>
              <w:bottom w:val="single" w:sz="4" w:space="0" w:color="auto"/>
            </w:tcBorders>
          </w:tcPr>
          <w:p w14:paraId="6E79DBA8" w14:textId="77777777" w:rsidR="00A420CF" w:rsidRPr="00620A81" w:rsidRDefault="00A420CF" w:rsidP="00A420CF">
            <w:pPr>
              <w:jc w:val="both"/>
              <w:rPr>
                <w:sz w:val="20"/>
              </w:rPr>
            </w:pPr>
          </w:p>
        </w:tc>
        <w:tc>
          <w:tcPr>
            <w:tcW w:w="1134" w:type="dxa"/>
            <w:tcBorders>
              <w:top w:val="single" w:sz="4" w:space="0" w:color="auto"/>
              <w:bottom w:val="single" w:sz="4" w:space="0" w:color="auto"/>
            </w:tcBorders>
          </w:tcPr>
          <w:p w14:paraId="53ECA2E8" w14:textId="753BA2F6" w:rsidR="00A420CF" w:rsidRPr="00620A81" w:rsidRDefault="00A420CF" w:rsidP="00A420CF">
            <w:pPr>
              <w:jc w:val="both"/>
              <w:rPr>
                <w:sz w:val="20"/>
              </w:rPr>
            </w:pPr>
          </w:p>
        </w:tc>
        <w:tc>
          <w:tcPr>
            <w:tcW w:w="1417" w:type="dxa"/>
            <w:tcBorders>
              <w:top w:val="single" w:sz="4" w:space="0" w:color="auto"/>
              <w:bottom w:val="single" w:sz="4" w:space="0" w:color="auto"/>
            </w:tcBorders>
          </w:tcPr>
          <w:p w14:paraId="38328742" w14:textId="77777777" w:rsidR="00A420CF" w:rsidRPr="00620A81" w:rsidRDefault="00A420CF" w:rsidP="00A420CF">
            <w:pPr>
              <w:jc w:val="both"/>
              <w:rPr>
                <w:sz w:val="20"/>
              </w:rPr>
            </w:pPr>
          </w:p>
        </w:tc>
      </w:tr>
    </w:tbl>
    <w:p w14:paraId="75D44E20" w14:textId="77777777" w:rsidR="000E6117" w:rsidRPr="00620A81" w:rsidRDefault="000E6117">
      <w:pPr>
        <w:pStyle w:val="BodyText21"/>
        <w:spacing w:before="0" w:line="240" w:lineRule="auto"/>
      </w:pPr>
    </w:p>
    <w:sectPr w:rsidR="000E6117" w:rsidRPr="00620A81" w:rsidSect="00093FA0">
      <w:footerReference w:type="default" r:id="rId8"/>
      <w:pgSz w:w="16840" w:h="11907" w:orient="landscape" w:code="9"/>
      <w:pgMar w:top="993" w:right="1418" w:bottom="1135"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5CB3" w14:textId="77777777" w:rsidR="00FF0CBE" w:rsidRDefault="00FF0CBE">
      <w:r>
        <w:separator/>
      </w:r>
    </w:p>
  </w:endnote>
  <w:endnote w:type="continuationSeparator" w:id="0">
    <w:p w14:paraId="03EEB749" w14:textId="77777777" w:rsidR="00FF0CBE" w:rsidRDefault="00FF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66DD" w14:textId="09C50E0E" w:rsidR="005F757F" w:rsidRDefault="005F757F">
    <w:pPr>
      <w:pStyle w:val="Pta"/>
      <w:framePr w:w="331" w:wrap="auto" w:vAnchor="text" w:hAnchor="page" w:x="8296" w:y="3"/>
      <w:rPr>
        <w:rStyle w:val="slostrany"/>
      </w:rPr>
    </w:pPr>
    <w:r>
      <w:rPr>
        <w:rStyle w:val="slostrany"/>
      </w:rPr>
      <w:fldChar w:fldCharType="begin"/>
    </w:r>
    <w:r>
      <w:rPr>
        <w:rStyle w:val="slostrany"/>
      </w:rPr>
      <w:instrText xml:space="preserve">PAGE  </w:instrText>
    </w:r>
    <w:r>
      <w:rPr>
        <w:rStyle w:val="slostrany"/>
      </w:rPr>
      <w:fldChar w:fldCharType="separate"/>
    </w:r>
    <w:r w:rsidR="00F9725D">
      <w:rPr>
        <w:rStyle w:val="slostrany"/>
        <w:noProof/>
      </w:rPr>
      <w:t>6</w:t>
    </w:r>
    <w:r>
      <w:rPr>
        <w:rStyle w:val="slostrany"/>
      </w:rPr>
      <w:fldChar w:fldCharType="end"/>
    </w:r>
  </w:p>
  <w:p w14:paraId="46DCF710" w14:textId="77777777" w:rsidR="005F757F" w:rsidRDefault="005F75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D5A6" w14:textId="77777777" w:rsidR="00FF0CBE" w:rsidRDefault="00FF0CBE">
      <w:r>
        <w:separator/>
      </w:r>
    </w:p>
  </w:footnote>
  <w:footnote w:type="continuationSeparator" w:id="0">
    <w:p w14:paraId="0D25DA58" w14:textId="77777777" w:rsidR="00FF0CBE" w:rsidRDefault="00FF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346D3"/>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709" w:firstLine="0"/>
      </w:pPr>
      <w:rPr>
        <w:color w:val="000000"/>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 w15:restartNumberingAfterBreak="0">
    <w:nsid w:val="016B20F2"/>
    <w:multiLevelType w:val="hybridMultilevel"/>
    <w:tmpl w:val="4266CE24"/>
    <w:lvl w:ilvl="0" w:tplc="DA740CCC">
      <w:start w:val="1"/>
      <w:numFmt w:val="lowerLetter"/>
      <w:lvlText w:val="%1)"/>
      <w:lvlJc w:val="left"/>
      <w:pPr>
        <w:tabs>
          <w:tab w:val="num" w:pos="357"/>
        </w:tabs>
        <w:ind w:left="357" w:hanging="357"/>
      </w:pPr>
      <w:rPr>
        <w:rFonts w:hint="default"/>
        <w:b w:val="0"/>
      </w:rPr>
    </w:lvl>
    <w:lvl w:ilvl="1" w:tplc="8D883E6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C04277"/>
    <w:multiLevelType w:val="hybridMultilevel"/>
    <w:tmpl w:val="2E1C7010"/>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5040794"/>
    <w:multiLevelType w:val="singleLevel"/>
    <w:tmpl w:val="0AEA0972"/>
    <w:name w:val="Tiret 0__1"/>
    <w:lvl w:ilvl="0">
      <w:start w:val="1"/>
      <w:numFmt w:val="bullet"/>
      <w:lvlRestart w:val="0"/>
      <w:pStyle w:val="Tiret0"/>
      <w:lvlText w:val="–"/>
      <w:lvlJc w:val="left"/>
      <w:pPr>
        <w:tabs>
          <w:tab w:val="num" w:pos="850"/>
        </w:tabs>
        <w:ind w:left="850" w:hanging="850"/>
      </w:pPr>
    </w:lvl>
  </w:abstractNum>
  <w:abstractNum w:abstractNumId="4" w15:restartNumberingAfterBreak="0">
    <w:nsid w:val="06F05D8A"/>
    <w:multiLevelType w:val="hybridMultilevel"/>
    <w:tmpl w:val="6F2C7C98"/>
    <w:lvl w:ilvl="0" w:tplc="61C42218">
      <w:start w:val="2"/>
      <w:numFmt w:val="decimal"/>
      <w:lvlText w:val="(%1)"/>
      <w:lvlJc w:val="left"/>
      <w:pPr>
        <w:ind w:left="1211" w:hanging="360"/>
      </w:pPr>
      <w:rPr>
        <w:rFonts w:hint="default"/>
        <w:strike w:val="0"/>
      </w:rPr>
    </w:lvl>
    <w:lvl w:ilvl="1" w:tplc="041B0019" w:tentative="1">
      <w:start w:val="1"/>
      <w:numFmt w:val="lowerLetter"/>
      <w:lvlText w:val="%2."/>
      <w:lvlJc w:val="left"/>
      <w:pPr>
        <w:ind w:left="2293" w:hanging="360"/>
      </w:pPr>
    </w:lvl>
    <w:lvl w:ilvl="2" w:tplc="041B001B" w:tentative="1">
      <w:start w:val="1"/>
      <w:numFmt w:val="lowerRoman"/>
      <w:lvlText w:val="%3."/>
      <w:lvlJc w:val="right"/>
      <w:pPr>
        <w:ind w:left="3013" w:hanging="180"/>
      </w:pPr>
    </w:lvl>
    <w:lvl w:ilvl="3" w:tplc="041B000F" w:tentative="1">
      <w:start w:val="1"/>
      <w:numFmt w:val="decimal"/>
      <w:lvlText w:val="%4."/>
      <w:lvlJc w:val="left"/>
      <w:pPr>
        <w:ind w:left="3733" w:hanging="360"/>
      </w:pPr>
    </w:lvl>
    <w:lvl w:ilvl="4" w:tplc="041B0019" w:tentative="1">
      <w:start w:val="1"/>
      <w:numFmt w:val="lowerLetter"/>
      <w:lvlText w:val="%5."/>
      <w:lvlJc w:val="left"/>
      <w:pPr>
        <w:ind w:left="4453" w:hanging="360"/>
      </w:pPr>
    </w:lvl>
    <w:lvl w:ilvl="5" w:tplc="041B001B" w:tentative="1">
      <w:start w:val="1"/>
      <w:numFmt w:val="lowerRoman"/>
      <w:lvlText w:val="%6."/>
      <w:lvlJc w:val="right"/>
      <w:pPr>
        <w:ind w:left="5173" w:hanging="180"/>
      </w:pPr>
    </w:lvl>
    <w:lvl w:ilvl="6" w:tplc="041B000F" w:tentative="1">
      <w:start w:val="1"/>
      <w:numFmt w:val="decimal"/>
      <w:lvlText w:val="%7."/>
      <w:lvlJc w:val="left"/>
      <w:pPr>
        <w:ind w:left="5893" w:hanging="360"/>
      </w:pPr>
    </w:lvl>
    <w:lvl w:ilvl="7" w:tplc="041B0019" w:tentative="1">
      <w:start w:val="1"/>
      <w:numFmt w:val="lowerLetter"/>
      <w:lvlText w:val="%8."/>
      <w:lvlJc w:val="left"/>
      <w:pPr>
        <w:ind w:left="6613" w:hanging="360"/>
      </w:pPr>
    </w:lvl>
    <w:lvl w:ilvl="8" w:tplc="041B001B" w:tentative="1">
      <w:start w:val="1"/>
      <w:numFmt w:val="lowerRoman"/>
      <w:lvlText w:val="%9."/>
      <w:lvlJc w:val="right"/>
      <w:pPr>
        <w:ind w:left="7333" w:hanging="180"/>
      </w:pPr>
    </w:lvl>
  </w:abstractNum>
  <w:abstractNum w:abstractNumId="5" w15:restartNumberingAfterBreak="0">
    <w:nsid w:val="07DE7BD7"/>
    <w:multiLevelType w:val="singleLevel"/>
    <w:tmpl w:val="54D295B4"/>
    <w:lvl w:ilvl="0">
      <w:start w:val="1"/>
      <w:numFmt w:val="lowerLetter"/>
      <w:pStyle w:val="pismeno"/>
      <w:lvlText w:val="%1)"/>
      <w:lvlJc w:val="left"/>
      <w:pPr>
        <w:tabs>
          <w:tab w:val="num" w:pos="360"/>
        </w:tabs>
        <w:ind w:left="340" w:hanging="34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567E0C"/>
    <w:multiLevelType w:val="hybridMultilevel"/>
    <w:tmpl w:val="ED462F8E"/>
    <w:lvl w:ilvl="0" w:tplc="41FCB0EC">
      <w:start w:val="1"/>
      <w:numFmt w:val="bullet"/>
      <w:pStyle w:val="Zoznamsodrkami"/>
      <w:lvlText w:val=""/>
      <w:lvlJc w:val="left"/>
      <w:pPr>
        <w:tabs>
          <w:tab w:val="num" w:pos="585"/>
        </w:tabs>
        <w:ind w:left="565" w:hanging="340"/>
      </w:pPr>
      <w:rPr>
        <w:rFonts w:ascii="Symbol" w:hAnsi="Symbol" w:hint="default"/>
        <w:color w:val="auto"/>
      </w:rPr>
    </w:lvl>
    <w:lvl w:ilvl="1" w:tplc="CA6C3A9E" w:tentative="1">
      <w:start w:val="1"/>
      <w:numFmt w:val="bullet"/>
      <w:lvlText w:val="o"/>
      <w:lvlJc w:val="left"/>
      <w:pPr>
        <w:tabs>
          <w:tab w:val="num" w:pos="945"/>
        </w:tabs>
        <w:ind w:left="945" w:hanging="360"/>
      </w:pPr>
      <w:rPr>
        <w:rFonts w:ascii="Courier New" w:hAnsi="Courier New" w:hint="default"/>
      </w:rPr>
    </w:lvl>
    <w:lvl w:ilvl="2" w:tplc="0ABE58A6" w:tentative="1">
      <w:start w:val="1"/>
      <w:numFmt w:val="bullet"/>
      <w:lvlText w:val=""/>
      <w:lvlJc w:val="left"/>
      <w:pPr>
        <w:tabs>
          <w:tab w:val="num" w:pos="1665"/>
        </w:tabs>
        <w:ind w:left="1665" w:hanging="360"/>
      </w:pPr>
      <w:rPr>
        <w:rFonts w:ascii="Wingdings" w:hAnsi="Wingdings" w:hint="default"/>
      </w:rPr>
    </w:lvl>
    <w:lvl w:ilvl="3" w:tplc="4EA448AC" w:tentative="1">
      <w:start w:val="1"/>
      <w:numFmt w:val="bullet"/>
      <w:lvlText w:val=""/>
      <w:lvlJc w:val="left"/>
      <w:pPr>
        <w:tabs>
          <w:tab w:val="num" w:pos="2385"/>
        </w:tabs>
        <w:ind w:left="2385" w:hanging="360"/>
      </w:pPr>
      <w:rPr>
        <w:rFonts w:ascii="Symbol" w:hAnsi="Symbol" w:hint="default"/>
      </w:rPr>
    </w:lvl>
    <w:lvl w:ilvl="4" w:tplc="58ECA99A" w:tentative="1">
      <w:start w:val="1"/>
      <w:numFmt w:val="bullet"/>
      <w:lvlText w:val="o"/>
      <w:lvlJc w:val="left"/>
      <w:pPr>
        <w:tabs>
          <w:tab w:val="num" w:pos="3105"/>
        </w:tabs>
        <w:ind w:left="3105" w:hanging="360"/>
      </w:pPr>
      <w:rPr>
        <w:rFonts w:ascii="Courier New" w:hAnsi="Courier New" w:hint="default"/>
      </w:rPr>
    </w:lvl>
    <w:lvl w:ilvl="5" w:tplc="18942AF4" w:tentative="1">
      <w:start w:val="1"/>
      <w:numFmt w:val="bullet"/>
      <w:lvlText w:val=""/>
      <w:lvlJc w:val="left"/>
      <w:pPr>
        <w:tabs>
          <w:tab w:val="num" w:pos="3825"/>
        </w:tabs>
        <w:ind w:left="3825" w:hanging="360"/>
      </w:pPr>
      <w:rPr>
        <w:rFonts w:ascii="Wingdings" w:hAnsi="Wingdings" w:hint="default"/>
      </w:rPr>
    </w:lvl>
    <w:lvl w:ilvl="6" w:tplc="61402EC8" w:tentative="1">
      <w:start w:val="1"/>
      <w:numFmt w:val="bullet"/>
      <w:lvlText w:val=""/>
      <w:lvlJc w:val="left"/>
      <w:pPr>
        <w:tabs>
          <w:tab w:val="num" w:pos="4545"/>
        </w:tabs>
        <w:ind w:left="4545" w:hanging="360"/>
      </w:pPr>
      <w:rPr>
        <w:rFonts w:ascii="Symbol" w:hAnsi="Symbol" w:hint="default"/>
      </w:rPr>
    </w:lvl>
    <w:lvl w:ilvl="7" w:tplc="00F2867C" w:tentative="1">
      <w:start w:val="1"/>
      <w:numFmt w:val="bullet"/>
      <w:lvlText w:val="o"/>
      <w:lvlJc w:val="left"/>
      <w:pPr>
        <w:tabs>
          <w:tab w:val="num" w:pos="5265"/>
        </w:tabs>
        <w:ind w:left="5265" w:hanging="360"/>
      </w:pPr>
      <w:rPr>
        <w:rFonts w:ascii="Courier New" w:hAnsi="Courier New" w:hint="default"/>
      </w:rPr>
    </w:lvl>
    <w:lvl w:ilvl="8" w:tplc="CAF0F5A6" w:tentative="1">
      <w:start w:val="1"/>
      <w:numFmt w:val="bullet"/>
      <w:lvlText w:val=""/>
      <w:lvlJc w:val="left"/>
      <w:pPr>
        <w:tabs>
          <w:tab w:val="num" w:pos="5985"/>
        </w:tabs>
        <w:ind w:left="5985" w:hanging="360"/>
      </w:pPr>
      <w:rPr>
        <w:rFonts w:ascii="Wingdings" w:hAnsi="Wingdings" w:hint="default"/>
      </w:rPr>
    </w:lvl>
  </w:abstractNum>
  <w:abstractNum w:abstractNumId="7" w15:restartNumberingAfterBreak="0">
    <w:nsid w:val="0F026B61"/>
    <w:multiLevelType w:val="hybridMultilevel"/>
    <w:tmpl w:val="103882D8"/>
    <w:lvl w:ilvl="0" w:tplc="E79848D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D3613F"/>
    <w:multiLevelType w:val="singleLevel"/>
    <w:tmpl w:val="ACF2636C"/>
    <w:lvl w:ilvl="0">
      <w:start w:val="1"/>
      <w:numFmt w:val="lowerLetter"/>
      <w:pStyle w:val="Textpsmene"/>
      <w:lvlText w:val="%1)"/>
      <w:lvlJc w:val="left"/>
      <w:pPr>
        <w:tabs>
          <w:tab w:val="num" w:pos="360"/>
        </w:tabs>
        <w:ind w:left="360" w:hanging="360"/>
      </w:pPr>
    </w:lvl>
  </w:abstractNum>
  <w:abstractNum w:abstractNumId="9" w15:restartNumberingAfterBreak="0">
    <w:nsid w:val="210B6C4F"/>
    <w:multiLevelType w:val="hybridMultilevel"/>
    <w:tmpl w:val="C1989556"/>
    <w:lvl w:ilvl="0" w:tplc="534E39E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A06EAA"/>
    <w:multiLevelType w:val="hybridMultilevel"/>
    <w:tmpl w:val="1D7EC08C"/>
    <w:lvl w:ilvl="0" w:tplc="F30A4F14">
      <w:start w:val="1"/>
      <w:numFmt w:val="decimal"/>
      <w:lvlText w:val="%1."/>
      <w:lvlJc w:val="left"/>
      <w:pPr>
        <w:tabs>
          <w:tab w:val="num" w:pos="720"/>
        </w:tabs>
        <w:ind w:left="720" w:hanging="360"/>
      </w:pPr>
      <w:rPr>
        <w:rFonts w:hint="default"/>
        <w:b w:val="0"/>
        <w:color w:val="auto"/>
      </w:rPr>
    </w:lvl>
    <w:lvl w:ilvl="1" w:tplc="4F3ABE98">
      <w:start w:val="1"/>
      <w:numFmt w:val="lowerLetter"/>
      <w:lvlText w:val="%2)"/>
      <w:lvlJc w:val="left"/>
      <w:pPr>
        <w:tabs>
          <w:tab w:val="num" w:pos="1437"/>
        </w:tabs>
        <w:ind w:left="1437" w:hanging="357"/>
      </w:pPr>
      <w:rPr>
        <w:rFonts w:hint="default"/>
        <w:b w:val="0"/>
        <w:color w:val="auto"/>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1B3AE1"/>
    <w:multiLevelType w:val="hybridMultilevel"/>
    <w:tmpl w:val="39827C84"/>
    <w:lvl w:ilvl="0" w:tplc="5E5ED314">
      <w:start w:val="5"/>
      <w:numFmt w:val="lowerLetter"/>
      <w:lvlText w:val="%1)"/>
      <w:lvlJc w:val="left"/>
      <w:pPr>
        <w:tabs>
          <w:tab w:val="num" w:pos="1437"/>
        </w:tabs>
        <w:ind w:left="1437" w:hanging="357"/>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C572CB"/>
    <w:multiLevelType w:val="hybridMultilevel"/>
    <w:tmpl w:val="175A4572"/>
    <w:lvl w:ilvl="0" w:tplc="7436989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D15267"/>
    <w:multiLevelType w:val="hybridMultilevel"/>
    <w:tmpl w:val="D3D8A7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F97280"/>
    <w:multiLevelType w:val="hybridMultilevel"/>
    <w:tmpl w:val="F3603F32"/>
    <w:lvl w:ilvl="0" w:tplc="534E39E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F6D70"/>
    <w:multiLevelType w:val="hybridMultilevel"/>
    <w:tmpl w:val="81D09712"/>
    <w:lvl w:ilvl="0" w:tplc="8FD8CF68">
      <w:start w:val="1"/>
      <w:numFmt w:val="lowerLetter"/>
      <w:pStyle w:val="adda"/>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EE0F0E"/>
    <w:multiLevelType w:val="hybridMultilevel"/>
    <w:tmpl w:val="6A7EE3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D94C30"/>
    <w:multiLevelType w:val="hybridMultilevel"/>
    <w:tmpl w:val="F91898D8"/>
    <w:lvl w:ilvl="0" w:tplc="19984BB6">
      <w:start w:val="1"/>
      <w:numFmt w:val="decimal"/>
      <w:lvlText w:val="%1."/>
      <w:lvlJc w:val="left"/>
      <w:pPr>
        <w:tabs>
          <w:tab w:val="num" w:pos="720"/>
        </w:tabs>
        <w:ind w:left="720" w:hanging="360"/>
      </w:pPr>
      <w:rPr>
        <w:rFonts w:hint="default"/>
        <w:b w:val="0"/>
      </w:rPr>
    </w:lvl>
    <w:lvl w:ilvl="1" w:tplc="A17EF3B4">
      <w:start w:val="1"/>
      <w:numFmt w:val="lowerLetter"/>
      <w:lvlText w:val="%2)"/>
      <w:lvlJc w:val="left"/>
      <w:pPr>
        <w:tabs>
          <w:tab w:val="num" w:pos="360"/>
        </w:tabs>
        <w:ind w:left="360" w:hanging="360"/>
      </w:pPr>
      <w:rPr>
        <w:rFonts w:hint="default"/>
        <w:vertAlign w:val="superscrip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EA4428"/>
    <w:multiLevelType w:val="hybridMultilevel"/>
    <w:tmpl w:val="3836C466"/>
    <w:lvl w:ilvl="0" w:tplc="87CAF528">
      <w:start w:val="1"/>
      <w:numFmt w:val="decimal"/>
      <w:lvlText w:val="%1."/>
      <w:lvlJc w:val="left"/>
      <w:pPr>
        <w:ind w:left="810" w:hanging="450"/>
      </w:pPr>
      <w:rPr>
        <w:rFonts w:hint="default"/>
      </w:rPr>
    </w:lvl>
    <w:lvl w:ilvl="1" w:tplc="1B82CF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41613D"/>
    <w:multiLevelType w:val="hybridMultilevel"/>
    <w:tmpl w:val="AB649512"/>
    <w:lvl w:ilvl="0" w:tplc="534E39E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C72E16"/>
    <w:multiLevelType w:val="hybridMultilevel"/>
    <w:tmpl w:val="836C29A2"/>
    <w:lvl w:ilvl="0" w:tplc="205CBC54">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7E107F"/>
    <w:multiLevelType w:val="hybridMultilevel"/>
    <w:tmpl w:val="B19EA61A"/>
    <w:lvl w:ilvl="0" w:tplc="8BFA7D76">
      <w:start w:val="1"/>
      <w:numFmt w:val="decimal"/>
      <w:lvlText w:val="(%1)"/>
      <w:lvlJc w:val="left"/>
      <w:pPr>
        <w:ind w:left="720" w:hanging="360"/>
      </w:pPr>
      <w:rPr>
        <w:rFonts w:ascii="Times New Roman" w:eastAsia="Times New Roman" w:hAnsi="Times New Roman"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CC37B9"/>
    <w:multiLevelType w:val="hybridMultilevel"/>
    <w:tmpl w:val="872C3CD8"/>
    <w:lvl w:ilvl="0" w:tplc="DF16CD6E">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8E41E4"/>
    <w:multiLevelType w:val="hybridMultilevel"/>
    <w:tmpl w:val="6212BE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741D53"/>
    <w:multiLevelType w:val="hybridMultilevel"/>
    <w:tmpl w:val="20B4F0DC"/>
    <w:lvl w:ilvl="0" w:tplc="3D4ABE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FE7E97"/>
    <w:multiLevelType w:val="hybridMultilevel"/>
    <w:tmpl w:val="BFFCB7E0"/>
    <w:lvl w:ilvl="0" w:tplc="B642AEB4">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EF1400"/>
    <w:multiLevelType w:val="hybridMultilevel"/>
    <w:tmpl w:val="AB649512"/>
    <w:lvl w:ilvl="0" w:tplc="534E39E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5C09BD"/>
    <w:multiLevelType w:val="hybridMultilevel"/>
    <w:tmpl w:val="AE4ACD38"/>
    <w:lvl w:ilvl="0" w:tplc="8B20AF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E365E6"/>
    <w:multiLevelType w:val="hybridMultilevel"/>
    <w:tmpl w:val="FB22046E"/>
    <w:lvl w:ilvl="0" w:tplc="DA7072A0">
      <w:start w:val="7"/>
      <w:numFmt w:val="lowerLetter"/>
      <w:lvlText w:val="%1)"/>
      <w:lvlJc w:val="left"/>
      <w:pPr>
        <w:tabs>
          <w:tab w:val="num" w:pos="1437"/>
        </w:tabs>
        <w:ind w:left="1437" w:hanging="357"/>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160B05"/>
    <w:multiLevelType w:val="hybridMultilevel"/>
    <w:tmpl w:val="F0D84B1A"/>
    <w:lvl w:ilvl="0" w:tplc="BA4EEB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75103A"/>
    <w:multiLevelType w:val="multilevel"/>
    <w:tmpl w:val="46E6676C"/>
    <w:lvl w:ilvl="0">
      <w:start w:val="1"/>
      <w:numFmt w:val="decimal"/>
      <w:lvlText w:val="(%1)"/>
      <w:lvlJc w:val="left"/>
      <w:pPr>
        <w:ind w:left="6882" w:hanging="360"/>
      </w:pPr>
      <w:rPr>
        <w:rFonts w:hint="default"/>
        <w:strike w:val="0"/>
        <w:color w:val="00000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79981FBD"/>
    <w:multiLevelType w:val="hybridMultilevel"/>
    <w:tmpl w:val="14B6DAFA"/>
    <w:lvl w:ilvl="0" w:tplc="BB16D2E4">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2" w15:restartNumberingAfterBreak="0">
    <w:nsid w:val="7A561206"/>
    <w:multiLevelType w:val="hybridMultilevel"/>
    <w:tmpl w:val="FEE2E386"/>
    <w:lvl w:ilvl="0" w:tplc="43AC91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D0554C"/>
    <w:multiLevelType w:val="multilevel"/>
    <w:tmpl w:val="7AD055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6"/>
  </w:num>
  <w:num w:numId="4">
    <w:abstractNumId w:val="17"/>
  </w:num>
  <w:num w:numId="5">
    <w:abstractNumId w:val="1"/>
  </w:num>
  <w:num w:numId="6">
    <w:abstractNumId w:val="10"/>
  </w:num>
  <w:num w:numId="7">
    <w:abstractNumId w:val="15"/>
  </w:num>
  <w:num w:numId="8">
    <w:abstractNumId w:val="3"/>
  </w:num>
  <w:num w:numId="9">
    <w:abstractNumId w:val="11"/>
  </w:num>
  <w:num w:numId="10">
    <w:abstractNumId w:val="16"/>
  </w:num>
  <w:num w:numId="11">
    <w:abstractNumId w:val="2"/>
  </w:num>
  <w:num w:numId="12">
    <w:abstractNumId w:val="23"/>
  </w:num>
  <w:num w:numId="13">
    <w:abstractNumId w:val="9"/>
  </w:num>
  <w:num w:numId="14">
    <w:abstractNumId w:val="31"/>
  </w:num>
  <w:num w:numId="15">
    <w:abstractNumId w:val="19"/>
  </w:num>
  <w:num w:numId="16">
    <w:abstractNumId w:val="25"/>
  </w:num>
  <w:num w:numId="17">
    <w:abstractNumId w:val="4"/>
  </w:num>
  <w:num w:numId="18">
    <w:abstractNumId w:val="24"/>
  </w:num>
  <w:num w:numId="19">
    <w:abstractNumId w:val="32"/>
  </w:num>
  <w:num w:numId="20">
    <w:abstractNumId w:val="12"/>
  </w:num>
  <w:num w:numId="21">
    <w:abstractNumId w:val="22"/>
  </w:num>
  <w:num w:numId="22">
    <w:abstractNumId w:val="20"/>
  </w:num>
  <w:num w:numId="23">
    <w:abstractNumId w:val="7"/>
  </w:num>
  <w:num w:numId="24">
    <w:abstractNumId w:val="26"/>
  </w:num>
  <w:num w:numId="25">
    <w:abstractNumId w:val="30"/>
  </w:num>
  <w:num w:numId="26">
    <w:abstractNumId w:val="33"/>
  </w:num>
  <w:num w:numId="27">
    <w:abstractNumId w:val="13"/>
  </w:num>
  <w:num w:numId="28">
    <w:abstractNumId w:val="21"/>
  </w:num>
  <w:num w:numId="29">
    <w:abstractNumId w:val="27"/>
  </w:num>
  <w:num w:numId="30">
    <w:abstractNumId w:val="0"/>
  </w:num>
  <w:num w:numId="31">
    <w:abstractNumId w:val="28"/>
  </w:num>
  <w:num w:numId="32">
    <w:abstractNumId w:val="14"/>
  </w:num>
  <w:num w:numId="33">
    <w:abstractNumId w:val="18"/>
  </w:num>
  <w:num w:numId="3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56"/>
    <w:rsid w:val="00005E3C"/>
    <w:rsid w:val="00006CCE"/>
    <w:rsid w:val="00007C78"/>
    <w:rsid w:val="00010197"/>
    <w:rsid w:val="000123FB"/>
    <w:rsid w:val="0001572E"/>
    <w:rsid w:val="00023853"/>
    <w:rsid w:val="000246DD"/>
    <w:rsid w:val="00026715"/>
    <w:rsid w:val="0002719A"/>
    <w:rsid w:val="00027385"/>
    <w:rsid w:val="00030C29"/>
    <w:rsid w:val="0003348D"/>
    <w:rsid w:val="00033707"/>
    <w:rsid w:val="00042555"/>
    <w:rsid w:val="00052814"/>
    <w:rsid w:val="0005530A"/>
    <w:rsid w:val="00060549"/>
    <w:rsid w:val="000624DA"/>
    <w:rsid w:val="000641C7"/>
    <w:rsid w:val="00065C4D"/>
    <w:rsid w:val="000744E7"/>
    <w:rsid w:val="000758B4"/>
    <w:rsid w:val="00081488"/>
    <w:rsid w:val="000822D1"/>
    <w:rsid w:val="00084D6E"/>
    <w:rsid w:val="00084E82"/>
    <w:rsid w:val="00090AB5"/>
    <w:rsid w:val="00093FA0"/>
    <w:rsid w:val="000A03E1"/>
    <w:rsid w:val="000A0C4E"/>
    <w:rsid w:val="000A367F"/>
    <w:rsid w:val="000A3B29"/>
    <w:rsid w:val="000A559F"/>
    <w:rsid w:val="000A78CB"/>
    <w:rsid w:val="000B09EE"/>
    <w:rsid w:val="000B1082"/>
    <w:rsid w:val="000B28EB"/>
    <w:rsid w:val="000B581A"/>
    <w:rsid w:val="000B6F71"/>
    <w:rsid w:val="000C548F"/>
    <w:rsid w:val="000C7C7E"/>
    <w:rsid w:val="000C7FA1"/>
    <w:rsid w:val="000D24F5"/>
    <w:rsid w:val="000D3568"/>
    <w:rsid w:val="000D3EC5"/>
    <w:rsid w:val="000D6BF5"/>
    <w:rsid w:val="000E0727"/>
    <w:rsid w:val="000E540D"/>
    <w:rsid w:val="000E6117"/>
    <w:rsid w:val="000E633C"/>
    <w:rsid w:val="000F10B8"/>
    <w:rsid w:val="000F3B12"/>
    <w:rsid w:val="000F4987"/>
    <w:rsid w:val="0010378C"/>
    <w:rsid w:val="00103D5F"/>
    <w:rsid w:val="0010411F"/>
    <w:rsid w:val="00105A0A"/>
    <w:rsid w:val="00111BC2"/>
    <w:rsid w:val="0012447C"/>
    <w:rsid w:val="001264FA"/>
    <w:rsid w:val="001328FF"/>
    <w:rsid w:val="001338CC"/>
    <w:rsid w:val="00134F1E"/>
    <w:rsid w:val="001404D3"/>
    <w:rsid w:val="00140EF9"/>
    <w:rsid w:val="0014103D"/>
    <w:rsid w:val="00146157"/>
    <w:rsid w:val="001540D8"/>
    <w:rsid w:val="0015612A"/>
    <w:rsid w:val="00156B7C"/>
    <w:rsid w:val="0016278D"/>
    <w:rsid w:val="001665D9"/>
    <w:rsid w:val="00171819"/>
    <w:rsid w:val="001778A0"/>
    <w:rsid w:val="001837B5"/>
    <w:rsid w:val="00187EB0"/>
    <w:rsid w:val="00190211"/>
    <w:rsid w:val="00190473"/>
    <w:rsid w:val="0019255C"/>
    <w:rsid w:val="001A0FF3"/>
    <w:rsid w:val="001A493E"/>
    <w:rsid w:val="001A495F"/>
    <w:rsid w:val="001A6051"/>
    <w:rsid w:val="001B634E"/>
    <w:rsid w:val="001C06B8"/>
    <w:rsid w:val="001C6990"/>
    <w:rsid w:val="001D04AB"/>
    <w:rsid w:val="001D153C"/>
    <w:rsid w:val="001D1557"/>
    <w:rsid w:val="001D609F"/>
    <w:rsid w:val="001E75B9"/>
    <w:rsid w:val="001F0B7D"/>
    <w:rsid w:val="002007F4"/>
    <w:rsid w:val="00203CFB"/>
    <w:rsid w:val="00210BEE"/>
    <w:rsid w:val="002123BC"/>
    <w:rsid w:val="00213973"/>
    <w:rsid w:val="002172DB"/>
    <w:rsid w:val="00225BB5"/>
    <w:rsid w:val="00225D3E"/>
    <w:rsid w:val="00233B8D"/>
    <w:rsid w:val="00236A5B"/>
    <w:rsid w:val="002408D7"/>
    <w:rsid w:val="00241825"/>
    <w:rsid w:val="00244888"/>
    <w:rsid w:val="002578E1"/>
    <w:rsid w:val="00257AB0"/>
    <w:rsid w:val="00260108"/>
    <w:rsid w:val="00272C81"/>
    <w:rsid w:val="00280ABB"/>
    <w:rsid w:val="0029654D"/>
    <w:rsid w:val="002A02E1"/>
    <w:rsid w:val="002A396F"/>
    <w:rsid w:val="002A693E"/>
    <w:rsid w:val="002B074D"/>
    <w:rsid w:val="002B19AE"/>
    <w:rsid w:val="002B3261"/>
    <w:rsid w:val="002C5299"/>
    <w:rsid w:val="002C5CB5"/>
    <w:rsid w:val="002D511F"/>
    <w:rsid w:val="002D6DF8"/>
    <w:rsid w:val="002E03C4"/>
    <w:rsid w:val="002E0AD4"/>
    <w:rsid w:val="002E218E"/>
    <w:rsid w:val="002E49AC"/>
    <w:rsid w:val="002E687E"/>
    <w:rsid w:val="002F16E5"/>
    <w:rsid w:val="002F2B1C"/>
    <w:rsid w:val="002F756F"/>
    <w:rsid w:val="003027AC"/>
    <w:rsid w:val="003060AB"/>
    <w:rsid w:val="00310E9C"/>
    <w:rsid w:val="00311587"/>
    <w:rsid w:val="00320DFC"/>
    <w:rsid w:val="00324D71"/>
    <w:rsid w:val="00330133"/>
    <w:rsid w:val="0033225D"/>
    <w:rsid w:val="0033262C"/>
    <w:rsid w:val="00342298"/>
    <w:rsid w:val="00346791"/>
    <w:rsid w:val="00352DAE"/>
    <w:rsid w:val="0036491E"/>
    <w:rsid w:val="00366A43"/>
    <w:rsid w:val="00367959"/>
    <w:rsid w:val="00373F44"/>
    <w:rsid w:val="00377783"/>
    <w:rsid w:val="0038037E"/>
    <w:rsid w:val="00382C3C"/>
    <w:rsid w:val="003900CD"/>
    <w:rsid w:val="00390AB8"/>
    <w:rsid w:val="00390F74"/>
    <w:rsid w:val="00391F63"/>
    <w:rsid w:val="00393AB4"/>
    <w:rsid w:val="00394F6A"/>
    <w:rsid w:val="0039756C"/>
    <w:rsid w:val="003A0D2D"/>
    <w:rsid w:val="003B208B"/>
    <w:rsid w:val="003B414D"/>
    <w:rsid w:val="003B4D0E"/>
    <w:rsid w:val="003B594F"/>
    <w:rsid w:val="003C03C3"/>
    <w:rsid w:val="003C3D09"/>
    <w:rsid w:val="003C57E1"/>
    <w:rsid w:val="003C5893"/>
    <w:rsid w:val="003D2BDA"/>
    <w:rsid w:val="003D7B57"/>
    <w:rsid w:val="003E1CB9"/>
    <w:rsid w:val="003E2826"/>
    <w:rsid w:val="003E35D6"/>
    <w:rsid w:val="003E58B5"/>
    <w:rsid w:val="003E7446"/>
    <w:rsid w:val="003F0F66"/>
    <w:rsid w:val="003F1442"/>
    <w:rsid w:val="003F2B92"/>
    <w:rsid w:val="003F390B"/>
    <w:rsid w:val="003F4059"/>
    <w:rsid w:val="00404DA9"/>
    <w:rsid w:val="00404DF8"/>
    <w:rsid w:val="00410C0D"/>
    <w:rsid w:val="00416B76"/>
    <w:rsid w:val="00417A95"/>
    <w:rsid w:val="004243A9"/>
    <w:rsid w:val="00427F74"/>
    <w:rsid w:val="0043304A"/>
    <w:rsid w:val="0043372C"/>
    <w:rsid w:val="00433757"/>
    <w:rsid w:val="00442E9A"/>
    <w:rsid w:val="00443B05"/>
    <w:rsid w:val="00453DE3"/>
    <w:rsid w:val="00455627"/>
    <w:rsid w:val="00463B46"/>
    <w:rsid w:val="00465733"/>
    <w:rsid w:val="00467B2C"/>
    <w:rsid w:val="004734C2"/>
    <w:rsid w:val="004743BA"/>
    <w:rsid w:val="00476B6A"/>
    <w:rsid w:val="0048051E"/>
    <w:rsid w:val="004821D7"/>
    <w:rsid w:val="00484EA9"/>
    <w:rsid w:val="004A0EE6"/>
    <w:rsid w:val="004A4480"/>
    <w:rsid w:val="004A531C"/>
    <w:rsid w:val="004A71A8"/>
    <w:rsid w:val="004B1E29"/>
    <w:rsid w:val="004B78A2"/>
    <w:rsid w:val="004B7FFE"/>
    <w:rsid w:val="004C2389"/>
    <w:rsid w:val="004C3592"/>
    <w:rsid w:val="004C3D5C"/>
    <w:rsid w:val="004C7381"/>
    <w:rsid w:val="004C73D8"/>
    <w:rsid w:val="004C7832"/>
    <w:rsid w:val="004D7400"/>
    <w:rsid w:val="004E3C6E"/>
    <w:rsid w:val="004F07B9"/>
    <w:rsid w:val="004F2084"/>
    <w:rsid w:val="004F2466"/>
    <w:rsid w:val="0050367A"/>
    <w:rsid w:val="005103D6"/>
    <w:rsid w:val="005116A3"/>
    <w:rsid w:val="00511C81"/>
    <w:rsid w:val="005147DB"/>
    <w:rsid w:val="00517686"/>
    <w:rsid w:val="00520278"/>
    <w:rsid w:val="0052764F"/>
    <w:rsid w:val="00536869"/>
    <w:rsid w:val="00536F08"/>
    <w:rsid w:val="00540F66"/>
    <w:rsid w:val="00542D3E"/>
    <w:rsid w:val="00546A86"/>
    <w:rsid w:val="0055211E"/>
    <w:rsid w:val="00553BC2"/>
    <w:rsid w:val="00556F3A"/>
    <w:rsid w:val="0056020C"/>
    <w:rsid w:val="005614C4"/>
    <w:rsid w:val="005624A5"/>
    <w:rsid w:val="00567B01"/>
    <w:rsid w:val="00570587"/>
    <w:rsid w:val="0057771A"/>
    <w:rsid w:val="00577C93"/>
    <w:rsid w:val="0058076F"/>
    <w:rsid w:val="005931CA"/>
    <w:rsid w:val="0059477A"/>
    <w:rsid w:val="00596C12"/>
    <w:rsid w:val="005A1024"/>
    <w:rsid w:val="005A15AC"/>
    <w:rsid w:val="005A2565"/>
    <w:rsid w:val="005A41C5"/>
    <w:rsid w:val="005A5B6D"/>
    <w:rsid w:val="005A6304"/>
    <w:rsid w:val="005B0689"/>
    <w:rsid w:val="005B2A2B"/>
    <w:rsid w:val="005B53BC"/>
    <w:rsid w:val="005C4C68"/>
    <w:rsid w:val="005D1C30"/>
    <w:rsid w:val="005D6758"/>
    <w:rsid w:val="005E35E7"/>
    <w:rsid w:val="005E692F"/>
    <w:rsid w:val="005E7CF8"/>
    <w:rsid w:val="005F1C4D"/>
    <w:rsid w:val="005F6667"/>
    <w:rsid w:val="005F69C0"/>
    <w:rsid w:val="005F757F"/>
    <w:rsid w:val="005F7E07"/>
    <w:rsid w:val="006000BA"/>
    <w:rsid w:val="00602A6E"/>
    <w:rsid w:val="00607556"/>
    <w:rsid w:val="00615C5A"/>
    <w:rsid w:val="0061667D"/>
    <w:rsid w:val="00616EFF"/>
    <w:rsid w:val="00620A81"/>
    <w:rsid w:val="006228B0"/>
    <w:rsid w:val="00623BC9"/>
    <w:rsid w:val="00624491"/>
    <w:rsid w:val="00631515"/>
    <w:rsid w:val="00631EEC"/>
    <w:rsid w:val="00636204"/>
    <w:rsid w:val="00642004"/>
    <w:rsid w:val="006448BF"/>
    <w:rsid w:val="00644F8C"/>
    <w:rsid w:val="00645BA3"/>
    <w:rsid w:val="006536CB"/>
    <w:rsid w:val="006540BB"/>
    <w:rsid w:val="00663158"/>
    <w:rsid w:val="00665FE4"/>
    <w:rsid w:val="00685CEC"/>
    <w:rsid w:val="0068630A"/>
    <w:rsid w:val="00695191"/>
    <w:rsid w:val="006A73BC"/>
    <w:rsid w:val="006B581F"/>
    <w:rsid w:val="006C2446"/>
    <w:rsid w:val="006C2A1D"/>
    <w:rsid w:val="006C6526"/>
    <w:rsid w:val="006D0DE3"/>
    <w:rsid w:val="006D3EB8"/>
    <w:rsid w:val="006D494A"/>
    <w:rsid w:val="006D7F59"/>
    <w:rsid w:val="006E4BC1"/>
    <w:rsid w:val="006E6129"/>
    <w:rsid w:val="006F20DC"/>
    <w:rsid w:val="006F4FCF"/>
    <w:rsid w:val="006F4FE5"/>
    <w:rsid w:val="006F7BE5"/>
    <w:rsid w:val="00706957"/>
    <w:rsid w:val="0071366F"/>
    <w:rsid w:val="0072172F"/>
    <w:rsid w:val="00726440"/>
    <w:rsid w:val="00727D16"/>
    <w:rsid w:val="00731BA5"/>
    <w:rsid w:val="00733D12"/>
    <w:rsid w:val="00734F91"/>
    <w:rsid w:val="00735246"/>
    <w:rsid w:val="00737532"/>
    <w:rsid w:val="00741C1D"/>
    <w:rsid w:val="00751AED"/>
    <w:rsid w:val="00751E44"/>
    <w:rsid w:val="00753AD2"/>
    <w:rsid w:val="0076184C"/>
    <w:rsid w:val="00766559"/>
    <w:rsid w:val="00770288"/>
    <w:rsid w:val="00770886"/>
    <w:rsid w:val="00775D55"/>
    <w:rsid w:val="0077621D"/>
    <w:rsid w:val="00777AC6"/>
    <w:rsid w:val="00781B6F"/>
    <w:rsid w:val="0078619F"/>
    <w:rsid w:val="00787114"/>
    <w:rsid w:val="007A055D"/>
    <w:rsid w:val="007A5C8E"/>
    <w:rsid w:val="007B0A21"/>
    <w:rsid w:val="007B0E24"/>
    <w:rsid w:val="007B2928"/>
    <w:rsid w:val="007C4400"/>
    <w:rsid w:val="007C7052"/>
    <w:rsid w:val="007D0FA1"/>
    <w:rsid w:val="007E1B74"/>
    <w:rsid w:val="007E1C28"/>
    <w:rsid w:val="007E41F2"/>
    <w:rsid w:val="007F347B"/>
    <w:rsid w:val="007F434C"/>
    <w:rsid w:val="007F6A21"/>
    <w:rsid w:val="007F7B88"/>
    <w:rsid w:val="00802095"/>
    <w:rsid w:val="0080336D"/>
    <w:rsid w:val="00821B79"/>
    <w:rsid w:val="00822F99"/>
    <w:rsid w:val="00825F78"/>
    <w:rsid w:val="0082699D"/>
    <w:rsid w:val="00830759"/>
    <w:rsid w:val="00832C7F"/>
    <w:rsid w:val="008521BC"/>
    <w:rsid w:val="00852643"/>
    <w:rsid w:val="008541C9"/>
    <w:rsid w:val="0085791C"/>
    <w:rsid w:val="0086222A"/>
    <w:rsid w:val="00867220"/>
    <w:rsid w:val="00870344"/>
    <w:rsid w:val="00873165"/>
    <w:rsid w:val="008819BB"/>
    <w:rsid w:val="00891A88"/>
    <w:rsid w:val="00892BCE"/>
    <w:rsid w:val="008977D0"/>
    <w:rsid w:val="008A1438"/>
    <w:rsid w:val="008A4698"/>
    <w:rsid w:val="008A77E6"/>
    <w:rsid w:val="008B0B3C"/>
    <w:rsid w:val="008B22D0"/>
    <w:rsid w:val="008B2B5B"/>
    <w:rsid w:val="008B4AA3"/>
    <w:rsid w:val="008B54C4"/>
    <w:rsid w:val="008C0916"/>
    <w:rsid w:val="008C09F7"/>
    <w:rsid w:val="008D2E6C"/>
    <w:rsid w:val="008D7109"/>
    <w:rsid w:val="008D775D"/>
    <w:rsid w:val="008E1BE2"/>
    <w:rsid w:val="008E3864"/>
    <w:rsid w:val="008E5707"/>
    <w:rsid w:val="008E7D9D"/>
    <w:rsid w:val="008F3F74"/>
    <w:rsid w:val="008F642B"/>
    <w:rsid w:val="00901ADE"/>
    <w:rsid w:val="00912C16"/>
    <w:rsid w:val="0091476B"/>
    <w:rsid w:val="00915817"/>
    <w:rsid w:val="00920B94"/>
    <w:rsid w:val="00922D6A"/>
    <w:rsid w:val="00923806"/>
    <w:rsid w:val="00924BD9"/>
    <w:rsid w:val="00925060"/>
    <w:rsid w:val="0092618A"/>
    <w:rsid w:val="0092679A"/>
    <w:rsid w:val="00927D9C"/>
    <w:rsid w:val="00930FF2"/>
    <w:rsid w:val="009321A1"/>
    <w:rsid w:val="009360CF"/>
    <w:rsid w:val="00941E09"/>
    <w:rsid w:val="00960939"/>
    <w:rsid w:val="00960EB0"/>
    <w:rsid w:val="00963C34"/>
    <w:rsid w:val="00964863"/>
    <w:rsid w:val="00970E07"/>
    <w:rsid w:val="00973CCD"/>
    <w:rsid w:val="00975AA4"/>
    <w:rsid w:val="009766E9"/>
    <w:rsid w:val="00977068"/>
    <w:rsid w:val="009800C4"/>
    <w:rsid w:val="00980C15"/>
    <w:rsid w:val="0098339E"/>
    <w:rsid w:val="0098630C"/>
    <w:rsid w:val="00986992"/>
    <w:rsid w:val="0099478A"/>
    <w:rsid w:val="009962CC"/>
    <w:rsid w:val="009A5178"/>
    <w:rsid w:val="009B0767"/>
    <w:rsid w:val="009B3908"/>
    <w:rsid w:val="009B730D"/>
    <w:rsid w:val="009C3CFE"/>
    <w:rsid w:val="009D1B87"/>
    <w:rsid w:val="009D34BA"/>
    <w:rsid w:val="009E34A8"/>
    <w:rsid w:val="009E7796"/>
    <w:rsid w:val="00A0026A"/>
    <w:rsid w:val="00A0212A"/>
    <w:rsid w:val="00A02679"/>
    <w:rsid w:val="00A031D6"/>
    <w:rsid w:val="00A059FD"/>
    <w:rsid w:val="00A1228F"/>
    <w:rsid w:val="00A1472D"/>
    <w:rsid w:val="00A15259"/>
    <w:rsid w:val="00A20346"/>
    <w:rsid w:val="00A215EA"/>
    <w:rsid w:val="00A22FA9"/>
    <w:rsid w:val="00A23767"/>
    <w:rsid w:val="00A23AA3"/>
    <w:rsid w:val="00A32358"/>
    <w:rsid w:val="00A3292C"/>
    <w:rsid w:val="00A334A1"/>
    <w:rsid w:val="00A3455F"/>
    <w:rsid w:val="00A36526"/>
    <w:rsid w:val="00A366EE"/>
    <w:rsid w:val="00A402D9"/>
    <w:rsid w:val="00A41D89"/>
    <w:rsid w:val="00A420CF"/>
    <w:rsid w:val="00A51834"/>
    <w:rsid w:val="00A5489A"/>
    <w:rsid w:val="00A5609C"/>
    <w:rsid w:val="00A56D5F"/>
    <w:rsid w:val="00A6208C"/>
    <w:rsid w:val="00A64010"/>
    <w:rsid w:val="00A71561"/>
    <w:rsid w:val="00A74358"/>
    <w:rsid w:val="00A749BE"/>
    <w:rsid w:val="00A756ED"/>
    <w:rsid w:val="00A8176F"/>
    <w:rsid w:val="00A85D57"/>
    <w:rsid w:val="00A910B4"/>
    <w:rsid w:val="00AA17E4"/>
    <w:rsid w:val="00AA2212"/>
    <w:rsid w:val="00AA6C7B"/>
    <w:rsid w:val="00AB011F"/>
    <w:rsid w:val="00AB5D92"/>
    <w:rsid w:val="00AC03A1"/>
    <w:rsid w:val="00AC1CEE"/>
    <w:rsid w:val="00AC3EF3"/>
    <w:rsid w:val="00AC4627"/>
    <w:rsid w:val="00AC4CEE"/>
    <w:rsid w:val="00AD7337"/>
    <w:rsid w:val="00AE2023"/>
    <w:rsid w:val="00AE3E3E"/>
    <w:rsid w:val="00AF40A3"/>
    <w:rsid w:val="00AF4B99"/>
    <w:rsid w:val="00AF6DEA"/>
    <w:rsid w:val="00B0203D"/>
    <w:rsid w:val="00B02CC0"/>
    <w:rsid w:val="00B04DE8"/>
    <w:rsid w:val="00B04E65"/>
    <w:rsid w:val="00B065A9"/>
    <w:rsid w:val="00B10524"/>
    <w:rsid w:val="00B137AE"/>
    <w:rsid w:val="00B14620"/>
    <w:rsid w:val="00B14C3C"/>
    <w:rsid w:val="00B150F8"/>
    <w:rsid w:val="00B15A05"/>
    <w:rsid w:val="00B1603F"/>
    <w:rsid w:val="00B23EBD"/>
    <w:rsid w:val="00B24156"/>
    <w:rsid w:val="00B27F17"/>
    <w:rsid w:val="00B33F10"/>
    <w:rsid w:val="00B40780"/>
    <w:rsid w:val="00B42D78"/>
    <w:rsid w:val="00B4761E"/>
    <w:rsid w:val="00B66FD5"/>
    <w:rsid w:val="00B739B7"/>
    <w:rsid w:val="00B82B48"/>
    <w:rsid w:val="00B84BC0"/>
    <w:rsid w:val="00B85300"/>
    <w:rsid w:val="00B947DC"/>
    <w:rsid w:val="00B949E4"/>
    <w:rsid w:val="00B95236"/>
    <w:rsid w:val="00B95BBB"/>
    <w:rsid w:val="00B96159"/>
    <w:rsid w:val="00B963E2"/>
    <w:rsid w:val="00B96679"/>
    <w:rsid w:val="00BA1209"/>
    <w:rsid w:val="00BA1AA5"/>
    <w:rsid w:val="00BA2166"/>
    <w:rsid w:val="00BA318D"/>
    <w:rsid w:val="00BB066B"/>
    <w:rsid w:val="00BB3A6B"/>
    <w:rsid w:val="00BB3A6E"/>
    <w:rsid w:val="00BB5AC6"/>
    <w:rsid w:val="00BB6D77"/>
    <w:rsid w:val="00BB7F93"/>
    <w:rsid w:val="00BC5CE9"/>
    <w:rsid w:val="00BC5F14"/>
    <w:rsid w:val="00BC6352"/>
    <w:rsid w:val="00BD0F73"/>
    <w:rsid w:val="00BD402C"/>
    <w:rsid w:val="00BE19A5"/>
    <w:rsid w:val="00BF05AB"/>
    <w:rsid w:val="00BF1E33"/>
    <w:rsid w:val="00BF3D67"/>
    <w:rsid w:val="00BF7C24"/>
    <w:rsid w:val="00C00A9E"/>
    <w:rsid w:val="00C0627B"/>
    <w:rsid w:val="00C11051"/>
    <w:rsid w:val="00C112FA"/>
    <w:rsid w:val="00C11CAB"/>
    <w:rsid w:val="00C14D39"/>
    <w:rsid w:val="00C21463"/>
    <w:rsid w:val="00C25023"/>
    <w:rsid w:val="00C256BF"/>
    <w:rsid w:val="00C323D1"/>
    <w:rsid w:val="00C35C82"/>
    <w:rsid w:val="00C463ED"/>
    <w:rsid w:val="00C52172"/>
    <w:rsid w:val="00C53C33"/>
    <w:rsid w:val="00C54290"/>
    <w:rsid w:val="00C54F2F"/>
    <w:rsid w:val="00C56509"/>
    <w:rsid w:val="00C57554"/>
    <w:rsid w:val="00C634AB"/>
    <w:rsid w:val="00C65331"/>
    <w:rsid w:val="00C71150"/>
    <w:rsid w:val="00C83375"/>
    <w:rsid w:val="00C8547C"/>
    <w:rsid w:val="00C873F1"/>
    <w:rsid w:val="00C90CD9"/>
    <w:rsid w:val="00C911BF"/>
    <w:rsid w:val="00CA05B1"/>
    <w:rsid w:val="00CA1D66"/>
    <w:rsid w:val="00CA4028"/>
    <w:rsid w:val="00CA701F"/>
    <w:rsid w:val="00CB345E"/>
    <w:rsid w:val="00CB7D71"/>
    <w:rsid w:val="00CD0E7A"/>
    <w:rsid w:val="00CD4913"/>
    <w:rsid w:val="00CE1A1A"/>
    <w:rsid w:val="00CF0275"/>
    <w:rsid w:val="00CF2048"/>
    <w:rsid w:val="00CF48B5"/>
    <w:rsid w:val="00CF64E6"/>
    <w:rsid w:val="00D03777"/>
    <w:rsid w:val="00D129EC"/>
    <w:rsid w:val="00D12B26"/>
    <w:rsid w:val="00D13743"/>
    <w:rsid w:val="00D16907"/>
    <w:rsid w:val="00D269EA"/>
    <w:rsid w:val="00D316C0"/>
    <w:rsid w:val="00D32914"/>
    <w:rsid w:val="00D33B51"/>
    <w:rsid w:val="00D42BA8"/>
    <w:rsid w:val="00D42D2D"/>
    <w:rsid w:val="00D500DA"/>
    <w:rsid w:val="00D5073D"/>
    <w:rsid w:val="00D5130A"/>
    <w:rsid w:val="00D52C0C"/>
    <w:rsid w:val="00D54F43"/>
    <w:rsid w:val="00D57B95"/>
    <w:rsid w:val="00D60A8F"/>
    <w:rsid w:val="00D61A42"/>
    <w:rsid w:val="00D70F38"/>
    <w:rsid w:val="00D7261A"/>
    <w:rsid w:val="00D7323F"/>
    <w:rsid w:val="00D74678"/>
    <w:rsid w:val="00D74F57"/>
    <w:rsid w:val="00D7551E"/>
    <w:rsid w:val="00D76B92"/>
    <w:rsid w:val="00D77847"/>
    <w:rsid w:val="00D815CD"/>
    <w:rsid w:val="00D8238D"/>
    <w:rsid w:val="00D84538"/>
    <w:rsid w:val="00D861DE"/>
    <w:rsid w:val="00D87A01"/>
    <w:rsid w:val="00D87BEE"/>
    <w:rsid w:val="00D93AA6"/>
    <w:rsid w:val="00D97276"/>
    <w:rsid w:val="00DA271C"/>
    <w:rsid w:val="00DA5B9E"/>
    <w:rsid w:val="00DA6F3E"/>
    <w:rsid w:val="00DB197B"/>
    <w:rsid w:val="00DB29E4"/>
    <w:rsid w:val="00DB434D"/>
    <w:rsid w:val="00DB5C23"/>
    <w:rsid w:val="00DC14C8"/>
    <w:rsid w:val="00DC26E9"/>
    <w:rsid w:val="00DC7D0E"/>
    <w:rsid w:val="00DD21C1"/>
    <w:rsid w:val="00DD2FF5"/>
    <w:rsid w:val="00DE0081"/>
    <w:rsid w:val="00DE15CC"/>
    <w:rsid w:val="00DE6D38"/>
    <w:rsid w:val="00E019D4"/>
    <w:rsid w:val="00E022A6"/>
    <w:rsid w:val="00E03941"/>
    <w:rsid w:val="00E05AB6"/>
    <w:rsid w:val="00E10976"/>
    <w:rsid w:val="00E14621"/>
    <w:rsid w:val="00E20E49"/>
    <w:rsid w:val="00E2246F"/>
    <w:rsid w:val="00E22511"/>
    <w:rsid w:val="00E30112"/>
    <w:rsid w:val="00E41785"/>
    <w:rsid w:val="00E47CA8"/>
    <w:rsid w:val="00E54A2A"/>
    <w:rsid w:val="00E54ACB"/>
    <w:rsid w:val="00E56CC1"/>
    <w:rsid w:val="00E57266"/>
    <w:rsid w:val="00E57CFA"/>
    <w:rsid w:val="00E60B77"/>
    <w:rsid w:val="00E6267B"/>
    <w:rsid w:val="00E6321A"/>
    <w:rsid w:val="00E63BC9"/>
    <w:rsid w:val="00E67921"/>
    <w:rsid w:val="00E70BEA"/>
    <w:rsid w:val="00E72012"/>
    <w:rsid w:val="00E80251"/>
    <w:rsid w:val="00E8322F"/>
    <w:rsid w:val="00E85396"/>
    <w:rsid w:val="00E87472"/>
    <w:rsid w:val="00E87ECC"/>
    <w:rsid w:val="00E938F5"/>
    <w:rsid w:val="00E95FE9"/>
    <w:rsid w:val="00E9795E"/>
    <w:rsid w:val="00EA0A90"/>
    <w:rsid w:val="00EA1423"/>
    <w:rsid w:val="00EA1F57"/>
    <w:rsid w:val="00EB2C72"/>
    <w:rsid w:val="00EB2D62"/>
    <w:rsid w:val="00EB3836"/>
    <w:rsid w:val="00EB4F07"/>
    <w:rsid w:val="00EB6CF3"/>
    <w:rsid w:val="00EB6E33"/>
    <w:rsid w:val="00EB7638"/>
    <w:rsid w:val="00EB7D84"/>
    <w:rsid w:val="00EC1664"/>
    <w:rsid w:val="00EC20EF"/>
    <w:rsid w:val="00EC77D9"/>
    <w:rsid w:val="00ED280E"/>
    <w:rsid w:val="00ED46FB"/>
    <w:rsid w:val="00ED661B"/>
    <w:rsid w:val="00EE2A41"/>
    <w:rsid w:val="00EE4919"/>
    <w:rsid w:val="00EE707B"/>
    <w:rsid w:val="00EF2A64"/>
    <w:rsid w:val="00EF30FC"/>
    <w:rsid w:val="00EF5374"/>
    <w:rsid w:val="00F057A8"/>
    <w:rsid w:val="00F07E7D"/>
    <w:rsid w:val="00F12780"/>
    <w:rsid w:val="00F16D04"/>
    <w:rsid w:val="00F2124B"/>
    <w:rsid w:val="00F30100"/>
    <w:rsid w:val="00F31298"/>
    <w:rsid w:val="00F338D8"/>
    <w:rsid w:val="00F36AFA"/>
    <w:rsid w:val="00F40982"/>
    <w:rsid w:val="00F45A75"/>
    <w:rsid w:val="00F507AB"/>
    <w:rsid w:val="00F57217"/>
    <w:rsid w:val="00F664AC"/>
    <w:rsid w:val="00F674EA"/>
    <w:rsid w:val="00F70EE9"/>
    <w:rsid w:val="00F73BAF"/>
    <w:rsid w:val="00F76E67"/>
    <w:rsid w:val="00F77DC4"/>
    <w:rsid w:val="00F827F8"/>
    <w:rsid w:val="00F82D72"/>
    <w:rsid w:val="00F965BD"/>
    <w:rsid w:val="00F9725D"/>
    <w:rsid w:val="00FA2FF3"/>
    <w:rsid w:val="00FA31AE"/>
    <w:rsid w:val="00FB40C1"/>
    <w:rsid w:val="00FC39B8"/>
    <w:rsid w:val="00FC731F"/>
    <w:rsid w:val="00FD03B3"/>
    <w:rsid w:val="00FD1928"/>
    <w:rsid w:val="00FD38A8"/>
    <w:rsid w:val="00FE0AC1"/>
    <w:rsid w:val="00FF0CBE"/>
    <w:rsid w:val="00FF441F"/>
    <w:rsid w:val="00FF4EDA"/>
    <w:rsid w:val="00FF5D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415A9"/>
  <w15:chartTrackingRefBased/>
  <w15:docId w15:val="{69C19762-308E-492F-A9C4-F234687B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2E6C"/>
    <w:rPr>
      <w:sz w:val="24"/>
      <w:lang w:eastAsia="cs-CZ"/>
    </w:rPr>
  </w:style>
  <w:style w:type="paragraph" w:styleId="Nadpis1">
    <w:name w:val="heading 1"/>
    <w:basedOn w:val="Normlny"/>
    <w:next w:val="Normlny"/>
    <w:qFormat/>
    <w:pPr>
      <w:keepNext/>
      <w:spacing w:before="240"/>
      <w:jc w:val="center"/>
      <w:outlineLvl w:val="0"/>
    </w:pPr>
    <w:rPr>
      <w:b/>
      <w:kern w:val="28"/>
    </w:rPr>
  </w:style>
  <w:style w:type="paragraph" w:styleId="Nadpis2">
    <w:name w:val="heading 2"/>
    <w:basedOn w:val="Normlny"/>
    <w:next w:val="Normlny"/>
    <w:qFormat/>
    <w:pPr>
      <w:keepNext/>
      <w:widowControl w:val="0"/>
      <w:ind w:left="705" w:hanging="705"/>
      <w:jc w:val="center"/>
      <w:outlineLvl w:val="1"/>
    </w:pPr>
    <w:rPr>
      <w:rFonts w:ascii="Bookman Old Style" w:hAnsi="Bookman Old Style"/>
      <w:b/>
      <w:spacing w:val="-5"/>
    </w:rPr>
  </w:style>
  <w:style w:type="paragraph" w:styleId="Nadpis3">
    <w:name w:val="heading 3"/>
    <w:basedOn w:val="Normlny"/>
    <w:next w:val="Normlny"/>
    <w:qFormat/>
    <w:pPr>
      <w:keepNext/>
      <w:outlineLvl w:val="2"/>
    </w:pPr>
    <w:rPr>
      <w:b/>
      <w:bCs/>
      <w:sz w:val="20"/>
    </w:rPr>
  </w:style>
  <w:style w:type="paragraph" w:styleId="Nadpis4">
    <w:name w:val="heading 4"/>
    <w:basedOn w:val="Normlny"/>
    <w:next w:val="Normlny"/>
    <w:qFormat/>
    <w:pPr>
      <w:keepNext/>
      <w:jc w:val="both"/>
      <w:outlineLvl w:val="3"/>
    </w:pPr>
    <w:rPr>
      <w:b/>
      <w:bCs/>
      <w:sz w:val="22"/>
    </w:rPr>
  </w:style>
  <w:style w:type="paragraph" w:styleId="Nadpis5">
    <w:name w:val="heading 5"/>
    <w:basedOn w:val="Normlny"/>
    <w:next w:val="Normlny"/>
    <w:qFormat/>
    <w:pPr>
      <w:keepNext/>
      <w:outlineLvl w:val="4"/>
    </w:pPr>
    <w:rPr>
      <w:b/>
      <w:bCs/>
      <w:sz w:val="22"/>
    </w:rPr>
  </w:style>
  <w:style w:type="paragraph" w:styleId="Nadpis6">
    <w:name w:val="heading 6"/>
    <w:basedOn w:val="Normlny"/>
    <w:next w:val="Normlny"/>
    <w:link w:val="Nadpis6Char"/>
    <w:qFormat/>
    <w:pPr>
      <w:keepNext/>
      <w:jc w:val="both"/>
      <w:outlineLvl w:val="5"/>
    </w:pPr>
    <w:rPr>
      <w:b/>
      <w:sz w:val="16"/>
    </w:rPr>
  </w:style>
  <w:style w:type="paragraph" w:styleId="Nadpis7">
    <w:name w:val="heading 7"/>
    <w:basedOn w:val="Normlny"/>
    <w:next w:val="Normlny"/>
    <w:qFormat/>
    <w:pPr>
      <w:keepNext/>
      <w:ind w:left="567"/>
      <w:jc w:val="both"/>
      <w:outlineLvl w:val="6"/>
    </w:pPr>
    <w:rPr>
      <w:b/>
      <w:bCs/>
      <w:i/>
      <w:iCs/>
    </w:rPr>
  </w:style>
  <w:style w:type="paragraph" w:styleId="Nadpis8">
    <w:name w:val="heading 8"/>
    <w:basedOn w:val="Normlny"/>
    <w:next w:val="Normlny"/>
    <w:qFormat/>
    <w:pPr>
      <w:keepNext/>
      <w:jc w:val="center"/>
      <w:outlineLvl w:val="7"/>
    </w:pPr>
    <w:rPr>
      <w:i/>
      <w:iCs/>
      <w:sz w:val="20"/>
    </w:rPr>
  </w:style>
  <w:style w:type="paragraph" w:styleId="Nadpis9">
    <w:name w:val="heading 9"/>
    <w:basedOn w:val="Normlny"/>
    <w:next w:val="Normlny"/>
    <w:qFormat/>
    <w:pPr>
      <w:keepNext/>
      <w:ind w:left="567"/>
      <w:jc w:val="both"/>
      <w:outlineLvl w:val="8"/>
    </w:pPr>
    <w:rPr>
      <w:b/>
      <w:bCs/>
      <w:sz w:val="20"/>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rPr>
      <w:rFonts w:ascii="Courier New" w:hAnsi="Courier New"/>
      <w:sz w:val="20"/>
    </w:rPr>
  </w:style>
  <w:style w:type="paragraph" w:customStyle="1" w:styleId="BodyText21">
    <w:name w:val="Body Text 21"/>
    <w:basedOn w:val="Normlny"/>
    <w:pPr>
      <w:spacing w:before="120" w:line="240" w:lineRule="atLeast"/>
      <w:jc w:val="both"/>
    </w:pPr>
    <w:rPr>
      <w:sz w:val="20"/>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style>
  <w:style w:type="paragraph" w:styleId="Zarkazkladnhotextu">
    <w:name w:val="Body Text Indent"/>
    <w:basedOn w:val="Normlny"/>
    <w:pPr>
      <w:jc w:val="both"/>
    </w:pPr>
    <w:rPr>
      <w:color w:val="FF0000"/>
      <w:sz w:val="20"/>
    </w:rPr>
  </w:style>
  <w:style w:type="paragraph" w:styleId="Zarkazkladnhotextu2">
    <w:name w:val="Body Text Indent 2"/>
    <w:basedOn w:val="Normlny"/>
    <w:pPr>
      <w:ind w:left="-44"/>
    </w:pPr>
    <w:rPr>
      <w:sz w:val="20"/>
    </w:rPr>
  </w:style>
  <w:style w:type="paragraph" w:styleId="Zarkazkladnhotextu3">
    <w:name w:val="Body Text Indent 3"/>
    <w:basedOn w:val="Normlny"/>
    <w:pPr>
      <w:ind w:left="426" w:hanging="426"/>
      <w:jc w:val="both"/>
    </w:pPr>
  </w:style>
  <w:style w:type="paragraph" w:customStyle="1" w:styleId="odsek">
    <w:name w:val="odsek"/>
    <w:basedOn w:val="Normlny"/>
    <w:pPr>
      <w:spacing w:before="240"/>
      <w:jc w:val="both"/>
    </w:pPr>
    <w:rPr>
      <w:color w:val="000000"/>
    </w:rPr>
  </w:style>
  <w:style w:type="character" w:styleId="Odkaznapoznmkupodiarou">
    <w:name w:val="footnote reference"/>
    <w:uiPriority w:val="99"/>
    <w:qFormat/>
    <w:rPr>
      <w:vertAlign w:val="superscript"/>
    </w:rPr>
  </w:style>
  <w:style w:type="paragraph" w:styleId="Textpoznmkypodiarou">
    <w:name w:val="footnote text"/>
    <w:basedOn w:val="Normlny"/>
    <w:link w:val="TextpoznmkypodiarouChar"/>
    <w:uiPriority w:val="99"/>
    <w:qFormat/>
  </w:style>
  <w:style w:type="paragraph" w:customStyle="1" w:styleId="pismeno">
    <w:name w:val="pismeno"/>
    <w:basedOn w:val="Normlny"/>
    <w:pPr>
      <w:numPr>
        <w:numId w:val="1"/>
      </w:numPr>
      <w:tabs>
        <w:tab w:val="left" w:pos="426"/>
      </w:tabs>
      <w:spacing w:before="60"/>
      <w:jc w:val="both"/>
    </w:pPr>
  </w:style>
  <w:style w:type="character" w:styleId="Odkaznakomentr">
    <w:name w:val="annotation reference"/>
    <w:semiHidden/>
    <w:rPr>
      <w:sz w:val="16"/>
    </w:rPr>
  </w:style>
  <w:style w:type="paragraph" w:styleId="Textkomentra">
    <w:name w:val="annotation text"/>
    <w:basedOn w:val="Normlny"/>
    <w:link w:val="TextkomentraChar"/>
    <w:semiHidden/>
  </w:style>
  <w:style w:type="paragraph" w:customStyle="1" w:styleId="zaklad">
    <w:name w:val="zaklad"/>
    <w:basedOn w:val="Zkladntext"/>
    <w:pPr>
      <w:widowControl w:val="0"/>
      <w:jc w:val="left"/>
    </w:pPr>
  </w:style>
  <w:style w:type="paragraph" w:styleId="truktradokumentu">
    <w:name w:val="Document Map"/>
    <w:basedOn w:val="Normlny"/>
    <w:semiHidden/>
    <w:pPr>
      <w:shd w:val="clear" w:color="auto" w:fill="000080"/>
    </w:pPr>
    <w:rPr>
      <w:rFonts w:ascii="Tahoma" w:hAnsi="Tahoma" w:cs="Tahoma"/>
    </w:rPr>
  </w:style>
  <w:style w:type="paragraph" w:styleId="Zkladntext2">
    <w:name w:val="Body Text 2"/>
    <w:basedOn w:val="Normlny"/>
    <w:rPr>
      <w:color w:val="339966"/>
    </w:rPr>
  </w:style>
  <w:style w:type="paragraph" w:styleId="Zkladntext3">
    <w:name w:val="Body Text 3"/>
    <w:basedOn w:val="Normlny"/>
    <w:pPr>
      <w:jc w:val="both"/>
    </w:pPr>
    <w:rPr>
      <w:color w:val="339966"/>
    </w:rPr>
  </w:style>
  <w:style w:type="paragraph" w:customStyle="1" w:styleId="Textpsmene">
    <w:name w:val="Text písmene"/>
    <w:basedOn w:val="Normlny"/>
    <w:pPr>
      <w:numPr>
        <w:numId w:val="2"/>
      </w:numPr>
      <w:jc w:val="both"/>
    </w:pPr>
    <w:rPr>
      <w:lang w:val="cs-CZ"/>
    </w:rPr>
  </w:style>
  <w:style w:type="paragraph" w:styleId="Zoznamsodrkami">
    <w:name w:val="List Bullet"/>
    <w:basedOn w:val="Normlny"/>
    <w:autoRedefine/>
    <w:pPr>
      <w:numPr>
        <w:numId w:val="3"/>
      </w:numPr>
    </w:pPr>
  </w:style>
  <w:style w:type="paragraph" w:styleId="Hlavika">
    <w:name w:val="header"/>
    <w:basedOn w:val="Normlny"/>
    <w:link w:val="HlavikaChar"/>
    <w:uiPriority w:val="99"/>
    <w:pPr>
      <w:tabs>
        <w:tab w:val="center" w:pos="4536"/>
        <w:tab w:val="right" w:pos="9072"/>
      </w:tabs>
    </w:pPr>
    <w:rPr>
      <w:sz w:val="20"/>
      <w:lang w:eastAsia="sk-SK"/>
    </w:rPr>
  </w:style>
  <w:style w:type="paragraph" w:styleId="Prvzarkazkladnhotextu">
    <w:name w:val="Body Text First Indent"/>
    <w:basedOn w:val="Zkladntext"/>
    <w:pPr>
      <w:spacing w:after="120"/>
      <w:ind w:firstLine="210"/>
      <w:jc w:val="left"/>
    </w:pPr>
    <w:rPr>
      <w:lang w:eastAsia="sk-SK"/>
    </w:rPr>
  </w:style>
  <w:style w:type="paragraph" w:customStyle="1" w:styleId="Zkladntext0">
    <w:name w:val="Z‡kladn’ text"/>
    <w:basedOn w:val="Normlny"/>
    <w:rPr>
      <w:b/>
      <w:lang w:val="cs-CZ"/>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J-formtdokumentu">
    <w:name w:val="J-formát dokumentu"/>
    <w:basedOn w:val="Normlny"/>
    <w:pPr>
      <w:spacing w:before="120"/>
      <w:jc w:val="both"/>
    </w:pPr>
    <w:rPr>
      <w:rFonts w:ascii="Arial" w:hAnsi="Arial"/>
      <w:sz w:val="22"/>
      <w:lang w:eastAsia="en-US"/>
    </w:rPr>
  </w:style>
  <w:style w:type="paragraph" w:customStyle="1" w:styleId="Zkladntext21">
    <w:name w:val="Základný text 21"/>
    <w:basedOn w:val="Normlny"/>
    <w:pPr>
      <w:ind w:left="426" w:hanging="426"/>
      <w:jc w:val="both"/>
    </w:pPr>
  </w:style>
  <w:style w:type="paragraph" w:styleId="Podtitul">
    <w:name w:val="Subtitle"/>
    <w:basedOn w:val="Normlny"/>
    <w:qFormat/>
    <w:rsid w:val="00DE0081"/>
    <w:pPr>
      <w:spacing w:after="60"/>
      <w:jc w:val="center"/>
      <w:outlineLvl w:val="1"/>
    </w:pPr>
    <w:rPr>
      <w:rFonts w:ascii="Arial" w:hAnsi="Arial"/>
    </w:rPr>
  </w:style>
  <w:style w:type="paragraph" w:styleId="Oslovenie">
    <w:name w:val="Salutation"/>
    <w:basedOn w:val="Normlny"/>
    <w:next w:val="Normlny"/>
    <w:rsid w:val="00DE0081"/>
  </w:style>
  <w:style w:type="paragraph" w:styleId="Zoznam">
    <w:name w:val="List"/>
    <w:basedOn w:val="Normlny"/>
    <w:rsid w:val="003060AB"/>
    <w:pPr>
      <w:ind w:left="283" w:hanging="283"/>
    </w:pPr>
  </w:style>
  <w:style w:type="paragraph" w:customStyle="1" w:styleId="CM1">
    <w:name w:val="CM1"/>
    <w:basedOn w:val="Normlny"/>
    <w:next w:val="Normlny"/>
    <w:uiPriority w:val="99"/>
    <w:rsid w:val="00B4761E"/>
    <w:pPr>
      <w:autoSpaceDE w:val="0"/>
      <w:autoSpaceDN w:val="0"/>
      <w:adjustRightInd w:val="0"/>
    </w:pPr>
    <w:rPr>
      <w:szCs w:val="24"/>
      <w:lang w:eastAsia="sk-SK"/>
    </w:rPr>
  </w:style>
  <w:style w:type="paragraph" w:customStyle="1" w:styleId="CM3">
    <w:name w:val="CM3"/>
    <w:basedOn w:val="Normlny"/>
    <w:next w:val="Normlny"/>
    <w:uiPriority w:val="99"/>
    <w:rsid w:val="00B4761E"/>
    <w:pPr>
      <w:autoSpaceDE w:val="0"/>
      <w:autoSpaceDN w:val="0"/>
      <w:adjustRightInd w:val="0"/>
    </w:pPr>
    <w:rPr>
      <w:szCs w:val="24"/>
      <w:lang w:eastAsia="sk-SK"/>
    </w:rPr>
  </w:style>
  <w:style w:type="paragraph" w:customStyle="1" w:styleId="CM4">
    <w:name w:val="CM4"/>
    <w:basedOn w:val="Normlny"/>
    <w:next w:val="Normlny"/>
    <w:uiPriority w:val="99"/>
    <w:rsid w:val="00C65331"/>
    <w:pPr>
      <w:autoSpaceDE w:val="0"/>
      <w:autoSpaceDN w:val="0"/>
      <w:adjustRightInd w:val="0"/>
    </w:pPr>
    <w:rPr>
      <w:szCs w:val="24"/>
      <w:lang w:eastAsia="sk-SK"/>
    </w:rPr>
  </w:style>
  <w:style w:type="character" w:customStyle="1" w:styleId="TextpoznmkypodiarouChar">
    <w:name w:val="Text poznámky pod čiarou Char"/>
    <w:link w:val="Textpoznmkypodiarou"/>
    <w:uiPriority w:val="99"/>
    <w:rsid w:val="00A02679"/>
    <w:rPr>
      <w:sz w:val="24"/>
      <w:lang w:eastAsia="cs-CZ"/>
    </w:rPr>
  </w:style>
  <w:style w:type="paragraph" w:customStyle="1" w:styleId="odsek1">
    <w:name w:val="odsek1"/>
    <w:basedOn w:val="odsek"/>
    <w:autoRedefine/>
    <w:qFormat/>
    <w:rsid w:val="000C7FA1"/>
    <w:pPr>
      <w:keepNext/>
      <w:spacing w:before="60" w:after="60"/>
    </w:pPr>
    <w:rPr>
      <w:color w:val="231F20"/>
      <w:sz w:val="20"/>
      <w:lang w:eastAsia="sk-SK"/>
    </w:rPr>
  </w:style>
  <w:style w:type="paragraph" w:customStyle="1" w:styleId="adda">
    <w:name w:val="adda"/>
    <w:basedOn w:val="Normlny"/>
    <w:autoRedefine/>
    <w:qFormat/>
    <w:rsid w:val="00DE15CC"/>
    <w:pPr>
      <w:keepNext/>
      <w:numPr>
        <w:numId w:val="7"/>
      </w:numPr>
      <w:spacing w:before="60" w:after="60"/>
      <w:ind w:left="357" w:hanging="357"/>
      <w:jc w:val="both"/>
    </w:pPr>
    <w:rPr>
      <w:rFonts w:eastAsia="Calibri"/>
      <w:szCs w:val="22"/>
      <w:lang w:eastAsia="en-US"/>
    </w:rPr>
  </w:style>
  <w:style w:type="paragraph" w:customStyle="1" w:styleId="Tiret0">
    <w:name w:val="Tiret 0"/>
    <w:basedOn w:val="Normlny"/>
    <w:rsid w:val="00394F6A"/>
    <w:pPr>
      <w:numPr>
        <w:numId w:val="8"/>
      </w:numPr>
      <w:spacing w:before="120" w:after="120"/>
      <w:jc w:val="both"/>
    </w:pPr>
    <w:rPr>
      <w:szCs w:val="24"/>
      <w:lang w:eastAsia="en-US"/>
    </w:rPr>
  </w:style>
  <w:style w:type="paragraph" w:styleId="Textvysvetlivky">
    <w:name w:val="endnote text"/>
    <w:aliases w:val="Text koncovej poznámky"/>
    <w:basedOn w:val="Normlny"/>
    <w:link w:val="TextvysvetlivkyChar"/>
    <w:rsid w:val="00394F6A"/>
    <w:rPr>
      <w:sz w:val="20"/>
    </w:rPr>
  </w:style>
  <w:style w:type="character" w:customStyle="1" w:styleId="TextvysvetlivkyChar">
    <w:name w:val="Text vysvetlivky Char"/>
    <w:aliases w:val="Text koncovej poznámky Char"/>
    <w:link w:val="Textvysvetlivky"/>
    <w:rsid w:val="00394F6A"/>
    <w:rPr>
      <w:lang w:eastAsia="cs-CZ"/>
    </w:rPr>
  </w:style>
  <w:style w:type="character" w:styleId="Odkaznavysvetlivku">
    <w:name w:val="endnote reference"/>
    <w:aliases w:val="Odkaz na koncovú poznámku"/>
    <w:rsid w:val="00394F6A"/>
    <w:rPr>
      <w:vertAlign w:val="superscript"/>
    </w:rPr>
  </w:style>
  <w:style w:type="character" w:customStyle="1" w:styleId="formtext">
    <w:name w:val="formtext"/>
    <w:basedOn w:val="Predvolenpsmoodseku"/>
    <w:rsid w:val="00B14C3C"/>
  </w:style>
  <w:style w:type="character" w:customStyle="1" w:styleId="Nadpis6Char">
    <w:name w:val="Nadpis 6 Char"/>
    <w:link w:val="Nadpis6"/>
    <w:rsid w:val="002B19AE"/>
    <w:rPr>
      <w:b/>
      <w:sz w:val="16"/>
      <w:lang w:eastAsia="cs-CZ"/>
    </w:rPr>
  </w:style>
  <w:style w:type="paragraph" w:styleId="Textbubliny">
    <w:name w:val="Balloon Text"/>
    <w:basedOn w:val="Normlny"/>
    <w:link w:val="TextbublinyChar"/>
    <w:rsid w:val="00F16D04"/>
    <w:rPr>
      <w:rFonts w:ascii="Tahoma" w:hAnsi="Tahoma" w:cs="Tahoma"/>
      <w:sz w:val="16"/>
      <w:szCs w:val="16"/>
    </w:rPr>
  </w:style>
  <w:style w:type="character" w:customStyle="1" w:styleId="TextbublinyChar">
    <w:name w:val="Text bubliny Char"/>
    <w:link w:val="Textbubliny"/>
    <w:rsid w:val="00F16D04"/>
    <w:rPr>
      <w:rFonts w:ascii="Tahoma" w:hAnsi="Tahoma" w:cs="Tahoma"/>
      <w:sz w:val="16"/>
      <w:szCs w:val="16"/>
      <w:lang w:eastAsia="cs-CZ"/>
    </w:rPr>
  </w:style>
  <w:style w:type="paragraph" w:customStyle="1" w:styleId="83ErlText">
    <w:name w:val="83_ErlText"/>
    <w:basedOn w:val="Normlny"/>
    <w:rsid w:val="005F69C0"/>
    <w:pPr>
      <w:snapToGrid w:val="0"/>
      <w:spacing w:before="80" w:line="220" w:lineRule="exact"/>
      <w:jc w:val="both"/>
    </w:pPr>
    <w:rPr>
      <w:color w:val="000000"/>
      <w:sz w:val="20"/>
      <w:lang w:val="de-DE" w:eastAsia="de-DE"/>
    </w:rPr>
  </w:style>
  <w:style w:type="character" w:customStyle="1" w:styleId="formtitle">
    <w:name w:val="formtitle"/>
    <w:rsid w:val="005F69C0"/>
  </w:style>
  <w:style w:type="paragraph" w:styleId="Spiatonadresanaoblke">
    <w:name w:val="envelope return"/>
    <w:basedOn w:val="Normlny"/>
    <w:rsid w:val="00F674EA"/>
    <w:rPr>
      <w:rFonts w:ascii="Arial" w:hAnsi="Arial" w:cs="Arial"/>
      <w:szCs w:val="24"/>
    </w:rPr>
  </w:style>
  <w:style w:type="paragraph" w:styleId="Predmetkomentra">
    <w:name w:val="annotation subject"/>
    <w:basedOn w:val="Textkomentra"/>
    <w:next w:val="Textkomentra"/>
    <w:link w:val="PredmetkomentraChar"/>
    <w:rsid w:val="003D2BDA"/>
    <w:rPr>
      <w:b/>
      <w:bCs/>
      <w:sz w:val="20"/>
    </w:rPr>
  </w:style>
  <w:style w:type="character" w:customStyle="1" w:styleId="TextkomentraChar">
    <w:name w:val="Text komentára Char"/>
    <w:link w:val="Textkomentra"/>
    <w:semiHidden/>
    <w:rsid w:val="003D2BDA"/>
    <w:rPr>
      <w:sz w:val="24"/>
      <w:lang w:eastAsia="cs-CZ"/>
    </w:rPr>
  </w:style>
  <w:style w:type="character" w:customStyle="1" w:styleId="PredmetkomentraChar">
    <w:name w:val="Predmet komentára Char"/>
    <w:link w:val="Predmetkomentra"/>
    <w:rsid w:val="003D2BDA"/>
    <w:rPr>
      <w:b/>
      <w:bCs/>
      <w:sz w:val="24"/>
      <w:lang w:eastAsia="cs-CZ"/>
    </w:rPr>
  </w:style>
  <w:style w:type="paragraph" w:styleId="Odsekzoznamu">
    <w:name w:val="List Paragraph"/>
    <w:basedOn w:val="Normlny"/>
    <w:link w:val="OdsekzoznamuChar"/>
    <w:uiPriority w:val="34"/>
    <w:qFormat/>
    <w:rsid w:val="00964863"/>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link w:val="Odsekzoznamu"/>
    <w:uiPriority w:val="34"/>
    <w:qFormat/>
    <w:locked/>
    <w:rsid w:val="00964863"/>
    <w:rPr>
      <w:rFonts w:ascii="Calibri" w:eastAsia="Calibri" w:hAnsi="Calibri"/>
      <w:sz w:val="22"/>
      <w:szCs w:val="22"/>
      <w:lang w:eastAsia="en-US"/>
    </w:rPr>
  </w:style>
  <w:style w:type="paragraph" w:styleId="Normlnywebov">
    <w:name w:val="Normal (Web)"/>
    <w:basedOn w:val="Normlny"/>
    <w:uiPriority w:val="99"/>
    <w:unhideWhenUsed/>
    <w:qFormat/>
    <w:rsid w:val="002A693E"/>
    <w:pPr>
      <w:spacing w:after="120" w:line="276" w:lineRule="auto"/>
    </w:pPr>
    <w:rPr>
      <w:rFonts w:eastAsia="Calibri"/>
      <w:szCs w:val="24"/>
      <w:lang w:eastAsia="sk-SK"/>
    </w:rPr>
  </w:style>
  <w:style w:type="paragraph" w:customStyle="1" w:styleId="Paragrafyzkona">
    <w:name w:val="Paragrafy zákona"/>
    <w:basedOn w:val="Nadpis2"/>
    <w:qFormat/>
    <w:rsid w:val="002A693E"/>
    <w:pPr>
      <w:keepLines/>
      <w:widowControl/>
      <w:spacing w:before="360" w:line="276" w:lineRule="auto"/>
      <w:ind w:left="0" w:firstLine="0"/>
    </w:pPr>
    <w:rPr>
      <w:rFonts w:ascii="Times New Roman" w:hAnsi="Times New Roman"/>
      <w:spacing w:val="0"/>
      <w:szCs w:val="24"/>
      <w:lang w:eastAsia="sk-SK"/>
    </w:rPr>
  </w:style>
  <w:style w:type="character" w:styleId="Vrazn">
    <w:name w:val="Strong"/>
    <w:uiPriority w:val="22"/>
    <w:qFormat/>
    <w:rsid w:val="008A1438"/>
    <w:rPr>
      <w:rFonts w:cs="Times New Roman"/>
      <w:b/>
    </w:rPr>
  </w:style>
  <w:style w:type="paragraph" w:customStyle="1" w:styleId="Default">
    <w:name w:val="Default"/>
    <w:rsid w:val="006540BB"/>
    <w:pPr>
      <w:autoSpaceDE w:val="0"/>
      <w:autoSpaceDN w:val="0"/>
      <w:adjustRightInd w:val="0"/>
    </w:pPr>
    <w:rPr>
      <w:rFonts w:ascii="EUAlbertina" w:hAnsi="EUAlbertina" w:cs="EUAlbertina"/>
      <w:color w:val="000000"/>
      <w:sz w:val="24"/>
      <w:szCs w:val="24"/>
    </w:rPr>
  </w:style>
  <w:style w:type="paragraph" w:customStyle="1" w:styleId="oj-tbl-txt">
    <w:name w:val="oj-tbl-txt"/>
    <w:basedOn w:val="Normlny"/>
    <w:rsid w:val="00233B8D"/>
    <w:pPr>
      <w:spacing w:before="100" w:beforeAutospacing="1" w:after="100" w:afterAutospacing="1"/>
    </w:pPr>
    <w:rPr>
      <w:szCs w:val="24"/>
      <w:lang w:eastAsia="sk-SK"/>
    </w:rPr>
  </w:style>
  <w:style w:type="character" w:customStyle="1" w:styleId="HlavikaChar">
    <w:name w:val="Hlavička Char"/>
    <w:basedOn w:val="Predvolenpsmoodseku"/>
    <w:link w:val="Hlavika"/>
    <w:uiPriority w:val="99"/>
    <w:locked/>
    <w:rsid w:val="0077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7710">
      <w:bodyDiv w:val="1"/>
      <w:marLeft w:val="0"/>
      <w:marRight w:val="0"/>
      <w:marTop w:val="0"/>
      <w:marBottom w:val="0"/>
      <w:divBdr>
        <w:top w:val="none" w:sz="0" w:space="0" w:color="auto"/>
        <w:left w:val="none" w:sz="0" w:space="0" w:color="auto"/>
        <w:bottom w:val="none" w:sz="0" w:space="0" w:color="auto"/>
        <w:right w:val="none" w:sz="0" w:space="0" w:color="auto"/>
      </w:divBdr>
      <w:divsChild>
        <w:div w:id="1888754518">
          <w:marLeft w:val="0"/>
          <w:marRight w:val="0"/>
          <w:marTop w:val="0"/>
          <w:marBottom w:val="0"/>
          <w:divBdr>
            <w:top w:val="none" w:sz="0" w:space="0" w:color="auto"/>
            <w:left w:val="none" w:sz="0" w:space="0" w:color="auto"/>
            <w:bottom w:val="none" w:sz="0" w:space="0" w:color="auto"/>
            <w:right w:val="none" w:sz="0" w:space="0" w:color="auto"/>
          </w:divBdr>
          <w:divsChild>
            <w:div w:id="971789605">
              <w:marLeft w:val="0"/>
              <w:marRight w:val="0"/>
              <w:marTop w:val="0"/>
              <w:marBottom w:val="0"/>
              <w:divBdr>
                <w:top w:val="none" w:sz="0" w:space="0" w:color="auto"/>
                <w:left w:val="none" w:sz="0" w:space="0" w:color="auto"/>
                <w:bottom w:val="none" w:sz="0" w:space="0" w:color="auto"/>
                <w:right w:val="none" w:sz="0" w:space="0" w:color="auto"/>
              </w:divBdr>
            </w:div>
            <w:div w:id="10957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619B-4B51-48F7-8CF8-953196C7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8</Pages>
  <Words>2645</Words>
  <Characters>15083</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Tabuľka zhody (Table of Concordance)</vt:lpstr>
    </vt:vector>
  </TitlesOfParts>
  <Company>MZP</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 (Table of Concordance)</dc:title>
  <dc:subject/>
  <dc:creator>MZP</dc:creator>
  <cp:keywords/>
  <dc:description/>
  <cp:lastModifiedBy>Hroššová Lucia</cp:lastModifiedBy>
  <cp:revision>73</cp:revision>
  <cp:lastPrinted>2022-10-13T08:05:00Z</cp:lastPrinted>
  <dcterms:created xsi:type="dcterms:W3CDTF">2024-02-23T13:58:00Z</dcterms:created>
  <dcterms:modified xsi:type="dcterms:W3CDTF">2025-08-14T12:54:00Z</dcterms:modified>
</cp:coreProperties>
</file>