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9364" w14:textId="77777777" w:rsidR="00137235" w:rsidRPr="00A471F4" w:rsidRDefault="00053458" w:rsidP="005E3E02">
      <w:pPr>
        <w:widowControl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caps/>
          <w:spacing w:val="30"/>
        </w:rPr>
      </w:pPr>
      <w:r w:rsidRPr="00A471F4">
        <w:rPr>
          <w:rFonts w:ascii="Times New Roman" w:hAnsi="Times New Roman"/>
          <w:b/>
          <w:caps/>
          <w:spacing w:val="30"/>
        </w:rPr>
        <w:t>Doložka zlučiteľnosti</w:t>
      </w:r>
    </w:p>
    <w:p w14:paraId="4FE415FB" w14:textId="77777777" w:rsidR="00137235" w:rsidRPr="00A471F4" w:rsidRDefault="00914DB2" w:rsidP="005E3E02">
      <w:pPr>
        <w:widowControl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 xml:space="preserve">návrhu </w:t>
      </w:r>
      <w:r w:rsidR="00594D0A" w:rsidRPr="00A471F4">
        <w:rPr>
          <w:rFonts w:ascii="Times New Roman" w:hAnsi="Times New Roman"/>
          <w:b/>
        </w:rPr>
        <w:t>právneho predpisu s právom Európskej únie</w:t>
      </w:r>
      <w:r w:rsidR="00053458" w:rsidRPr="00A471F4">
        <w:rPr>
          <w:rFonts w:ascii="Times New Roman" w:hAnsi="Times New Roman"/>
          <w:b/>
        </w:rPr>
        <w:t> </w:t>
      </w:r>
    </w:p>
    <w:p w14:paraId="7C2C0FED" w14:textId="77777777" w:rsidR="00137235" w:rsidRPr="00A471F4" w:rsidRDefault="00137235" w:rsidP="005E3E02">
      <w:pPr>
        <w:widowControl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14:paraId="416BFDD2" w14:textId="77777777"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1.</w:t>
      </w:r>
      <w:r w:rsidRPr="00A471F4">
        <w:rPr>
          <w:rFonts w:ascii="Times New Roman" w:hAnsi="Times New Roman"/>
          <w:b/>
        </w:rPr>
        <w:tab/>
      </w:r>
      <w:r w:rsidR="009B3100" w:rsidRPr="00A471F4">
        <w:rPr>
          <w:rFonts w:ascii="Times New Roman" w:hAnsi="Times New Roman"/>
          <w:b/>
        </w:rPr>
        <w:t>Navrhovateľ zákona</w:t>
      </w:r>
      <w:r w:rsidRPr="00A471F4">
        <w:rPr>
          <w:rFonts w:ascii="Times New Roman" w:hAnsi="Times New Roman"/>
          <w:b/>
        </w:rPr>
        <w:t>:</w:t>
      </w:r>
      <w:r w:rsidRPr="00A471F4">
        <w:rPr>
          <w:rFonts w:ascii="Times New Roman" w:hAnsi="Times New Roman"/>
        </w:rPr>
        <w:t xml:space="preserve"> </w:t>
      </w:r>
      <w:r w:rsidR="00A82494" w:rsidRPr="00A471F4">
        <w:rPr>
          <w:rFonts w:ascii="Times New Roman" w:hAnsi="Times New Roman"/>
        </w:rPr>
        <w:fldChar w:fldCharType="begin"/>
      </w:r>
      <w:r w:rsidR="00A82494" w:rsidRPr="00A471F4">
        <w:rPr>
          <w:rFonts w:ascii="Times New Roman" w:hAnsi="Times New Roman"/>
        </w:rPr>
        <w:instrText xml:space="preserve"> DOCPROPERTY  FSC#SKEDITIONSLOVLEX@103.510:zodpinstitucia  \* MERGEFORMAT </w:instrText>
      </w:r>
      <w:r w:rsidR="00A82494" w:rsidRPr="00A471F4">
        <w:rPr>
          <w:rFonts w:ascii="Times New Roman" w:hAnsi="Times New Roman"/>
        </w:rPr>
        <w:fldChar w:fldCharType="separate"/>
      </w:r>
      <w:r w:rsidR="00A82494" w:rsidRPr="00A471F4">
        <w:rPr>
          <w:rFonts w:ascii="Times New Roman" w:hAnsi="Times New Roman"/>
        </w:rPr>
        <w:t>Ministerstvo životného prostredia Slovenskej republiky</w:t>
      </w:r>
      <w:r w:rsidR="00A82494" w:rsidRPr="00A471F4">
        <w:rPr>
          <w:rFonts w:ascii="Times New Roman" w:hAnsi="Times New Roman"/>
        </w:rPr>
        <w:fldChar w:fldCharType="end"/>
      </w:r>
    </w:p>
    <w:p w14:paraId="66F52B8A" w14:textId="77777777" w:rsidR="00137235" w:rsidRPr="00A471F4" w:rsidRDefault="00137235" w:rsidP="005E3E02">
      <w:pPr>
        <w:widowControl w:val="0"/>
        <w:tabs>
          <w:tab w:val="left" w:pos="360"/>
        </w:tabs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14:paraId="66944D8F" w14:textId="393CF66F"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2.</w:t>
      </w:r>
      <w:r w:rsidRPr="00A471F4">
        <w:rPr>
          <w:rFonts w:ascii="Times New Roman" w:hAnsi="Times New Roman"/>
          <w:b/>
        </w:rPr>
        <w:tab/>
        <w:t>Názov návrhu</w:t>
      </w:r>
      <w:r w:rsidR="0052694F" w:rsidRPr="00A471F4">
        <w:rPr>
          <w:rFonts w:ascii="Times New Roman" w:hAnsi="Times New Roman"/>
          <w:b/>
        </w:rPr>
        <w:t xml:space="preserve"> </w:t>
      </w:r>
      <w:r w:rsidR="009B3100" w:rsidRPr="00A471F4">
        <w:rPr>
          <w:rFonts w:ascii="Times New Roman" w:hAnsi="Times New Roman"/>
          <w:b/>
        </w:rPr>
        <w:t>zákona</w:t>
      </w:r>
      <w:r w:rsidRPr="00A471F4">
        <w:rPr>
          <w:rFonts w:ascii="Times New Roman" w:hAnsi="Times New Roman"/>
          <w:b/>
        </w:rPr>
        <w:t>:</w:t>
      </w:r>
      <w:r w:rsidRPr="00A471F4">
        <w:rPr>
          <w:rFonts w:ascii="Times New Roman" w:hAnsi="Times New Roman"/>
        </w:rPr>
        <w:t xml:space="preserve"> </w:t>
      </w:r>
      <w:r w:rsidR="00CB433A" w:rsidRPr="00A471F4">
        <w:rPr>
          <w:rFonts w:ascii="Times New Roman" w:hAnsi="Times New Roman"/>
        </w:rPr>
        <w:t>Návrh z</w:t>
      </w:r>
      <w:r w:rsidR="00147CF7" w:rsidRPr="00A471F4">
        <w:rPr>
          <w:rFonts w:ascii="Times New Roman" w:hAnsi="Times New Roman"/>
        </w:rPr>
        <w:t>ákon</w:t>
      </w:r>
      <w:r w:rsidR="00CB433A" w:rsidRPr="00A471F4">
        <w:rPr>
          <w:rFonts w:ascii="Times New Roman" w:hAnsi="Times New Roman"/>
        </w:rPr>
        <w:t>a</w:t>
      </w:r>
      <w:r w:rsidR="00147CF7" w:rsidRPr="00A471F4">
        <w:rPr>
          <w:rFonts w:ascii="Times New Roman" w:hAnsi="Times New Roman"/>
        </w:rPr>
        <w:t xml:space="preserve">, ktorým sa mení a dopĺňa </w:t>
      </w:r>
      <w:r w:rsidR="00147CF7" w:rsidRPr="00A471F4">
        <w:rPr>
          <w:rFonts w:ascii="Times New Roman" w:hAnsi="Times New Roman"/>
          <w:bCs/>
        </w:rPr>
        <w:t xml:space="preserve">zákon č. </w:t>
      </w:r>
      <w:r w:rsidR="00607080">
        <w:rPr>
          <w:rFonts w:ascii="Times New Roman" w:hAnsi="Times New Roman"/>
          <w:bCs/>
        </w:rPr>
        <w:t xml:space="preserve">79/2015 </w:t>
      </w:r>
      <w:r w:rsidR="00147CF7" w:rsidRPr="00A471F4">
        <w:rPr>
          <w:rFonts w:ascii="Times New Roman" w:hAnsi="Times New Roman"/>
          <w:bCs/>
        </w:rPr>
        <w:t>Z. z. o </w:t>
      </w:r>
      <w:r w:rsidR="00607080">
        <w:rPr>
          <w:rFonts w:ascii="Times New Roman" w:hAnsi="Times New Roman"/>
          <w:bCs/>
        </w:rPr>
        <w:t>odpadoch</w:t>
      </w:r>
      <w:r w:rsidR="00147CF7" w:rsidRPr="00A471F4">
        <w:rPr>
          <w:rFonts w:ascii="Times New Roman" w:hAnsi="Times New Roman"/>
          <w:bCs/>
        </w:rPr>
        <w:t xml:space="preserve"> a o zmene a doplnení niektorých zákonov v znení neskorších predpisov</w:t>
      </w:r>
      <w:r w:rsidR="00CA0631" w:rsidRPr="00CA0631">
        <w:rPr>
          <w:rFonts w:ascii="Times New Roman" w:hAnsi="Times New Roman"/>
          <w:bCs/>
        </w:rPr>
        <w:t xml:space="preserve"> </w:t>
      </w:r>
      <w:r w:rsidR="00CA0631" w:rsidRPr="00FA7E3D">
        <w:rPr>
          <w:rFonts w:ascii="Times New Roman" w:hAnsi="Times New Roman"/>
          <w:bCs/>
        </w:rPr>
        <w:t>a ktorým sa menia a dopĺňajú niektoré zákony</w:t>
      </w:r>
      <w:r w:rsidR="00147CF7" w:rsidRPr="00A471F4">
        <w:rPr>
          <w:rFonts w:ascii="Times New Roman" w:hAnsi="Times New Roman"/>
          <w:bCs/>
        </w:rPr>
        <w:t xml:space="preserve"> </w:t>
      </w:r>
    </w:p>
    <w:p w14:paraId="62704D86" w14:textId="77777777" w:rsidR="00137235" w:rsidRPr="00A471F4" w:rsidRDefault="00137235" w:rsidP="005E3E02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14:paraId="095B0113" w14:textId="77777777"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3.</w:t>
      </w:r>
      <w:r w:rsidRPr="00A471F4">
        <w:rPr>
          <w:rFonts w:ascii="Times New Roman" w:hAnsi="Times New Roman"/>
          <w:b/>
        </w:rPr>
        <w:tab/>
      </w:r>
      <w:r w:rsidR="009B3100" w:rsidRPr="00A471F4">
        <w:rPr>
          <w:rFonts w:ascii="Times New Roman" w:hAnsi="Times New Roman"/>
          <w:b/>
        </w:rPr>
        <w:t>Predmet návrhu zákona je upravený v práve Európskej únie</w:t>
      </w:r>
      <w:r w:rsidRPr="00A471F4">
        <w:rPr>
          <w:rFonts w:ascii="Times New Roman" w:hAnsi="Times New Roman"/>
          <w:b/>
        </w:rPr>
        <w:t>:</w:t>
      </w:r>
    </w:p>
    <w:p w14:paraId="0344DEE4" w14:textId="77777777" w:rsidR="00147CF7" w:rsidRPr="00A471F4" w:rsidRDefault="00147CF7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</w:p>
    <w:p w14:paraId="04279205" w14:textId="77777777"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a)</w:t>
      </w:r>
      <w:r w:rsidRPr="00A471F4">
        <w:rPr>
          <w:rFonts w:ascii="Times New Roman" w:hAnsi="Times New Roman"/>
        </w:rPr>
        <w:tab/>
      </w:r>
      <w:r w:rsidR="00914DB2" w:rsidRPr="00A471F4">
        <w:rPr>
          <w:rFonts w:ascii="Times New Roman" w:hAnsi="Times New Roman"/>
        </w:rPr>
        <w:t>v primárnom práve</w:t>
      </w:r>
    </w:p>
    <w:p w14:paraId="7D197E57" w14:textId="77777777" w:rsidR="009C3FAC" w:rsidRPr="00A471F4" w:rsidRDefault="009C3FAC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14:paraId="5610CD1A" w14:textId="77777777" w:rsidR="009C3FAC" w:rsidRPr="00A471F4" w:rsidRDefault="00053458" w:rsidP="009C3FAC">
      <w:pPr>
        <w:widowControl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      Čl. 114 a čl. 191 až 193 Zmluvy o fungovaní Európskej únie</w:t>
      </w:r>
    </w:p>
    <w:p w14:paraId="5D993297" w14:textId="77777777" w:rsidR="009C3FAC" w:rsidRPr="00A471F4" w:rsidRDefault="009C3FAC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14:paraId="5936A405" w14:textId="77777777" w:rsidR="00137235" w:rsidRPr="00A471F4" w:rsidRDefault="00914DB2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b) v sekundárnom práve</w:t>
      </w:r>
      <w:r w:rsidR="000674A5" w:rsidRPr="00A471F4">
        <w:rPr>
          <w:rFonts w:ascii="Times New Roman" w:hAnsi="Times New Roman"/>
        </w:rPr>
        <w:t xml:space="preserve"> </w:t>
      </w:r>
    </w:p>
    <w:p w14:paraId="55CCCFB2" w14:textId="0F8BB7F7" w:rsidR="00A471F4" w:rsidRPr="00A471F4" w:rsidRDefault="00A471F4" w:rsidP="00636D71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</w:p>
    <w:p w14:paraId="25415E2A" w14:textId="607BC4F0" w:rsidR="004D144B" w:rsidRDefault="00363FE1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4D144B">
        <w:rPr>
          <w:rFonts w:ascii="Times New Roman" w:hAnsi="Times New Roman"/>
          <w:iCs/>
        </w:rPr>
        <w:t xml:space="preserve">Smernica Rady 1999/31/ES z 26. apríla 1999 o skládkach odpadov </w:t>
      </w:r>
      <w:r w:rsidR="00F5434F">
        <w:rPr>
          <w:rFonts w:ascii="Times New Roman" w:hAnsi="Times New Roman"/>
          <w:color w:val="000000"/>
        </w:rPr>
        <w:t>(Mimoriadne vydanie Ú. v EÚ, kap. 15/zv. 4; Ú. v. ES L 182, 16.7.1999)</w:t>
      </w:r>
      <w:r w:rsidRPr="004D144B">
        <w:rPr>
          <w:rFonts w:ascii="Times New Roman" w:hAnsi="Times New Roman"/>
          <w:iCs/>
        </w:rPr>
        <w:t xml:space="preserve"> v platnom znení</w:t>
      </w:r>
    </w:p>
    <w:p w14:paraId="489D8F82" w14:textId="77777777" w:rsidR="004D144B" w:rsidRDefault="007654A3" w:rsidP="004D144B">
      <w:pPr>
        <w:pStyle w:val="Odsekzoznamu"/>
        <w:widowControl w:val="0"/>
        <w:adjustRightInd w:val="0"/>
        <w:spacing w:before="0" w:beforeAutospacing="0" w:after="0" w:afterAutospacing="0"/>
        <w:ind w:left="1146"/>
        <w:jc w:val="both"/>
        <w:rPr>
          <w:rFonts w:ascii="Times New Roman" w:hAnsi="Times New Roman"/>
          <w:iCs/>
        </w:rPr>
      </w:pPr>
      <w:r w:rsidRPr="004D144B">
        <w:rPr>
          <w:rFonts w:ascii="Times New Roman" w:hAnsi="Times New Roman"/>
          <w:iCs/>
        </w:rPr>
        <w:t>gestor: Ministerstvo životného prostredia Slovenskej republiky</w:t>
      </w:r>
    </w:p>
    <w:p w14:paraId="06E59F3F" w14:textId="77777777" w:rsidR="004D144B" w:rsidRDefault="00363FE1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A471F4">
        <w:rPr>
          <w:rFonts w:ascii="Times New Roman" w:hAnsi="Times New Roman"/>
          <w:iCs/>
        </w:rPr>
        <w:t xml:space="preserve">Smernica Európskeho parlamentu a Rady 2008/98/ES  z 19. novembra 2008 o odpade </w:t>
      </w:r>
      <w:r w:rsidR="004D144B">
        <w:rPr>
          <w:rFonts w:ascii="Times New Roman" w:hAnsi="Times New Roman"/>
          <w:iCs/>
        </w:rPr>
        <w:br/>
      </w:r>
      <w:r w:rsidRPr="00A471F4">
        <w:rPr>
          <w:rFonts w:ascii="Times New Roman" w:hAnsi="Times New Roman"/>
          <w:iCs/>
        </w:rPr>
        <w:t xml:space="preserve">a o zrušení určitých smerníc (Ú. v. EÚ L 312, 22.11.2008) v platnom znení </w:t>
      </w:r>
    </w:p>
    <w:p w14:paraId="71F6C7F1" w14:textId="077C542D" w:rsidR="004D144B" w:rsidRDefault="00363FE1" w:rsidP="004D144B">
      <w:pPr>
        <w:pStyle w:val="Odsekzoznamu"/>
        <w:widowControl w:val="0"/>
        <w:adjustRightInd w:val="0"/>
        <w:spacing w:before="0" w:beforeAutospacing="0" w:after="0" w:afterAutospacing="0"/>
        <w:ind w:left="1146"/>
        <w:jc w:val="both"/>
        <w:rPr>
          <w:rFonts w:ascii="Times New Roman" w:hAnsi="Times New Roman"/>
        </w:rPr>
      </w:pPr>
      <w:r w:rsidRPr="004D144B">
        <w:rPr>
          <w:rFonts w:ascii="Times New Roman" w:hAnsi="Times New Roman"/>
          <w:iCs/>
        </w:rPr>
        <w:t>g</w:t>
      </w:r>
      <w:r w:rsidRPr="004D144B">
        <w:rPr>
          <w:rFonts w:ascii="Times New Roman" w:hAnsi="Times New Roman"/>
        </w:rPr>
        <w:t xml:space="preserve">estor: </w:t>
      </w:r>
      <w:r w:rsidRPr="004D144B">
        <w:rPr>
          <w:rFonts w:ascii="Times New Roman" w:hAnsi="Times New Roman"/>
        </w:rPr>
        <w:fldChar w:fldCharType="begin"/>
      </w:r>
      <w:r w:rsidRPr="004D144B">
        <w:rPr>
          <w:rFonts w:ascii="Times New Roman" w:hAnsi="Times New Roman"/>
        </w:rPr>
        <w:instrText xml:space="preserve"> DOCPROPERTY  FSC#SKEDITIONSLOVLEX@103.510:zodpinstitucia  \* MERGEFORMAT </w:instrText>
      </w:r>
      <w:r w:rsidRPr="004D144B">
        <w:rPr>
          <w:rFonts w:ascii="Times New Roman" w:hAnsi="Times New Roman"/>
        </w:rPr>
        <w:fldChar w:fldCharType="separate"/>
      </w:r>
      <w:r w:rsidRPr="004D144B">
        <w:rPr>
          <w:rFonts w:ascii="Times New Roman" w:hAnsi="Times New Roman"/>
        </w:rPr>
        <w:t>Ministerstvo životného prostredia Slovenskej republiky</w:t>
      </w:r>
      <w:r w:rsidRPr="004D144B">
        <w:rPr>
          <w:rFonts w:ascii="Times New Roman" w:hAnsi="Times New Roman"/>
        </w:rPr>
        <w:fldChar w:fldCharType="end"/>
      </w:r>
    </w:p>
    <w:p w14:paraId="47B603FC" w14:textId="6C0FE4D8" w:rsidR="006B5E11" w:rsidRDefault="006B5E11" w:rsidP="006B5E11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Smernica </w:t>
      </w:r>
      <w:r w:rsidRPr="00A471F4">
        <w:rPr>
          <w:rFonts w:ascii="Times New Roman" w:hAnsi="Times New Roman"/>
          <w:iCs/>
        </w:rPr>
        <w:t>Európskeho parlamentu a</w:t>
      </w:r>
      <w:r>
        <w:rPr>
          <w:rFonts w:ascii="Times New Roman" w:hAnsi="Times New Roman"/>
          <w:iCs/>
        </w:rPr>
        <w:t> </w:t>
      </w:r>
      <w:r w:rsidRPr="00A471F4">
        <w:rPr>
          <w:rFonts w:ascii="Times New Roman" w:hAnsi="Times New Roman"/>
          <w:iCs/>
        </w:rPr>
        <w:t>Rady</w:t>
      </w:r>
      <w:r>
        <w:rPr>
          <w:rFonts w:ascii="Times New Roman" w:hAnsi="Times New Roman"/>
          <w:iCs/>
        </w:rPr>
        <w:t xml:space="preserve"> </w:t>
      </w:r>
      <w:r w:rsidR="00F5434F">
        <w:rPr>
          <w:rFonts w:ascii="Times New Roman" w:hAnsi="Times New Roman"/>
          <w:iCs/>
        </w:rPr>
        <w:t xml:space="preserve">(EÚ) </w:t>
      </w:r>
      <w:r>
        <w:rPr>
          <w:rFonts w:ascii="Times New Roman" w:hAnsi="Times New Roman"/>
          <w:iCs/>
        </w:rPr>
        <w:t xml:space="preserve">2024/884 z 13. marca 2024, ktorou sa mení smernica 2012/19/EÚ o odpade z elektrických a elektronických zariadení </w:t>
      </w:r>
      <w:r w:rsidR="00F5434F">
        <w:rPr>
          <w:rFonts w:ascii="Times New Roman" w:hAnsi="Times New Roman"/>
          <w:color w:val="000000"/>
        </w:rPr>
        <w:t>(OEEZ) (Ú. v EÚ L, 2024/884, 19.3.2024)</w:t>
      </w:r>
    </w:p>
    <w:p w14:paraId="32008E61" w14:textId="77777777" w:rsidR="006B5E11" w:rsidRDefault="006B5E11" w:rsidP="006B5E11">
      <w:pPr>
        <w:pStyle w:val="Odsekzoznamu"/>
        <w:widowControl w:val="0"/>
        <w:adjustRightInd w:val="0"/>
        <w:spacing w:before="0" w:beforeAutospacing="0" w:after="0" w:afterAutospacing="0"/>
        <w:ind w:left="1146"/>
        <w:jc w:val="both"/>
        <w:rPr>
          <w:rFonts w:ascii="Times New Roman" w:hAnsi="Times New Roman"/>
        </w:rPr>
      </w:pPr>
      <w:r w:rsidRPr="004D144B">
        <w:rPr>
          <w:rFonts w:ascii="Times New Roman" w:hAnsi="Times New Roman"/>
          <w:iCs/>
        </w:rPr>
        <w:t>g</w:t>
      </w:r>
      <w:r w:rsidRPr="004D144B">
        <w:rPr>
          <w:rFonts w:ascii="Times New Roman" w:hAnsi="Times New Roman"/>
        </w:rPr>
        <w:t xml:space="preserve">estor: </w:t>
      </w:r>
      <w:r w:rsidRPr="004D144B">
        <w:rPr>
          <w:rFonts w:ascii="Times New Roman" w:hAnsi="Times New Roman"/>
        </w:rPr>
        <w:fldChar w:fldCharType="begin"/>
      </w:r>
      <w:r w:rsidRPr="004D144B">
        <w:rPr>
          <w:rFonts w:ascii="Times New Roman" w:hAnsi="Times New Roman"/>
        </w:rPr>
        <w:instrText xml:space="preserve"> DOCPROPERTY  FSC#SKEDITIONSLOVLEX@103.510:zodpinstitucia  \* MERGEFORMAT </w:instrText>
      </w:r>
      <w:r w:rsidRPr="004D144B">
        <w:rPr>
          <w:rFonts w:ascii="Times New Roman" w:hAnsi="Times New Roman"/>
        </w:rPr>
        <w:fldChar w:fldCharType="separate"/>
      </w:r>
      <w:r w:rsidRPr="004D144B">
        <w:rPr>
          <w:rFonts w:ascii="Times New Roman" w:hAnsi="Times New Roman"/>
        </w:rPr>
        <w:t>Ministerstvo životného prostredia Slovenskej republiky</w:t>
      </w:r>
      <w:r w:rsidRPr="004D144B">
        <w:rPr>
          <w:rFonts w:ascii="Times New Roman" w:hAnsi="Times New Roman"/>
        </w:rPr>
        <w:fldChar w:fldCharType="end"/>
      </w:r>
    </w:p>
    <w:p w14:paraId="5A46C7F8" w14:textId="72832CB5" w:rsidR="004D144B" w:rsidRDefault="007654A3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D144B">
        <w:rPr>
          <w:rFonts w:ascii="Times New Roman" w:hAnsi="Times New Roman"/>
        </w:rPr>
        <w:t xml:space="preserve">Smernica Európskeho parlamentu a Rady 2004/35/ES z 21. apríla 2004 </w:t>
      </w:r>
      <w:r w:rsidR="004D144B">
        <w:rPr>
          <w:rFonts w:ascii="Times New Roman" w:hAnsi="Times New Roman"/>
        </w:rPr>
        <w:br/>
      </w:r>
      <w:r w:rsidRPr="004D144B">
        <w:rPr>
          <w:rFonts w:ascii="Times New Roman" w:hAnsi="Times New Roman"/>
        </w:rPr>
        <w:t xml:space="preserve">o </w:t>
      </w:r>
      <w:r w:rsidRPr="00611A05">
        <w:rPr>
          <w:rFonts w:ascii="Times New Roman" w:hAnsi="Times New Roman"/>
        </w:rPr>
        <w:t>environmentálnej zodpovednosti pri prevencii a odstraňovaní environmentálnych škôd (Mimoriadne vydanie Ú. v. EÚ, kap. 15/zv. 8</w:t>
      </w:r>
      <w:r w:rsidR="00F5434F" w:rsidRPr="00611A05">
        <w:rPr>
          <w:rFonts w:ascii="Times New Roman" w:hAnsi="Times New Roman"/>
        </w:rPr>
        <w:t>;</w:t>
      </w:r>
      <w:r w:rsidR="00F5434F" w:rsidRPr="00F5434F">
        <w:rPr>
          <w:rFonts w:ascii="Times New Roman" w:hAnsi="Times New Roman"/>
        </w:rPr>
        <w:t xml:space="preserve"> </w:t>
      </w:r>
      <w:r w:rsidR="00F5434F" w:rsidRPr="004D144B">
        <w:rPr>
          <w:rFonts w:ascii="Times New Roman" w:hAnsi="Times New Roman"/>
        </w:rPr>
        <w:t>Ú. v. EÚ L 143, 30.4.2004</w:t>
      </w:r>
      <w:r w:rsidRPr="004D144B">
        <w:rPr>
          <w:rFonts w:ascii="Times New Roman" w:hAnsi="Times New Roman"/>
        </w:rPr>
        <w:t xml:space="preserve">) </w:t>
      </w:r>
      <w:r w:rsidR="004D144B">
        <w:rPr>
          <w:rFonts w:ascii="Times New Roman" w:hAnsi="Times New Roman"/>
        </w:rPr>
        <w:br/>
      </w:r>
      <w:r w:rsidRPr="004D144B">
        <w:rPr>
          <w:rFonts w:ascii="Times New Roman" w:hAnsi="Times New Roman"/>
        </w:rPr>
        <w:t>v platnom znení</w:t>
      </w:r>
    </w:p>
    <w:p w14:paraId="4460403C" w14:textId="25E8425E" w:rsidR="007654A3" w:rsidRPr="004D144B" w:rsidRDefault="007654A3" w:rsidP="004D144B">
      <w:pPr>
        <w:pStyle w:val="Odsekzoznamu"/>
        <w:widowControl w:val="0"/>
        <w:adjustRightInd w:val="0"/>
        <w:spacing w:before="0" w:beforeAutospacing="0" w:after="0" w:afterAutospacing="0"/>
        <w:ind w:left="1146"/>
        <w:jc w:val="both"/>
        <w:rPr>
          <w:rFonts w:ascii="Times New Roman" w:hAnsi="Times New Roman"/>
        </w:rPr>
      </w:pPr>
      <w:r w:rsidRPr="004D144B">
        <w:rPr>
          <w:rFonts w:ascii="Times New Roman" w:hAnsi="Times New Roman"/>
        </w:rPr>
        <w:t>gestor: Ministerstvo životného prostredia Slovenskej republiky</w:t>
      </w:r>
    </w:p>
    <w:p w14:paraId="392A5EEE" w14:textId="77777777" w:rsidR="004D144B" w:rsidRDefault="007654A3" w:rsidP="004D144B">
      <w:pPr>
        <w:pStyle w:val="Odsekzoznamu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4D144B">
        <w:rPr>
          <w:rFonts w:ascii="Times New Roman" w:hAnsi="Times New Roman"/>
        </w:rPr>
        <w:t xml:space="preserve">Vykonávacie rozhodnutie Komisie (EÚ) 2019/1741 z 23. septembra 2019, ktorým sa stanovuje formát a frekvencia údajov, ktoré majú členské štáty sprístupňovať na účely oznamovania podľa nariadenia Európskeho parlamentu a Rady (ES) č. 166/2006 </w:t>
      </w:r>
      <w:r w:rsidR="004D144B">
        <w:rPr>
          <w:rFonts w:ascii="Times New Roman" w:hAnsi="Times New Roman"/>
        </w:rPr>
        <w:br/>
      </w:r>
      <w:r w:rsidRPr="004D144B">
        <w:rPr>
          <w:rFonts w:ascii="Times New Roman" w:hAnsi="Times New Roman"/>
        </w:rPr>
        <w:t>o zriadení Európskeho registra uvoľňovania a prenosov znečisťujúcich látok, ktorým sa menia a dopĺňajú smernice Rady 91/689/EHS a 96/61/ES (Ú. v. EÚ L 267, 21.10.2019) v platnom znení</w:t>
      </w:r>
    </w:p>
    <w:p w14:paraId="666F94CE" w14:textId="3AEFAD2D" w:rsidR="004326BC" w:rsidRPr="00220FA5" w:rsidRDefault="00636D71" w:rsidP="00220FA5">
      <w:pPr>
        <w:pStyle w:val="Odsekzoznamu"/>
        <w:spacing w:before="0" w:beforeAutospacing="0" w:after="240" w:afterAutospacing="0"/>
        <w:ind w:left="1146"/>
        <w:jc w:val="both"/>
        <w:rPr>
          <w:rFonts w:ascii="Times New Roman" w:hAnsi="Times New Roman"/>
        </w:rPr>
      </w:pPr>
      <w:r w:rsidRPr="004D144B">
        <w:rPr>
          <w:rFonts w:ascii="Times New Roman" w:hAnsi="Times New Roman"/>
        </w:rPr>
        <w:t>g</w:t>
      </w:r>
      <w:r w:rsidR="007654A3" w:rsidRPr="004D144B">
        <w:rPr>
          <w:rFonts w:ascii="Times New Roman" w:hAnsi="Times New Roman"/>
        </w:rPr>
        <w:t>estor: Ministerstvo životného prostredia Slovenskej republiky</w:t>
      </w:r>
    </w:p>
    <w:p w14:paraId="4EC29A06" w14:textId="77777777" w:rsidR="008A24FE" w:rsidRPr="00A471F4" w:rsidRDefault="006330C1" w:rsidP="00147CF7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c</w:t>
      </w:r>
      <w:r w:rsidR="00053458" w:rsidRPr="00A471F4">
        <w:rPr>
          <w:rFonts w:ascii="Times New Roman" w:hAnsi="Times New Roman"/>
        </w:rPr>
        <w:t>)</w:t>
      </w:r>
      <w:r w:rsidR="00053458" w:rsidRPr="00A471F4">
        <w:rPr>
          <w:rFonts w:ascii="Times New Roman" w:hAnsi="Times New Roman"/>
        </w:rPr>
        <w:tab/>
        <w:t xml:space="preserve">v </w:t>
      </w:r>
      <w:r w:rsidR="00053458" w:rsidRPr="00A63B10">
        <w:rPr>
          <w:rFonts w:ascii="Times New Roman" w:hAnsi="Times New Roman"/>
        </w:rPr>
        <w:t>judikatúre Súdneho dvora Európskej ún</w:t>
      </w:r>
      <w:r w:rsidRPr="00A63B10">
        <w:rPr>
          <w:rFonts w:ascii="Times New Roman" w:hAnsi="Times New Roman"/>
        </w:rPr>
        <w:t>ie</w:t>
      </w:r>
    </w:p>
    <w:p w14:paraId="1A9BC713" w14:textId="77777777" w:rsidR="00147CF7" w:rsidRPr="00A471F4" w:rsidRDefault="00147CF7" w:rsidP="00147CF7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14:paraId="37E46020" w14:textId="31A4D20A" w:rsidR="0073647E" w:rsidRDefault="0073647E" w:rsidP="0073647E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>Rozsudok Súdneho dvora Európskej únie vo veci C-3</w:t>
      </w:r>
      <w:r>
        <w:rPr>
          <w:rFonts w:ascii="Times New Roman" w:hAnsi="Times New Roman"/>
          <w:i/>
        </w:rPr>
        <w:t>41</w:t>
      </w:r>
      <w:r w:rsidRPr="004D144B">
        <w:rPr>
          <w:rFonts w:ascii="Times New Roman" w:hAnsi="Times New Roman"/>
          <w:i/>
        </w:rPr>
        <w:t>/</w:t>
      </w:r>
      <w:r>
        <w:rPr>
          <w:rFonts w:ascii="Times New Roman" w:hAnsi="Times New Roman"/>
          <w:i/>
        </w:rPr>
        <w:t>2</w:t>
      </w:r>
      <w:r w:rsidRPr="004D144B">
        <w:rPr>
          <w:rFonts w:ascii="Times New Roman" w:hAnsi="Times New Roman"/>
          <w:i/>
        </w:rPr>
        <w:t xml:space="preserve">3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Sloven</w:t>
      </w:r>
      <w:r w:rsidRPr="004D144B">
        <w:rPr>
          <w:rFonts w:ascii="Times New Roman" w:hAnsi="Times New Roman"/>
          <w:i/>
        </w:rPr>
        <w:t>sko</w:t>
      </w:r>
    </w:p>
    <w:p w14:paraId="73519BEA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11A05">
        <w:rPr>
          <w:rFonts w:ascii="Times New Roman" w:hAnsi="Times New Roman"/>
          <w:b/>
        </w:rPr>
        <w:t>Výrok rozsudku:</w:t>
      </w:r>
    </w:p>
    <w:p w14:paraId="0C861D70" w14:textId="77777777" w:rsidR="00611A05" w:rsidRDefault="00611A05" w:rsidP="00611A05">
      <w:pPr>
        <w:spacing w:beforeAutospacing="0" w:after="0" w:afterAutospacing="0"/>
        <w:ind w:firstLine="426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1.      Slovenská republika si tým, že:</w:t>
      </w:r>
    </w:p>
    <w:p w14:paraId="0BEC3C4E" w14:textId="40976EE5" w:rsidR="00611A05" w:rsidRPr="00611A05" w:rsidRDefault="00611A05" w:rsidP="00611A05">
      <w:pPr>
        <w:spacing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 xml:space="preserve">–        neprijala potrebné opatrenia na zabezpečenie toho, aby v prípade skládok Vlčie Hory, Bojná, časť B a časť C – I. etapa, Čadca – </w:t>
      </w:r>
      <w:proofErr w:type="spellStart"/>
      <w:r w:rsidRPr="00611A05">
        <w:rPr>
          <w:rFonts w:ascii="Times New Roman" w:hAnsi="Times New Roman"/>
          <w:bCs/>
          <w:color w:val="000000"/>
        </w:rPr>
        <w:t>Podzávoz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, Rajec – Šuja, Ružomberok – Biela Púť, Skládka TKO Zubrohlava, Hnúšťa – </w:t>
      </w:r>
      <w:proofErr w:type="spellStart"/>
      <w:r w:rsidRPr="00611A05">
        <w:rPr>
          <w:rFonts w:ascii="Times New Roman" w:hAnsi="Times New Roman"/>
          <w:bCs/>
          <w:color w:val="000000"/>
        </w:rPr>
        <w:t>Kotlište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, Detva – </w:t>
      </w:r>
      <w:proofErr w:type="spellStart"/>
      <w:r w:rsidRPr="00611A05">
        <w:rPr>
          <w:rFonts w:ascii="Times New Roman" w:hAnsi="Times New Roman"/>
          <w:bCs/>
          <w:color w:val="000000"/>
        </w:rPr>
        <w:t>Studienec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 – II. etapa, Hontianske Tesáre, Hôrky – </w:t>
      </w:r>
      <w:r w:rsidRPr="00611A05">
        <w:rPr>
          <w:rFonts w:ascii="Times New Roman" w:hAnsi="Times New Roman"/>
          <w:bCs/>
          <w:color w:val="000000"/>
        </w:rPr>
        <w:lastRenderedPageBreak/>
        <w:t>Pláne a Stropkov – Chotča boli predložené na schválenie plány úpravy týchto skládok a všetky nápravné opatrenia, aby sa prijali konečné rozhodnutia o tom, či ich prevádzka môže pokračovať na základe ich plánu úpravy, alebo aby boli prijaté opatrenia na ich čo najrýchlejšie uzatvorenie, nesplnila povinnosti, ktoré jej vyplývajú z článku 14 písm. a) a b) smernice Rady 1999/31/ES z 26. apríla 1999 o skládkach odpadov, a</w:t>
      </w:r>
    </w:p>
    <w:p w14:paraId="00D22759" w14:textId="77777777" w:rsidR="00611A05" w:rsidRPr="00611A05" w:rsidRDefault="00611A05" w:rsidP="00611A05">
      <w:pPr>
        <w:spacing w:beforeAutospacing="0" w:after="0" w:afterAutospacing="0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 xml:space="preserve">–        neprijala potrebné opatrenia na čo najrýchlejšie uzatvorenie skládok Stupava – </w:t>
      </w:r>
      <w:proofErr w:type="spellStart"/>
      <w:r w:rsidRPr="00611A05">
        <w:rPr>
          <w:rFonts w:ascii="Times New Roman" w:hAnsi="Times New Roman"/>
          <w:bCs/>
          <w:color w:val="000000"/>
        </w:rPr>
        <w:t>Žabáreň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611A05">
        <w:rPr>
          <w:rFonts w:ascii="Times New Roman" w:hAnsi="Times New Roman"/>
          <w:bCs/>
          <w:color w:val="000000"/>
        </w:rPr>
        <w:t>Bobogdány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, Prietrž, Veronika Dežerice, Skládka KO Duslo, Šahy – Holá Stráž, </w:t>
      </w:r>
      <w:proofErr w:type="spellStart"/>
      <w:r w:rsidRPr="00611A05">
        <w:rPr>
          <w:rFonts w:ascii="Times New Roman" w:hAnsi="Times New Roman"/>
          <w:bCs/>
          <w:color w:val="000000"/>
        </w:rPr>
        <w:t>Židová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 – Vráble, Smutná, Hnúšťa – </w:t>
      </w:r>
      <w:proofErr w:type="spellStart"/>
      <w:r w:rsidRPr="00611A05">
        <w:rPr>
          <w:rFonts w:ascii="Times New Roman" w:hAnsi="Times New Roman"/>
          <w:bCs/>
          <w:color w:val="000000"/>
        </w:rPr>
        <w:t>Branzová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 a Veľká Ves, nesplnila povinnosti, ktoré jej vyplývajú z článku 14 písm. b) smernice 1999/31.</w:t>
      </w:r>
    </w:p>
    <w:p w14:paraId="193C3EDA" w14:textId="77777777" w:rsidR="00611A05" w:rsidRPr="00611A05" w:rsidRDefault="00611A05" w:rsidP="00611A05">
      <w:pPr>
        <w:spacing w:beforeAutospacing="0" w:after="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2.      Slovenská republika je povinná nahradiť trovy konania.</w:t>
      </w:r>
    </w:p>
    <w:p w14:paraId="1B1AA8DF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</w:p>
    <w:p w14:paraId="02C69390" w14:textId="6FAC2629" w:rsidR="00611A05" w:rsidRDefault="00EA0807" w:rsidP="00611A05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>Rozsudok Súdneho dvora Európskej únie vo veci C-</w:t>
      </w:r>
      <w:r>
        <w:rPr>
          <w:rFonts w:ascii="Times New Roman" w:hAnsi="Times New Roman"/>
          <w:i/>
        </w:rPr>
        <w:t>626/16</w:t>
      </w:r>
      <w:r w:rsidRPr="004D144B">
        <w:rPr>
          <w:rFonts w:ascii="Times New Roman" w:hAnsi="Times New Roman"/>
          <w:i/>
        </w:rPr>
        <w:t xml:space="preserve">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Slove</w:t>
      </w:r>
      <w:r w:rsidRPr="004D144B">
        <w:rPr>
          <w:rFonts w:ascii="Times New Roman" w:hAnsi="Times New Roman"/>
          <w:i/>
        </w:rPr>
        <w:t xml:space="preserve">nsko </w:t>
      </w:r>
    </w:p>
    <w:p w14:paraId="26DFF859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11A05">
        <w:rPr>
          <w:rFonts w:ascii="Times New Roman" w:hAnsi="Times New Roman"/>
          <w:b/>
        </w:rPr>
        <w:t>Výrok rozsudku:</w:t>
      </w:r>
    </w:p>
    <w:p w14:paraId="794730A4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1.      Slovenská republika si tým, že neprijala všetky opatrenia potrebné na to, aby vyhovela rozsudku z 25. apríla 2013, Komisia/Slovensko (C</w:t>
      </w:r>
      <w:r w:rsidRPr="00611A05">
        <w:rPr>
          <w:rFonts w:ascii="Times New Roman" w:hAnsi="Times New Roman"/>
          <w:bCs/>
          <w:color w:val="000000"/>
        </w:rPr>
        <w:noBreakHyphen/>
        <w:t>331/11, neuverejnený, EU:C:2013:271), nesplnila povinnosti, ktoré jej vyplývajú z článku 260 ods. 1 ZFEÚ.</w:t>
      </w:r>
    </w:p>
    <w:p w14:paraId="3B21FA44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2.      V prípade, ak nesplnenie povinnosti konštatované v bode 1 pretrváva v deň vyhlásenia tohto rozsudku, Slovenskej republike sa ukladá, aby Európskej komisii zaplatila penále vo výške 5 000 eur za každý deň omeškania s vykonaním opatrení potrebných na dosiahnutie súladu s rozsudkom z 25. apríla 2013, Komisia/Slovensko (C</w:t>
      </w:r>
      <w:r w:rsidRPr="00611A05">
        <w:rPr>
          <w:rFonts w:ascii="Times New Roman" w:hAnsi="Times New Roman"/>
          <w:bCs/>
          <w:color w:val="000000"/>
        </w:rPr>
        <w:noBreakHyphen/>
        <w:t>331/11, neuverejnený, EU:C:2013:271), odo dňa vyhlásenia tohto rozsudku až do dňa úplného vyhovenia rozsudku z 25. apríla 2013, Komisia/Slovensko (C</w:t>
      </w:r>
      <w:r w:rsidRPr="00611A05">
        <w:rPr>
          <w:rFonts w:ascii="Times New Roman" w:hAnsi="Times New Roman"/>
          <w:bCs/>
          <w:color w:val="000000"/>
        </w:rPr>
        <w:noBreakHyphen/>
        <w:t>331/11, neuverejnený, EU:C:2013:271).</w:t>
      </w:r>
    </w:p>
    <w:p w14:paraId="218AD1C1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3.      Slovenská republika je povinná zaplatiť Európskej komisii paušálnu pokutu vo výške 1 000 000 eur.</w:t>
      </w:r>
    </w:p>
    <w:p w14:paraId="3A40E815" w14:textId="659DA4CA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i/>
        </w:rPr>
      </w:pPr>
      <w:r w:rsidRPr="00611A05">
        <w:rPr>
          <w:rFonts w:ascii="Times New Roman" w:hAnsi="Times New Roman"/>
          <w:bCs/>
          <w:color w:val="000000"/>
        </w:rPr>
        <w:t>4.      Slovenská republika je povinná nahradiť trovy konania.</w:t>
      </w:r>
    </w:p>
    <w:p w14:paraId="055C5CD6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</w:p>
    <w:p w14:paraId="13AA47C6" w14:textId="4E394D3C" w:rsidR="00EA0807" w:rsidRDefault="00EA0807" w:rsidP="00EA0807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>Rozsudok Súdneho dvora Európskej únie vo veci C-33</w:t>
      </w:r>
      <w:r>
        <w:rPr>
          <w:rFonts w:ascii="Times New Roman" w:hAnsi="Times New Roman"/>
          <w:i/>
        </w:rPr>
        <w:t>1</w:t>
      </w:r>
      <w:r w:rsidRPr="004D144B">
        <w:rPr>
          <w:rFonts w:ascii="Times New Roman" w:hAnsi="Times New Roman"/>
          <w:i/>
        </w:rPr>
        <w:t>/1</w:t>
      </w:r>
      <w:r>
        <w:rPr>
          <w:rFonts w:ascii="Times New Roman" w:hAnsi="Times New Roman"/>
          <w:i/>
        </w:rPr>
        <w:t>1</w:t>
      </w:r>
      <w:r w:rsidRPr="004D144B">
        <w:rPr>
          <w:rFonts w:ascii="Times New Roman" w:hAnsi="Times New Roman"/>
          <w:i/>
        </w:rPr>
        <w:t xml:space="preserve">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Slove</w:t>
      </w:r>
      <w:r w:rsidRPr="004D144B">
        <w:rPr>
          <w:rFonts w:ascii="Times New Roman" w:hAnsi="Times New Roman"/>
          <w:i/>
        </w:rPr>
        <w:t>nsko</w:t>
      </w:r>
    </w:p>
    <w:p w14:paraId="09C25F6E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11A05">
        <w:rPr>
          <w:rFonts w:ascii="Times New Roman" w:hAnsi="Times New Roman"/>
          <w:b/>
        </w:rPr>
        <w:t>Výrok rozsudku:</w:t>
      </w:r>
    </w:p>
    <w:p w14:paraId="00D3C6AC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1.      Slovenská republika si tým, že povolila prevádzkovanie skládky odpadov Žilina</w:t>
      </w:r>
      <w:r w:rsidRPr="00611A05">
        <w:rPr>
          <w:rFonts w:ascii="Times New Roman" w:hAnsi="Times New Roman"/>
          <w:bCs/>
          <w:color w:val="000000"/>
        </w:rPr>
        <w:noBreakHyphen/>
        <w:t>Považský Chlmec bez plánu úpravy skládky a bez toho, aby bolo prijaté konečné rozhodnutie o tom, či táto skládka môže pokračovať vo svojej prevádzke na základe schváleného plánu úpravy, nesplnila povinnosti, ktoré jej vyplývajú z článku 14 písm. a) až c) smernice Rady 1999/31/ES z 26. apríla 1999 o skládkach odpadov.</w:t>
      </w:r>
    </w:p>
    <w:p w14:paraId="57796171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2.      Slovenská republika je povinná nahradiť trovy konania.</w:t>
      </w:r>
    </w:p>
    <w:p w14:paraId="347283BA" w14:textId="76EE570F" w:rsidR="00EA0807" w:rsidRDefault="00EA0807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 xml:space="preserve">Rozsudok Súdneho </w:t>
      </w:r>
      <w:r>
        <w:rPr>
          <w:rFonts w:ascii="Times New Roman" w:hAnsi="Times New Roman"/>
          <w:i/>
        </w:rPr>
        <w:t>dvora Európskej únie vo veci C-109/22</w:t>
      </w:r>
      <w:r w:rsidRPr="004D144B">
        <w:rPr>
          <w:rFonts w:ascii="Times New Roman" w:hAnsi="Times New Roman"/>
          <w:i/>
        </w:rPr>
        <w:t xml:space="preserve">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Rumun</w:t>
      </w:r>
      <w:r w:rsidRPr="004D144B">
        <w:rPr>
          <w:rFonts w:ascii="Times New Roman" w:hAnsi="Times New Roman"/>
          <w:i/>
        </w:rPr>
        <w:t>sko</w:t>
      </w:r>
    </w:p>
    <w:p w14:paraId="5419A58F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11A05">
        <w:rPr>
          <w:rFonts w:ascii="Times New Roman" w:hAnsi="Times New Roman"/>
          <w:b/>
        </w:rPr>
        <w:t>Výrok rozsudku:</w:t>
      </w:r>
    </w:p>
    <w:p w14:paraId="76F130FE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1.  Rumunsko si tým, že neprijalo všetky opatrenia potrebné na vykonanie rozsudku z 18. októbra 2018, Komisia/Rumunsko (C</w:t>
      </w:r>
      <w:r w:rsidRPr="00611A05">
        <w:rPr>
          <w:rFonts w:ascii="Times New Roman" w:hAnsi="Times New Roman"/>
          <w:bCs/>
          <w:color w:val="000000"/>
        </w:rPr>
        <w:noBreakHyphen/>
        <w:t>301/17, EU:C:2018:846), nesplnilo povinnosti, ktoré mu vyplývajú z článku 260 ods. 1 ZFEÚ.</w:t>
      </w:r>
    </w:p>
    <w:p w14:paraId="1DF17C82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2.  Rumunsko je povinné zaplatiť Európskej komisii penále vo výške 600 eur za každú skládku a každý deň omeškania s vykonaním opatrení potrebných na dosiahnutie súladu s rozsudkom z 18. októbra 2018, Komisia/Rumunsko (C</w:t>
      </w:r>
      <w:r w:rsidRPr="00611A05">
        <w:rPr>
          <w:rFonts w:ascii="Times New Roman" w:hAnsi="Times New Roman"/>
          <w:bCs/>
          <w:color w:val="000000"/>
        </w:rPr>
        <w:noBreakHyphen/>
        <w:t xml:space="preserve">301/17, EU:C:2018:846), a to odo dňa </w:t>
      </w:r>
      <w:r w:rsidRPr="00611A05">
        <w:rPr>
          <w:rFonts w:ascii="Times New Roman" w:hAnsi="Times New Roman"/>
          <w:bCs/>
          <w:color w:val="000000"/>
        </w:rPr>
        <w:lastRenderedPageBreak/>
        <w:t>vyhlásenia rozsudku v </w:t>
      </w:r>
      <w:proofErr w:type="spellStart"/>
      <w:r w:rsidRPr="00611A05">
        <w:rPr>
          <w:rFonts w:ascii="Times New Roman" w:hAnsi="Times New Roman"/>
          <w:bCs/>
          <w:color w:val="000000"/>
        </w:rPr>
        <w:t>prejednávanej</w:t>
      </w:r>
      <w:proofErr w:type="spellEnd"/>
      <w:r w:rsidRPr="00611A05">
        <w:rPr>
          <w:rFonts w:ascii="Times New Roman" w:hAnsi="Times New Roman"/>
          <w:bCs/>
          <w:color w:val="000000"/>
        </w:rPr>
        <w:t xml:space="preserve"> veci až do dňa úplného vykonania rozsudku z 18. októbra 2018, Komisia/Rumunsko (C</w:t>
      </w:r>
      <w:r w:rsidRPr="00611A05">
        <w:rPr>
          <w:rFonts w:ascii="Times New Roman" w:hAnsi="Times New Roman"/>
          <w:bCs/>
          <w:color w:val="000000"/>
        </w:rPr>
        <w:noBreakHyphen/>
        <w:t>301/17, EU:C:2018:846).</w:t>
      </w:r>
    </w:p>
    <w:p w14:paraId="544240FF" w14:textId="77777777" w:rsidR="00611A05" w:rsidRPr="00611A05" w:rsidRDefault="00611A05" w:rsidP="00611A05">
      <w:pPr>
        <w:spacing w:beforeAutospacing="0" w:after="240" w:afterAutospacing="0"/>
        <w:ind w:firstLine="567"/>
        <w:jc w:val="both"/>
        <w:rPr>
          <w:rFonts w:ascii="Times New Roman" w:hAnsi="Times New Roman"/>
          <w:bCs/>
          <w:color w:val="000000"/>
        </w:rPr>
      </w:pPr>
      <w:r w:rsidRPr="00611A05">
        <w:rPr>
          <w:rFonts w:ascii="Times New Roman" w:hAnsi="Times New Roman"/>
          <w:bCs/>
          <w:color w:val="000000"/>
        </w:rPr>
        <w:t>3.  Rumunsko je povinné zaplatiť Európskej komisii paušálnu pokutu vo výške 1 500 000 eur.</w:t>
      </w:r>
    </w:p>
    <w:p w14:paraId="6DBCD539" w14:textId="6BD6A026" w:rsidR="00EA0807" w:rsidRDefault="00EA0807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>Rozsudok Súdneho dvora Európskej únie vo veci C-</w:t>
      </w:r>
      <w:r>
        <w:rPr>
          <w:rFonts w:ascii="Times New Roman" w:hAnsi="Times New Roman"/>
          <w:i/>
        </w:rPr>
        <w:t>301/17</w:t>
      </w:r>
      <w:r w:rsidRPr="004D144B">
        <w:rPr>
          <w:rFonts w:ascii="Times New Roman" w:hAnsi="Times New Roman"/>
          <w:i/>
        </w:rPr>
        <w:t xml:space="preserve">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Rumun</w:t>
      </w:r>
      <w:r w:rsidRPr="004D144B">
        <w:rPr>
          <w:rFonts w:ascii="Times New Roman" w:hAnsi="Times New Roman"/>
          <w:i/>
        </w:rPr>
        <w:t>sko</w:t>
      </w:r>
    </w:p>
    <w:p w14:paraId="5B7E5BBB" w14:textId="77777777" w:rsidR="00611A05" w:rsidRDefault="00611A05" w:rsidP="00611A05">
      <w:pPr>
        <w:pStyle w:val="c08dispositif"/>
        <w:spacing w:beforeAutospacing="0" w:after="240" w:afterAutospacing="0"/>
        <w:jc w:val="both"/>
        <w:rPr>
          <w:b/>
          <w:bCs/>
          <w:color w:val="000000"/>
        </w:rPr>
      </w:pPr>
      <w:r>
        <w:rPr>
          <w:b/>
        </w:rPr>
        <w:t xml:space="preserve">Výrok rozsudku: </w:t>
      </w:r>
      <w:r>
        <w:rPr>
          <w:b/>
          <w:bCs/>
          <w:color w:val="000000"/>
        </w:rPr>
        <w:t> </w:t>
      </w:r>
    </w:p>
    <w:p w14:paraId="1991FE23" w14:textId="77777777" w:rsidR="00611A05" w:rsidRDefault="00611A05" w:rsidP="00611A05">
      <w:pPr>
        <w:pStyle w:val="c08dispositif"/>
        <w:spacing w:before="0" w:beforeAutospacing="0" w:after="0" w:afterAutospacing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1. Rumunsko si tým , že v súvislosti s 68 predmetnými skládkami neprijalo všetky   potrebné opatrenia na ich čo najskoršie uzavretie v súlade s článkom 7 písm. g) a článkom 13 smernice Rady 1999/31/ES z 26. apríla 1999 o skládkach odpadov, ktoré v súlade s článkom 8 tejto smernice nezískali povolenie na pokračovanie v prevádzke, nesplnilo povinnosti , ktoré mu vyplývajú z článku 14 písm. b) smernice 1999/31 v spojení s článkom 13 tejto smernice.</w:t>
      </w:r>
    </w:p>
    <w:p w14:paraId="10CF3918" w14:textId="77777777" w:rsidR="00611A05" w:rsidRDefault="00611A05" w:rsidP="00611A05">
      <w:pPr>
        <w:spacing w:beforeAutospacing="0" w:after="240" w:afterAutospacing="0"/>
        <w:ind w:left="851" w:hanging="142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  Rumunsko je povinné nahradiť trovy konania.</w:t>
      </w:r>
    </w:p>
    <w:p w14:paraId="60CB778D" w14:textId="68AAA8BA" w:rsidR="00EA0807" w:rsidRDefault="00EA0807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>Rozsudok Súdneho dvora Európskej únie vo veci C-</w:t>
      </w:r>
      <w:r>
        <w:rPr>
          <w:rFonts w:ascii="Times New Roman" w:hAnsi="Times New Roman"/>
          <w:i/>
        </w:rPr>
        <w:t>506/17</w:t>
      </w:r>
      <w:r w:rsidRPr="004D144B">
        <w:rPr>
          <w:rFonts w:ascii="Times New Roman" w:hAnsi="Times New Roman"/>
          <w:i/>
        </w:rPr>
        <w:t xml:space="preserve">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  <w:i/>
        </w:rPr>
        <w:t>Slovi</w:t>
      </w:r>
      <w:r w:rsidRPr="004D144B">
        <w:rPr>
          <w:rFonts w:ascii="Times New Roman" w:hAnsi="Times New Roman"/>
          <w:i/>
        </w:rPr>
        <w:t>nsko</w:t>
      </w:r>
    </w:p>
    <w:p w14:paraId="1A3CD946" w14:textId="77777777" w:rsid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Výrok rozsudku:</w:t>
      </w:r>
    </w:p>
    <w:p w14:paraId="2B68205B" w14:textId="77777777" w:rsidR="00611A05" w:rsidRDefault="00611A05" w:rsidP="00611A05">
      <w:pPr>
        <w:pStyle w:val="c08dispositif"/>
        <w:spacing w:after="240" w:afterAutospacing="0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1.       Slovinská republika tým, že neprijala potrebné opatrenia:</w:t>
      </w:r>
    </w:p>
    <w:p w14:paraId="54AE194D" w14:textId="77777777" w:rsidR="00611A05" w:rsidRDefault="00611A05" w:rsidP="00611A05">
      <w:pPr>
        <w:pStyle w:val="Odsekzoznamu"/>
        <w:ind w:left="114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        </w:t>
      </w:r>
      <w:r>
        <w:rPr>
          <w:rFonts w:ascii="Times New Roman" w:hAnsi="Times New Roman"/>
          <w:bCs/>
          <w:color w:val="000000"/>
        </w:rPr>
        <w:t xml:space="preserve">najneskôr do 16. júla 2009 v súlade s článkom 7 písm. g) a článkom 13 smernice Rady 1999/31/ES z 26. apríla 1999 o skládkach odpadov, skládok </w:t>
      </w:r>
      <w:proofErr w:type="spellStart"/>
      <w:r>
        <w:rPr>
          <w:rFonts w:ascii="Times New Roman" w:hAnsi="Times New Roman"/>
          <w:bCs/>
          <w:color w:val="000000"/>
        </w:rPr>
        <w:t>Dragonja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Izol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Dvori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Rakek-Pretržje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Bukovžlak-Cinkarna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Dobraja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Mozdelska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Mibradels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Dolga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Poljana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Dolga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vas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Jelšane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Volče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Stara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gora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Stara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Vas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Dogoše</w:t>
      </w:r>
      <w:proofErr w:type="spellEnd"/>
      <w:r>
        <w:rPr>
          <w:rFonts w:ascii="Times New Roman" w:hAnsi="Times New Roman"/>
          <w:bCs/>
          <w:color w:val="000000"/>
        </w:rPr>
        <w:t xml:space="preserve">, Mala </w:t>
      </w:r>
      <w:proofErr w:type="spellStart"/>
      <w:r>
        <w:rPr>
          <w:rFonts w:ascii="Times New Roman" w:hAnsi="Times New Roman"/>
          <w:bCs/>
          <w:color w:val="000000"/>
        </w:rPr>
        <w:t>gora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Tuncovec-Steklarna</w:t>
      </w:r>
      <w:proofErr w:type="spellEnd"/>
      <w:r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Tuncovec</w:t>
      </w:r>
      <w:proofErr w:type="spellEnd"/>
      <w:r>
        <w:rPr>
          <w:rFonts w:ascii="Times New Roman" w:hAnsi="Times New Roman"/>
          <w:bCs/>
          <w:color w:val="000000"/>
        </w:rPr>
        <w:t xml:space="preserve">-OKP a </w:t>
      </w:r>
      <w:proofErr w:type="spellStart"/>
      <w:r>
        <w:rPr>
          <w:rFonts w:ascii="Times New Roman" w:hAnsi="Times New Roman"/>
          <w:bCs/>
          <w:color w:val="000000"/>
        </w:rPr>
        <w:t>Bočna-Podhom</w:t>
      </w:r>
      <w:proofErr w:type="spellEnd"/>
      <w:r>
        <w:rPr>
          <w:rFonts w:ascii="Times New Roman" w:hAnsi="Times New Roman"/>
          <w:bCs/>
          <w:color w:val="000000"/>
        </w:rPr>
        <w:t>, ktoré nezískali povolenie pokračovať v prevádzke v súlade s článkom 8 uvedenej smernice, a</w:t>
      </w:r>
    </w:p>
    <w:p w14:paraId="360D7B6F" w14:textId="77777777" w:rsidR="00611A05" w:rsidRDefault="00611A05" w:rsidP="00611A05">
      <w:pPr>
        <w:pStyle w:val="Odsekzoznamu"/>
        <w:ind w:left="114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–         </w:t>
      </w:r>
      <w:r>
        <w:rPr>
          <w:rFonts w:ascii="Times New Roman" w:hAnsi="Times New Roman"/>
          <w:bCs/>
          <w:color w:val="000000"/>
        </w:rPr>
        <w:t>aby skládka Ostri vrch splnila požiadavky smernice 1999/31, s výnimkou požiadaviek uvedených v bode 1 prílohy I k tejto smernici, najneskôr do 16. júla 2009, nesplnila svoje povinnosti podľa článku 14 písm. b) a článku 14 písm. c) smernice 1999/31.</w:t>
      </w:r>
    </w:p>
    <w:p w14:paraId="3E4530B5" w14:textId="77777777" w:rsidR="00611A05" w:rsidRDefault="00611A05" w:rsidP="00611A05">
      <w:pPr>
        <w:spacing w:after="240" w:afterAutospacing="0"/>
        <w:ind w:firstLine="72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       Slovinská republika je povinná nahradiť trovy konania.</w:t>
      </w:r>
    </w:p>
    <w:p w14:paraId="7A4D764C" w14:textId="2B71DD8D" w:rsidR="00EA0807" w:rsidRDefault="00EA0807" w:rsidP="004D144B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>Rozsudok Súdneho dvora Európskej únie vo veci C-</w:t>
      </w:r>
      <w:r>
        <w:rPr>
          <w:rFonts w:ascii="Times New Roman" w:hAnsi="Times New Roman"/>
          <w:i/>
        </w:rPr>
        <w:t>498/17</w:t>
      </w:r>
      <w:r w:rsidRPr="004D144B">
        <w:rPr>
          <w:rFonts w:ascii="Times New Roman" w:hAnsi="Times New Roman"/>
          <w:i/>
        </w:rPr>
        <w:t xml:space="preserve">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>. Taliansko</w:t>
      </w:r>
    </w:p>
    <w:p w14:paraId="63D3E38F" w14:textId="77777777" w:rsidR="00611A05" w:rsidRPr="00611A05" w:rsidRDefault="00611A05" w:rsidP="00611A05">
      <w:pPr>
        <w:rPr>
          <w:rFonts w:ascii="Times New Roman" w:hAnsi="Times New Roman"/>
          <w:b/>
        </w:rPr>
      </w:pPr>
      <w:r w:rsidRPr="00611A05">
        <w:rPr>
          <w:rFonts w:ascii="Times New Roman" w:hAnsi="Times New Roman"/>
          <w:b/>
        </w:rPr>
        <w:t>Výrok rozsudku:</w:t>
      </w:r>
    </w:p>
    <w:p w14:paraId="52CDBF63" w14:textId="77777777" w:rsidR="00611A05" w:rsidRDefault="00611A05" w:rsidP="00611A05">
      <w:pPr>
        <w:spacing w:beforeAutospacing="0" w:after="240" w:afterAutospacing="0"/>
        <w:ind w:left="1134" w:hanging="56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1.      Talianska republika si tým, že pokiaľ ide o skládky v obciach </w:t>
      </w:r>
      <w:proofErr w:type="spellStart"/>
      <w:r>
        <w:rPr>
          <w:rFonts w:ascii="Times New Roman" w:hAnsi="Times New Roman"/>
          <w:bCs/>
          <w:color w:val="000000"/>
        </w:rPr>
        <w:t>Avigliano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Serre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Le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Brecce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Ferrandina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Venita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Genzano</w:t>
      </w:r>
      <w:proofErr w:type="spellEnd"/>
      <w:r>
        <w:rPr>
          <w:rFonts w:ascii="Times New Roman" w:hAnsi="Times New Roman"/>
          <w:bCs/>
          <w:color w:val="000000"/>
        </w:rPr>
        <w:t xml:space="preserve"> di </w:t>
      </w:r>
      <w:proofErr w:type="spellStart"/>
      <w:r>
        <w:rPr>
          <w:rFonts w:ascii="Times New Roman" w:hAnsi="Times New Roman"/>
          <w:bCs/>
          <w:color w:val="000000"/>
        </w:rPr>
        <w:t>Lucania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Matinella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Latronico</w:t>
      </w:r>
      <w:proofErr w:type="spellEnd"/>
      <w:r>
        <w:rPr>
          <w:rFonts w:ascii="Times New Roman" w:hAnsi="Times New Roman"/>
          <w:bCs/>
          <w:color w:val="000000"/>
        </w:rPr>
        <w:t xml:space="preserve"> (oblasť Torre), </w:t>
      </w:r>
      <w:proofErr w:type="spellStart"/>
      <w:r>
        <w:rPr>
          <w:rFonts w:ascii="Times New Roman" w:hAnsi="Times New Roman"/>
          <w:bCs/>
          <w:color w:val="000000"/>
        </w:rPr>
        <w:t>Lauria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Carpineto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Maratea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Montescuro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Moliterno</w:t>
      </w:r>
      <w:proofErr w:type="spellEnd"/>
      <w:r>
        <w:rPr>
          <w:rFonts w:ascii="Times New Roman" w:hAnsi="Times New Roman"/>
          <w:bCs/>
          <w:color w:val="000000"/>
        </w:rPr>
        <w:t xml:space="preserve"> (oblasť Tempa La </w:t>
      </w:r>
      <w:proofErr w:type="spellStart"/>
      <w:r>
        <w:rPr>
          <w:rFonts w:ascii="Times New Roman" w:hAnsi="Times New Roman"/>
          <w:bCs/>
          <w:color w:val="000000"/>
        </w:rPr>
        <w:t>Guarella</w:t>
      </w:r>
      <w:proofErr w:type="spellEnd"/>
      <w:r>
        <w:rPr>
          <w:rFonts w:ascii="Times New Roman" w:hAnsi="Times New Roman"/>
          <w:bCs/>
          <w:color w:val="000000"/>
        </w:rPr>
        <w:t>), o dve skládky v obci </w:t>
      </w:r>
      <w:proofErr w:type="spellStart"/>
      <w:r>
        <w:rPr>
          <w:rFonts w:ascii="Times New Roman" w:hAnsi="Times New Roman"/>
          <w:bCs/>
          <w:color w:val="000000"/>
        </w:rPr>
        <w:t>Potenza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Montegrosso</w:t>
      </w:r>
      <w:r>
        <w:rPr>
          <w:rFonts w:ascii="Times New Roman" w:hAnsi="Times New Roman"/>
          <w:bCs/>
          <w:color w:val="000000"/>
        </w:rPr>
        <w:noBreakHyphen/>
        <w:t>Pallareta</w:t>
      </w:r>
      <w:proofErr w:type="spellEnd"/>
      <w:r>
        <w:rPr>
          <w:rFonts w:ascii="Times New Roman" w:hAnsi="Times New Roman"/>
          <w:bCs/>
          <w:color w:val="000000"/>
        </w:rPr>
        <w:t xml:space="preserve">), o skládky v obciach </w:t>
      </w:r>
      <w:proofErr w:type="spellStart"/>
      <w:r>
        <w:rPr>
          <w:rFonts w:ascii="Times New Roman" w:hAnsi="Times New Roman"/>
          <w:bCs/>
          <w:color w:val="000000"/>
        </w:rPr>
        <w:t>Rapolla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Albero</w:t>
      </w:r>
      <w:proofErr w:type="spellEnd"/>
      <w:r>
        <w:rPr>
          <w:rFonts w:ascii="Times New Roman" w:hAnsi="Times New Roman"/>
          <w:bCs/>
          <w:color w:val="000000"/>
        </w:rPr>
        <w:t xml:space="preserve"> in Piano), </w:t>
      </w:r>
      <w:proofErr w:type="spellStart"/>
      <w:r>
        <w:rPr>
          <w:rFonts w:ascii="Times New Roman" w:hAnsi="Times New Roman"/>
          <w:bCs/>
          <w:color w:val="000000"/>
        </w:rPr>
        <w:t>Roccanova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Serre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Sant’Angelo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Le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Fratte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Farisi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Campotosto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Reperduso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Capistrello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Trasolero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Francavilla</w:t>
      </w:r>
      <w:proofErr w:type="spellEnd"/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</w:rPr>
        <w:t>Valle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Anzuca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L’Aquila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Ponte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delle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Grotte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Andria</w:t>
      </w:r>
      <w:proofErr w:type="spellEnd"/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</w:rPr>
        <w:t>D’Oria</w:t>
      </w:r>
      <w:proofErr w:type="spellEnd"/>
      <w:r>
        <w:rPr>
          <w:rFonts w:ascii="Times New Roman" w:hAnsi="Times New Roman"/>
          <w:bCs/>
          <w:color w:val="000000"/>
        </w:rPr>
        <w:t xml:space="preserve"> G. &amp; C. </w:t>
      </w:r>
      <w:proofErr w:type="spellStart"/>
      <w:r>
        <w:rPr>
          <w:rFonts w:ascii="Times New Roman" w:hAnsi="Times New Roman"/>
          <w:bCs/>
          <w:color w:val="000000"/>
        </w:rPr>
        <w:t>Snc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Canosa</w:t>
      </w:r>
      <w:proofErr w:type="spellEnd"/>
      <w:r>
        <w:rPr>
          <w:rFonts w:ascii="Times New Roman" w:hAnsi="Times New Roman"/>
          <w:bCs/>
          <w:color w:val="000000"/>
        </w:rPr>
        <w:t xml:space="preserve"> (CO.BE.MA), </w:t>
      </w:r>
      <w:proofErr w:type="spellStart"/>
      <w:r>
        <w:rPr>
          <w:rFonts w:ascii="Times New Roman" w:hAnsi="Times New Roman"/>
          <w:bCs/>
          <w:color w:val="000000"/>
        </w:rPr>
        <w:t>Bisceglie</w:t>
      </w:r>
      <w:proofErr w:type="spellEnd"/>
      <w:r>
        <w:rPr>
          <w:rFonts w:ascii="Times New Roman" w:hAnsi="Times New Roman"/>
          <w:bCs/>
          <w:color w:val="000000"/>
        </w:rPr>
        <w:t xml:space="preserve"> (CO.GE.SER), </w:t>
      </w:r>
      <w:proofErr w:type="spellStart"/>
      <w:r>
        <w:rPr>
          <w:rFonts w:ascii="Times New Roman" w:hAnsi="Times New Roman"/>
          <w:bCs/>
          <w:color w:val="000000"/>
        </w:rPr>
        <w:t>Andria</w:t>
      </w:r>
      <w:proofErr w:type="spellEnd"/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</w:rPr>
        <w:t>F.lli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Acquaviva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Trani</w:t>
      </w:r>
      <w:proofErr w:type="spellEnd"/>
      <w:r>
        <w:rPr>
          <w:rFonts w:ascii="Times New Roman" w:hAnsi="Times New Roman"/>
          <w:bCs/>
          <w:color w:val="000000"/>
        </w:rPr>
        <w:t xml:space="preserve"> (BAT</w:t>
      </w:r>
      <w:r>
        <w:rPr>
          <w:rFonts w:ascii="Times New Roman" w:hAnsi="Times New Roman"/>
          <w:bCs/>
          <w:color w:val="000000"/>
        </w:rPr>
        <w:noBreakHyphen/>
      </w:r>
      <w:proofErr w:type="spellStart"/>
      <w:r>
        <w:rPr>
          <w:rFonts w:ascii="Times New Roman" w:hAnsi="Times New Roman"/>
          <w:bCs/>
          <w:color w:val="000000"/>
        </w:rPr>
        <w:t>Igea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Srl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Torviscosa</w:t>
      </w:r>
      <w:proofErr w:type="spellEnd"/>
      <w:r>
        <w:rPr>
          <w:rFonts w:ascii="Times New Roman" w:hAnsi="Times New Roman"/>
          <w:bCs/>
          <w:color w:val="000000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</w:rPr>
        <w:t>sposločnosť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Caffaro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Atella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Cafaro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Corleto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Perticara</w:t>
      </w:r>
      <w:proofErr w:type="spellEnd"/>
      <w:r>
        <w:rPr>
          <w:rFonts w:ascii="Times New Roman" w:hAnsi="Times New Roman"/>
          <w:bCs/>
          <w:color w:val="000000"/>
        </w:rPr>
        <w:t xml:space="preserve"> (oblasť Tempa </w:t>
      </w:r>
      <w:proofErr w:type="spellStart"/>
      <w:r>
        <w:rPr>
          <w:rFonts w:ascii="Times New Roman" w:hAnsi="Times New Roman"/>
          <w:bCs/>
          <w:color w:val="000000"/>
        </w:rPr>
        <w:lastRenderedPageBreak/>
        <w:t>Masone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Marsico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Nuovo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Galaino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Matera</w:t>
      </w:r>
      <w:proofErr w:type="spellEnd"/>
      <w:r>
        <w:rPr>
          <w:rFonts w:ascii="Times New Roman" w:hAnsi="Times New Roman"/>
          <w:bCs/>
          <w:color w:val="000000"/>
        </w:rPr>
        <w:t xml:space="preserve"> (oblasť La </w:t>
      </w:r>
      <w:proofErr w:type="spellStart"/>
      <w:r>
        <w:rPr>
          <w:rFonts w:ascii="Times New Roman" w:hAnsi="Times New Roman"/>
          <w:bCs/>
          <w:color w:val="000000"/>
        </w:rPr>
        <w:t>Martella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Pescopagano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Domacchia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Rionero</w:t>
      </w:r>
      <w:proofErr w:type="spellEnd"/>
      <w:r>
        <w:rPr>
          <w:rFonts w:ascii="Times New Roman" w:hAnsi="Times New Roman"/>
          <w:bCs/>
          <w:color w:val="000000"/>
        </w:rPr>
        <w:t xml:space="preserve"> in </w:t>
      </w:r>
      <w:proofErr w:type="spellStart"/>
      <w:r>
        <w:rPr>
          <w:rFonts w:ascii="Times New Roman" w:hAnsi="Times New Roman"/>
          <w:bCs/>
          <w:color w:val="000000"/>
        </w:rPr>
        <w:t>Volture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Ventaruolo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Salandra</w:t>
      </w:r>
      <w:proofErr w:type="spellEnd"/>
      <w:r>
        <w:rPr>
          <w:rFonts w:ascii="Times New Roman" w:hAnsi="Times New Roman"/>
          <w:bCs/>
          <w:color w:val="000000"/>
        </w:rPr>
        <w:t xml:space="preserve"> (oblasť Piano del </w:t>
      </w:r>
      <w:proofErr w:type="spellStart"/>
      <w:r>
        <w:rPr>
          <w:rFonts w:ascii="Times New Roman" w:hAnsi="Times New Roman"/>
          <w:bCs/>
          <w:color w:val="000000"/>
        </w:rPr>
        <w:t>Governo</w:t>
      </w:r>
      <w:proofErr w:type="spellEnd"/>
      <w:r>
        <w:rPr>
          <w:rFonts w:ascii="Times New Roman" w:hAnsi="Times New Roman"/>
          <w:bCs/>
          <w:color w:val="000000"/>
        </w:rPr>
        <w:t xml:space="preserve">), San </w:t>
      </w:r>
      <w:proofErr w:type="spellStart"/>
      <w:r>
        <w:rPr>
          <w:rFonts w:ascii="Times New Roman" w:hAnsi="Times New Roman"/>
          <w:bCs/>
          <w:color w:val="000000"/>
        </w:rPr>
        <w:t>Mauro</w:t>
      </w:r>
      <w:proofErr w:type="spellEnd"/>
      <w:r>
        <w:rPr>
          <w:rFonts w:ascii="Times New Roman" w:hAnsi="Times New Roman"/>
          <w:bCs/>
          <w:color w:val="000000"/>
        </w:rPr>
        <w:t xml:space="preserve"> Forte (oblasť Priati), </w:t>
      </w:r>
      <w:proofErr w:type="spellStart"/>
      <w:r>
        <w:rPr>
          <w:rFonts w:ascii="Times New Roman" w:hAnsi="Times New Roman"/>
          <w:bCs/>
          <w:color w:val="000000"/>
        </w:rPr>
        <w:t>Senise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Palomabara</w:t>
      </w:r>
      <w:proofErr w:type="spellEnd"/>
      <w:r>
        <w:rPr>
          <w:rFonts w:ascii="Times New Roman" w:hAnsi="Times New Roman"/>
          <w:bCs/>
          <w:color w:val="000000"/>
        </w:rPr>
        <w:t xml:space="preserve">), Tito (oblasť </w:t>
      </w:r>
      <w:proofErr w:type="spellStart"/>
      <w:r>
        <w:rPr>
          <w:rFonts w:ascii="Times New Roman" w:hAnsi="Times New Roman"/>
          <w:bCs/>
          <w:color w:val="000000"/>
        </w:rPr>
        <w:t>Aia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dei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Monaci</w:t>
      </w:r>
      <w:proofErr w:type="spellEnd"/>
      <w:r>
        <w:rPr>
          <w:rFonts w:ascii="Times New Roman" w:hAnsi="Times New Roman"/>
          <w:bCs/>
          <w:color w:val="000000"/>
        </w:rPr>
        <w:t xml:space="preserve">), Tito (oblasť </w:t>
      </w:r>
      <w:proofErr w:type="spellStart"/>
      <w:r>
        <w:rPr>
          <w:rFonts w:ascii="Times New Roman" w:hAnsi="Times New Roman"/>
          <w:bCs/>
          <w:color w:val="000000"/>
        </w:rPr>
        <w:t>Valle</w:t>
      </w:r>
      <w:proofErr w:type="spellEnd"/>
      <w:r>
        <w:rPr>
          <w:rFonts w:ascii="Times New Roman" w:hAnsi="Times New Roman"/>
          <w:bCs/>
          <w:color w:val="000000"/>
        </w:rPr>
        <w:t xml:space="preserve"> del </w:t>
      </w:r>
      <w:proofErr w:type="spellStart"/>
      <w:r>
        <w:rPr>
          <w:rFonts w:ascii="Times New Roman" w:hAnsi="Times New Roman"/>
          <w:bCs/>
          <w:color w:val="000000"/>
        </w:rPr>
        <w:t>Forno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Capestrano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Tirassegno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Castellalto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Colle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Coccu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Castelvecchio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Calvisio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Termine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Corfinio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Cannucce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Corfinio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Case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querceto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Mosciano</w:t>
      </w:r>
      <w:proofErr w:type="spellEnd"/>
      <w:r>
        <w:rPr>
          <w:rFonts w:ascii="Times New Roman" w:hAnsi="Times New Roman"/>
          <w:bCs/>
          <w:color w:val="000000"/>
        </w:rPr>
        <w:t xml:space="preserve"> S. </w:t>
      </w:r>
      <w:proofErr w:type="spellStart"/>
      <w:r>
        <w:rPr>
          <w:rFonts w:ascii="Times New Roman" w:hAnsi="Times New Roman"/>
          <w:bCs/>
          <w:color w:val="000000"/>
        </w:rPr>
        <w:t>Angelo</w:t>
      </w:r>
      <w:proofErr w:type="spellEnd"/>
      <w:r>
        <w:rPr>
          <w:rFonts w:ascii="Times New Roman" w:hAnsi="Times New Roman"/>
          <w:bCs/>
          <w:color w:val="000000"/>
        </w:rPr>
        <w:t xml:space="preserve"> (oblasť Santa </w:t>
      </w:r>
      <w:proofErr w:type="spellStart"/>
      <w:r>
        <w:rPr>
          <w:rFonts w:ascii="Times New Roman" w:hAnsi="Times New Roman"/>
          <w:bCs/>
          <w:color w:val="000000"/>
        </w:rPr>
        <w:t>Assunta</w:t>
      </w:r>
      <w:proofErr w:type="spellEnd"/>
      <w:r>
        <w:rPr>
          <w:rFonts w:ascii="Times New Roman" w:hAnsi="Times New Roman"/>
          <w:bCs/>
          <w:color w:val="000000"/>
        </w:rPr>
        <w:t>), S. </w:t>
      </w:r>
      <w:proofErr w:type="spellStart"/>
      <w:r>
        <w:rPr>
          <w:rFonts w:ascii="Times New Roman" w:hAnsi="Times New Roman"/>
          <w:bCs/>
          <w:color w:val="000000"/>
        </w:rPr>
        <w:t>Omero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Ficcadenti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Montecorvino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Pugliano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Parapoti</w:t>
      </w:r>
      <w:proofErr w:type="spellEnd"/>
      <w:r>
        <w:rPr>
          <w:rFonts w:ascii="Times New Roman" w:hAnsi="Times New Roman"/>
          <w:bCs/>
          <w:color w:val="000000"/>
        </w:rPr>
        <w:t xml:space="preserve">), San </w:t>
      </w:r>
      <w:proofErr w:type="spellStart"/>
      <w:r>
        <w:rPr>
          <w:rFonts w:ascii="Times New Roman" w:hAnsi="Times New Roman"/>
          <w:bCs/>
          <w:color w:val="000000"/>
        </w:rPr>
        <w:t>Bartolomeo</w:t>
      </w:r>
      <w:proofErr w:type="spellEnd"/>
      <w:r>
        <w:rPr>
          <w:rFonts w:ascii="Times New Roman" w:hAnsi="Times New Roman"/>
          <w:bCs/>
          <w:color w:val="000000"/>
        </w:rPr>
        <w:t xml:space="preserve"> in </w:t>
      </w:r>
      <w:proofErr w:type="spellStart"/>
      <w:r>
        <w:rPr>
          <w:rFonts w:ascii="Times New Roman" w:hAnsi="Times New Roman"/>
          <w:bCs/>
          <w:color w:val="000000"/>
        </w:rPr>
        <w:t>Galdo</w:t>
      </w:r>
      <w:proofErr w:type="spellEnd"/>
      <w:r>
        <w:rPr>
          <w:rFonts w:ascii="Times New Roman" w:hAnsi="Times New Roman"/>
          <w:bCs/>
          <w:color w:val="000000"/>
        </w:rPr>
        <w:t xml:space="preserve"> (oblasť </w:t>
      </w:r>
      <w:proofErr w:type="spellStart"/>
      <w:r>
        <w:rPr>
          <w:rFonts w:ascii="Times New Roman" w:hAnsi="Times New Roman"/>
          <w:bCs/>
          <w:color w:val="000000"/>
        </w:rPr>
        <w:t>Serra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Pastore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Trivigano</w:t>
      </w:r>
      <w:proofErr w:type="spellEnd"/>
      <w:r>
        <w:rPr>
          <w:rFonts w:ascii="Times New Roman" w:hAnsi="Times New Roman"/>
          <w:bCs/>
          <w:color w:val="000000"/>
        </w:rPr>
        <w:t xml:space="preserve"> (predtým </w:t>
      </w:r>
      <w:proofErr w:type="spellStart"/>
      <w:r>
        <w:rPr>
          <w:rFonts w:ascii="Times New Roman" w:hAnsi="Times New Roman"/>
          <w:bCs/>
          <w:color w:val="000000"/>
        </w:rPr>
        <w:t>Cava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Zof</w:t>
      </w:r>
      <w:proofErr w:type="spellEnd"/>
      <w:r>
        <w:rPr>
          <w:rFonts w:ascii="Times New Roman" w:hAnsi="Times New Roman"/>
          <w:bCs/>
          <w:color w:val="000000"/>
        </w:rPr>
        <w:t>) a </w:t>
      </w:r>
      <w:proofErr w:type="spellStart"/>
      <w:r>
        <w:rPr>
          <w:rFonts w:ascii="Times New Roman" w:hAnsi="Times New Roman"/>
          <w:bCs/>
          <w:color w:val="000000"/>
        </w:rPr>
        <w:t>Torviscosa</w:t>
      </w:r>
      <w:proofErr w:type="spellEnd"/>
      <w:r>
        <w:rPr>
          <w:rFonts w:ascii="Times New Roman" w:hAnsi="Times New Roman"/>
          <w:bCs/>
          <w:color w:val="000000"/>
        </w:rPr>
        <w:t xml:space="preserve"> (oblasť La Valletta), neprijala v súlade s článkom 7 písm. g) a článkom 13 smernice Rady 1999/31/ES z 26. apríla 1999 o skládkach odpadov všetky opatrenia potrebné na to, aby čo najskôr boli zavreté tie z uvedených skládok, ktorým v súlade s článkom 8 tejto smernice nebolo vydané povolenie pokračovať v prevádzke, alebo neprijala opatrenia potrebné na dosiahnutie súladu s uvedenou smernicou v prípade tých z uvedených skládok, ktorým bolo vydané povolenie pokračovať v prevádzke, bez toho, aby tým boli dotknuté podmienky stanovené v prílohe I bode 1 tejto istej smernice, nesplnila povinnosti, ktoré jej vyplývajú z článku 14 písm. b) a c) smernice 1999/31.</w:t>
      </w:r>
    </w:p>
    <w:p w14:paraId="09F261C5" w14:textId="08B2A688" w:rsidR="00611A05" w:rsidRPr="00611A05" w:rsidRDefault="00611A05" w:rsidP="00611A05">
      <w:pPr>
        <w:spacing w:beforeAutospacing="0" w:after="240" w:afterAutospacing="0"/>
        <w:ind w:left="1134" w:hanging="56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      Talianska republika je povinná nahradiť trovy konania.</w:t>
      </w:r>
    </w:p>
    <w:p w14:paraId="00AA190B" w14:textId="77777777" w:rsidR="00611A05" w:rsidRDefault="009476C0" w:rsidP="00EA0807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4D144B">
        <w:rPr>
          <w:rFonts w:ascii="Times New Roman" w:hAnsi="Times New Roman"/>
          <w:i/>
        </w:rPr>
        <w:t xml:space="preserve">Rozsudok Súdneho dvora Európskej únie vo veci C-323/13 Komisia </w:t>
      </w:r>
      <w:proofErr w:type="spellStart"/>
      <w:r w:rsidRPr="004D144B">
        <w:rPr>
          <w:rFonts w:ascii="Times New Roman" w:hAnsi="Times New Roman"/>
          <w:i/>
        </w:rPr>
        <w:t>vs</w:t>
      </w:r>
      <w:proofErr w:type="spellEnd"/>
      <w:r w:rsidRPr="004D144B">
        <w:rPr>
          <w:rFonts w:ascii="Times New Roman" w:hAnsi="Times New Roman"/>
          <w:i/>
        </w:rPr>
        <w:t xml:space="preserve">. Taliansko </w:t>
      </w:r>
    </w:p>
    <w:p w14:paraId="274FEEE4" w14:textId="77777777" w:rsid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Výrok rozsudku:</w:t>
      </w:r>
    </w:p>
    <w:p w14:paraId="408C6743" w14:textId="77777777" w:rsidR="00611A05" w:rsidRDefault="00611A05" w:rsidP="00611A05">
      <w:pPr>
        <w:spacing w:beforeAutospacing="0" w:after="240" w:afterAutospacing="0"/>
        <w:ind w:left="1134" w:hanging="3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1.       Talianska republika,</w:t>
      </w:r>
    </w:p>
    <w:p w14:paraId="65624549" w14:textId="77777777" w:rsidR="00611A05" w:rsidRDefault="00611A05" w:rsidP="00611A05">
      <w:pPr>
        <w:spacing w:beforeAutospacing="0" w:after="240" w:afterAutospacing="0"/>
        <w:ind w:left="1701" w:hanging="56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–         tým, že neprijala všetky potrebné opatrenia na zabezpečenie toho, aby časť komunálneho odpadu umiestneného na skládkach </w:t>
      </w:r>
      <w:proofErr w:type="spellStart"/>
      <w:r>
        <w:rPr>
          <w:rFonts w:ascii="Times New Roman" w:hAnsi="Times New Roman"/>
          <w:bCs/>
          <w:color w:val="000000"/>
        </w:rPr>
        <w:t>subATO</w:t>
      </w:r>
      <w:proofErr w:type="spellEnd"/>
      <w:r>
        <w:rPr>
          <w:rFonts w:ascii="Times New Roman" w:hAnsi="Times New Roman"/>
          <w:bCs/>
          <w:color w:val="000000"/>
        </w:rPr>
        <w:t xml:space="preserve"> v Ríme, s výnimkou skládky v </w:t>
      </w:r>
      <w:proofErr w:type="spellStart"/>
      <w:r>
        <w:rPr>
          <w:rFonts w:ascii="Times New Roman" w:hAnsi="Times New Roman"/>
          <w:bCs/>
          <w:color w:val="000000"/>
        </w:rPr>
        <w:t>Cecchine</w:t>
      </w:r>
      <w:proofErr w:type="spellEnd"/>
      <w:r>
        <w:rPr>
          <w:rFonts w:ascii="Times New Roman" w:hAnsi="Times New Roman"/>
          <w:bCs/>
          <w:color w:val="000000"/>
        </w:rPr>
        <w:t xml:space="preserve">, a na skládkach </w:t>
      </w:r>
      <w:proofErr w:type="spellStart"/>
      <w:r>
        <w:rPr>
          <w:rFonts w:ascii="Times New Roman" w:hAnsi="Times New Roman"/>
          <w:bCs/>
          <w:color w:val="000000"/>
        </w:rPr>
        <w:t>subATO</w:t>
      </w:r>
      <w:proofErr w:type="spellEnd"/>
      <w:r>
        <w:rPr>
          <w:rFonts w:ascii="Times New Roman" w:hAnsi="Times New Roman"/>
          <w:bCs/>
          <w:color w:val="000000"/>
        </w:rPr>
        <w:t xml:space="preserve"> v Latine, nebola podrobená úprave zahŕňajúcej primeraný výber rôznych frakcií odpadu a stabilizáciu ich organickej frakcie, nesplnila svoje povinnosti vyplývajúce z ustanovení článku 1 ods. 1 </w:t>
      </w:r>
      <w:r>
        <w:rPr>
          <w:rFonts w:ascii="Times New Roman" w:hAnsi="Times New Roman"/>
          <w:bCs/>
          <w:color w:val="000000"/>
          <w:vertAlign w:val="superscript"/>
        </w:rPr>
        <w:t>a</w:t>
      </w:r>
      <w:r>
        <w:rPr>
          <w:rFonts w:ascii="Times New Roman" w:hAnsi="Times New Roman"/>
          <w:bCs/>
          <w:color w:val="000000"/>
        </w:rPr>
        <w:t> článku 6 písm. a) smernice Rady 1999/31/ES z 26. apríla 1999 o skládkach odpadu v spojení s článkami 4 a 13 smernice Európskeho parlamentu a Rady 2008/98/ES z 19. novembra 2008 o odpade a o zrušení určitých smerníc,</w:t>
      </w:r>
    </w:p>
    <w:p w14:paraId="0608FA75" w14:textId="77777777" w:rsidR="00611A05" w:rsidRDefault="00611A05" w:rsidP="00611A05">
      <w:pPr>
        <w:spacing w:beforeAutospacing="0" w:after="240" w:afterAutospacing="0"/>
        <w:ind w:left="1701" w:hanging="567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–         a tým, že v regióne </w:t>
      </w:r>
      <w:proofErr w:type="spellStart"/>
      <w:r>
        <w:rPr>
          <w:rFonts w:ascii="Times New Roman" w:hAnsi="Times New Roman"/>
          <w:bCs/>
          <w:color w:val="000000"/>
        </w:rPr>
        <w:t>Lazio</w:t>
      </w:r>
      <w:proofErr w:type="spellEnd"/>
      <w:r>
        <w:rPr>
          <w:rFonts w:ascii="Times New Roman" w:hAnsi="Times New Roman"/>
          <w:bCs/>
          <w:color w:val="000000"/>
        </w:rPr>
        <w:t xml:space="preserve"> nevytvorila integrovanú a primeranú sieť zariadení na nakladanie s odpadom, berúc do úvahy najlepšie dostupné techniky, si nesplnila povinnosti, ktoré jej vyplývajú z článku 16 ods. 1 smernice 2008/98.</w:t>
      </w:r>
    </w:p>
    <w:p w14:paraId="217D146D" w14:textId="77777777" w:rsidR="00611A05" w:rsidRDefault="00611A05" w:rsidP="00611A05">
      <w:pPr>
        <w:spacing w:beforeAutospacing="0" w:after="240" w:afterAutospacing="0"/>
        <w:ind w:left="1134" w:hanging="348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       Talianska republika je povinná nahradiť trovy konania.</w:t>
      </w:r>
    </w:p>
    <w:p w14:paraId="377468CF" w14:textId="432778C8" w:rsidR="00F6118E" w:rsidRDefault="00EA0807" w:rsidP="00EA0807">
      <w:pPr>
        <w:pStyle w:val="Odsekzoznamu"/>
        <w:widowControl w:val="0"/>
        <w:numPr>
          <w:ilvl w:val="0"/>
          <w:numId w:val="7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EA0807">
        <w:rPr>
          <w:rFonts w:ascii="Times New Roman" w:hAnsi="Times New Roman"/>
          <w:i/>
        </w:rPr>
        <w:t xml:space="preserve">Rozsudok Súdneho dvora Európskej únie vo veci C-423/05 Komisia </w:t>
      </w:r>
      <w:proofErr w:type="spellStart"/>
      <w:r w:rsidRPr="00EA0807">
        <w:rPr>
          <w:rFonts w:ascii="Times New Roman" w:hAnsi="Times New Roman"/>
          <w:i/>
        </w:rPr>
        <w:t>vs</w:t>
      </w:r>
      <w:proofErr w:type="spellEnd"/>
      <w:r w:rsidRPr="00EA0807">
        <w:rPr>
          <w:rFonts w:ascii="Times New Roman" w:hAnsi="Times New Roman"/>
          <w:i/>
        </w:rPr>
        <w:t>. Francúzsko</w:t>
      </w:r>
    </w:p>
    <w:p w14:paraId="1C8DECCE" w14:textId="77777777" w:rsid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Výrok rozsudku:</w:t>
      </w:r>
    </w:p>
    <w:p w14:paraId="0BC26E4F" w14:textId="77777777" w:rsidR="00611A05" w:rsidRDefault="00611A05" w:rsidP="00611A05">
      <w:pPr>
        <w:spacing w:beforeAutospacing="0" w:after="240" w:afterAutospacing="0"/>
        <w:ind w:left="1134" w:hanging="28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1.  Tým, že Francúzska republika neprijala všetky potrebné opatrenia na zabezpečenie   súladu s článkami 4, 8 a 9 smernice Rady 75/442/EHS z 15. júla 1975 o odpade, zmenenej a doplnenej smernicou Rady 91/156/EHS z 18. marca 1991, a s článkom 14 písm. a), b) a c) smernice Rady 1999/31/ES z 26. apríla 1999 o skládkach odpadu, si nesplnila povinnosti, ktoré jej vyplývajú z týchto ustanovení.</w:t>
      </w:r>
    </w:p>
    <w:p w14:paraId="3D0E8D83" w14:textId="77777777" w:rsidR="00611A05" w:rsidRDefault="00611A05" w:rsidP="00611A05">
      <w:pPr>
        <w:spacing w:beforeAutospacing="0" w:after="240" w:afterAutospacing="0"/>
        <w:ind w:left="1134" w:hanging="283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2.   Francúzska republika je povinná nahradiť trovy konania.</w:t>
      </w:r>
    </w:p>
    <w:p w14:paraId="5C51786E" w14:textId="77777777" w:rsidR="00611A05" w:rsidRPr="00611A05" w:rsidRDefault="00611A05" w:rsidP="00611A05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</w:p>
    <w:p w14:paraId="4D0D2593" w14:textId="77777777" w:rsidR="00EA0807" w:rsidRPr="00EA0807" w:rsidRDefault="00EA0807" w:rsidP="00EA0807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</w:p>
    <w:p w14:paraId="5CE544FD" w14:textId="77777777" w:rsidR="00137235" w:rsidRPr="00A471F4" w:rsidRDefault="00053458" w:rsidP="00636D71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4.</w:t>
      </w:r>
      <w:r w:rsidRPr="00A471F4">
        <w:rPr>
          <w:rFonts w:ascii="Times New Roman" w:hAnsi="Times New Roman"/>
          <w:b/>
        </w:rPr>
        <w:tab/>
        <w:t xml:space="preserve">Záväzky Slovenskej republiky vo vzťahu k Európskej únii: </w:t>
      </w:r>
    </w:p>
    <w:p w14:paraId="7507CF51" w14:textId="75F78BE8" w:rsidR="00827C43" w:rsidRDefault="00137235" w:rsidP="00B07CBD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a)</w:t>
      </w:r>
      <w:r w:rsidRPr="00A471F4">
        <w:rPr>
          <w:rFonts w:ascii="Times New Roman" w:hAnsi="Times New Roman"/>
        </w:rPr>
        <w:tab/>
        <w:t xml:space="preserve">lehota na prebratie </w:t>
      </w:r>
      <w:r w:rsidR="00A35293" w:rsidRPr="00A471F4">
        <w:rPr>
          <w:rFonts w:ascii="Times New Roman" w:hAnsi="Times New Roman"/>
        </w:rPr>
        <w:t>príslušného právneho aktu Európskej únie, príp. aj osobitná lehota účinnosti jeho ustanovení</w:t>
      </w:r>
      <w:r w:rsidR="00B07CBD">
        <w:rPr>
          <w:rFonts w:ascii="Times New Roman" w:hAnsi="Times New Roman"/>
        </w:rPr>
        <w:t xml:space="preserve"> nie je, nakoľko p</w:t>
      </w:r>
      <w:r w:rsidR="00827C43" w:rsidRPr="00A471F4">
        <w:rPr>
          <w:rFonts w:ascii="Times New Roman" w:hAnsi="Times New Roman"/>
        </w:rPr>
        <w:t>redkladaným návrhom zákona nedochádza k implementácií ani transpozíci</w:t>
      </w:r>
      <w:r w:rsidR="000D1E78">
        <w:rPr>
          <w:rFonts w:ascii="Times New Roman" w:hAnsi="Times New Roman"/>
        </w:rPr>
        <w:t>i</w:t>
      </w:r>
      <w:r w:rsidR="00827C43" w:rsidRPr="00A471F4">
        <w:rPr>
          <w:rFonts w:ascii="Times New Roman" w:hAnsi="Times New Roman"/>
        </w:rPr>
        <w:t xml:space="preserve"> nov</w:t>
      </w:r>
      <w:r w:rsidR="00EA0807">
        <w:rPr>
          <w:rFonts w:ascii="Times New Roman" w:hAnsi="Times New Roman"/>
        </w:rPr>
        <w:t>oprijatej európskej legislatívy</w:t>
      </w:r>
    </w:p>
    <w:p w14:paraId="34BF382C" w14:textId="51BA5921" w:rsidR="00963E13" w:rsidRDefault="00963E13" w:rsidP="00B07CBD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14:paraId="74FA198E" w14:textId="311A5CF1" w:rsidR="00963E13" w:rsidRPr="00A471F4" w:rsidRDefault="00963E13" w:rsidP="00963E13">
      <w:pPr>
        <w:widowControl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09.10.2025</w:t>
      </w:r>
    </w:p>
    <w:p w14:paraId="47A94000" w14:textId="77777777" w:rsidR="00363FE1" w:rsidRPr="00A471F4" w:rsidRDefault="00363FE1" w:rsidP="00636D71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tbl>
      <w:tblPr>
        <w:tblW w:w="15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</w:tblGrid>
      <w:tr w:rsidR="00147CF7" w:rsidRPr="00A471F4" w14:paraId="4ECF632C" w14:textId="77777777" w:rsidTr="00147CF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9174B" w14:textId="77777777" w:rsidR="00147CF7" w:rsidRPr="00A471F4" w:rsidRDefault="00147CF7" w:rsidP="00636D71">
            <w:pPr>
              <w:widowControl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</w:tbl>
    <w:p w14:paraId="051C8167" w14:textId="6643EFD2" w:rsidR="00137235" w:rsidRPr="00A471F4" w:rsidRDefault="00053458" w:rsidP="00636D71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b)</w:t>
      </w:r>
      <w:r w:rsidRPr="00A471F4">
        <w:rPr>
          <w:rFonts w:ascii="Times New Roman" w:hAnsi="Times New Roman"/>
        </w:rPr>
        <w:tab/>
        <w:t xml:space="preserve">informácia </w:t>
      </w:r>
      <w:r w:rsidR="00914DB2" w:rsidRPr="00A471F4">
        <w:rPr>
          <w:rFonts w:ascii="Times New Roman" w:hAnsi="Times New Roman"/>
        </w:rPr>
        <w:t xml:space="preserve">o začatí konania v rámci „EÚ Pilot“ alebo o začatí postupu Európskej komisie, alebo o konaní Súdneho dvora Európskej únie proti Slovenskej republike </w:t>
      </w:r>
    </w:p>
    <w:p w14:paraId="319D0DE8" w14:textId="77777777" w:rsidR="00243167" w:rsidRPr="00A471F4" w:rsidRDefault="00243167" w:rsidP="005E3E02">
      <w:pPr>
        <w:widowControl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</w:p>
    <w:p w14:paraId="70642770" w14:textId="4FBEF1B5" w:rsidR="00636D71" w:rsidRPr="0073647E" w:rsidRDefault="000D1E78" w:rsidP="00F50B15">
      <w:pPr>
        <w:pStyle w:val="Default"/>
        <w:ind w:left="709"/>
        <w:jc w:val="both"/>
        <w:rPr>
          <w:szCs w:val="20"/>
        </w:rPr>
      </w:pPr>
      <w:r>
        <w:rPr>
          <w:szCs w:val="20"/>
        </w:rPr>
        <w:t>K</w:t>
      </w:r>
      <w:r w:rsidR="00827C43" w:rsidRPr="0073647E">
        <w:rPr>
          <w:szCs w:val="20"/>
        </w:rPr>
        <w:t>onanie o </w:t>
      </w:r>
      <w:r w:rsidR="00827C43" w:rsidRPr="0073647E">
        <w:rPr>
          <w:b/>
          <w:szCs w:val="20"/>
        </w:rPr>
        <w:t xml:space="preserve">porušení zmlúv č. INFR(2017)2035 v štádiu </w:t>
      </w:r>
      <w:r w:rsidR="001B4279" w:rsidRPr="0073647E">
        <w:rPr>
          <w:b/>
          <w:szCs w:val="20"/>
        </w:rPr>
        <w:t>Rozsudku</w:t>
      </w:r>
      <w:r w:rsidR="00827C43" w:rsidRPr="0073647E">
        <w:rPr>
          <w:b/>
          <w:szCs w:val="20"/>
        </w:rPr>
        <w:t xml:space="preserve"> Súdn</w:t>
      </w:r>
      <w:r w:rsidR="001B4279" w:rsidRPr="0073647E">
        <w:rPr>
          <w:b/>
          <w:szCs w:val="20"/>
        </w:rPr>
        <w:t>eho</w:t>
      </w:r>
      <w:r w:rsidR="00827C43" w:rsidRPr="0073647E">
        <w:rPr>
          <w:b/>
          <w:szCs w:val="20"/>
        </w:rPr>
        <w:t xml:space="preserve"> dvor</w:t>
      </w:r>
      <w:r w:rsidR="001B4279" w:rsidRPr="0073647E">
        <w:rPr>
          <w:b/>
          <w:szCs w:val="20"/>
        </w:rPr>
        <w:t>a</w:t>
      </w:r>
      <w:r w:rsidR="00827C43" w:rsidRPr="0073647E">
        <w:rPr>
          <w:b/>
          <w:szCs w:val="20"/>
        </w:rPr>
        <w:t xml:space="preserve"> Európskej únie zo strany Európskej komisie</w:t>
      </w:r>
      <w:r w:rsidR="00827C43" w:rsidRPr="0073647E">
        <w:rPr>
          <w:szCs w:val="20"/>
        </w:rPr>
        <w:t xml:space="preserve"> </w:t>
      </w:r>
      <w:r w:rsidR="00F50B15" w:rsidRPr="0073647E">
        <w:rPr>
          <w:szCs w:val="20"/>
        </w:rPr>
        <w:t xml:space="preserve">zo </w:t>
      </w:r>
      <w:r w:rsidR="00827C43" w:rsidRPr="0073647E">
        <w:rPr>
          <w:szCs w:val="20"/>
        </w:rPr>
        <w:t xml:space="preserve">dňa </w:t>
      </w:r>
      <w:r w:rsidR="001B4279" w:rsidRPr="0073647E">
        <w:rPr>
          <w:szCs w:val="20"/>
        </w:rPr>
        <w:t>12. septembra</w:t>
      </w:r>
      <w:r w:rsidR="00827C43" w:rsidRPr="0073647E">
        <w:rPr>
          <w:szCs w:val="20"/>
        </w:rPr>
        <w:t xml:space="preserve"> 202</w:t>
      </w:r>
      <w:r w:rsidR="001B4279" w:rsidRPr="0073647E">
        <w:rPr>
          <w:szCs w:val="20"/>
        </w:rPr>
        <w:t>4</w:t>
      </w:r>
      <w:r w:rsidR="00827C43" w:rsidRPr="0073647E">
        <w:rPr>
          <w:szCs w:val="20"/>
        </w:rPr>
        <w:t xml:space="preserve">. </w:t>
      </w:r>
      <w:r w:rsidR="001B4279" w:rsidRPr="0073647E">
        <w:rPr>
          <w:szCs w:val="20"/>
        </w:rPr>
        <w:t xml:space="preserve">Rozsudok Súdneho dvora </w:t>
      </w:r>
      <w:r w:rsidR="00827C43" w:rsidRPr="0073647E">
        <w:rPr>
          <w:szCs w:val="20"/>
        </w:rPr>
        <w:t>Európsk</w:t>
      </w:r>
      <w:r w:rsidR="001B4279" w:rsidRPr="0073647E">
        <w:rPr>
          <w:szCs w:val="20"/>
        </w:rPr>
        <w:t>ej</w:t>
      </w:r>
      <w:r w:rsidR="00827C43" w:rsidRPr="0073647E">
        <w:rPr>
          <w:szCs w:val="20"/>
        </w:rPr>
        <w:t xml:space="preserve"> komisi</w:t>
      </w:r>
      <w:r>
        <w:rPr>
          <w:szCs w:val="20"/>
        </w:rPr>
        <w:t>i sa týka prípadu „</w:t>
      </w:r>
      <w:r w:rsidR="001B4279" w:rsidRPr="0073647E">
        <w:rPr>
          <w:szCs w:val="20"/>
        </w:rPr>
        <w:t>Nesplnenie povinnosti členským štátom – Životné prostredie – Smernica 1999/31/ES – Skládkovanie odpadu – Článok 14 písm. a) a b) – Existujúce skládk</w:t>
      </w:r>
      <w:r w:rsidR="00F50B15" w:rsidRPr="0073647E">
        <w:rPr>
          <w:szCs w:val="20"/>
        </w:rPr>
        <w:t>y – Plán úpravy – Uzatvorenie “ v</w:t>
      </w:r>
      <w:r w:rsidR="001B4279" w:rsidRPr="0073647E">
        <w:rPr>
          <w:szCs w:val="20"/>
        </w:rPr>
        <w:t>o veci C</w:t>
      </w:r>
      <w:r w:rsidR="001B4279" w:rsidRPr="0073647E">
        <w:rPr>
          <w:szCs w:val="20"/>
        </w:rPr>
        <w:noBreakHyphen/>
        <w:t>341/23,</w:t>
      </w:r>
      <w:r w:rsidR="00F50B15" w:rsidRPr="0073647E">
        <w:rPr>
          <w:szCs w:val="20"/>
        </w:rPr>
        <w:t xml:space="preserve"> ktorej predmetom je žaloba o nesplnenie povinnosti podľa článku 258 </w:t>
      </w:r>
      <w:r w:rsidR="0073647E" w:rsidRPr="00A471F4">
        <w:t>Zmluvy o fungovaní Európskej únie</w:t>
      </w:r>
      <w:r w:rsidR="00F50B15" w:rsidRPr="0073647E">
        <w:rPr>
          <w:szCs w:val="20"/>
        </w:rPr>
        <w:t>, podaná 30. mája 2023.</w:t>
      </w:r>
      <w:r w:rsidR="0073647E">
        <w:rPr>
          <w:szCs w:val="20"/>
        </w:rPr>
        <w:t xml:space="preserve"> </w:t>
      </w:r>
      <w:r w:rsidR="00F50B15" w:rsidRPr="0073647E">
        <w:rPr>
          <w:szCs w:val="20"/>
        </w:rPr>
        <w:t>E</w:t>
      </w:r>
      <w:r w:rsidR="0073647E">
        <w:rPr>
          <w:szCs w:val="20"/>
        </w:rPr>
        <w:t>urópska komisia</w:t>
      </w:r>
      <w:r w:rsidR="00F50B15" w:rsidRPr="0073647E">
        <w:rPr>
          <w:szCs w:val="20"/>
        </w:rPr>
        <w:t xml:space="preserve"> </w:t>
      </w:r>
      <w:r w:rsidR="00827C43" w:rsidRPr="0073647E">
        <w:rPr>
          <w:szCs w:val="20"/>
        </w:rPr>
        <w:t xml:space="preserve">sa rozhodla postúpiť Súdnemu dvoru Európskej únie prípad Slovenska z dôvodu nedodržania článku 14 písm. a) a b) v spojení s čl. 13 smernice 1999/31/ES v platnom znení za to, že </w:t>
      </w:r>
      <w:r w:rsidR="0073647E" w:rsidRPr="0073647E">
        <w:rPr>
          <w:szCs w:val="20"/>
        </w:rPr>
        <w:t xml:space="preserve">neuzavrelo </w:t>
      </w:r>
      <w:r>
        <w:rPr>
          <w:szCs w:val="20"/>
        </w:rPr>
        <w:br/>
      </w:r>
      <w:r w:rsidR="0073647E">
        <w:rPr>
          <w:szCs w:val="20"/>
        </w:rPr>
        <w:t xml:space="preserve">a </w:t>
      </w:r>
      <w:r w:rsidR="00827C43" w:rsidRPr="0073647E">
        <w:rPr>
          <w:szCs w:val="20"/>
        </w:rPr>
        <w:t>nerekultivovalo niekoľko skládok, ktoré nie sú v súlade s požiadavkami smernice 1999/31/ES v platnom znení. Z dôvodu nesúladu so smernicou zaslala Komisia v apríli 2017 Slovensku formálne oznámenie, po ktor</w:t>
      </w:r>
      <w:r w:rsidR="0073647E">
        <w:rPr>
          <w:szCs w:val="20"/>
        </w:rPr>
        <w:t>om</w:t>
      </w:r>
      <w:r w:rsidR="00827C43" w:rsidRPr="0073647E">
        <w:rPr>
          <w:szCs w:val="20"/>
        </w:rPr>
        <w:t xml:space="preserve"> v marci 2019 nasledovalo odôvodnené stanovisko. Stále je potrebné prijať opatrenia v prípade 21 slovenských skládok, nakoľko neboli rekultivované a definitívne uzavreté, ako sa vyžaduje v smernici.</w:t>
      </w:r>
    </w:p>
    <w:p w14:paraId="52BC26CF" w14:textId="199C34CE" w:rsidR="0061389A" w:rsidRPr="00A471F4" w:rsidRDefault="0061389A" w:rsidP="00F50B15">
      <w:pPr>
        <w:pStyle w:val="Default"/>
      </w:pPr>
    </w:p>
    <w:p w14:paraId="1729C7A4" w14:textId="2F547120" w:rsidR="00137235" w:rsidRPr="00A471F4" w:rsidRDefault="00914DB2" w:rsidP="00354B1E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c</w:t>
      </w:r>
      <w:r w:rsidR="00F50B15">
        <w:rPr>
          <w:rFonts w:ascii="Times New Roman" w:hAnsi="Times New Roman"/>
        </w:rPr>
        <w:t>)</w:t>
      </w:r>
      <w:r w:rsidR="00F50B15">
        <w:rPr>
          <w:rFonts w:ascii="Times New Roman" w:hAnsi="Times New Roman"/>
        </w:rPr>
        <w:tab/>
        <w:t>infor</w:t>
      </w:r>
      <w:r w:rsidR="00053458" w:rsidRPr="00A471F4">
        <w:rPr>
          <w:rFonts w:ascii="Times New Roman" w:hAnsi="Times New Roman"/>
        </w:rPr>
        <w:t xml:space="preserve">mácia o právnych predpisoch, v ktorých sú </w:t>
      </w:r>
      <w:r w:rsidR="00354B1E" w:rsidRPr="00A471F4">
        <w:rPr>
          <w:rFonts w:ascii="Times New Roman" w:hAnsi="Times New Roman"/>
        </w:rPr>
        <w:t>uvádzané právne akty Európskej únie už prebraté s</w:t>
      </w:r>
      <w:r w:rsidR="00053458" w:rsidRPr="00A471F4">
        <w:rPr>
          <w:rFonts w:ascii="Times New Roman" w:hAnsi="Times New Roman"/>
        </w:rPr>
        <w:t>polu</w:t>
      </w:r>
      <w:r w:rsidR="00354B1E" w:rsidRPr="00A471F4">
        <w:rPr>
          <w:rFonts w:ascii="Times New Roman" w:hAnsi="Times New Roman"/>
        </w:rPr>
        <w:t xml:space="preserve"> </w:t>
      </w:r>
      <w:r w:rsidR="00053458" w:rsidRPr="00A471F4">
        <w:rPr>
          <w:rFonts w:ascii="Times New Roman" w:hAnsi="Times New Roman"/>
        </w:rPr>
        <w:t xml:space="preserve">s uvedením rozsahu </w:t>
      </w:r>
      <w:r w:rsidR="00354B1E" w:rsidRPr="00A471F4">
        <w:rPr>
          <w:rFonts w:ascii="Times New Roman" w:hAnsi="Times New Roman"/>
        </w:rPr>
        <w:t>ich</w:t>
      </w:r>
      <w:r w:rsidR="00053458" w:rsidRPr="00A471F4">
        <w:rPr>
          <w:rFonts w:ascii="Times New Roman" w:hAnsi="Times New Roman"/>
        </w:rPr>
        <w:t xml:space="preserve"> prebratia</w:t>
      </w:r>
      <w:r w:rsidR="00354B1E" w:rsidRPr="00A471F4">
        <w:rPr>
          <w:rFonts w:ascii="Times New Roman" w:hAnsi="Times New Roman"/>
        </w:rPr>
        <w:t xml:space="preserve">, príp. potreby prijatia ďalších </w:t>
      </w:r>
      <w:r w:rsidRPr="00A471F4">
        <w:rPr>
          <w:rFonts w:ascii="Times New Roman" w:hAnsi="Times New Roman"/>
        </w:rPr>
        <w:t>úprav</w:t>
      </w:r>
    </w:p>
    <w:p w14:paraId="38DC9C65" w14:textId="2A13DC41" w:rsidR="004C092A" w:rsidRPr="00A471F4" w:rsidRDefault="00154025" w:rsidP="008E1E76">
      <w:pPr>
        <w:widowControl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Právne predpisy EÚ podľa bodu 3 písm. b) sú v plnom rozsahu prebraté v nasledujúcich predpisoch</w:t>
      </w:r>
    </w:p>
    <w:p w14:paraId="28FC9EBD" w14:textId="7A5122A0" w:rsidR="00154025" w:rsidRPr="00154025" w:rsidRDefault="00154025" w:rsidP="00154025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025">
        <w:rPr>
          <w:rFonts w:ascii="Times New Roman" w:hAnsi="Times New Roman"/>
        </w:rPr>
        <w:t>Zákon č. 359/2007 Z. z. o prevencii a náprave environmentálnych škôd a o zmene a doplnení niektorých zákonov v</w:t>
      </w:r>
      <w:r>
        <w:rPr>
          <w:rFonts w:ascii="Times New Roman" w:hAnsi="Times New Roman"/>
        </w:rPr>
        <w:t> </w:t>
      </w:r>
      <w:r w:rsidRPr="00154025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neskorších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predpisov</w:t>
      </w:r>
    </w:p>
    <w:p w14:paraId="3A532EF2" w14:textId="77777777" w:rsidR="00154025" w:rsidRDefault="00154025" w:rsidP="00154025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Zákon č. 39/2013 Z. z. o integrovanej prevencii a o zmene a doplnení niektorých zákonov v znení neskorších predpisov</w:t>
      </w:r>
    </w:p>
    <w:p w14:paraId="0268A2EA" w14:textId="47BE5709" w:rsidR="004C092A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Zákon č. 79/2015 Z. z. o odpadoch a o zmene a doplnení niektorých zákonov v znení neskorších predpisov</w:t>
      </w:r>
    </w:p>
    <w:p w14:paraId="5700C848" w14:textId="77777777" w:rsidR="008E1E76" w:rsidRDefault="008E1E76" w:rsidP="008E1E76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Vyhláška </w:t>
      </w:r>
      <w:r w:rsidRPr="00A471F4">
        <w:rPr>
          <w:rFonts w:ascii="Times New Roman" w:hAnsi="Times New Roman"/>
        </w:rPr>
        <w:t>Ministerstva životného prostredia Slovenskej republiky č.</w:t>
      </w:r>
      <w:r>
        <w:rPr>
          <w:rFonts w:ascii="Times New Roman" w:hAnsi="Times New Roman"/>
        </w:rPr>
        <w:t xml:space="preserve"> 373/2015 Z. z. o </w:t>
      </w:r>
      <w:r w:rsidRPr="00154025">
        <w:rPr>
          <w:rFonts w:ascii="Times New Roman" w:hAnsi="Times New Roman"/>
        </w:rPr>
        <w:t xml:space="preserve">rozšírenej zodpovednosti výrobcov vyhradených výrobkov a o nakladaní s vyhradenými prúdmi odpadov </w:t>
      </w:r>
      <w:r w:rsidRPr="00A471F4">
        <w:rPr>
          <w:rFonts w:ascii="Times New Roman" w:hAnsi="Times New Roman"/>
        </w:rPr>
        <w:t>v znení neskorších predpisov</w:t>
      </w:r>
    </w:p>
    <w:p w14:paraId="54106223" w14:textId="77777777" w:rsidR="008E1E76" w:rsidRDefault="008E1E76" w:rsidP="008E1E76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Vyhláška Ministerstva životného prostredia Slovenskej republiky č. 382/2018 Z. z. o skládkovaní odpadov a o uskladnení odpadovej ortuti v znení vyhlášky Ministerstva životného prostredia Slovenskej republiky č. 26/2021 Z. z.</w:t>
      </w:r>
    </w:p>
    <w:p w14:paraId="1CC2DA38" w14:textId="77777777" w:rsidR="008E1E76" w:rsidRPr="00A471F4" w:rsidRDefault="008E1E76" w:rsidP="008E1E76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Vyhláška Ministerstva životného prostredia Slovenskej republiky č. 371/2015 Z. z., ktorou sa vykonávajú niektoré ustanovenia zákona o odpadoch v znení neskorších predpisov</w:t>
      </w:r>
    </w:p>
    <w:p w14:paraId="1E4E0A34" w14:textId="77777777" w:rsidR="008E1E76" w:rsidRDefault="008E1E76" w:rsidP="008E1E76">
      <w:pPr>
        <w:pStyle w:val="Odsekzoznamu"/>
        <w:widowControl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  <w:color w:val="000000"/>
        </w:rPr>
      </w:pPr>
    </w:p>
    <w:p w14:paraId="1739BBF2" w14:textId="0FBB63D7" w:rsidR="008E1E76" w:rsidRDefault="008E1E76" w:rsidP="008E1E76">
      <w:pPr>
        <w:pStyle w:val="Odsekzoznamu"/>
        <w:widowControl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</w:t>
      </w:r>
      <w:r w:rsidRPr="00E80A33">
        <w:rPr>
          <w:rFonts w:ascii="Times New Roman" w:hAnsi="Times New Roman"/>
          <w:color w:val="000000"/>
        </w:rPr>
        <w:t xml:space="preserve"> transpozícií smernice (EÚ) 2024/884 do slovenského právneho poriadku dochádza predkladaným návrhom zákona</w:t>
      </w:r>
      <w:r>
        <w:rPr>
          <w:rFonts w:ascii="Times New Roman" w:hAnsi="Times New Roman"/>
          <w:color w:val="000000"/>
        </w:rPr>
        <w:t xml:space="preserve">. </w:t>
      </w:r>
    </w:p>
    <w:p w14:paraId="22F1D7CB" w14:textId="57381F07" w:rsidR="008E1E76" w:rsidRDefault="008E1E76" w:rsidP="008E1E76">
      <w:pPr>
        <w:pStyle w:val="Odsekzoznamu"/>
        <w:widowControl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dôsledku navrhovaných úprav zákona </w:t>
      </w:r>
      <w:r w:rsidRPr="00A471F4">
        <w:rPr>
          <w:rFonts w:ascii="Times New Roman" w:hAnsi="Times New Roman"/>
        </w:rPr>
        <w:t>č. 79/2015 Z. z.</w:t>
      </w:r>
      <w:r>
        <w:rPr>
          <w:rFonts w:ascii="Times New Roman" w:hAnsi="Times New Roman"/>
        </w:rPr>
        <w:t xml:space="preserve"> dôjde aj k úpravám vyhlášky č. </w:t>
      </w:r>
      <w:r>
        <w:rPr>
          <w:rFonts w:ascii="Times New Roman" w:hAnsi="Times New Roman"/>
        </w:rPr>
        <w:lastRenderedPageBreak/>
        <w:t>371/2015 Z. z.</w:t>
      </w:r>
      <w:bookmarkStart w:id="0" w:name="_GoBack"/>
      <w:bookmarkEnd w:id="0"/>
    </w:p>
    <w:p w14:paraId="0A0B04DF" w14:textId="241512B1" w:rsidR="004C092A" w:rsidRPr="00A471F4" w:rsidRDefault="00154025" w:rsidP="00154025">
      <w:pPr>
        <w:pStyle w:val="Odsekzoznamu"/>
        <w:widowControl w:val="0"/>
        <w:adjustRightInd w:val="0"/>
        <w:spacing w:before="0" w:beforeAutospacing="0" w:after="0" w:afterAutospacing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D2C4C" w:rsidRPr="00A471F4">
        <w:rPr>
          <w:rFonts w:ascii="Times New Roman" w:hAnsi="Times New Roman"/>
        </w:rPr>
        <w:t xml:space="preserve"> </w:t>
      </w:r>
    </w:p>
    <w:p w14:paraId="52988679" w14:textId="77777777" w:rsidR="004C092A" w:rsidRPr="00A471F4" w:rsidRDefault="004C092A" w:rsidP="004C092A">
      <w:pPr>
        <w:pStyle w:val="Odsekzoznamu"/>
        <w:widowControl w:val="0"/>
        <w:adjustRightInd w:val="0"/>
        <w:spacing w:before="0" w:beforeAutospacing="0" w:after="0" w:afterAutospacing="0"/>
        <w:ind w:right="-409"/>
        <w:rPr>
          <w:rFonts w:ascii="Times New Roman" w:hAnsi="Times New Roman"/>
        </w:rPr>
      </w:pPr>
    </w:p>
    <w:p w14:paraId="406BA108" w14:textId="77777777"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5.</w:t>
      </w:r>
      <w:r w:rsidRPr="00A471F4">
        <w:rPr>
          <w:rFonts w:ascii="Times New Roman" w:hAnsi="Times New Roman"/>
          <w:b/>
        </w:rPr>
        <w:tab/>
      </w:r>
      <w:r w:rsidR="00354B1E" w:rsidRPr="00A471F4">
        <w:rPr>
          <w:rFonts w:ascii="Times New Roman" w:hAnsi="Times New Roman"/>
          <w:b/>
        </w:rPr>
        <w:t>Návrh zákona je zlučiteľný s právom Európskej únie</w:t>
      </w:r>
      <w:r w:rsidRPr="00A471F4">
        <w:rPr>
          <w:rFonts w:ascii="Times New Roman" w:hAnsi="Times New Roman"/>
          <w:b/>
        </w:rPr>
        <w:t>:</w:t>
      </w:r>
    </w:p>
    <w:p w14:paraId="7C0D77E9" w14:textId="77777777" w:rsidR="00137235" w:rsidRPr="00A471F4" w:rsidRDefault="00CD67E7" w:rsidP="005E3E02">
      <w:pPr>
        <w:widowControl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ú</w:t>
      </w:r>
      <w:r w:rsidR="00354B1E" w:rsidRPr="00A471F4">
        <w:rPr>
          <w:rFonts w:ascii="Times New Roman" w:hAnsi="Times New Roman"/>
        </w:rPr>
        <w:t>plne</w:t>
      </w:r>
    </w:p>
    <w:p w14:paraId="1D692B34" w14:textId="700C6245" w:rsidR="004032C3" w:rsidRDefault="004032C3" w:rsidP="005E3E02">
      <w:pPr>
        <w:widowControl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14:paraId="1AB8CC7A" w14:textId="77777777" w:rsidR="004032C3" w:rsidRPr="00A471F4" w:rsidRDefault="004032C3" w:rsidP="005E3E02">
      <w:pPr>
        <w:widowControl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sectPr w:rsidR="004032C3" w:rsidRPr="00A471F4" w:rsidSect="00963E13">
      <w:footerReference w:type="default" r:id="rId11"/>
      <w:pgSz w:w="12240" w:h="15840"/>
      <w:pgMar w:top="709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8C737" w14:textId="77777777" w:rsidR="0004464F" w:rsidRDefault="0004464F">
      <w:pPr>
        <w:spacing w:before="0" w:after="0"/>
      </w:pPr>
      <w:r>
        <w:separator/>
      </w:r>
    </w:p>
  </w:endnote>
  <w:endnote w:type="continuationSeparator" w:id="0">
    <w:p w14:paraId="6888A1B0" w14:textId="77777777" w:rsidR="0004464F" w:rsidRDefault="000446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B6D1" w14:textId="05059F4B" w:rsidR="005E3E02" w:rsidRDefault="00053458">
    <w:pPr>
      <w:pStyle w:val="Pt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E1E76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14:paraId="43383EAD" w14:textId="77777777" w:rsidR="00077C0D" w:rsidRDefault="00077C0D" w:rsidP="00137235">
    <w:pPr>
      <w:pStyle w:val="Pt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BFA1" w14:textId="77777777" w:rsidR="0004464F" w:rsidRDefault="0004464F">
      <w:pPr>
        <w:spacing w:before="0" w:after="0"/>
      </w:pPr>
      <w:r>
        <w:separator/>
      </w:r>
    </w:p>
  </w:footnote>
  <w:footnote w:type="continuationSeparator" w:id="0">
    <w:p w14:paraId="6921DD19" w14:textId="77777777" w:rsidR="0004464F" w:rsidRDefault="0004464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A39"/>
    <w:multiLevelType w:val="hybridMultilevel"/>
    <w:tmpl w:val="EFB6CBA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5E1DA5"/>
    <w:multiLevelType w:val="hybridMultilevel"/>
    <w:tmpl w:val="00CCEE12"/>
    <w:lvl w:ilvl="0" w:tplc="F62805DC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A4726D"/>
    <w:multiLevelType w:val="hybridMultilevel"/>
    <w:tmpl w:val="38A45996"/>
    <w:lvl w:ilvl="0" w:tplc="B64280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163D"/>
    <w:multiLevelType w:val="hybridMultilevel"/>
    <w:tmpl w:val="96C6A090"/>
    <w:lvl w:ilvl="0" w:tplc="041B000F">
      <w:start w:val="1"/>
      <w:numFmt w:val="decimal"/>
      <w:lvlText w:val="%1.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30B13C10"/>
    <w:multiLevelType w:val="hybridMultilevel"/>
    <w:tmpl w:val="CD303A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43EBE"/>
    <w:multiLevelType w:val="hybridMultilevel"/>
    <w:tmpl w:val="393AE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5C9"/>
    <w:multiLevelType w:val="hybridMultilevel"/>
    <w:tmpl w:val="89F27B6C"/>
    <w:lvl w:ilvl="0" w:tplc="27E4DF5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55625294"/>
    <w:multiLevelType w:val="hybridMultilevel"/>
    <w:tmpl w:val="9B800972"/>
    <w:lvl w:ilvl="0" w:tplc="3D36C6D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B41623"/>
    <w:multiLevelType w:val="hybridMultilevel"/>
    <w:tmpl w:val="D6ECBD4C"/>
    <w:lvl w:ilvl="0" w:tplc="54F6F34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hint="default"/>
        <w:b w:val="0"/>
      </w:rPr>
    </w:lvl>
    <w:lvl w:ilvl="1" w:tplc="977A95BE">
      <w:start w:val="1"/>
      <w:numFmt w:val="lowerLetter"/>
      <w:lvlText w:val="%2."/>
      <w:lvlJc w:val="left"/>
      <w:pPr>
        <w:ind w:left="4058" w:hanging="360"/>
      </w:pPr>
      <w:rPr>
        <w:rFonts w:cs="Times New Roman"/>
        <w:rtl w:val="0"/>
        <w:cs w:val="0"/>
      </w:rPr>
    </w:lvl>
    <w:lvl w:ilvl="2" w:tplc="089C9FF0">
      <w:start w:val="1"/>
      <w:numFmt w:val="lowerRoman"/>
      <w:lvlText w:val="%3."/>
      <w:lvlJc w:val="right"/>
      <w:pPr>
        <w:ind w:left="4778" w:hanging="180"/>
      </w:pPr>
      <w:rPr>
        <w:rFonts w:cs="Times New Roman"/>
        <w:rtl w:val="0"/>
        <w:cs w:val="0"/>
      </w:rPr>
    </w:lvl>
    <w:lvl w:ilvl="3" w:tplc="4080014C">
      <w:start w:val="1"/>
      <w:numFmt w:val="decimal"/>
      <w:lvlText w:val="%4."/>
      <w:lvlJc w:val="left"/>
      <w:pPr>
        <w:ind w:left="5498" w:hanging="360"/>
      </w:pPr>
      <w:rPr>
        <w:rFonts w:cs="Times New Roman"/>
        <w:rtl w:val="0"/>
        <w:cs w:val="0"/>
      </w:rPr>
    </w:lvl>
    <w:lvl w:ilvl="4" w:tplc="25686D0E">
      <w:start w:val="1"/>
      <w:numFmt w:val="lowerLetter"/>
      <w:lvlText w:val="%5."/>
      <w:lvlJc w:val="left"/>
      <w:pPr>
        <w:ind w:left="6218" w:hanging="360"/>
      </w:pPr>
      <w:rPr>
        <w:rFonts w:cs="Times New Roman"/>
        <w:rtl w:val="0"/>
        <w:cs w:val="0"/>
      </w:rPr>
    </w:lvl>
    <w:lvl w:ilvl="5" w:tplc="2BB63A08">
      <w:start w:val="1"/>
      <w:numFmt w:val="lowerRoman"/>
      <w:lvlText w:val="%6."/>
      <w:lvlJc w:val="right"/>
      <w:pPr>
        <w:ind w:left="6938" w:hanging="180"/>
      </w:pPr>
      <w:rPr>
        <w:rFonts w:cs="Times New Roman"/>
        <w:rtl w:val="0"/>
        <w:cs w:val="0"/>
      </w:rPr>
    </w:lvl>
    <w:lvl w:ilvl="6" w:tplc="BAA4A6EC">
      <w:start w:val="1"/>
      <w:numFmt w:val="decimal"/>
      <w:lvlText w:val="%7."/>
      <w:lvlJc w:val="left"/>
      <w:pPr>
        <w:ind w:left="7658" w:hanging="360"/>
      </w:pPr>
      <w:rPr>
        <w:rFonts w:cs="Times New Roman"/>
        <w:rtl w:val="0"/>
        <w:cs w:val="0"/>
      </w:rPr>
    </w:lvl>
    <w:lvl w:ilvl="7" w:tplc="29D2D158">
      <w:start w:val="1"/>
      <w:numFmt w:val="lowerLetter"/>
      <w:lvlText w:val="%8."/>
      <w:lvlJc w:val="left"/>
      <w:pPr>
        <w:ind w:left="8378" w:hanging="360"/>
      </w:pPr>
      <w:rPr>
        <w:rFonts w:cs="Times New Roman"/>
        <w:rtl w:val="0"/>
        <w:cs w:val="0"/>
      </w:rPr>
    </w:lvl>
    <w:lvl w:ilvl="8" w:tplc="97FAFE6E">
      <w:start w:val="1"/>
      <w:numFmt w:val="lowerRoman"/>
      <w:lvlText w:val="%9."/>
      <w:lvlJc w:val="right"/>
      <w:pPr>
        <w:ind w:left="9098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E5A51E3"/>
    <w:multiLevelType w:val="hybridMultilevel"/>
    <w:tmpl w:val="D2C6A4C2"/>
    <w:lvl w:ilvl="0" w:tplc="82DCA34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351E7"/>
    <w:multiLevelType w:val="hybridMultilevel"/>
    <w:tmpl w:val="2E666A94"/>
    <w:lvl w:ilvl="0" w:tplc="989866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7F"/>
    <w:rsid w:val="000071B2"/>
    <w:rsid w:val="00007629"/>
    <w:rsid w:val="000123E7"/>
    <w:rsid w:val="00014DEC"/>
    <w:rsid w:val="0004464F"/>
    <w:rsid w:val="0004515A"/>
    <w:rsid w:val="00053458"/>
    <w:rsid w:val="00055F04"/>
    <w:rsid w:val="00060884"/>
    <w:rsid w:val="000674A5"/>
    <w:rsid w:val="000729FF"/>
    <w:rsid w:val="00077C0D"/>
    <w:rsid w:val="000842BF"/>
    <w:rsid w:val="00086C1F"/>
    <w:rsid w:val="00090500"/>
    <w:rsid w:val="000A66C4"/>
    <w:rsid w:val="000A7176"/>
    <w:rsid w:val="000C608E"/>
    <w:rsid w:val="000C68AF"/>
    <w:rsid w:val="000D1E78"/>
    <w:rsid w:val="000E19F3"/>
    <w:rsid w:val="000F1D46"/>
    <w:rsid w:val="000F68F2"/>
    <w:rsid w:val="00117A7E"/>
    <w:rsid w:val="00126979"/>
    <w:rsid w:val="00137235"/>
    <w:rsid w:val="00137DD3"/>
    <w:rsid w:val="00140DA2"/>
    <w:rsid w:val="00141C59"/>
    <w:rsid w:val="0014709C"/>
    <w:rsid w:val="00147CF7"/>
    <w:rsid w:val="001532B7"/>
    <w:rsid w:val="00154025"/>
    <w:rsid w:val="001545D1"/>
    <w:rsid w:val="00157BA6"/>
    <w:rsid w:val="0017046C"/>
    <w:rsid w:val="00171359"/>
    <w:rsid w:val="0017630B"/>
    <w:rsid w:val="00185929"/>
    <w:rsid w:val="00191D90"/>
    <w:rsid w:val="0019567E"/>
    <w:rsid w:val="001A203A"/>
    <w:rsid w:val="001A21C0"/>
    <w:rsid w:val="001B36E6"/>
    <w:rsid w:val="001B4279"/>
    <w:rsid w:val="001B5C4B"/>
    <w:rsid w:val="001B7439"/>
    <w:rsid w:val="001D037C"/>
    <w:rsid w:val="001D40B9"/>
    <w:rsid w:val="00202A6F"/>
    <w:rsid w:val="00206F02"/>
    <w:rsid w:val="00220FA5"/>
    <w:rsid w:val="0022768F"/>
    <w:rsid w:val="00234FEA"/>
    <w:rsid w:val="00241D0F"/>
    <w:rsid w:val="00243167"/>
    <w:rsid w:val="00252B0F"/>
    <w:rsid w:val="00255ECD"/>
    <w:rsid w:val="00274345"/>
    <w:rsid w:val="0028560E"/>
    <w:rsid w:val="002A7D4A"/>
    <w:rsid w:val="002B0935"/>
    <w:rsid w:val="002C1A68"/>
    <w:rsid w:val="002C2D02"/>
    <w:rsid w:val="002D2C4C"/>
    <w:rsid w:val="002D5FBD"/>
    <w:rsid w:val="002D65F2"/>
    <w:rsid w:val="002E442B"/>
    <w:rsid w:val="00302B68"/>
    <w:rsid w:val="003053BC"/>
    <w:rsid w:val="00306B39"/>
    <w:rsid w:val="0031156E"/>
    <w:rsid w:val="00315C0E"/>
    <w:rsid w:val="003166BF"/>
    <w:rsid w:val="00333331"/>
    <w:rsid w:val="003333AB"/>
    <w:rsid w:val="00334F4F"/>
    <w:rsid w:val="00342978"/>
    <w:rsid w:val="003467D6"/>
    <w:rsid w:val="00346E46"/>
    <w:rsid w:val="00354B1E"/>
    <w:rsid w:val="00361542"/>
    <w:rsid w:val="00363FE1"/>
    <w:rsid w:val="00376D9D"/>
    <w:rsid w:val="00377434"/>
    <w:rsid w:val="00386A19"/>
    <w:rsid w:val="00396D2D"/>
    <w:rsid w:val="003C5056"/>
    <w:rsid w:val="003E735E"/>
    <w:rsid w:val="004032C3"/>
    <w:rsid w:val="004047E8"/>
    <w:rsid w:val="0042059C"/>
    <w:rsid w:val="00431BAD"/>
    <w:rsid w:val="00431D3F"/>
    <w:rsid w:val="004326BC"/>
    <w:rsid w:val="0043485A"/>
    <w:rsid w:val="00441E5C"/>
    <w:rsid w:val="00457937"/>
    <w:rsid w:val="00474E3A"/>
    <w:rsid w:val="004779F8"/>
    <w:rsid w:val="00491722"/>
    <w:rsid w:val="004972AE"/>
    <w:rsid w:val="004A18E7"/>
    <w:rsid w:val="004A75A2"/>
    <w:rsid w:val="004B69B8"/>
    <w:rsid w:val="004B77AD"/>
    <w:rsid w:val="004C092A"/>
    <w:rsid w:val="004D144B"/>
    <w:rsid w:val="004D4614"/>
    <w:rsid w:val="004E32CA"/>
    <w:rsid w:val="004F12D3"/>
    <w:rsid w:val="004F6020"/>
    <w:rsid w:val="004F6377"/>
    <w:rsid w:val="005071DE"/>
    <w:rsid w:val="0052412F"/>
    <w:rsid w:val="0052694F"/>
    <w:rsid w:val="005269BA"/>
    <w:rsid w:val="005322D0"/>
    <w:rsid w:val="00541409"/>
    <w:rsid w:val="00542844"/>
    <w:rsid w:val="00546EF5"/>
    <w:rsid w:val="0055305F"/>
    <w:rsid w:val="005629B2"/>
    <w:rsid w:val="005703D0"/>
    <w:rsid w:val="0057076C"/>
    <w:rsid w:val="00590BB1"/>
    <w:rsid w:val="00594D0A"/>
    <w:rsid w:val="005A1F49"/>
    <w:rsid w:val="005C34FD"/>
    <w:rsid w:val="005C5901"/>
    <w:rsid w:val="005C7BEA"/>
    <w:rsid w:val="005D3A44"/>
    <w:rsid w:val="005D5852"/>
    <w:rsid w:val="005E28B8"/>
    <w:rsid w:val="005E3E02"/>
    <w:rsid w:val="006037AA"/>
    <w:rsid w:val="00607080"/>
    <w:rsid w:val="00611A05"/>
    <w:rsid w:val="00612D89"/>
    <w:rsid w:val="00613477"/>
    <w:rsid w:val="0061389A"/>
    <w:rsid w:val="00614608"/>
    <w:rsid w:val="006201FC"/>
    <w:rsid w:val="006330C1"/>
    <w:rsid w:val="00636D71"/>
    <w:rsid w:val="00637903"/>
    <w:rsid w:val="00645F99"/>
    <w:rsid w:val="00660C25"/>
    <w:rsid w:val="006779AF"/>
    <w:rsid w:val="00680507"/>
    <w:rsid w:val="006A009D"/>
    <w:rsid w:val="006B2149"/>
    <w:rsid w:val="006B3C59"/>
    <w:rsid w:val="006B5E11"/>
    <w:rsid w:val="006D1256"/>
    <w:rsid w:val="006E0211"/>
    <w:rsid w:val="006E133B"/>
    <w:rsid w:val="006E6433"/>
    <w:rsid w:val="007039BA"/>
    <w:rsid w:val="0070517F"/>
    <w:rsid w:val="00707E25"/>
    <w:rsid w:val="00716714"/>
    <w:rsid w:val="007236DF"/>
    <w:rsid w:val="00723B5B"/>
    <w:rsid w:val="00724A85"/>
    <w:rsid w:val="00734BF6"/>
    <w:rsid w:val="0073647E"/>
    <w:rsid w:val="007375AB"/>
    <w:rsid w:val="00744624"/>
    <w:rsid w:val="007654A3"/>
    <w:rsid w:val="00773255"/>
    <w:rsid w:val="00780441"/>
    <w:rsid w:val="00787BB1"/>
    <w:rsid w:val="007934EE"/>
    <w:rsid w:val="007D486C"/>
    <w:rsid w:val="007E687E"/>
    <w:rsid w:val="0080434A"/>
    <w:rsid w:val="008272BA"/>
    <w:rsid w:val="00827C43"/>
    <w:rsid w:val="00835032"/>
    <w:rsid w:val="008431F2"/>
    <w:rsid w:val="00850C21"/>
    <w:rsid w:val="008570E4"/>
    <w:rsid w:val="00865D8F"/>
    <w:rsid w:val="00891D4C"/>
    <w:rsid w:val="008A24FE"/>
    <w:rsid w:val="008A538F"/>
    <w:rsid w:val="008A57A3"/>
    <w:rsid w:val="008B25A6"/>
    <w:rsid w:val="008B25E4"/>
    <w:rsid w:val="008C4601"/>
    <w:rsid w:val="008D538B"/>
    <w:rsid w:val="008D76C0"/>
    <w:rsid w:val="008E1E76"/>
    <w:rsid w:val="008E22F7"/>
    <w:rsid w:val="008F35FE"/>
    <w:rsid w:val="009138EE"/>
    <w:rsid w:val="00914DB2"/>
    <w:rsid w:val="009208D4"/>
    <w:rsid w:val="009223BB"/>
    <w:rsid w:val="00944EEB"/>
    <w:rsid w:val="009476C0"/>
    <w:rsid w:val="00947D09"/>
    <w:rsid w:val="0095288E"/>
    <w:rsid w:val="00962C12"/>
    <w:rsid w:val="009632F2"/>
    <w:rsid w:val="00963E13"/>
    <w:rsid w:val="00966588"/>
    <w:rsid w:val="00981369"/>
    <w:rsid w:val="00991BF8"/>
    <w:rsid w:val="00993ACD"/>
    <w:rsid w:val="009964F0"/>
    <w:rsid w:val="009A021C"/>
    <w:rsid w:val="009B252D"/>
    <w:rsid w:val="009B3100"/>
    <w:rsid w:val="009B7545"/>
    <w:rsid w:val="009C3FAC"/>
    <w:rsid w:val="009F5605"/>
    <w:rsid w:val="009F63D4"/>
    <w:rsid w:val="00A03688"/>
    <w:rsid w:val="00A14C7D"/>
    <w:rsid w:val="00A214A3"/>
    <w:rsid w:val="00A226AC"/>
    <w:rsid w:val="00A35293"/>
    <w:rsid w:val="00A41FEF"/>
    <w:rsid w:val="00A471F4"/>
    <w:rsid w:val="00A50D47"/>
    <w:rsid w:val="00A512B5"/>
    <w:rsid w:val="00A5793E"/>
    <w:rsid w:val="00A63B10"/>
    <w:rsid w:val="00A64D2D"/>
    <w:rsid w:val="00A669EB"/>
    <w:rsid w:val="00A67E0B"/>
    <w:rsid w:val="00A77FE3"/>
    <w:rsid w:val="00A8052F"/>
    <w:rsid w:val="00A82494"/>
    <w:rsid w:val="00AA4FF6"/>
    <w:rsid w:val="00AA67C0"/>
    <w:rsid w:val="00AB7B18"/>
    <w:rsid w:val="00AC73EA"/>
    <w:rsid w:val="00AD089D"/>
    <w:rsid w:val="00AE422C"/>
    <w:rsid w:val="00B07CBD"/>
    <w:rsid w:val="00B126CE"/>
    <w:rsid w:val="00B128EB"/>
    <w:rsid w:val="00B50A3B"/>
    <w:rsid w:val="00B54643"/>
    <w:rsid w:val="00B575BF"/>
    <w:rsid w:val="00B60602"/>
    <w:rsid w:val="00B64CB3"/>
    <w:rsid w:val="00B81D20"/>
    <w:rsid w:val="00B83035"/>
    <w:rsid w:val="00BB020A"/>
    <w:rsid w:val="00BB6AFB"/>
    <w:rsid w:val="00BC727A"/>
    <w:rsid w:val="00BD3BEC"/>
    <w:rsid w:val="00BD3D11"/>
    <w:rsid w:val="00BD4C65"/>
    <w:rsid w:val="00BD736A"/>
    <w:rsid w:val="00BF0D09"/>
    <w:rsid w:val="00C10626"/>
    <w:rsid w:val="00C142EA"/>
    <w:rsid w:val="00C22C5C"/>
    <w:rsid w:val="00C22FF6"/>
    <w:rsid w:val="00C40785"/>
    <w:rsid w:val="00C43FF3"/>
    <w:rsid w:val="00C465C0"/>
    <w:rsid w:val="00C560FF"/>
    <w:rsid w:val="00C75EBC"/>
    <w:rsid w:val="00C9143E"/>
    <w:rsid w:val="00CA0631"/>
    <w:rsid w:val="00CA30FC"/>
    <w:rsid w:val="00CB433A"/>
    <w:rsid w:val="00CC32DA"/>
    <w:rsid w:val="00CC7CBA"/>
    <w:rsid w:val="00CC7F3D"/>
    <w:rsid w:val="00CD67E7"/>
    <w:rsid w:val="00CE3CC9"/>
    <w:rsid w:val="00CE4D24"/>
    <w:rsid w:val="00CF141F"/>
    <w:rsid w:val="00D00D59"/>
    <w:rsid w:val="00D061DB"/>
    <w:rsid w:val="00D214E7"/>
    <w:rsid w:val="00D33B18"/>
    <w:rsid w:val="00D401CF"/>
    <w:rsid w:val="00D43F82"/>
    <w:rsid w:val="00D456FA"/>
    <w:rsid w:val="00D561EB"/>
    <w:rsid w:val="00D629C1"/>
    <w:rsid w:val="00D708BD"/>
    <w:rsid w:val="00DA24A1"/>
    <w:rsid w:val="00DA7ED6"/>
    <w:rsid w:val="00DB4A9D"/>
    <w:rsid w:val="00DB5593"/>
    <w:rsid w:val="00DB55C1"/>
    <w:rsid w:val="00DB69F0"/>
    <w:rsid w:val="00DD16A7"/>
    <w:rsid w:val="00DD199F"/>
    <w:rsid w:val="00DD7C59"/>
    <w:rsid w:val="00DE098A"/>
    <w:rsid w:val="00DE349C"/>
    <w:rsid w:val="00DF1DBF"/>
    <w:rsid w:val="00E07360"/>
    <w:rsid w:val="00E2016F"/>
    <w:rsid w:val="00E23DF9"/>
    <w:rsid w:val="00E6237E"/>
    <w:rsid w:val="00E6399A"/>
    <w:rsid w:val="00E64102"/>
    <w:rsid w:val="00E77238"/>
    <w:rsid w:val="00E8744A"/>
    <w:rsid w:val="00EA0807"/>
    <w:rsid w:val="00EB38F8"/>
    <w:rsid w:val="00EC04C4"/>
    <w:rsid w:val="00EC3347"/>
    <w:rsid w:val="00EC39C4"/>
    <w:rsid w:val="00ED0958"/>
    <w:rsid w:val="00ED6F2B"/>
    <w:rsid w:val="00EE6240"/>
    <w:rsid w:val="00EE7851"/>
    <w:rsid w:val="00F0240E"/>
    <w:rsid w:val="00F1304F"/>
    <w:rsid w:val="00F4737E"/>
    <w:rsid w:val="00F503E3"/>
    <w:rsid w:val="00F50B15"/>
    <w:rsid w:val="00F5434F"/>
    <w:rsid w:val="00F6118E"/>
    <w:rsid w:val="00F6490A"/>
    <w:rsid w:val="00F6492D"/>
    <w:rsid w:val="00F67B43"/>
    <w:rsid w:val="00F72F74"/>
    <w:rsid w:val="00F8064B"/>
    <w:rsid w:val="00F86B27"/>
    <w:rsid w:val="00F949E1"/>
    <w:rsid w:val="00F96BB5"/>
    <w:rsid w:val="00FB39DB"/>
    <w:rsid w:val="00FB78C3"/>
    <w:rsid w:val="00FC6FA7"/>
    <w:rsid w:val="00FD3672"/>
    <w:rsid w:val="00FD4EB1"/>
    <w:rsid w:val="00FD59C2"/>
    <w:rsid w:val="00FF32E1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9E11A"/>
  <w15:docId w15:val="{74485647-58A5-41CB-8222-25A2A19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A24FE"/>
    <w:pPr>
      <w:spacing w:before="100" w:beforeAutospacing="1" w:after="100" w:afterAutospacing="1"/>
    </w:pPr>
    <w:rPr>
      <w:rFonts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pPr>
      <w:widowControl w:val="0"/>
      <w:adjustRightInd w:val="0"/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customStyle="1" w:styleId="ppp-input-value1">
    <w:name w:val="ppp-input-value1"/>
    <w:rsid w:val="009632F2"/>
    <w:rPr>
      <w:rFonts w:ascii="Tahoma" w:hAnsi="Tahoma" w:cs="Tahoma"/>
      <w:color w:val="837A73"/>
      <w:sz w:val="16"/>
    </w:rPr>
  </w:style>
  <w:style w:type="paragraph" w:styleId="Hlavika">
    <w:name w:val="header"/>
    <w:basedOn w:val="Normlny"/>
    <w:link w:val="Hlavik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character" w:styleId="Vrazn">
    <w:name w:val="Strong"/>
    <w:basedOn w:val="Predvolenpsmoodseku"/>
    <w:uiPriority w:val="22"/>
    <w:qFormat/>
    <w:locked/>
    <w:rsid w:val="00BB020A"/>
    <w:rPr>
      <w:rFonts w:cs="Times New Roman"/>
      <w:b/>
      <w:rtl w:val="0"/>
      <w:cs w:val="0"/>
    </w:rPr>
  </w:style>
  <w:style w:type="paragraph" w:customStyle="1" w:styleId="c01pointnumerotealtn">
    <w:name w:val="c01pointnumerotealtn"/>
    <w:basedOn w:val="Normlny"/>
    <w:rsid w:val="006330C1"/>
  </w:style>
  <w:style w:type="paragraph" w:customStyle="1" w:styleId="count">
    <w:name w:val="count"/>
    <w:basedOn w:val="Normlny"/>
    <w:rsid w:val="008A24FE"/>
  </w:style>
  <w:style w:type="character" w:styleId="Hypertextovprepojenie">
    <w:name w:val="Hyperlink"/>
    <w:basedOn w:val="Predvolenpsmoodseku"/>
    <w:uiPriority w:val="99"/>
    <w:unhideWhenUsed/>
    <w:rsid w:val="008A24FE"/>
    <w:rPr>
      <w:rFonts w:cs="Times New Roman"/>
      <w:color w:val="0000FF"/>
      <w:u w:val="single"/>
      <w:rtl w:val="0"/>
      <w:cs w:val="0"/>
    </w:rPr>
  </w:style>
  <w:style w:type="character" w:customStyle="1" w:styleId="bold">
    <w:name w:val="bold"/>
    <w:rsid w:val="000E19F3"/>
  </w:style>
  <w:style w:type="character" w:customStyle="1" w:styleId="awspan">
    <w:name w:val="awspan"/>
    <w:basedOn w:val="Predvolenpsmoodseku"/>
    <w:rsid w:val="00147CF7"/>
  </w:style>
  <w:style w:type="paragraph" w:styleId="Odsekzoznamu">
    <w:name w:val="List Paragraph"/>
    <w:basedOn w:val="Normlny"/>
    <w:link w:val="OdsekzoznamuChar"/>
    <w:uiPriority w:val="34"/>
    <w:qFormat/>
    <w:rsid w:val="004C092A"/>
    <w:pPr>
      <w:ind w:left="720"/>
      <w:contextualSpacing/>
    </w:pPr>
  </w:style>
  <w:style w:type="paragraph" w:customStyle="1" w:styleId="Normlny1">
    <w:name w:val="Normálny1"/>
    <w:basedOn w:val="Normlny"/>
    <w:rsid w:val="009476C0"/>
    <w:rPr>
      <w:rFonts w:ascii="Times New Roman" w:hAnsi="Times New Roman"/>
    </w:rPr>
  </w:style>
  <w:style w:type="paragraph" w:customStyle="1" w:styleId="c08dispositif">
    <w:name w:val="c08dispositif"/>
    <w:basedOn w:val="Normlny"/>
    <w:rsid w:val="00F6118E"/>
    <w:rPr>
      <w:rFonts w:ascii="Times New Roman" w:hAnsi="Times New Roman"/>
    </w:rPr>
  </w:style>
  <w:style w:type="character" w:customStyle="1" w:styleId="OdsekzoznamuChar">
    <w:name w:val="Odsek zoznamu Char"/>
    <w:link w:val="Odsekzoznamu"/>
    <w:uiPriority w:val="34"/>
    <w:locked/>
    <w:rsid w:val="00827C43"/>
    <w:rPr>
      <w:rFonts w:cs="Times New Roman"/>
      <w:sz w:val="24"/>
      <w:szCs w:val="24"/>
      <w:lang w:val="sk-SK" w:eastAsia="sk-SK"/>
    </w:rPr>
  </w:style>
  <w:style w:type="paragraph" w:customStyle="1" w:styleId="Default">
    <w:name w:val="Default"/>
    <w:rsid w:val="00636D7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43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3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34F"/>
    <w:rPr>
      <w:rFonts w:cs="Times New Roman"/>
      <w:sz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3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34F"/>
    <w:rPr>
      <w:rFonts w:cs="Times New Roman"/>
      <w:b/>
      <w:bCs/>
      <w:sz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AA8B5FE426F47B71984B41226EE72" ma:contentTypeVersion="15" ma:contentTypeDescription="Create a new document." ma:contentTypeScope="" ma:versionID="1a812db6121c53f3219ee5261e4ae9eb">
  <xsd:schema xmlns:xsd="http://www.w3.org/2001/XMLSchema" xmlns:xs="http://www.w3.org/2001/XMLSchema" xmlns:p="http://schemas.microsoft.com/office/2006/metadata/properties" xmlns:ns3="2673011a-1ac0-4081-a80e-455f7659edd4" targetNamespace="http://schemas.microsoft.com/office/2006/metadata/properties" ma:root="true" ma:fieldsID="a74427419250b330e91f92a971a39902" ns3:_="">
    <xsd:import namespace="2673011a-1ac0-4081-a80e-455f7659e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011a-1ac0-4081-a80e-455f7659e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3011a-1ac0-4081-a80e-455f7659ed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7865-9D5C-41D1-96CC-F76A317EC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3011a-1ac0-4081-a80e-455f7659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EECC2-7777-40EE-973E-F9ECB650B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CB0C4-FD2B-4ABA-BB34-F765739B3C39}">
  <ds:schemaRefs>
    <ds:schemaRef ds:uri="http://schemas.microsoft.com/office/2006/metadata/properties"/>
    <ds:schemaRef ds:uri="http://schemas.microsoft.com/office/infopath/2007/PartnerControls"/>
    <ds:schemaRef ds:uri="2673011a-1ac0-4081-a80e-455f7659edd4"/>
  </ds:schemaRefs>
</ds:datastoreItem>
</file>

<file path=customXml/itemProps4.xml><?xml version="1.0" encoding="utf-8"?>
<ds:datastoreItem xmlns:ds="http://schemas.openxmlformats.org/officeDocument/2006/customXml" ds:itemID="{5716F622-C5F4-4A96-9352-E9049941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Hroššová Lucia</cp:lastModifiedBy>
  <cp:revision>17</cp:revision>
  <cp:lastPrinted>2015-10-15T12:41:00Z</cp:lastPrinted>
  <dcterms:created xsi:type="dcterms:W3CDTF">2024-11-08T13:20:00Z</dcterms:created>
  <dcterms:modified xsi:type="dcterms:W3CDTF">2025-08-22T11:20:00Z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0x010100A3AAA8B5FE426F47B71984B41226EE72</vt:lpwstr>
  </property>
</Properties>
</file>