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51A32" w14:textId="77777777" w:rsidR="0086106F" w:rsidRDefault="0086106F" w:rsidP="0086106F">
      <w:pPr>
        <w:spacing w:after="160"/>
      </w:pPr>
    </w:p>
    <w:p w14:paraId="280AE8F3" w14:textId="77777777" w:rsidR="0086106F" w:rsidRPr="007425AB" w:rsidRDefault="0086106F" w:rsidP="0086106F">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r w:rsidRPr="007425AB">
        <w:rPr>
          <w:rFonts w:ascii="Times New Roman" w:eastAsia="Times New Roman" w:hAnsi="Times New Roman"/>
          <w:i/>
          <w:caps/>
          <w:spacing w:val="30"/>
          <w:sz w:val="20"/>
          <w:szCs w:val="20"/>
          <w:lang w:eastAsia="sk-SK"/>
        </w:rPr>
        <w:t>(výsek)</w:t>
      </w:r>
    </w:p>
    <w:p w14:paraId="459784A0" w14:textId="77777777" w:rsidR="0086106F" w:rsidRPr="007425AB" w:rsidRDefault="0086106F" w:rsidP="0086106F">
      <w:pPr>
        <w:widowControl w:val="0"/>
        <w:autoSpaceDE w:val="0"/>
        <w:autoSpaceDN w:val="0"/>
        <w:adjustRightInd w:val="0"/>
        <w:spacing w:after="120" w:line="240" w:lineRule="auto"/>
        <w:jc w:val="center"/>
        <w:rPr>
          <w:rFonts w:ascii="Times New Roman" w:eastAsia="Times New Roman" w:hAnsi="Times New Roman"/>
          <w:i/>
          <w:caps/>
          <w:spacing w:val="30"/>
          <w:sz w:val="20"/>
          <w:szCs w:val="20"/>
          <w:lang w:eastAsia="sk-SK"/>
        </w:rPr>
      </w:pPr>
    </w:p>
    <w:p w14:paraId="60C7B980" w14:textId="77777777" w:rsidR="0086106F" w:rsidRPr="007425AB" w:rsidRDefault="0086106F" w:rsidP="0086106F">
      <w:pPr>
        <w:widowControl w:val="0"/>
        <w:autoSpaceDE w:val="0"/>
        <w:autoSpaceDN w:val="0"/>
        <w:adjustRightInd w:val="0"/>
        <w:spacing w:after="120" w:line="240" w:lineRule="auto"/>
        <w:jc w:val="center"/>
        <w:rPr>
          <w:rFonts w:ascii="Times New Roman" w:eastAsia="Times New Roman" w:hAnsi="Times New Roman"/>
          <w:b/>
          <w:caps/>
          <w:spacing w:val="30"/>
          <w:sz w:val="20"/>
          <w:szCs w:val="20"/>
          <w:lang w:eastAsia="sk-SK"/>
        </w:rPr>
      </w:pPr>
      <w:r w:rsidRPr="007425AB">
        <w:rPr>
          <w:rFonts w:ascii="Times New Roman" w:eastAsia="Times New Roman" w:hAnsi="Times New Roman"/>
          <w:b/>
          <w:caps/>
          <w:spacing w:val="30"/>
          <w:sz w:val="20"/>
          <w:szCs w:val="20"/>
          <w:lang w:eastAsia="sk-SK"/>
        </w:rPr>
        <w:t xml:space="preserve">Tabuľka zhody  </w:t>
      </w:r>
    </w:p>
    <w:p w14:paraId="6924595C" w14:textId="77777777" w:rsidR="0086106F" w:rsidRPr="007425AB" w:rsidRDefault="0086106F" w:rsidP="0086106F">
      <w:pPr>
        <w:spacing w:after="120" w:line="240" w:lineRule="auto"/>
        <w:jc w:val="center"/>
        <w:rPr>
          <w:rFonts w:ascii="Times New Roman" w:hAnsi="Times New Roman"/>
          <w:b/>
          <w:sz w:val="20"/>
          <w:szCs w:val="20"/>
        </w:rPr>
      </w:pPr>
      <w:r w:rsidRPr="007425AB">
        <w:rPr>
          <w:rFonts w:ascii="Times New Roman" w:hAnsi="Times New Roman"/>
          <w:b/>
          <w:sz w:val="20"/>
          <w:szCs w:val="20"/>
        </w:rPr>
        <w:t>právneho predpisu s právom Európskej únie</w:t>
      </w:r>
    </w:p>
    <w:tbl>
      <w:tblPr>
        <w:tblW w:w="1523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824"/>
        <w:gridCol w:w="4346"/>
        <w:gridCol w:w="1182"/>
        <w:gridCol w:w="803"/>
        <w:gridCol w:w="850"/>
        <w:gridCol w:w="3402"/>
        <w:gridCol w:w="709"/>
        <w:gridCol w:w="1134"/>
        <w:gridCol w:w="992"/>
        <w:gridCol w:w="992"/>
      </w:tblGrid>
      <w:tr w:rsidR="0086106F" w:rsidRPr="00704014" w14:paraId="28009223" w14:textId="77777777" w:rsidTr="0086106F">
        <w:trPr>
          <w:trHeight w:val="635"/>
        </w:trPr>
        <w:tc>
          <w:tcPr>
            <w:tcW w:w="6352" w:type="dxa"/>
            <w:gridSpan w:val="3"/>
          </w:tcPr>
          <w:p w14:paraId="328513E9" w14:textId="77777777" w:rsidR="0086106F" w:rsidRPr="00704014" w:rsidRDefault="0086106F" w:rsidP="0086106F">
            <w:pPr>
              <w:tabs>
                <w:tab w:val="left" w:pos="4703"/>
                <w:tab w:val="left" w:pos="4986"/>
              </w:tabs>
              <w:autoSpaceDE w:val="0"/>
              <w:autoSpaceDN w:val="0"/>
              <w:adjustRightInd w:val="0"/>
              <w:spacing w:after="0" w:line="240" w:lineRule="auto"/>
              <w:jc w:val="center"/>
              <w:rPr>
                <w:rFonts w:ascii="Times New Roman" w:eastAsia="Times New Roman" w:hAnsi="Times New Roman"/>
                <w:b/>
                <w:sz w:val="20"/>
                <w:szCs w:val="20"/>
                <w:lang w:eastAsia="sk-SK"/>
              </w:rPr>
            </w:pPr>
            <w:r w:rsidRPr="00704014">
              <w:rPr>
                <w:rFonts w:ascii="Times New Roman" w:eastAsia="Times New Roman" w:hAnsi="Times New Roman"/>
                <w:b/>
                <w:sz w:val="20"/>
                <w:szCs w:val="20"/>
                <w:lang w:eastAsia="sk-SK"/>
              </w:rPr>
              <w:t>Právny akt ES/EÚ</w:t>
            </w:r>
          </w:p>
        </w:tc>
        <w:tc>
          <w:tcPr>
            <w:tcW w:w="8882" w:type="dxa"/>
            <w:gridSpan w:val="7"/>
          </w:tcPr>
          <w:p w14:paraId="3659A44B" w14:textId="77777777" w:rsidR="0086106F" w:rsidRPr="00704014" w:rsidRDefault="0086106F" w:rsidP="0086106F">
            <w:pPr>
              <w:autoSpaceDE w:val="0"/>
              <w:autoSpaceDN w:val="0"/>
              <w:adjustRightInd w:val="0"/>
              <w:spacing w:after="0" w:line="240" w:lineRule="auto"/>
              <w:jc w:val="center"/>
              <w:rPr>
                <w:rFonts w:ascii="Times New Roman" w:eastAsia="Times New Roman" w:hAnsi="Times New Roman"/>
                <w:b/>
                <w:sz w:val="20"/>
                <w:szCs w:val="20"/>
                <w:lang w:eastAsia="sk-SK"/>
              </w:rPr>
            </w:pPr>
            <w:r w:rsidRPr="00704014">
              <w:rPr>
                <w:rFonts w:ascii="Times New Roman" w:eastAsia="Times New Roman" w:hAnsi="Times New Roman"/>
                <w:b/>
                <w:sz w:val="20"/>
                <w:szCs w:val="20"/>
                <w:lang w:eastAsia="sk-SK"/>
              </w:rPr>
              <w:t>Právne predpisy Slovenskej republiky</w:t>
            </w:r>
          </w:p>
        </w:tc>
      </w:tr>
      <w:tr w:rsidR="0086106F" w:rsidRPr="00704014" w14:paraId="158D7888" w14:textId="77777777" w:rsidTr="0086106F">
        <w:trPr>
          <w:trHeight w:val="1631"/>
        </w:trPr>
        <w:tc>
          <w:tcPr>
            <w:tcW w:w="6352" w:type="dxa"/>
            <w:gridSpan w:val="3"/>
          </w:tcPr>
          <w:p w14:paraId="38F307BB" w14:textId="77777777" w:rsidR="0086106F" w:rsidRPr="00704014" w:rsidRDefault="0086106F" w:rsidP="0086106F">
            <w:pPr>
              <w:autoSpaceDE w:val="0"/>
              <w:autoSpaceDN w:val="0"/>
              <w:adjustRightInd w:val="0"/>
              <w:spacing w:after="0" w:line="240" w:lineRule="auto"/>
              <w:rPr>
                <w:rFonts w:ascii="Times New Roman" w:eastAsia="Times New Roman" w:hAnsi="Times New Roman"/>
                <w:sz w:val="20"/>
                <w:szCs w:val="20"/>
                <w:lang w:eastAsia="sk-SK"/>
              </w:rPr>
            </w:pPr>
            <w:r w:rsidRPr="00704014">
              <w:rPr>
                <w:rFonts w:ascii="Times New Roman" w:eastAsia="Times New Roman" w:hAnsi="Times New Roman"/>
                <w:b/>
                <w:sz w:val="20"/>
                <w:szCs w:val="20"/>
                <w:lang w:eastAsia="sk-SK"/>
              </w:rPr>
              <w:t>Smernica európskeho parlamentu a Rady 2010/75/EÚ z 24. novembra 2010 o priemyselných emisiách (integrovaná prevencia a kontrola znečisťovania životného prostredia) (prepracované znenie)(</w:t>
            </w:r>
            <w:r w:rsidRPr="00704014">
              <w:rPr>
                <w:rFonts w:ascii="Times New Roman" w:eastAsia="Times New Roman" w:hAnsi="Times New Roman"/>
                <w:i/>
                <w:sz w:val="20"/>
                <w:szCs w:val="20"/>
                <w:lang w:eastAsia="sk-SK"/>
              </w:rPr>
              <w:t xml:space="preserve"> Ú. v. EÚ L 334, 17.12.2010)</w:t>
            </w:r>
          </w:p>
        </w:tc>
        <w:tc>
          <w:tcPr>
            <w:tcW w:w="8882" w:type="dxa"/>
            <w:gridSpan w:val="7"/>
          </w:tcPr>
          <w:p w14:paraId="5E7C618E" w14:textId="6473FB4E" w:rsidR="0086106F" w:rsidRPr="00704014" w:rsidRDefault="0086106F" w:rsidP="0086106F">
            <w:pPr>
              <w:autoSpaceDE w:val="0"/>
              <w:autoSpaceDN w:val="0"/>
              <w:adjustRightInd w:val="0"/>
              <w:spacing w:after="0" w:line="240" w:lineRule="auto"/>
              <w:rPr>
                <w:rFonts w:ascii="Times New Roman" w:eastAsia="Times New Roman" w:hAnsi="Times New Roman"/>
                <w:b/>
                <w:sz w:val="20"/>
                <w:szCs w:val="20"/>
                <w:lang w:eastAsia="sk-SK"/>
              </w:rPr>
            </w:pPr>
            <w:r w:rsidRPr="00704014">
              <w:rPr>
                <w:rFonts w:ascii="Times New Roman" w:eastAsia="Times New Roman" w:hAnsi="Times New Roman"/>
                <w:b/>
                <w:sz w:val="20"/>
                <w:szCs w:val="20"/>
                <w:lang w:eastAsia="sk-SK"/>
              </w:rPr>
              <w:t xml:space="preserve">Návrh zákona, </w:t>
            </w:r>
            <w:r w:rsidR="00E421C5" w:rsidRPr="00E421C5">
              <w:rPr>
                <w:rFonts w:ascii="Times New Roman" w:eastAsia="Times New Roman" w:hAnsi="Times New Roman"/>
                <w:b/>
                <w:sz w:val="20"/>
                <w:szCs w:val="20"/>
                <w:lang w:eastAsia="sk-SK"/>
              </w:rPr>
              <w:t>ktorým sa mení a dopĺňa zákon č. 24/2006 Z. z. o posudzovaní vplyvov na životné prostredie a o zmene a doplnení niektorých zákonov v znení neskorších predpisov a ktorým sa menia a dopĺňajú niektoré zákony</w:t>
            </w:r>
            <w:r w:rsidRPr="00704014">
              <w:rPr>
                <w:rFonts w:ascii="Times New Roman" w:eastAsia="Times New Roman" w:hAnsi="Times New Roman"/>
                <w:b/>
                <w:sz w:val="20"/>
                <w:szCs w:val="20"/>
                <w:lang w:eastAsia="sk-SK"/>
              </w:rPr>
              <w:t xml:space="preserve"> (ďalej len „NZ“)</w:t>
            </w:r>
          </w:p>
          <w:p w14:paraId="64B76F82" w14:textId="77777777" w:rsidR="0086106F" w:rsidRPr="00704014" w:rsidRDefault="0086106F" w:rsidP="0086106F">
            <w:pPr>
              <w:autoSpaceDE w:val="0"/>
              <w:autoSpaceDN w:val="0"/>
              <w:adjustRightInd w:val="0"/>
              <w:spacing w:after="0" w:line="240" w:lineRule="auto"/>
              <w:rPr>
                <w:rFonts w:ascii="Times New Roman" w:eastAsia="Times New Roman" w:hAnsi="Times New Roman"/>
                <w:b/>
                <w:sz w:val="20"/>
                <w:szCs w:val="20"/>
                <w:lang w:eastAsia="sk-SK"/>
              </w:rPr>
            </w:pPr>
          </w:p>
          <w:p w14:paraId="6C3DAFC8" w14:textId="77777777" w:rsidR="0086106F" w:rsidRPr="00704014" w:rsidRDefault="0086106F" w:rsidP="0086106F">
            <w:pPr>
              <w:tabs>
                <w:tab w:val="left" w:pos="709"/>
                <w:tab w:val="center" w:pos="4536"/>
                <w:tab w:val="right" w:pos="9072"/>
              </w:tabs>
              <w:autoSpaceDE w:val="0"/>
              <w:autoSpaceDN w:val="0"/>
              <w:spacing w:after="0" w:line="240" w:lineRule="auto"/>
              <w:jc w:val="both"/>
              <w:rPr>
                <w:rFonts w:ascii="Times New Roman" w:eastAsia="Times New Roman" w:hAnsi="Times New Roman"/>
                <w:b/>
                <w:sz w:val="20"/>
                <w:szCs w:val="20"/>
                <w:lang w:eastAsia="sk-SK"/>
              </w:rPr>
            </w:pPr>
            <w:r w:rsidRPr="00704014">
              <w:rPr>
                <w:rFonts w:ascii="Times New Roman" w:eastAsia="Times New Roman" w:hAnsi="Times New Roman"/>
                <w:b/>
                <w:sz w:val="20"/>
                <w:szCs w:val="20"/>
                <w:lang w:eastAsia="sk-SK"/>
              </w:rPr>
              <w:t>Zákon č. 39/2013 Z. z. o integrovanej prevencii a kontrole</w:t>
            </w:r>
            <w:bookmarkStart w:id="0" w:name="_GoBack"/>
            <w:bookmarkEnd w:id="0"/>
            <w:r w:rsidRPr="00704014">
              <w:rPr>
                <w:rFonts w:ascii="Times New Roman" w:eastAsia="Times New Roman" w:hAnsi="Times New Roman"/>
                <w:b/>
                <w:sz w:val="20"/>
                <w:szCs w:val="20"/>
                <w:lang w:eastAsia="sk-SK"/>
              </w:rPr>
              <w:t xml:space="preserve"> znečisťovania životného prostredia a o zmene a doplnení niektorých zákonov v znení neskorších predpisov (ďalej len „IPKZ“)</w:t>
            </w:r>
          </w:p>
        </w:tc>
      </w:tr>
      <w:tr w:rsidR="0086106F" w:rsidRPr="00704014" w14:paraId="3FC4933E" w14:textId="77777777" w:rsidTr="0053397B">
        <w:tc>
          <w:tcPr>
            <w:tcW w:w="824" w:type="dxa"/>
          </w:tcPr>
          <w:p w14:paraId="6F55AA08"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1</w:t>
            </w:r>
          </w:p>
        </w:tc>
        <w:tc>
          <w:tcPr>
            <w:tcW w:w="4346" w:type="dxa"/>
          </w:tcPr>
          <w:p w14:paraId="4468F0B0"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2</w:t>
            </w:r>
          </w:p>
        </w:tc>
        <w:tc>
          <w:tcPr>
            <w:tcW w:w="1182" w:type="dxa"/>
          </w:tcPr>
          <w:p w14:paraId="08E66C7A"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3</w:t>
            </w:r>
          </w:p>
        </w:tc>
        <w:tc>
          <w:tcPr>
            <w:tcW w:w="803" w:type="dxa"/>
          </w:tcPr>
          <w:p w14:paraId="0ADC4450"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4</w:t>
            </w:r>
          </w:p>
        </w:tc>
        <w:tc>
          <w:tcPr>
            <w:tcW w:w="850" w:type="dxa"/>
          </w:tcPr>
          <w:p w14:paraId="3F35692F" w14:textId="77777777" w:rsidR="0086106F" w:rsidRPr="00704014" w:rsidRDefault="0086106F" w:rsidP="0086106F">
            <w:pPr>
              <w:autoSpaceDE w:val="0"/>
              <w:autoSpaceDN w:val="0"/>
              <w:spacing w:after="0" w:line="240" w:lineRule="exact"/>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5</w:t>
            </w:r>
          </w:p>
        </w:tc>
        <w:tc>
          <w:tcPr>
            <w:tcW w:w="3402" w:type="dxa"/>
          </w:tcPr>
          <w:p w14:paraId="7F110BC8" w14:textId="77777777" w:rsidR="0086106F" w:rsidRPr="00704014" w:rsidRDefault="0086106F" w:rsidP="0086106F">
            <w:pPr>
              <w:autoSpaceDE w:val="0"/>
              <w:autoSpaceDN w:val="0"/>
              <w:spacing w:after="0" w:line="240" w:lineRule="exact"/>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6</w:t>
            </w:r>
          </w:p>
        </w:tc>
        <w:tc>
          <w:tcPr>
            <w:tcW w:w="709" w:type="dxa"/>
          </w:tcPr>
          <w:p w14:paraId="4BFE0472"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7</w:t>
            </w:r>
          </w:p>
        </w:tc>
        <w:tc>
          <w:tcPr>
            <w:tcW w:w="1134" w:type="dxa"/>
          </w:tcPr>
          <w:p w14:paraId="6AFD6EF1"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8</w:t>
            </w:r>
          </w:p>
        </w:tc>
        <w:tc>
          <w:tcPr>
            <w:tcW w:w="992" w:type="dxa"/>
          </w:tcPr>
          <w:p w14:paraId="1795F21D"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9</w:t>
            </w:r>
          </w:p>
        </w:tc>
        <w:tc>
          <w:tcPr>
            <w:tcW w:w="992" w:type="dxa"/>
          </w:tcPr>
          <w:p w14:paraId="6E75FF00"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10</w:t>
            </w:r>
          </w:p>
        </w:tc>
      </w:tr>
      <w:tr w:rsidR="0086106F" w:rsidRPr="00704014" w14:paraId="2F2B29B5" w14:textId="77777777" w:rsidTr="0053397B">
        <w:tc>
          <w:tcPr>
            <w:tcW w:w="824" w:type="dxa"/>
          </w:tcPr>
          <w:p w14:paraId="73518F42"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Článok</w:t>
            </w:r>
          </w:p>
          <w:p w14:paraId="1AF1B9BC"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(Č, O,</w:t>
            </w:r>
          </w:p>
          <w:p w14:paraId="466F245C"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V, P)</w:t>
            </w:r>
          </w:p>
        </w:tc>
        <w:tc>
          <w:tcPr>
            <w:tcW w:w="4346" w:type="dxa"/>
          </w:tcPr>
          <w:p w14:paraId="30D2A6B4"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 xml:space="preserve">                           Text</w:t>
            </w:r>
          </w:p>
        </w:tc>
        <w:tc>
          <w:tcPr>
            <w:tcW w:w="1182" w:type="dxa"/>
          </w:tcPr>
          <w:p w14:paraId="1C521398" w14:textId="77777777" w:rsidR="0086106F" w:rsidRPr="00704014" w:rsidRDefault="0086106F" w:rsidP="002F4A40">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 xml:space="preserve">Spôsob </w:t>
            </w:r>
            <w:proofErr w:type="spellStart"/>
            <w:r w:rsidRPr="00704014">
              <w:rPr>
                <w:rFonts w:ascii="Times New Roman" w:eastAsia="Times New Roman" w:hAnsi="Times New Roman"/>
                <w:sz w:val="20"/>
                <w:szCs w:val="20"/>
              </w:rPr>
              <w:t>transp</w:t>
            </w:r>
            <w:proofErr w:type="spellEnd"/>
            <w:r w:rsidRPr="00704014">
              <w:rPr>
                <w:rFonts w:ascii="Times New Roman" w:eastAsia="Times New Roman" w:hAnsi="Times New Roman"/>
                <w:sz w:val="20"/>
                <w:szCs w:val="20"/>
              </w:rPr>
              <w:t>.</w:t>
            </w:r>
          </w:p>
          <w:p w14:paraId="13C67DA5" w14:textId="77777777" w:rsidR="0086106F" w:rsidRPr="00704014" w:rsidRDefault="0086106F" w:rsidP="002F4A40">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 xml:space="preserve">(N, O, D, </w:t>
            </w:r>
            <w:proofErr w:type="spellStart"/>
            <w:r w:rsidRPr="00704014">
              <w:rPr>
                <w:rFonts w:ascii="Times New Roman" w:eastAsia="Times New Roman" w:hAnsi="Times New Roman"/>
                <w:sz w:val="20"/>
                <w:szCs w:val="20"/>
              </w:rPr>
              <w:t>n.a</w:t>
            </w:r>
            <w:proofErr w:type="spellEnd"/>
            <w:r w:rsidRPr="00704014">
              <w:rPr>
                <w:rFonts w:ascii="Times New Roman" w:eastAsia="Times New Roman" w:hAnsi="Times New Roman"/>
                <w:sz w:val="20"/>
                <w:szCs w:val="20"/>
              </w:rPr>
              <w:t>.)</w:t>
            </w:r>
          </w:p>
        </w:tc>
        <w:tc>
          <w:tcPr>
            <w:tcW w:w="803" w:type="dxa"/>
          </w:tcPr>
          <w:p w14:paraId="40CEEB19"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Číslo</w:t>
            </w:r>
          </w:p>
          <w:p w14:paraId="5D1DF4D9"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predpisu</w:t>
            </w:r>
          </w:p>
        </w:tc>
        <w:tc>
          <w:tcPr>
            <w:tcW w:w="850" w:type="dxa"/>
          </w:tcPr>
          <w:p w14:paraId="61470FB5"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Článok (Č, §, O, V, P)</w:t>
            </w:r>
          </w:p>
        </w:tc>
        <w:tc>
          <w:tcPr>
            <w:tcW w:w="3402" w:type="dxa"/>
          </w:tcPr>
          <w:p w14:paraId="7E327BA6"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Text</w:t>
            </w:r>
          </w:p>
        </w:tc>
        <w:tc>
          <w:tcPr>
            <w:tcW w:w="709" w:type="dxa"/>
          </w:tcPr>
          <w:p w14:paraId="71BE9AE5"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Zhoda</w:t>
            </w:r>
          </w:p>
        </w:tc>
        <w:tc>
          <w:tcPr>
            <w:tcW w:w="1134" w:type="dxa"/>
          </w:tcPr>
          <w:p w14:paraId="38492C51"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Poznámky</w:t>
            </w:r>
          </w:p>
        </w:tc>
        <w:tc>
          <w:tcPr>
            <w:tcW w:w="992" w:type="dxa"/>
          </w:tcPr>
          <w:p w14:paraId="6A35F345"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Identifikácia</w:t>
            </w:r>
          </w:p>
          <w:p w14:paraId="32C281B9"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proofErr w:type="spellStart"/>
            <w:r w:rsidRPr="00704014">
              <w:rPr>
                <w:rFonts w:ascii="Times New Roman" w:eastAsia="Times New Roman" w:hAnsi="Times New Roman"/>
                <w:sz w:val="20"/>
                <w:szCs w:val="20"/>
              </w:rPr>
              <w:t>goldplatingu</w:t>
            </w:r>
            <w:proofErr w:type="spellEnd"/>
          </w:p>
        </w:tc>
        <w:tc>
          <w:tcPr>
            <w:tcW w:w="992" w:type="dxa"/>
          </w:tcPr>
          <w:p w14:paraId="6AF76002" w14:textId="77777777" w:rsidR="0086106F" w:rsidRPr="00704014" w:rsidRDefault="0086106F" w:rsidP="0086106F">
            <w:pPr>
              <w:autoSpaceDE w:val="0"/>
              <w:autoSpaceDN w:val="0"/>
              <w:spacing w:after="0" w:line="240" w:lineRule="auto"/>
              <w:jc w:val="center"/>
              <w:rPr>
                <w:rFonts w:ascii="Times New Roman" w:eastAsia="Times New Roman" w:hAnsi="Times New Roman"/>
                <w:sz w:val="20"/>
                <w:szCs w:val="20"/>
              </w:rPr>
            </w:pPr>
            <w:r w:rsidRPr="00704014">
              <w:rPr>
                <w:rFonts w:ascii="Times New Roman" w:eastAsia="Times New Roman" w:hAnsi="Times New Roman"/>
                <w:sz w:val="20"/>
                <w:szCs w:val="20"/>
              </w:rPr>
              <w:t xml:space="preserve">Identifikácia </w:t>
            </w:r>
            <w:proofErr w:type="spellStart"/>
            <w:r w:rsidRPr="00704014">
              <w:rPr>
                <w:rFonts w:ascii="Times New Roman" w:eastAsia="Times New Roman" w:hAnsi="Times New Roman"/>
                <w:sz w:val="20"/>
                <w:szCs w:val="20"/>
              </w:rPr>
              <w:t>goldplatingu</w:t>
            </w:r>
            <w:proofErr w:type="spellEnd"/>
            <w:r w:rsidRPr="00704014">
              <w:rPr>
                <w:rFonts w:ascii="Times New Roman" w:eastAsia="Times New Roman" w:hAnsi="Times New Roman"/>
                <w:sz w:val="20"/>
                <w:szCs w:val="20"/>
              </w:rPr>
              <w:t xml:space="preserve"> a vyjadrenie k opodstatnenosti </w:t>
            </w:r>
            <w:proofErr w:type="spellStart"/>
            <w:r w:rsidRPr="00704014">
              <w:rPr>
                <w:rFonts w:ascii="Times New Roman" w:eastAsia="Times New Roman" w:hAnsi="Times New Roman"/>
                <w:sz w:val="20"/>
                <w:szCs w:val="20"/>
              </w:rPr>
              <w:t>goldplatingu</w:t>
            </w:r>
            <w:proofErr w:type="spellEnd"/>
          </w:p>
        </w:tc>
      </w:tr>
      <w:tr w:rsidR="0086106F" w:rsidRPr="00704014" w14:paraId="0BB2B5BA" w14:textId="77777777" w:rsidTr="0053397B">
        <w:tc>
          <w:tcPr>
            <w:tcW w:w="824" w:type="dxa"/>
          </w:tcPr>
          <w:p w14:paraId="25EBDDB2"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Č:3</w:t>
            </w:r>
          </w:p>
          <w:p w14:paraId="64A4C071"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P 15</w:t>
            </w:r>
          </w:p>
          <w:p w14:paraId="1F779388"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FF0000"/>
                <w:sz w:val="20"/>
                <w:szCs w:val="20"/>
                <w:lang w:eastAsia="sk-SK"/>
              </w:rPr>
            </w:pPr>
          </w:p>
          <w:p w14:paraId="49639223"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FF0000"/>
                <w:sz w:val="20"/>
                <w:szCs w:val="20"/>
                <w:lang w:eastAsia="sk-SK"/>
              </w:rPr>
            </w:pPr>
          </w:p>
        </w:tc>
        <w:tc>
          <w:tcPr>
            <w:tcW w:w="4346" w:type="dxa"/>
          </w:tcPr>
          <w:p w14:paraId="0BEA185E"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„prevádzkovateľ“ je každá fyzická alebo právnická osoba, ktorá úplne alebo čiastočne prevádzkuje alebo riadi zariadenie alebo spaľovacie zariadenie, spaľovňu odpadov alebo zariadenie na spoluspaľovanie odpadov, alebo, ak to umožňujú vnútroštátne právne predpisy, osoba, na ktorú bola prenesená rozhodujúca hospodárska právomoc nad technickým fungovaním zariadenia alebo závodu;</w:t>
            </w:r>
          </w:p>
          <w:p w14:paraId="2EB584D9"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tc>
        <w:tc>
          <w:tcPr>
            <w:tcW w:w="1182" w:type="dxa"/>
          </w:tcPr>
          <w:p w14:paraId="04B6433D"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w:t>
            </w:r>
          </w:p>
        </w:tc>
        <w:tc>
          <w:tcPr>
            <w:tcW w:w="803" w:type="dxa"/>
          </w:tcPr>
          <w:p w14:paraId="5F3E3CCC"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NZ</w:t>
            </w:r>
          </w:p>
        </w:tc>
        <w:tc>
          <w:tcPr>
            <w:tcW w:w="850" w:type="dxa"/>
          </w:tcPr>
          <w:p w14:paraId="71AF3C71"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t>Čl. II</w:t>
            </w:r>
          </w:p>
          <w:p w14:paraId="6AAEAF30"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t>B.2</w:t>
            </w:r>
          </w:p>
          <w:p w14:paraId="4A83B342"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t xml:space="preserve">§2 </w:t>
            </w:r>
            <w:proofErr w:type="spellStart"/>
            <w:r w:rsidRPr="00704014">
              <w:rPr>
                <w:rFonts w:ascii="Times New Roman" w:eastAsia="Times New Roman" w:hAnsi="Times New Roman"/>
                <w:color w:val="000000" w:themeColor="text1"/>
                <w:sz w:val="20"/>
                <w:szCs w:val="20"/>
              </w:rPr>
              <w:t>Pg</w:t>
            </w:r>
            <w:proofErr w:type="spellEnd"/>
            <w:r w:rsidRPr="00704014">
              <w:rPr>
                <w:rFonts w:ascii="Times New Roman" w:eastAsia="Times New Roman" w:hAnsi="Times New Roman"/>
                <w:color w:val="000000" w:themeColor="text1"/>
                <w:sz w:val="20"/>
                <w:szCs w:val="20"/>
              </w:rPr>
              <w:t>)</w:t>
            </w:r>
          </w:p>
          <w:p w14:paraId="3980B741"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p>
          <w:p w14:paraId="1A030F02"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p>
          <w:p w14:paraId="026383C4"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p>
          <w:p w14:paraId="3EC2A6FB"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p>
          <w:p w14:paraId="4C8CCE8A"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p>
        </w:tc>
        <w:tc>
          <w:tcPr>
            <w:tcW w:w="3402" w:type="dxa"/>
          </w:tcPr>
          <w:p w14:paraId="50DC6F6E" w14:textId="54756660"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 xml:space="preserve">g) </w:t>
            </w:r>
            <w:r w:rsidR="00AF56E9" w:rsidRPr="00AF56E9">
              <w:rPr>
                <w:rFonts w:ascii="Times New Roman" w:eastAsia="Times New Roman" w:hAnsi="Times New Roman"/>
                <w:iCs/>
                <w:color w:val="000000" w:themeColor="text1"/>
                <w:sz w:val="20"/>
                <w:szCs w:val="20"/>
                <w:lang w:eastAsia="sk-SK"/>
              </w:rPr>
              <w:t>prevádzkovateľ je fyzická osoba – podnikateľ alebo právnická osoba, ktorá úplne alebo čiastočne prevádzkuje alebo riadi prevádzku, osobitnú prevádzku, spaľovacie zariadenie, spaľovňu odpadov alebo zariadenie na spoluspaľovanie odpadov,</w:t>
            </w:r>
          </w:p>
        </w:tc>
        <w:tc>
          <w:tcPr>
            <w:tcW w:w="709" w:type="dxa"/>
          </w:tcPr>
          <w:p w14:paraId="33ABACFF" w14:textId="77777777" w:rsidR="00704014" w:rsidRPr="00704014" w:rsidRDefault="00704014" w:rsidP="002F4A40">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tc>
        <w:tc>
          <w:tcPr>
            <w:tcW w:w="1134" w:type="dxa"/>
          </w:tcPr>
          <w:p w14:paraId="5C188AE7"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349598B6" w14:textId="77777777" w:rsidR="00704014" w:rsidRPr="00704014" w:rsidRDefault="00704014" w:rsidP="002F4A40">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tc>
        <w:tc>
          <w:tcPr>
            <w:tcW w:w="992" w:type="dxa"/>
          </w:tcPr>
          <w:p w14:paraId="6A103AF5"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sz w:val="20"/>
                <w:szCs w:val="20"/>
                <w:lang w:eastAsia="sk-SK"/>
              </w:rPr>
            </w:pPr>
          </w:p>
        </w:tc>
      </w:tr>
      <w:tr w:rsidR="0086106F" w:rsidRPr="00704014" w14:paraId="1882229F" w14:textId="77777777" w:rsidTr="0053397B">
        <w:tc>
          <w:tcPr>
            <w:tcW w:w="824" w:type="dxa"/>
          </w:tcPr>
          <w:p w14:paraId="61F2698C"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Č:12</w:t>
            </w:r>
          </w:p>
          <w:p w14:paraId="2BC81CEB"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O1</w:t>
            </w:r>
          </w:p>
          <w:p w14:paraId="370A1CEB"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lastRenderedPageBreak/>
              <w:t>Pi</w:t>
            </w:r>
          </w:p>
          <w:p w14:paraId="1A042A08"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2CCD3366"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57399643"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574669BF"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tc>
        <w:tc>
          <w:tcPr>
            <w:tcW w:w="4346" w:type="dxa"/>
          </w:tcPr>
          <w:p w14:paraId="4353A352"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lastRenderedPageBreak/>
              <w:t>Žiadosti o povolenia</w:t>
            </w:r>
          </w:p>
          <w:p w14:paraId="7AAD5FF2"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lastRenderedPageBreak/>
              <w:t>i)ďalších opatrení plánovaných s cieľom dosiahnutia súladu so všeobecnými zásadami základných povinností prevádzkovateľa podľa článku 11;</w:t>
            </w:r>
          </w:p>
        </w:tc>
        <w:tc>
          <w:tcPr>
            <w:tcW w:w="1182" w:type="dxa"/>
          </w:tcPr>
          <w:p w14:paraId="6846BAFA"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lastRenderedPageBreak/>
              <w:t>N</w:t>
            </w:r>
          </w:p>
          <w:p w14:paraId="7C7FF098"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p>
          <w:p w14:paraId="533DE703"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p>
        </w:tc>
        <w:tc>
          <w:tcPr>
            <w:tcW w:w="803" w:type="dxa"/>
          </w:tcPr>
          <w:p w14:paraId="08D4383B"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lastRenderedPageBreak/>
              <w:t>NZ</w:t>
            </w:r>
          </w:p>
          <w:p w14:paraId="507DF69D"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0B6AD44F"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1C5F8410"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tc>
        <w:tc>
          <w:tcPr>
            <w:tcW w:w="850" w:type="dxa"/>
          </w:tcPr>
          <w:p w14:paraId="175A177B"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lastRenderedPageBreak/>
              <w:t>Čl. II</w:t>
            </w:r>
          </w:p>
          <w:p w14:paraId="76438FF7"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t>B.6</w:t>
            </w:r>
          </w:p>
          <w:p w14:paraId="18F6DF1C"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lastRenderedPageBreak/>
              <w:t xml:space="preserve">§7 </w:t>
            </w:r>
            <w:proofErr w:type="spellStart"/>
            <w:r w:rsidRPr="00704014">
              <w:rPr>
                <w:rFonts w:ascii="Times New Roman" w:eastAsia="Times New Roman" w:hAnsi="Times New Roman"/>
                <w:color w:val="000000" w:themeColor="text1"/>
                <w:sz w:val="20"/>
                <w:szCs w:val="20"/>
              </w:rPr>
              <w:t>Pg</w:t>
            </w:r>
            <w:proofErr w:type="spellEnd"/>
            <w:r w:rsidRPr="00704014">
              <w:rPr>
                <w:rFonts w:ascii="Times New Roman" w:eastAsia="Times New Roman" w:hAnsi="Times New Roman"/>
                <w:color w:val="000000" w:themeColor="text1"/>
                <w:sz w:val="20"/>
                <w:szCs w:val="20"/>
              </w:rPr>
              <w:t>)</w:t>
            </w:r>
          </w:p>
          <w:p w14:paraId="51D9E9B2" w14:textId="77777777" w:rsidR="0086106F" w:rsidRPr="00704014" w:rsidRDefault="0086106F" w:rsidP="0086106F">
            <w:pPr>
              <w:autoSpaceDE w:val="0"/>
              <w:autoSpaceDN w:val="0"/>
              <w:spacing w:after="0" w:line="240" w:lineRule="auto"/>
              <w:jc w:val="both"/>
              <w:rPr>
                <w:rFonts w:ascii="Times New Roman" w:eastAsia="Times New Roman" w:hAnsi="Times New Roman"/>
                <w:color w:val="000000" w:themeColor="text1"/>
                <w:sz w:val="20"/>
                <w:szCs w:val="20"/>
              </w:rPr>
            </w:pPr>
            <w:r w:rsidRPr="00704014">
              <w:rPr>
                <w:rFonts w:ascii="Times New Roman" w:eastAsia="Times New Roman" w:hAnsi="Times New Roman"/>
                <w:color w:val="000000" w:themeColor="text1"/>
                <w:sz w:val="20"/>
                <w:szCs w:val="20"/>
              </w:rPr>
              <w:t xml:space="preserve"> </w:t>
            </w:r>
          </w:p>
        </w:tc>
        <w:tc>
          <w:tcPr>
            <w:tcW w:w="3402" w:type="dxa"/>
          </w:tcPr>
          <w:p w14:paraId="2FE7382B" w14:textId="788FA14B" w:rsidR="0086106F" w:rsidRPr="00704014" w:rsidRDefault="007A3B90" w:rsidP="0086106F">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Pr>
                <w:rFonts w:ascii="Times New Roman" w:eastAsia="Times New Roman" w:hAnsi="Times New Roman"/>
                <w:color w:val="000000" w:themeColor="text1"/>
                <w:sz w:val="20"/>
                <w:szCs w:val="20"/>
                <w:lang w:eastAsia="sk-SK"/>
              </w:rPr>
              <w:lastRenderedPageBreak/>
              <w:t>g</w:t>
            </w:r>
            <w:r w:rsidR="0086106F" w:rsidRPr="00704014">
              <w:rPr>
                <w:rFonts w:ascii="Times New Roman" w:eastAsia="Times New Roman" w:hAnsi="Times New Roman"/>
                <w:color w:val="000000" w:themeColor="text1"/>
                <w:sz w:val="20"/>
                <w:szCs w:val="20"/>
                <w:lang w:eastAsia="sk-SK"/>
              </w:rPr>
              <w:t xml:space="preserve">) </w:t>
            </w:r>
            <w:r w:rsidR="00AF56E9" w:rsidRPr="00AF56E9">
              <w:rPr>
                <w:rFonts w:ascii="Times New Roman" w:eastAsia="Times New Roman" w:hAnsi="Times New Roman"/>
                <w:color w:val="000000" w:themeColor="text1"/>
                <w:sz w:val="20"/>
                <w:szCs w:val="20"/>
                <w:lang w:eastAsia="sk-SK"/>
              </w:rPr>
              <w:t xml:space="preserve">podrobné vyhodnotenie súladu prevádzky a činnosti v nej s najlepšími </w:t>
            </w:r>
            <w:r w:rsidR="00AF56E9" w:rsidRPr="00AF56E9">
              <w:rPr>
                <w:rFonts w:ascii="Times New Roman" w:eastAsia="Times New Roman" w:hAnsi="Times New Roman"/>
                <w:color w:val="000000" w:themeColor="text1"/>
                <w:sz w:val="20"/>
                <w:szCs w:val="20"/>
                <w:lang w:eastAsia="sk-SK"/>
              </w:rPr>
              <w:lastRenderedPageBreak/>
              <w:t>dostupnými technikami uvedenými v záveroch o najlepších dostupných technikách, ktoré sa vzťahujú na činnosť v prevádzke; vyhodnotenie musí obsahovať informácie, s ktorými najlepšími dostupnými technikami uvedenými v relevantných záveroch o najlepších dostupných technikách je prevádzka a činnosť v nej v súlade spolu s odôvodnením, ako aj informácie, s ktorými najlepšími dostupnými technikami relevantných záverov o najlepších dostupných technikách nie je prevádzka alebo činnosť v nej v súlade,</w:t>
            </w:r>
            <w:bookmarkStart w:id="1" w:name="paragraf-10.pismeno-b.oznacenie"/>
            <w:bookmarkStart w:id="2" w:name="paragraf-10.pismeno-b"/>
            <w:bookmarkEnd w:id="1"/>
            <w:bookmarkEnd w:id="2"/>
          </w:p>
        </w:tc>
        <w:tc>
          <w:tcPr>
            <w:tcW w:w="709" w:type="dxa"/>
          </w:tcPr>
          <w:p w14:paraId="54628FAE" w14:textId="77777777" w:rsidR="00C22158" w:rsidRPr="00704014" w:rsidRDefault="00C22158" w:rsidP="00C22158">
            <w:pPr>
              <w:autoSpaceDE w:val="0"/>
              <w:autoSpaceDN w:val="0"/>
              <w:adjustRightInd w:val="0"/>
              <w:spacing w:after="0" w:line="240" w:lineRule="auto"/>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 xml:space="preserve">     Ú</w:t>
            </w:r>
          </w:p>
        </w:tc>
        <w:tc>
          <w:tcPr>
            <w:tcW w:w="1134" w:type="dxa"/>
          </w:tcPr>
          <w:p w14:paraId="642ED9AE" w14:textId="77777777" w:rsidR="0086106F" w:rsidRPr="00704014" w:rsidRDefault="0086106F" w:rsidP="002F4A40">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7461CF62" w14:textId="77777777" w:rsidR="00C22158" w:rsidRPr="00704014" w:rsidRDefault="00C22158" w:rsidP="002F4A40">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i/>
                <w:sz w:val="20"/>
                <w:szCs w:val="20"/>
                <w:lang w:eastAsia="sk-SK"/>
              </w:rPr>
              <w:t>GP-N</w:t>
            </w:r>
          </w:p>
        </w:tc>
        <w:tc>
          <w:tcPr>
            <w:tcW w:w="992" w:type="dxa"/>
          </w:tcPr>
          <w:p w14:paraId="675DE75F" w14:textId="77777777" w:rsidR="0086106F" w:rsidRPr="00704014" w:rsidRDefault="0086106F" w:rsidP="0086106F">
            <w:pPr>
              <w:autoSpaceDE w:val="0"/>
              <w:autoSpaceDN w:val="0"/>
              <w:adjustRightInd w:val="0"/>
              <w:spacing w:after="0" w:line="240" w:lineRule="auto"/>
              <w:jc w:val="both"/>
              <w:rPr>
                <w:rFonts w:ascii="Times New Roman" w:eastAsia="Times New Roman" w:hAnsi="Times New Roman"/>
                <w:sz w:val="20"/>
                <w:szCs w:val="20"/>
                <w:lang w:eastAsia="sk-SK"/>
              </w:rPr>
            </w:pPr>
          </w:p>
        </w:tc>
      </w:tr>
      <w:tr w:rsidR="0053397B" w:rsidRPr="00704014" w14:paraId="26D1FEF6" w14:textId="77777777" w:rsidTr="0053397B">
        <w:tc>
          <w:tcPr>
            <w:tcW w:w="824" w:type="dxa"/>
          </w:tcPr>
          <w:p w14:paraId="5376F1F2" w14:textId="77777777" w:rsidR="0053397B"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 xml:space="preserve">Č. 23 </w:t>
            </w:r>
          </w:p>
          <w:p w14:paraId="152CB5FF" w14:textId="77777777" w:rsidR="0053397B"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O4</w:t>
            </w:r>
          </w:p>
        </w:tc>
        <w:tc>
          <w:tcPr>
            <w:tcW w:w="4346" w:type="dxa"/>
          </w:tcPr>
          <w:p w14:paraId="6F4EAC62" w14:textId="77777777" w:rsidR="0053397B"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Na základe plánov inšpekcií príslušný orgán pravidelne vypracúva programy bežných environmentálnych inšpekcií, v ktorých sa okrem iného určuje frekvencia návštev na mieste pre rôzne typy zariadení. Obdobie medzi dvoma návštevami na mieste sa zakladá na systematickom hodnotení environmentálnych rizík dotknutých zariadení a nepresahuje jeden rok pri zariadeniach s najvyšším rizikom a tri roky pri zariadeniach s najnižším rizikom.</w:t>
            </w:r>
          </w:p>
        </w:tc>
        <w:tc>
          <w:tcPr>
            <w:tcW w:w="1182" w:type="dxa"/>
          </w:tcPr>
          <w:p w14:paraId="38382702" w14:textId="77777777" w:rsidR="0053397B" w:rsidRPr="00704014" w:rsidRDefault="0053397B" w:rsidP="002F4A40">
            <w:pPr>
              <w:autoSpaceDE w:val="0"/>
              <w:autoSpaceDN w:val="0"/>
              <w:adjustRightInd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N</w:t>
            </w:r>
          </w:p>
        </w:tc>
        <w:tc>
          <w:tcPr>
            <w:tcW w:w="803" w:type="dxa"/>
          </w:tcPr>
          <w:p w14:paraId="5D3D57DC" w14:textId="77777777" w:rsidR="0053397B"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NZ</w:t>
            </w:r>
          </w:p>
        </w:tc>
        <w:tc>
          <w:tcPr>
            <w:tcW w:w="850" w:type="dxa"/>
          </w:tcPr>
          <w:p w14:paraId="15606E7D" w14:textId="77777777" w:rsidR="0053397B" w:rsidRPr="00704014" w:rsidRDefault="00C22158" w:rsidP="0053397B">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Čl. II </w:t>
            </w:r>
            <w:r w:rsidR="0053397B" w:rsidRPr="00704014">
              <w:rPr>
                <w:rFonts w:ascii="Times New Roman" w:eastAsia="Times New Roman" w:hAnsi="Times New Roman"/>
                <w:sz w:val="20"/>
                <w:szCs w:val="20"/>
              </w:rPr>
              <w:t>B 23</w:t>
            </w:r>
          </w:p>
          <w:p w14:paraId="2F7B638A" w14:textId="77777777" w:rsidR="0053397B" w:rsidRPr="00704014" w:rsidRDefault="0053397B" w:rsidP="0053397B">
            <w:pPr>
              <w:autoSpaceDE w:val="0"/>
              <w:autoSpaceDN w:val="0"/>
              <w:spacing w:after="0" w:line="240" w:lineRule="auto"/>
              <w:jc w:val="both"/>
              <w:rPr>
                <w:rFonts w:ascii="Times New Roman" w:eastAsia="Times New Roman" w:hAnsi="Times New Roman"/>
                <w:sz w:val="20"/>
                <w:szCs w:val="20"/>
              </w:rPr>
            </w:pPr>
            <w:r w:rsidRPr="00704014">
              <w:rPr>
                <w:rFonts w:ascii="Times New Roman" w:eastAsia="Times New Roman" w:hAnsi="Times New Roman"/>
                <w:sz w:val="20"/>
                <w:szCs w:val="20"/>
              </w:rPr>
              <w:t>§34 O5</w:t>
            </w:r>
          </w:p>
          <w:p w14:paraId="76784A4F" w14:textId="77777777" w:rsidR="0053397B" w:rsidRDefault="0053397B" w:rsidP="002F4A40">
            <w:pPr>
              <w:autoSpaceDE w:val="0"/>
              <w:autoSpaceDN w:val="0"/>
              <w:spacing w:after="0" w:line="240" w:lineRule="auto"/>
              <w:jc w:val="both"/>
              <w:rPr>
                <w:rFonts w:ascii="Times New Roman" w:eastAsia="Times New Roman" w:hAnsi="Times New Roman"/>
                <w:sz w:val="20"/>
                <w:szCs w:val="20"/>
              </w:rPr>
            </w:pPr>
          </w:p>
          <w:p w14:paraId="5CB36B2D" w14:textId="77777777" w:rsidR="002C3FD0" w:rsidRDefault="002C3FD0" w:rsidP="002F4A40">
            <w:pPr>
              <w:autoSpaceDE w:val="0"/>
              <w:autoSpaceDN w:val="0"/>
              <w:spacing w:after="0" w:line="240" w:lineRule="auto"/>
              <w:jc w:val="both"/>
              <w:rPr>
                <w:rFonts w:ascii="Times New Roman" w:eastAsia="Times New Roman" w:hAnsi="Times New Roman"/>
                <w:sz w:val="20"/>
                <w:szCs w:val="20"/>
              </w:rPr>
            </w:pPr>
          </w:p>
          <w:p w14:paraId="442AE014" w14:textId="77777777" w:rsidR="002C3FD0" w:rsidRDefault="002C3FD0" w:rsidP="002F4A40">
            <w:pPr>
              <w:autoSpaceDE w:val="0"/>
              <w:autoSpaceDN w:val="0"/>
              <w:spacing w:after="0" w:line="240" w:lineRule="auto"/>
              <w:jc w:val="both"/>
              <w:rPr>
                <w:rFonts w:ascii="Times New Roman" w:eastAsia="Times New Roman" w:hAnsi="Times New Roman"/>
                <w:sz w:val="20"/>
                <w:szCs w:val="20"/>
              </w:rPr>
            </w:pPr>
          </w:p>
          <w:p w14:paraId="3A986831" w14:textId="77777777" w:rsidR="002C3FD0" w:rsidRDefault="002C3FD0" w:rsidP="002F4A40">
            <w:pPr>
              <w:autoSpaceDE w:val="0"/>
              <w:autoSpaceDN w:val="0"/>
              <w:spacing w:after="0" w:line="240" w:lineRule="auto"/>
              <w:jc w:val="both"/>
              <w:rPr>
                <w:rFonts w:ascii="Times New Roman" w:eastAsia="Times New Roman" w:hAnsi="Times New Roman"/>
                <w:sz w:val="20"/>
                <w:szCs w:val="20"/>
              </w:rPr>
            </w:pPr>
          </w:p>
          <w:p w14:paraId="2BA66C77" w14:textId="3189BE4B" w:rsidR="002C3FD0" w:rsidRPr="00704014" w:rsidRDefault="002C3FD0" w:rsidP="002F4A40">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§34 O6</w:t>
            </w:r>
          </w:p>
        </w:tc>
        <w:tc>
          <w:tcPr>
            <w:tcW w:w="3402" w:type="dxa"/>
          </w:tcPr>
          <w:p w14:paraId="2A9BE813" w14:textId="77777777" w:rsidR="0053397B" w:rsidRPr="00704014" w:rsidRDefault="0053397B" w:rsidP="0053397B">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Inšpekcia vykoná bežnú kontrolu prevádzky najmenej raz za rok, ak na základe systematického hodnotenia environmentálnych rizík prevádzky podľa odseku 8 patrí k prevádzkam s najvyšším rizikom.</w:t>
            </w:r>
          </w:p>
          <w:p w14:paraId="3A22E862" w14:textId="77777777" w:rsidR="0053397B" w:rsidRPr="00704014" w:rsidRDefault="0053397B" w:rsidP="0053397B">
            <w:pPr>
              <w:autoSpaceDE w:val="0"/>
              <w:autoSpaceDN w:val="0"/>
              <w:adjustRightInd w:val="0"/>
              <w:spacing w:after="0" w:line="240" w:lineRule="auto"/>
              <w:jc w:val="both"/>
              <w:rPr>
                <w:rFonts w:ascii="Times New Roman" w:eastAsia="Times New Roman" w:hAnsi="Times New Roman"/>
                <w:sz w:val="20"/>
                <w:szCs w:val="20"/>
                <w:lang w:eastAsia="sk-SK"/>
              </w:rPr>
            </w:pPr>
          </w:p>
          <w:p w14:paraId="6839DC61" w14:textId="6ED62FBF" w:rsidR="0053397B" w:rsidRPr="00704014" w:rsidRDefault="002C3FD0" w:rsidP="002F4A40">
            <w:pPr>
              <w:autoSpaceDE w:val="0"/>
              <w:autoSpaceDN w:val="0"/>
              <w:adjustRightInd w:val="0"/>
              <w:spacing w:after="0" w:line="240" w:lineRule="auto"/>
              <w:jc w:val="both"/>
              <w:rPr>
                <w:rFonts w:ascii="Times New Roman" w:eastAsia="Times New Roman" w:hAnsi="Times New Roman"/>
                <w:color w:val="FF0000"/>
                <w:sz w:val="20"/>
                <w:szCs w:val="20"/>
                <w:lang w:eastAsia="sk-SK"/>
              </w:rPr>
            </w:pPr>
            <w:r w:rsidRPr="002C3FD0">
              <w:rPr>
                <w:rFonts w:ascii="Times New Roman" w:eastAsia="Times New Roman" w:hAnsi="Times New Roman"/>
                <w:sz w:val="20"/>
                <w:szCs w:val="20"/>
                <w:lang w:eastAsia="sk-SK"/>
              </w:rPr>
              <w:t>Inšpekcia vykoná bežnú kontrolu prevádzky najmenej raz za tri roky, ak na základe systematického hodnotenia environmentálnych rizík prevádzky podľa odseku 8 patrí k prevádzkam s najnižším rizikom.</w:t>
            </w:r>
          </w:p>
        </w:tc>
        <w:tc>
          <w:tcPr>
            <w:tcW w:w="709" w:type="dxa"/>
          </w:tcPr>
          <w:p w14:paraId="0EC85AD8" w14:textId="77777777" w:rsidR="00C22158" w:rsidRPr="00704014" w:rsidRDefault="00C22158" w:rsidP="002F4A40">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tc>
        <w:tc>
          <w:tcPr>
            <w:tcW w:w="1134" w:type="dxa"/>
          </w:tcPr>
          <w:p w14:paraId="3751CFA2" w14:textId="77777777" w:rsidR="0053397B" w:rsidRPr="00704014" w:rsidRDefault="0053397B" w:rsidP="002F4A40">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58975869" w14:textId="77777777" w:rsidR="00C22158" w:rsidRPr="00704014" w:rsidRDefault="00C22158" w:rsidP="002F4A40">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tc>
        <w:tc>
          <w:tcPr>
            <w:tcW w:w="992" w:type="dxa"/>
          </w:tcPr>
          <w:p w14:paraId="412796D3" w14:textId="77777777" w:rsidR="0053397B"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p>
        </w:tc>
      </w:tr>
      <w:tr w:rsidR="002F4A40" w:rsidRPr="00704014" w14:paraId="27216E60" w14:textId="77777777" w:rsidTr="0053397B">
        <w:tc>
          <w:tcPr>
            <w:tcW w:w="824" w:type="dxa"/>
          </w:tcPr>
          <w:p w14:paraId="612EE2D4"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Č.23</w:t>
            </w:r>
          </w:p>
          <w:p w14:paraId="6A1CD333" w14:textId="77777777" w:rsidR="002F4A40"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O5</w:t>
            </w:r>
          </w:p>
          <w:p w14:paraId="77ACDCDD"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7CEBD008"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3D4A1017"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314B6A84"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6A60EF33"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4B47FFDB"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2477A21E"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508B60E8"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32BCAD1E" w14:textId="1C9F5D8B"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28D45DF0" w14:textId="77777777" w:rsidR="002C3FD0" w:rsidRDefault="002C3FD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7685D50C"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7F3FD1EF"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Č. 23</w:t>
            </w:r>
          </w:p>
          <w:p w14:paraId="5EC0D972" w14:textId="6679DADB" w:rsidR="00210E87" w:rsidRPr="00704014"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O6</w:t>
            </w:r>
          </w:p>
        </w:tc>
        <w:tc>
          <w:tcPr>
            <w:tcW w:w="4346" w:type="dxa"/>
          </w:tcPr>
          <w:p w14:paraId="6D91AA52" w14:textId="77777777" w:rsidR="002F4A40"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lastRenderedPageBreak/>
              <w:t>Cieľom mimoriadnych environmentálnych inšpekcií je čo možno najskôr vyšetriť závažné sťažnosti v oblasti životného prostredia, závažné environmentálne havárie, mimoriadne udalosti a prípady nedodržania podmienok a v prípade potreby prehodnotiť povolenie pred jeho udelením alebo jeho aktualizáciou</w:t>
            </w:r>
          </w:p>
          <w:p w14:paraId="652E233E" w14:textId="77777777" w:rsidR="00210E87"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0DC55FD3" w14:textId="77777777" w:rsidR="00210E87" w:rsidRDefault="00210E87" w:rsidP="00210E87">
            <w:pPr>
              <w:autoSpaceDE w:val="0"/>
              <w:autoSpaceDN w:val="0"/>
              <w:adjustRightInd w:val="0"/>
              <w:spacing w:after="0" w:line="240" w:lineRule="auto"/>
              <w:jc w:val="both"/>
              <w:rPr>
                <w:rFonts w:ascii="Times New Roman" w:eastAsia="Times New Roman" w:hAnsi="Times New Roman"/>
                <w:sz w:val="20"/>
                <w:szCs w:val="20"/>
                <w:lang w:eastAsia="sk-SK"/>
              </w:rPr>
            </w:pPr>
          </w:p>
          <w:p w14:paraId="05AA204A" w14:textId="5721A4DD" w:rsidR="00210E87" w:rsidRDefault="00210E87" w:rsidP="00210E87">
            <w:pPr>
              <w:autoSpaceDE w:val="0"/>
              <w:autoSpaceDN w:val="0"/>
              <w:adjustRightInd w:val="0"/>
              <w:spacing w:after="0" w:line="240" w:lineRule="auto"/>
              <w:jc w:val="both"/>
              <w:rPr>
                <w:rFonts w:ascii="Times New Roman" w:eastAsia="Times New Roman" w:hAnsi="Times New Roman"/>
                <w:sz w:val="20"/>
                <w:szCs w:val="20"/>
                <w:lang w:eastAsia="sk-SK"/>
              </w:rPr>
            </w:pPr>
          </w:p>
          <w:p w14:paraId="40BE8F6C" w14:textId="77777777" w:rsidR="00120F85" w:rsidRDefault="00120F85" w:rsidP="00210E87">
            <w:pPr>
              <w:autoSpaceDE w:val="0"/>
              <w:autoSpaceDN w:val="0"/>
              <w:adjustRightInd w:val="0"/>
              <w:spacing w:after="0" w:line="240" w:lineRule="auto"/>
              <w:jc w:val="both"/>
              <w:rPr>
                <w:rFonts w:ascii="Times New Roman" w:eastAsia="Times New Roman" w:hAnsi="Times New Roman"/>
                <w:sz w:val="20"/>
                <w:szCs w:val="20"/>
                <w:lang w:eastAsia="sk-SK"/>
              </w:rPr>
            </w:pPr>
          </w:p>
          <w:p w14:paraId="18BCB555" w14:textId="77777777" w:rsidR="00210E87" w:rsidRDefault="00210E87" w:rsidP="00210E87">
            <w:pPr>
              <w:autoSpaceDE w:val="0"/>
              <w:autoSpaceDN w:val="0"/>
              <w:adjustRightInd w:val="0"/>
              <w:spacing w:after="0" w:line="240" w:lineRule="auto"/>
              <w:jc w:val="both"/>
              <w:rPr>
                <w:rFonts w:ascii="Times New Roman" w:eastAsia="Times New Roman" w:hAnsi="Times New Roman"/>
                <w:sz w:val="20"/>
                <w:szCs w:val="20"/>
                <w:lang w:eastAsia="sk-SK"/>
              </w:rPr>
            </w:pPr>
          </w:p>
          <w:p w14:paraId="77D12EAB" w14:textId="76AD353F" w:rsidR="00210E87" w:rsidRPr="00210E87" w:rsidRDefault="00210E87" w:rsidP="00210E87">
            <w:pPr>
              <w:autoSpaceDE w:val="0"/>
              <w:autoSpaceDN w:val="0"/>
              <w:adjustRightInd w:val="0"/>
              <w:spacing w:after="0" w:line="240" w:lineRule="auto"/>
              <w:jc w:val="both"/>
              <w:rPr>
                <w:rFonts w:ascii="Times New Roman" w:eastAsia="Times New Roman" w:hAnsi="Times New Roman"/>
                <w:sz w:val="20"/>
                <w:szCs w:val="20"/>
                <w:lang w:eastAsia="sk-SK"/>
              </w:rPr>
            </w:pPr>
            <w:r w:rsidRPr="00210E87">
              <w:rPr>
                <w:rFonts w:ascii="Times New Roman" w:eastAsia="Times New Roman" w:hAnsi="Times New Roman"/>
                <w:sz w:val="20"/>
                <w:szCs w:val="20"/>
                <w:lang w:eastAsia="sk-SK"/>
              </w:rPr>
              <w:lastRenderedPageBreak/>
              <w:t>Po každej návšteve na mieste príslušný orgán vypracuje správu, ktorá opíše relevantné zistenia o tom, či zariadenie dodržiava podmienky povolenia, aj závery o tom, či sú potrebné ďalšie opatrenia.</w:t>
            </w:r>
          </w:p>
          <w:p w14:paraId="17AA4E44" w14:textId="0DFADEFF" w:rsidR="00210E87" w:rsidRPr="00704014" w:rsidRDefault="00210E87" w:rsidP="00210E87">
            <w:pPr>
              <w:autoSpaceDE w:val="0"/>
              <w:autoSpaceDN w:val="0"/>
              <w:adjustRightInd w:val="0"/>
              <w:spacing w:after="0" w:line="240" w:lineRule="auto"/>
              <w:jc w:val="both"/>
              <w:rPr>
                <w:rFonts w:ascii="Times New Roman" w:eastAsia="Times New Roman" w:hAnsi="Times New Roman"/>
                <w:sz w:val="20"/>
                <w:szCs w:val="20"/>
                <w:lang w:eastAsia="sk-SK"/>
              </w:rPr>
            </w:pPr>
            <w:r w:rsidRPr="00210E87">
              <w:rPr>
                <w:rFonts w:ascii="Times New Roman" w:eastAsia="Times New Roman" w:hAnsi="Times New Roman"/>
                <w:sz w:val="20"/>
                <w:szCs w:val="20"/>
                <w:lang w:eastAsia="sk-SK"/>
              </w:rPr>
              <w:t>.</w:t>
            </w:r>
          </w:p>
        </w:tc>
        <w:tc>
          <w:tcPr>
            <w:tcW w:w="1182" w:type="dxa"/>
          </w:tcPr>
          <w:p w14:paraId="7B893814"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lastRenderedPageBreak/>
              <w:t>N</w:t>
            </w:r>
          </w:p>
          <w:p w14:paraId="5A394C01"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63259C33"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34E64890"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017A95B5"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56CDE89D"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3461C127"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253BCC9C"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0225558A"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6D4F52F1"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172DD028"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5397489A" w14:textId="6344E9B7" w:rsidR="002F4A40"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65C70C36" w14:textId="77777777" w:rsidR="002C3FD0" w:rsidRPr="00704014" w:rsidRDefault="002C3FD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6DC90D04" w14:textId="7FB8026A" w:rsidR="002F4A40" w:rsidRPr="00704014" w:rsidRDefault="00210E87" w:rsidP="002F4A40">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N</w:t>
            </w:r>
          </w:p>
          <w:p w14:paraId="550540D2"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4594A78F"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72ECE8AC"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05A6F284"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70B2784F"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09BE5E0C"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p w14:paraId="6F1A3E3F"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803" w:type="dxa"/>
          </w:tcPr>
          <w:p w14:paraId="5CD2FB22" w14:textId="77777777" w:rsidR="002F4A40" w:rsidRPr="00704014" w:rsidRDefault="0053397B" w:rsidP="002F4A40">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lastRenderedPageBreak/>
              <w:t>NZ</w:t>
            </w:r>
          </w:p>
          <w:p w14:paraId="24F9381F"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07EABEE7"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53AA5BE3"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4994079A"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4EF48D9D"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16E9A4BE"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1C61C54C"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6DDAB7E4"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7ACDAA5F"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3F0E0B27"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18CEAEC3" w14:textId="33D2BF69" w:rsidR="002F4A40"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3705E102" w14:textId="77777777" w:rsidR="002C3FD0" w:rsidRPr="00704014" w:rsidRDefault="002C3FD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4C132F47" w14:textId="130F504A" w:rsidR="002F4A40" w:rsidRPr="00704014" w:rsidRDefault="00210E87" w:rsidP="002F4A40">
            <w:pPr>
              <w:autoSpaceDE w:val="0"/>
              <w:autoSpaceDN w:val="0"/>
              <w:adjustRightInd w:val="0"/>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lastRenderedPageBreak/>
              <w:t>NZ</w:t>
            </w:r>
          </w:p>
          <w:p w14:paraId="170998BA"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6634DA8E"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14B16244"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741374A9"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p w14:paraId="296F6CCF"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tc>
        <w:tc>
          <w:tcPr>
            <w:tcW w:w="850" w:type="dxa"/>
          </w:tcPr>
          <w:p w14:paraId="32AE0CF4" w14:textId="77777777" w:rsidR="0053397B" w:rsidRPr="00704014" w:rsidRDefault="00C22158" w:rsidP="0053397B">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Čl. II</w:t>
            </w:r>
            <w:r w:rsidR="0053397B" w:rsidRPr="00704014">
              <w:rPr>
                <w:rFonts w:ascii="Times New Roman" w:eastAsia="Times New Roman" w:hAnsi="Times New Roman"/>
                <w:sz w:val="20"/>
                <w:szCs w:val="20"/>
              </w:rPr>
              <w:t xml:space="preserve"> B 24</w:t>
            </w:r>
          </w:p>
          <w:p w14:paraId="5A33B89E" w14:textId="77777777" w:rsidR="0053397B" w:rsidRPr="00704014" w:rsidRDefault="0053397B" w:rsidP="0053397B">
            <w:pPr>
              <w:autoSpaceDE w:val="0"/>
              <w:autoSpaceDN w:val="0"/>
              <w:spacing w:after="0" w:line="240" w:lineRule="auto"/>
              <w:jc w:val="both"/>
              <w:rPr>
                <w:rFonts w:ascii="Times New Roman" w:eastAsia="Times New Roman" w:hAnsi="Times New Roman"/>
                <w:sz w:val="20"/>
                <w:szCs w:val="20"/>
              </w:rPr>
            </w:pPr>
            <w:r w:rsidRPr="00704014">
              <w:rPr>
                <w:rFonts w:ascii="Times New Roman" w:eastAsia="Times New Roman" w:hAnsi="Times New Roman"/>
                <w:sz w:val="20"/>
                <w:szCs w:val="20"/>
              </w:rPr>
              <w:t>§34 O9</w:t>
            </w:r>
          </w:p>
          <w:p w14:paraId="0D3E6649" w14:textId="77777777" w:rsidR="002F4A40" w:rsidRPr="00704014" w:rsidRDefault="002F4A40" w:rsidP="002F4A40">
            <w:pPr>
              <w:autoSpaceDE w:val="0"/>
              <w:autoSpaceDN w:val="0"/>
              <w:spacing w:after="0" w:line="240" w:lineRule="auto"/>
              <w:jc w:val="both"/>
              <w:rPr>
                <w:rFonts w:ascii="Times New Roman" w:eastAsia="Times New Roman" w:hAnsi="Times New Roman"/>
                <w:sz w:val="20"/>
                <w:szCs w:val="20"/>
              </w:rPr>
            </w:pPr>
          </w:p>
          <w:p w14:paraId="2DE6ACAD" w14:textId="77777777" w:rsidR="00E424E3" w:rsidRPr="00704014" w:rsidRDefault="00E424E3" w:rsidP="002F4A40">
            <w:pPr>
              <w:autoSpaceDE w:val="0"/>
              <w:autoSpaceDN w:val="0"/>
              <w:spacing w:after="0" w:line="240" w:lineRule="auto"/>
              <w:jc w:val="both"/>
              <w:rPr>
                <w:rFonts w:ascii="Times New Roman" w:eastAsia="Times New Roman" w:hAnsi="Times New Roman"/>
                <w:sz w:val="20"/>
                <w:szCs w:val="20"/>
              </w:rPr>
            </w:pPr>
          </w:p>
          <w:p w14:paraId="057B3E7F" w14:textId="77777777" w:rsidR="00E424E3" w:rsidRPr="00704014" w:rsidRDefault="00E424E3" w:rsidP="002F4A40">
            <w:pPr>
              <w:autoSpaceDE w:val="0"/>
              <w:autoSpaceDN w:val="0"/>
              <w:spacing w:after="0" w:line="240" w:lineRule="auto"/>
              <w:jc w:val="both"/>
              <w:rPr>
                <w:rFonts w:ascii="Times New Roman" w:eastAsia="Times New Roman" w:hAnsi="Times New Roman"/>
                <w:sz w:val="20"/>
                <w:szCs w:val="20"/>
              </w:rPr>
            </w:pPr>
          </w:p>
          <w:p w14:paraId="641932DA" w14:textId="77777777" w:rsidR="00E424E3" w:rsidRPr="00704014" w:rsidRDefault="00E424E3" w:rsidP="002F4A40">
            <w:pPr>
              <w:autoSpaceDE w:val="0"/>
              <w:autoSpaceDN w:val="0"/>
              <w:spacing w:after="0" w:line="240" w:lineRule="auto"/>
              <w:jc w:val="both"/>
              <w:rPr>
                <w:rFonts w:ascii="Times New Roman" w:eastAsia="Times New Roman" w:hAnsi="Times New Roman"/>
                <w:sz w:val="20"/>
                <w:szCs w:val="20"/>
              </w:rPr>
            </w:pPr>
          </w:p>
          <w:p w14:paraId="35C0AF2F" w14:textId="77777777" w:rsidR="002F4A40" w:rsidRPr="00704014" w:rsidRDefault="002F4A40" w:rsidP="002F4A40">
            <w:pPr>
              <w:autoSpaceDE w:val="0"/>
              <w:autoSpaceDN w:val="0"/>
              <w:spacing w:after="0" w:line="240" w:lineRule="auto"/>
              <w:jc w:val="both"/>
              <w:rPr>
                <w:rFonts w:ascii="Times New Roman" w:eastAsia="Times New Roman" w:hAnsi="Times New Roman"/>
                <w:sz w:val="20"/>
                <w:szCs w:val="20"/>
              </w:rPr>
            </w:pPr>
          </w:p>
          <w:p w14:paraId="5CB870AF" w14:textId="77777777" w:rsidR="002F4A40" w:rsidRDefault="002F4A40" w:rsidP="002F4A40">
            <w:pPr>
              <w:autoSpaceDE w:val="0"/>
              <w:autoSpaceDN w:val="0"/>
              <w:spacing w:after="0" w:line="240" w:lineRule="auto"/>
              <w:jc w:val="both"/>
              <w:rPr>
                <w:rFonts w:ascii="Times New Roman" w:eastAsia="Times New Roman" w:hAnsi="Times New Roman"/>
                <w:sz w:val="20"/>
                <w:szCs w:val="20"/>
              </w:rPr>
            </w:pPr>
          </w:p>
          <w:p w14:paraId="38A9044C" w14:textId="77777777" w:rsidR="00210E87" w:rsidRDefault="00210E87" w:rsidP="002F4A40">
            <w:pPr>
              <w:autoSpaceDE w:val="0"/>
              <w:autoSpaceDN w:val="0"/>
              <w:spacing w:after="0" w:line="240" w:lineRule="auto"/>
              <w:jc w:val="both"/>
              <w:rPr>
                <w:rFonts w:ascii="Times New Roman" w:eastAsia="Times New Roman" w:hAnsi="Times New Roman"/>
                <w:sz w:val="20"/>
                <w:szCs w:val="20"/>
              </w:rPr>
            </w:pPr>
          </w:p>
          <w:p w14:paraId="231829B1" w14:textId="77777777" w:rsidR="00210E87" w:rsidRDefault="00210E87" w:rsidP="002F4A40">
            <w:pPr>
              <w:autoSpaceDE w:val="0"/>
              <w:autoSpaceDN w:val="0"/>
              <w:spacing w:after="0" w:line="240" w:lineRule="auto"/>
              <w:jc w:val="both"/>
              <w:rPr>
                <w:rFonts w:ascii="Times New Roman" w:eastAsia="Times New Roman" w:hAnsi="Times New Roman"/>
                <w:sz w:val="20"/>
                <w:szCs w:val="20"/>
              </w:rPr>
            </w:pPr>
          </w:p>
          <w:p w14:paraId="14EA75BD" w14:textId="25040EC2" w:rsidR="00210E87" w:rsidRDefault="00210E87" w:rsidP="002F4A40">
            <w:pPr>
              <w:autoSpaceDE w:val="0"/>
              <w:autoSpaceDN w:val="0"/>
              <w:spacing w:after="0" w:line="240" w:lineRule="auto"/>
              <w:jc w:val="both"/>
              <w:rPr>
                <w:rFonts w:ascii="Times New Roman" w:eastAsia="Times New Roman" w:hAnsi="Times New Roman"/>
                <w:sz w:val="20"/>
                <w:szCs w:val="20"/>
              </w:rPr>
            </w:pPr>
          </w:p>
          <w:p w14:paraId="27B6E060" w14:textId="77777777" w:rsidR="002C3FD0" w:rsidRDefault="002C3FD0" w:rsidP="002F4A40">
            <w:pPr>
              <w:autoSpaceDE w:val="0"/>
              <w:autoSpaceDN w:val="0"/>
              <w:spacing w:after="0" w:line="240" w:lineRule="auto"/>
              <w:jc w:val="both"/>
              <w:rPr>
                <w:rFonts w:ascii="Times New Roman" w:eastAsia="Times New Roman" w:hAnsi="Times New Roman"/>
                <w:sz w:val="20"/>
                <w:szCs w:val="20"/>
              </w:rPr>
            </w:pPr>
          </w:p>
          <w:p w14:paraId="6B9ADF9E" w14:textId="2A02112F" w:rsidR="00210E87" w:rsidRDefault="00F45C3F" w:rsidP="002F4A40">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Čl. II</w:t>
            </w:r>
          </w:p>
          <w:p w14:paraId="2B2CBEA1" w14:textId="77777777" w:rsidR="00120F85" w:rsidRDefault="00120F85" w:rsidP="002F4A40">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 24</w:t>
            </w:r>
          </w:p>
          <w:p w14:paraId="3C0D7DAF" w14:textId="0E8BFA4C" w:rsidR="00120F85" w:rsidRPr="00704014" w:rsidRDefault="00120F85" w:rsidP="002F4A40">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34 O10</w:t>
            </w:r>
          </w:p>
        </w:tc>
        <w:tc>
          <w:tcPr>
            <w:tcW w:w="3402" w:type="dxa"/>
          </w:tcPr>
          <w:p w14:paraId="26966A50" w14:textId="77777777" w:rsidR="00AF56E9" w:rsidRDefault="00AF56E9" w:rsidP="002F4A40">
            <w:pPr>
              <w:autoSpaceDE w:val="0"/>
              <w:autoSpaceDN w:val="0"/>
              <w:adjustRightInd w:val="0"/>
              <w:spacing w:after="0" w:line="240" w:lineRule="auto"/>
              <w:jc w:val="both"/>
              <w:rPr>
                <w:rFonts w:ascii="Times New Roman" w:eastAsiaTheme="minorHAnsi" w:hAnsi="Times New Roman"/>
                <w:color w:val="FF0000"/>
              </w:rPr>
            </w:pPr>
            <w:r w:rsidRPr="00AF56E9">
              <w:rPr>
                <w:rFonts w:ascii="Times New Roman" w:eastAsia="Times New Roman" w:hAnsi="Times New Roman"/>
                <w:color w:val="000000" w:themeColor="text1"/>
                <w:sz w:val="20"/>
                <w:szCs w:val="20"/>
                <w:lang w:eastAsia="sk-SK"/>
              </w:rPr>
              <w:lastRenderedPageBreak/>
              <w:t xml:space="preserve">Inšpekcia vykoná mimoriadnu kontrolu s cieľom prešetrenia podnetov </w:t>
            </w:r>
            <w:proofErr w:type="spellStart"/>
            <w:r w:rsidRPr="00AF56E9">
              <w:rPr>
                <w:rFonts w:ascii="Times New Roman" w:eastAsia="Times New Roman" w:hAnsi="Times New Roman"/>
                <w:color w:val="000000" w:themeColor="text1"/>
                <w:sz w:val="20"/>
                <w:szCs w:val="20"/>
                <w:lang w:eastAsia="sk-SK"/>
              </w:rPr>
              <w:t>poukazujúcich</w:t>
            </w:r>
            <w:proofErr w:type="spellEnd"/>
            <w:r w:rsidRPr="00AF56E9">
              <w:rPr>
                <w:rFonts w:ascii="Times New Roman" w:eastAsia="Times New Roman" w:hAnsi="Times New Roman"/>
                <w:color w:val="000000" w:themeColor="text1"/>
                <w:sz w:val="20"/>
                <w:szCs w:val="20"/>
                <w:lang w:eastAsia="sk-SK"/>
              </w:rPr>
              <w:t xml:space="preserve"> na závažné ohrozenie alebo poškodenie životného prostredia, závažných havárií alebo iných mimoriadnych udalostí podľa § 27 ods. 1, bezodkladne po ich oznámení alebo zistení z vlastnej úradnej činnosti. Inšpekcia je oprávnená na základe predbežného vyhodnotenia určiť poradie vykonania mimoriadnej kontroly podľa závažnosti a opodstatnenosti.</w:t>
            </w:r>
            <w:r w:rsidRPr="00AF56E9">
              <w:rPr>
                <w:rFonts w:ascii="Times New Roman" w:eastAsiaTheme="minorHAnsi" w:hAnsi="Times New Roman"/>
                <w:color w:val="FF0000"/>
              </w:rPr>
              <w:t xml:space="preserve"> </w:t>
            </w:r>
          </w:p>
          <w:p w14:paraId="683EC436" w14:textId="07822371" w:rsidR="002F4A40" w:rsidRPr="00704014" w:rsidRDefault="00AF56E9" w:rsidP="002F4A40">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AF56E9">
              <w:rPr>
                <w:rFonts w:ascii="Times New Roman" w:eastAsia="Times New Roman" w:hAnsi="Times New Roman"/>
                <w:color w:val="000000" w:themeColor="text1"/>
                <w:sz w:val="20"/>
                <w:szCs w:val="20"/>
                <w:lang w:eastAsia="sk-SK"/>
              </w:rPr>
              <w:lastRenderedPageBreak/>
              <w:t>Inšpekcia vypracuje správu o kontrole, v ktorej sa zhodnotí dodržiavanie podmienok a z nich vyplývajúcich povinností určených v povolení podľa § 21 ods. 2 a ak je to potrebné je inšpekcia oprávnená určiť príslušné opatrenia alebo postupovať primerane podľa § 20</w:t>
            </w:r>
            <w:r w:rsidR="00120F85" w:rsidRPr="00120F85">
              <w:rPr>
                <w:rFonts w:ascii="Times New Roman" w:eastAsia="Times New Roman" w:hAnsi="Times New Roman"/>
                <w:color w:val="000000" w:themeColor="text1"/>
                <w:sz w:val="20"/>
                <w:szCs w:val="20"/>
                <w:lang w:eastAsia="sk-SK"/>
              </w:rPr>
              <w:t>.</w:t>
            </w:r>
          </w:p>
        </w:tc>
        <w:tc>
          <w:tcPr>
            <w:tcW w:w="709" w:type="dxa"/>
          </w:tcPr>
          <w:p w14:paraId="4AFA4A78" w14:textId="77777777" w:rsidR="0053397B" w:rsidRPr="00704014" w:rsidRDefault="0053397B" w:rsidP="002F4A40">
            <w:pPr>
              <w:autoSpaceDE w:val="0"/>
              <w:autoSpaceDN w:val="0"/>
              <w:adjustRightInd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lastRenderedPageBreak/>
              <w:t>Ú</w:t>
            </w:r>
          </w:p>
        </w:tc>
        <w:tc>
          <w:tcPr>
            <w:tcW w:w="1134" w:type="dxa"/>
          </w:tcPr>
          <w:p w14:paraId="7F07CB49" w14:textId="77777777" w:rsidR="002F4A40" w:rsidRPr="00704014" w:rsidRDefault="002F4A40" w:rsidP="002F4A40">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690EACB9" w14:textId="77777777" w:rsidR="0053397B" w:rsidRPr="00704014" w:rsidRDefault="0053397B" w:rsidP="002F4A40">
            <w:pPr>
              <w:autoSpaceDE w:val="0"/>
              <w:autoSpaceDN w:val="0"/>
              <w:adjustRightInd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i/>
                <w:sz w:val="20"/>
                <w:szCs w:val="20"/>
                <w:lang w:eastAsia="sk-SK"/>
              </w:rPr>
              <w:t>GP-N</w:t>
            </w:r>
          </w:p>
        </w:tc>
        <w:tc>
          <w:tcPr>
            <w:tcW w:w="992" w:type="dxa"/>
          </w:tcPr>
          <w:p w14:paraId="73052320" w14:textId="77777777" w:rsidR="002F4A40" w:rsidRPr="00704014" w:rsidRDefault="002F4A40" w:rsidP="002F4A40">
            <w:pPr>
              <w:autoSpaceDE w:val="0"/>
              <w:autoSpaceDN w:val="0"/>
              <w:adjustRightInd w:val="0"/>
              <w:spacing w:after="0" w:line="240" w:lineRule="auto"/>
              <w:jc w:val="both"/>
              <w:rPr>
                <w:rFonts w:ascii="Times New Roman" w:eastAsia="Times New Roman" w:hAnsi="Times New Roman"/>
                <w:sz w:val="20"/>
                <w:szCs w:val="20"/>
                <w:lang w:eastAsia="sk-SK"/>
              </w:rPr>
            </w:pPr>
          </w:p>
        </w:tc>
      </w:tr>
      <w:tr w:rsidR="00120F85" w:rsidRPr="00704014" w14:paraId="538A808C" w14:textId="65A0792B" w:rsidTr="00B85C3D">
        <w:tc>
          <w:tcPr>
            <w:tcW w:w="824" w:type="dxa"/>
          </w:tcPr>
          <w:p w14:paraId="48941425"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Č.79</w:t>
            </w:r>
          </w:p>
        </w:tc>
        <w:tc>
          <w:tcPr>
            <w:tcW w:w="4346" w:type="dxa"/>
          </w:tcPr>
          <w:p w14:paraId="73D59CEA"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Sankcie</w:t>
            </w:r>
          </w:p>
          <w:p w14:paraId="64F1B62A"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Členské štáty určia sankcie za porušovanie vnútroštátnych ustanovení prijatých podľa tejto smernice. Tieto sankcie musia byť účinné, primerané a odrádzajúce. Členské štáty oznámia tieto ustanovenia Komisii do 7. januára 2013 a bezodkladne jej oznámia všetky ich následné zmeny a doplnenia.</w:t>
            </w:r>
          </w:p>
        </w:tc>
        <w:tc>
          <w:tcPr>
            <w:tcW w:w="1182" w:type="dxa"/>
          </w:tcPr>
          <w:p w14:paraId="27E65E86" w14:textId="77777777" w:rsidR="00120F85" w:rsidRPr="00704014" w:rsidRDefault="00120F85" w:rsidP="00120F85">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w:t>
            </w:r>
          </w:p>
          <w:p w14:paraId="4BC4F86C" w14:textId="77777777" w:rsidR="00120F85" w:rsidRPr="00704014" w:rsidRDefault="00120F85" w:rsidP="00120F85">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p>
          <w:p w14:paraId="5E7B147C" w14:textId="77777777" w:rsidR="00120F85" w:rsidRPr="00704014" w:rsidRDefault="00120F85" w:rsidP="00120F85">
            <w:pPr>
              <w:autoSpaceDE w:val="0"/>
              <w:autoSpaceDN w:val="0"/>
              <w:adjustRightInd w:val="0"/>
              <w:spacing w:after="0" w:line="240" w:lineRule="auto"/>
              <w:jc w:val="center"/>
              <w:rPr>
                <w:rFonts w:ascii="Times New Roman" w:eastAsia="Times New Roman" w:hAnsi="Times New Roman"/>
                <w:color w:val="000000" w:themeColor="text1"/>
                <w:sz w:val="20"/>
                <w:szCs w:val="20"/>
                <w:lang w:eastAsia="sk-SK"/>
              </w:rPr>
            </w:pPr>
          </w:p>
        </w:tc>
        <w:tc>
          <w:tcPr>
            <w:tcW w:w="803" w:type="dxa"/>
          </w:tcPr>
          <w:p w14:paraId="32CDBD4D"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NZ</w:t>
            </w:r>
          </w:p>
          <w:p w14:paraId="19E40E2A"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5D0016E8"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677B9E37"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0C719F51"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7DF99926"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NZ</w:t>
            </w:r>
          </w:p>
          <w:p w14:paraId="6B7545E1"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0D06CB57"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58B39328"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7C215B77"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26BEE0B0"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NZ</w:t>
            </w:r>
          </w:p>
        </w:tc>
        <w:tc>
          <w:tcPr>
            <w:tcW w:w="850" w:type="dxa"/>
          </w:tcPr>
          <w:p w14:paraId="03BE8E8B"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Čl. II</w:t>
            </w:r>
          </w:p>
          <w:p w14:paraId="406F0C5D"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B.26</w:t>
            </w:r>
          </w:p>
          <w:p w14:paraId="7F3A2984"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§37 O1Pp)</w:t>
            </w:r>
          </w:p>
          <w:p w14:paraId="7557B612"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p>
          <w:p w14:paraId="40F0B9F7"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Čl. II</w:t>
            </w:r>
          </w:p>
          <w:p w14:paraId="6E1B0215"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B.27</w:t>
            </w:r>
          </w:p>
          <w:p w14:paraId="1D2BD92A"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§37 O1Ps)</w:t>
            </w:r>
          </w:p>
          <w:p w14:paraId="3636EBB6"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p>
          <w:p w14:paraId="73FD7B95"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Čl. II</w:t>
            </w:r>
          </w:p>
          <w:p w14:paraId="5E7AF47E"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B.27</w:t>
            </w:r>
          </w:p>
          <w:p w14:paraId="2E027F3C" w14:textId="77777777" w:rsidR="00120F85" w:rsidRPr="00704014" w:rsidRDefault="00120F85" w:rsidP="00120F85">
            <w:pPr>
              <w:autoSpaceDE w:val="0"/>
              <w:autoSpaceDN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§37 O7</w:t>
            </w:r>
          </w:p>
        </w:tc>
        <w:tc>
          <w:tcPr>
            <w:tcW w:w="3402" w:type="dxa"/>
          </w:tcPr>
          <w:p w14:paraId="30D7E522"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p) neobmedzil činnosť v prevádzke alebo nezastavil činnosť v prevádzke alebo v jej časti na základe rozhodnutia inšpekcie,</w:t>
            </w:r>
          </w:p>
          <w:p w14:paraId="657E1600"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311EF73C"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p>
          <w:p w14:paraId="0BFF8E98"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b/>
                <w:color w:val="000000" w:themeColor="text1"/>
                <w:sz w:val="20"/>
                <w:szCs w:val="20"/>
                <w:lang w:eastAsia="sk-SK"/>
              </w:rPr>
            </w:pPr>
            <w:r w:rsidRPr="00704014">
              <w:rPr>
                <w:rFonts w:ascii="Times New Roman" w:eastAsia="Times New Roman" w:hAnsi="Times New Roman"/>
                <w:color w:val="000000" w:themeColor="text1"/>
                <w:sz w:val="20"/>
                <w:szCs w:val="20"/>
                <w:lang w:eastAsia="sk-SK"/>
              </w:rPr>
              <w:t>s) nevykonal opatrenia a sankcie uložené inšpekciou podľa ustanovení tohto zákona</w:t>
            </w:r>
          </w:p>
          <w:p w14:paraId="660E0FDE"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b/>
                <w:color w:val="000000" w:themeColor="text1"/>
                <w:sz w:val="20"/>
                <w:szCs w:val="20"/>
                <w:lang w:eastAsia="sk-SK"/>
              </w:rPr>
            </w:pPr>
          </w:p>
          <w:p w14:paraId="4483AFC2" w14:textId="77777777" w:rsidR="00120F85" w:rsidRPr="00704014" w:rsidRDefault="00120F85" w:rsidP="00120F85">
            <w:pPr>
              <w:autoSpaceDE w:val="0"/>
              <w:autoSpaceDN w:val="0"/>
              <w:adjustRightInd w:val="0"/>
              <w:spacing w:after="0" w:line="240" w:lineRule="auto"/>
              <w:jc w:val="both"/>
              <w:rPr>
                <w:rFonts w:ascii="Times New Roman" w:eastAsia="Times New Roman" w:hAnsi="Times New Roman"/>
                <w:b/>
                <w:color w:val="000000" w:themeColor="text1"/>
                <w:sz w:val="20"/>
                <w:szCs w:val="20"/>
                <w:lang w:eastAsia="sk-SK"/>
              </w:rPr>
            </w:pPr>
          </w:p>
          <w:p w14:paraId="47ED2CD9" w14:textId="6D830CEC" w:rsidR="00120F85" w:rsidRPr="00704014" w:rsidRDefault="00120F85" w:rsidP="00120F85">
            <w:pPr>
              <w:autoSpaceDE w:val="0"/>
              <w:autoSpaceDN w:val="0"/>
              <w:adjustRightInd w:val="0"/>
              <w:spacing w:after="0" w:line="240" w:lineRule="auto"/>
              <w:jc w:val="both"/>
              <w:rPr>
                <w:rFonts w:ascii="Times New Roman" w:eastAsia="Times New Roman" w:hAnsi="Times New Roman"/>
                <w:color w:val="000000" w:themeColor="text1"/>
                <w:sz w:val="20"/>
                <w:szCs w:val="20"/>
                <w:lang w:eastAsia="sk-SK"/>
              </w:rPr>
            </w:pPr>
            <w:r w:rsidRPr="00704014">
              <w:rPr>
                <w:rFonts w:ascii="Times New Roman" w:eastAsia="Times New Roman" w:hAnsi="Times New Roman"/>
                <w:color w:val="000000" w:themeColor="text1"/>
                <w:sz w:val="20"/>
                <w:szCs w:val="20"/>
                <w:lang w:eastAsia="sk-SK"/>
              </w:rPr>
              <w:t>Pri rozhodovaní o výške pokuty orgán štátneho dozoru prihliada najmä na závažnosť porušenia povinnosti, čas trvania protiprávneho stavu, na vzniknuté alebo hroziace škodlivé následky na životné prostredie alebo na zdravie ľudí.</w:t>
            </w:r>
          </w:p>
        </w:tc>
        <w:tc>
          <w:tcPr>
            <w:tcW w:w="709" w:type="dxa"/>
          </w:tcPr>
          <w:p w14:paraId="70DE4CF5"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p w14:paraId="1B3B41D3"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4B590801"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3194EBBA"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3923FE7C"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34E6B290"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p w14:paraId="115D1E26"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3C5A577F"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70DB65BF"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2BDB3C96" w14:textId="77777777" w:rsidR="00120F85"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p w14:paraId="7A544D09" w14:textId="77777777" w:rsidR="00120F85" w:rsidRDefault="00120F85" w:rsidP="007468EC">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p w14:paraId="497ED039" w14:textId="77777777" w:rsidR="007468EC" w:rsidRDefault="007468EC" w:rsidP="007468EC">
            <w:pPr>
              <w:autoSpaceDE w:val="0"/>
              <w:autoSpaceDN w:val="0"/>
              <w:adjustRightInd w:val="0"/>
              <w:spacing w:after="0" w:line="240" w:lineRule="auto"/>
              <w:jc w:val="center"/>
              <w:rPr>
                <w:rFonts w:ascii="Times New Roman" w:eastAsia="Times New Roman" w:hAnsi="Times New Roman"/>
                <w:sz w:val="20"/>
                <w:szCs w:val="20"/>
                <w:lang w:eastAsia="sk-SK"/>
              </w:rPr>
            </w:pPr>
          </w:p>
          <w:p w14:paraId="0AB4BB7E" w14:textId="77777777" w:rsidR="007468EC" w:rsidRDefault="007468EC" w:rsidP="007468EC">
            <w:pPr>
              <w:autoSpaceDE w:val="0"/>
              <w:autoSpaceDN w:val="0"/>
              <w:adjustRightInd w:val="0"/>
              <w:spacing w:after="0" w:line="240" w:lineRule="auto"/>
              <w:jc w:val="center"/>
              <w:rPr>
                <w:rFonts w:ascii="Times New Roman" w:eastAsia="Times New Roman" w:hAnsi="Times New Roman"/>
                <w:sz w:val="20"/>
                <w:szCs w:val="20"/>
                <w:lang w:eastAsia="sk-SK"/>
              </w:rPr>
            </w:pPr>
          </w:p>
          <w:p w14:paraId="694B4822" w14:textId="77777777" w:rsidR="007468EC" w:rsidRDefault="007468EC" w:rsidP="007468EC">
            <w:pPr>
              <w:autoSpaceDE w:val="0"/>
              <w:autoSpaceDN w:val="0"/>
              <w:adjustRightInd w:val="0"/>
              <w:spacing w:after="0" w:line="240" w:lineRule="auto"/>
              <w:jc w:val="center"/>
              <w:rPr>
                <w:rFonts w:ascii="Times New Roman" w:eastAsia="Times New Roman" w:hAnsi="Times New Roman"/>
                <w:sz w:val="20"/>
                <w:szCs w:val="20"/>
                <w:lang w:eastAsia="sk-SK"/>
              </w:rPr>
            </w:pPr>
          </w:p>
          <w:p w14:paraId="7543FA16" w14:textId="77777777" w:rsidR="007468EC" w:rsidRDefault="007468EC" w:rsidP="007468EC">
            <w:pPr>
              <w:autoSpaceDE w:val="0"/>
              <w:autoSpaceDN w:val="0"/>
              <w:adjustRightInd w:val="0"/>
              <w:spacing w:after="0" w:line="240" w:lineRule="auto"/>
              <w:jc w:val="center"/>
              <w:rPr>
                <w:rFonts w:ascii="Times New Roman" w:eastAsia="Times New Roman" w:hAnsi="Times New Roman"/>
                <w:sz w:val="20"/>
                <w:szCs w:val="20"/>
                <w:lang w:eastAsia="sk-SK"/>
              </w:rPr>
            </w:pPr>
          </w:p>
          <w:p w14:paraId="14B0050F" w14:textId="3B5CE182" w:rsidR="007468EC" w:rsidRPr="00704014" w:rsidRDefault="007468EC" w:rsidP="007468EC">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1134" w:type="dxa"/>
          </w:tcPr>
          <w:p w14:paraId="3FBEDDA0" w14:textId="77777777" w:rsidR="00120F85" w:rsidRPr="00704014" w:rsidRDefault="00120F85" w:rsidP="00120F85">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1849206A"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p w14:paraId="486D3B74"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218EACC8"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79872DC0"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51F30853"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73932F71"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p w14:paraId="708FF357"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5D774305"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4352FEBE"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62039663"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3EAD4C3A"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p w14:paraId="19521501"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7CFC8939" w14:textId="77777777"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7F2942F1" w14:textId="6E0A138E" w:rsidR="00120F85" w:rsidRDefault="00120F85" w:rsidP="00120F85">
            <w:pPr>
              <w:autoSpaceDE w:val="0"/>
              <w:autoSpaceDN w:val="0"/>
              <w:adjustRightInd w:val="0"/>
              <w:spacing w:after="0" w:line="240" w:lineRule="auto"/>
              <w:jc w:val="center"/>
              <w:rPr>
                <w:rFonts w:ascii="Times New Roman" w:eastAsia="Times New Roman" w:hAnsi="Times New Roman"/>
                <w:i/>
                <w:sz w:val="20"/>
                <w:szCs w:val="20"/>
                <w:lang w:eastAsia="sk-SK"/>
              </w:rPr>
            </w:pPr>
          </w:p>
          <w:p w14:paraId="17E6E3A5" w14:textId="3234661B" w:rsidR="007468EC" w:rsidRDefault="007468EC" w:rsidP="007468EC">
            <w:pPr>
              <w:autoSpaceDE w:val="0"/>
              <w:autoSpaceDN w:val="0"/>
              <w:adjustRightInd w:val="0"/>
              <w:spacing w:after="0" w:line="240" w:lineRule="auto"/>
              <w:rPr>
                <w:rFonts w:ascii="Times New Roman" w:eastAsia="Times New Roman" w:hAnsi="Times New Roman"/>
                <w:i/>
                <w:sz w:val="20"/>
                <w:szCs w:val="20"/>
                <w:lang w:eastAsia="sk-SK"/>
              </w:rPr>
            </w:pPr>
          </w:p>
          <w:p w14:paraId="6CFA25D6" w14:textId="77777777" w:rsidR="00120F85" w:rsidRPr="00704014" w:rsidRDefault="00120F85" w:rsidP="00120F85">
            <w:pPr>
              <w:autoSpaceDE w:val="0"/>
              <w:autoSpaceDN w:val="0"/>
              <w:adjustRightInd w:val="0"/>
              <w:spacing w:after="0" w:line="240" w:lineRule="auto"/>
              <w:rPr>
                <w:rFonts w:ascii="Times New Roman" w:eastAsia="Times New Roman" w:hAnsi="Times New Roman"/>
                <w:sz w:val="20"/>
                <w:szCs w:val="20"/>
                <w:lang w:eastAsia="sk-SK"/>
              </w:rPr>
            </w:pPr>
          </w:p>
        </w:tc>
        <w:tc>
          <w:tcPr>
            <w:tcW w:w="992" w:type="dxa"/>
          </w:tcPr>
          <w:p w14:paraId="58554315" w14:textId="77777777" w:rsidR="00120F85" w:rsidRPr="00704014" w:rsidRDefault="00120F85" w:rsidP="00120F85">
            <w:pPr>
              <w:spacing w:after="160" w:line="259" w:lineRule="auto"/>
            </w:pPr>
          </w:p>
        </w:tc>
      </w:tr>
      <w:tr w:rsidR="00120F85" w:rsidRPr="00704014" w14:paraId="4757A464" w14:textId="77777777" w:rsidTr="00662C01">
        <w:tc>
          <w:tcPr>
            <w:tcW w:w="824" w:type="dxa"/>
          </w:tcPr>
          <w:p w14:paraId="7A86295A" w14:textId="77777777" w:rsidR="00120F85" w:rsidRDefault="00120F85" w:rsidP="00662C01">
            <w:pPr>
              <w:autoSpaceDE w:val="0"/>
              <w:autoSpaceDN w:val="0"/>
              <w:adjustRightInd w:val="0"/>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Príloha IV</w:t>
            </w:r>
          </w:p>
          <w:p w14:paraId="48456530" w14:textId="2CF90022" w:rsidR="00C86BAA" w:rsidRPr="00704014" w:rsidRDefault="00C86BAA" w:rsidP="00662C01">
            <w:pPr>
              <w:autoSpaceDE w:val="0"/>
              <w:autoSpaceDN w:val="0"/>
              <w:adjustRightInd w:val="0"/>
              <w:spacing w:after="0" w:line="240" w:lineRule="auto"/>
              <w:jc w:val="both"/>
              <w:rPr>
                <w:rFonts w:ascii="Times New Roman" w:eastAsia="Times New Roman" w:hAnsi="Times New Roman"/>
                <w:sz w:val="20"/>
                <w:szCs w:val="20"/>
                <w:lang w:eastAsia="sk-SK"/>
              </w:rPr>
            </w:pPr>
            <w:r>
              <w:rPr>
                <w:rFonts w:ascii="Times New Roman" w:eastAsia="Times New Roman" w:hAnsi="Times New Roman"/>
                <w:sz w:val="20"/>
                <w:szCs w:val="20"/>
                <w:lang w:eastAsia="sk-SK"/>
              </w:rPr>
              <w:t>O5</w:t>
            </w:r>
          </w:p>
        </w:tc>
        <w:tc>
          <w:tcPr>
            <w:tcW w:w="4346" w:type="dxa"/>
          </w:tcPr>
          <w:p w14:paraId="2947AF8A" w14:textId="465E8B36" w:rsidR="00120F85" w:rsidRPr="00704014" w:rsidRDefault="004A7D3B" w:rsidP="00662C01">
            <w:pPr>
              <w:autoSpaceDE w:val="0"/>
              <w:autoSpaceDN w:val="0"/>
              <w:adjustRightInd w:val="0"/>
              <w:spacing w:after="0" w:line="240" w:lineRule="auto"/>
              <w:jc w:val="both"/>
              <w:rPr>
                <w:rFonts w:ascii="Times New Roman" w:eastAsia="Times New Roman" w:hAnsi="Times New Roman"/>
                <w:sz w:val="20"/>
                <w:szCs w:val="20"/>
                <w:lang w:eastAsia="sk-SK"/>
              </w:rPr>
            </w:pPr>
            <w:r w:rsidRPr="004A7D3B">
              <w:rPr>
                <w:rFonts w:ascii="Times New Roman" w:eastAsia="Times New Roman" w:hAnsi="Times New Roman"/>
                <w:sz w:val="20"/>
                <w:szCs w:val="20"/>
                <w:lang w:eastAsia="sk-SK"/>
              </w:rPr>
              <w:t>Podrobné podmienky informovania verejnosti (napríklad vývesiek v okruhu určitej oblasti alebo zverejnenie v miestnej tlači) a konzultácií s dotknutou verejnosťou (napríklad písomným vyjadrením alebo prostredníctvom verejnej ankety) určia členské štáty. Pre rozličné fázy sa určia primerané lehoty tak, aby sa poskytol dostatočný čas na informovanie verejnosti a aby dotknutá verejnosť mala dosť času na prípravu a efektívnu účasť na rozhodovaní vo veciach týkajúcich sa životného prostredia, ktoré sú predmetom tejto prílohy.</w:t>
            </w:r>
          </w:p>
        </w:tc>
        <w:tc>
          <w:tcPr>
            <w:tcW w:w="1182" w:type="dxa"/>
          </w:tcPr>
          <w:p w14:paraId="3E261773" w14:textId="77777777" w:rsidR="00120F85" w:rsidRPr="00704014" w:rsidRDefault="00120F85" w:rsidP="00662C01">
            <w:pPr>
              <w:autoSpaceDE w:val="0"/>
              <w:autoSpaceDN w:val="0"/>
              <w:adjustRightInd w:val="0"/>
              <w:spacing w:after="0" w:line="240" w:lineRule="auto"/>
              <w:jc w:val="center"/>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N</w:t>
            </w:r>
          </w:p>
        </w:tc>
        <w:tc>
          <w:tcPr>
            <w:tcW w:w="803" w:type="dxa"/>
          </w:tcPr>
          <w:p w14:paraId="565E7A35" w14:textId="77777777" w:rsidR="00120F85" w:rsidRPr="00704014" w:rsidRDefault="00120F85" w:rsidP="00662C01">
            <w:pPr>
              <w:autoSpaceDE w:val="0"/>
              <w:autoSpaceDN w:val="0"/>
              <w:adjustRightInd w:val="0"/>
              <w:spacing w:after="0" w:line="240" w:lineRule="auto"/>
              <w:jc w:val="both"/>
              <w:rPr>
                <w:rFonts w:ascii="Times New Roman" w:eastAsia="Times New Roman" w:hAnsi="Times New Roman"/>
                <w:sz w:val="20"/>
                <w:szCs w:val="20"/>
                <w:lang w:eastAsia="sk-SK"/>
              </w:rPr>
            </w:pPr>
            <w:r w:rsidRPr="00704014">
              <w:rPr>
                <w:rFonts w:ascii="Times New Roman" w:eastAsia="Times New Roman" w:hAnsi="Times New Roman"/>
                <w:sz w:val="20"/>
                <w:szCs w:val="20"/>
                <w:lang w:eastAsia="sk-SK"/>
              </w:rPr>
              <w:t>NZ</w:t>
            </w:r>
          </w:p>
        </w:tc>
        <w:tc>
          <w:tcPr>
            <w:tcW w:w="850" w:type="dxa"/>
          </w:tcPr>
          <w:p w14:paraId="1BA9EDCC" w14:textId="19ED19E5" w:rsidR="00120F85" w:rsidRDefault="00F45C3F" w:rsidP="00662C01">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Čl. II</w:t>
            </w:r>
          </w:p>
          <w:p w14:paraId="01831E85" w14:textId="4078BFB5" w:rsidR="00120F85" w:rsidRPr="00704014" w:rsidRDefault="004A7D3B" w:rsidP="00662C01">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 10</w:t>
            </w:r>
          </w:p>
          <w:p w14:paraId="1E3690F0" w14:textId="364E80F2" w:rsidR="00120F85" w:rsidRPr="00704014" w:rsidRDefault="004A7D3B" w:rsidP="00662C01">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11 O3</w:t>
            </w:r>
          </w:p>
          <w:p w14:paraId="31697AB4" w14:textId="77777777" w:rsidR="00120F85" w:rsidRDefault="00120F85" w:rsidP="00662C01">
            <w:pPr>
              <w:autoSpaceDE w:val="0"/>
              <w:autoSpaceDN w:val="0"/>
              <w:spacing w:after="0" w:line="240" w:lineRule="auto"/>
              <w:jc w:val="both"/>
              <w:rPr>
                <w:rFonts w:ascii="Times New Roman" w:eastAsia="Times New Roman" w:hAnsi="Times New Roman"/>
                <w:sz w:val="20"/>
                <w:szCs w:val="20"/>
              </w:rPr>
            </w:pPr>
          </w:p>
          <w:p w14:paraId="659BF200" w14:textId="77777777" w:rsidR="007468EC" w:rsidRDefault="007468EC" w:rsidP="00662C01">
            <w:pPr>
              <w:autoSpaceDE w:val="0"/>
              <w:autoSpaceDN w:val="0"/>
              <w:spacing w:after="0" w:line="240" w:lineRule="auto"/>
              <w:jc w:val="both"/>
              <w:rPr>
                <w:rFonts w:ascii="Times New Roman" w:eastAsia="Times New Roman" w:hAnsi="Times New Roman"/>
                <w:sz w:val="20"/>
                <w:szCs w:val="20"/>
              </w:rPr>
            </w:pPr>
          </w:p>
          <w:p w14:paraId="5B3B48D9" w14:textId="77777777" w:rsidR="007468EC" w:rsidRDefault="007468EC" w:rsidP="00662C01">
            <w:pPr>
              <w:autoSpaceDE w:val="0"/>
              <w:autoSpaceDN w:val="0"/>
              <w:spacing w:after="0" w:line="240" w:lineRule="auto"/>
              <w:jc w:val="both"/>
              <w:rPr>
                <w:rFonts w:ascii="Times New Roman" w:eastAsia="Times New Roman" w:hAnsi="Times New Roman"/>
                <w:sz w:val="20"/>
                <w:szCs w:val="20"/>
              </w:rPr>
            </w:pPr>
          </w:p>
          <w:p w14:paraId="2A081AEF" w14:textId="77777777" w:rsidR="007468EC" w:rsidRDefault="007468EC" w:rsidP="00662C01">
            <w:pPr>
              <w:autoSpaceDE w:val="0"/>
              <w:autoSpaceDN w:val="0"/>
              <w:spacing w:after="0" w:line="240" w:lineRule="auto"/>
              <w:jc w:val="both"/>
              <w:rPr>
                <w:rFonts w:ascii="Times New Roman" w:eastAsia="Times New Roman" w:hAnsi="Times New Roman"/>
                <w:sz w:val="20"/>
                <w:szCs w:val="20"/>
              </w:rPr>
            </w:pPr>
          </w:p>
          <w:p w14:paraId="046F8394" w14:textId="77777777" w:rsidR="007468EC" w:rsidRDefault="007468EC" w:rsidP="00662C01">
            <w:pPr>
              <w:autoSpaceDE w:val="0"/>
              <w:autoSpaceDN w:val="0"/>
              <w:spacing w:after="0" w:line="240" w:lineRule="auto"/>
              <w:jc w:val="both"/>
              <w:rPr>
                <w:rFonts w:ascii="Times New Roman" w:eastAsia="Times New Roman" w:hAnsi="Times New Roman"/>
                <w:sz w:val="20"/>
                <w:szCs w:val="20"/>
              </w:rPr>
            </w:pPr>
          </w:p>
          <w:p w14:paraId="166D3906" w14:textId="616F7734" w:rsidR="007468EC" w:rsidRDefault="00F45C3F" w:rsidP="007468EC">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Čl. II</w:t>
            </w:r>
          </w:p>
          <w:p w14:paraId="773160B6" w14:textId="6ABC6385" w:rsidR="007468EC" w:rsidRPr="00704014" w:rsidRDefault="007468EC" w:rsidP="007468EC">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B 11</w:t>
            </w:r>
          </w:p>
          <w:p w14:paraId="3C581589" w14:textId="7BD9C2BD" w:rsidR="007468EC" w:rsidRPr="00704014" w:rsidRDefault="007468EC" w:rsidP="007468EC">
            <w:pPr>
              <w:autoSpaceDE w:val="0"/>
              <w:autoSpaceDN w:val="0"/>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11 O7</w:t>
            </w:r>
          </w:p>
          <w:p w14:paraId="2E62F8A5" w14:textId="47904338" w:rsidR="007468EC" w:rsidRPr="00704014" w:rsidRDefault="007468EC" w:rsidP="00662C01">
            <w:pPr>
              <w:autoSpaceDE w:val="0"/>
              <w:autoSpaceDN w:val="0"/>
              <w:spacing w:after="0" w:line="240" w:lineRule="auto"/>
              <w:jc w:val="both"/>
              <w:rPr>
                <w:rFonts w:ascii="Times New Roman" w:eastAsia="Times New Roman" w:hAnsi="Times New Roman"/>
                <w:sz w:val="20"/>
                <w:szCs w:val="20"/>
              </w:rPr>
            </w:pPr>
          </w:p>
        </w:tc>
        <w:tc>
          <w:tcPr>
            <w:tcW w:w="3402" w:type="dxa"/>
          </w:tcPr>
          <w:p w14:paraId="50B09B84" w14:textId="389CC235" w:rsidR="00120F85" w:rsidRPr="00120F85" w:rsidRDefault="00120F85" w:rsidP="00120F85">
            <w:pPr>
              <w:autoSpaceDE w:val="0"/>
              <w:autoSpaceDN w:val="0"/>
              <w:adjustRightInd w:val="0"/>
              <w:spacing w:after="0" w:line="240" w:lineRule="auto"/>
              <w:jc w:val="both"/>
              <w:rPr>
                <w:rFonts w:ascii="Times New Roman" w:eastAsia="Times New Roman" w:hAnsi="Times New Roman"/>
                <w:sz w:val="20"/>
                <w:szCs w:val="20"/>
                <w:lang w:eastAsia="sk-SK"/>
              </w:rPr>
            </w:pPr>
            <w:r w:rsidRPr="00120F85">
              <w:rPr>
                <w:rFonts w:ascii="Times New Roman" w:eastAsia="Times New Roman" w:hAnsi="Times New Roman"/>
                <w:sz w:val="20"/>
                <w:szCs w:val="20"/>
                <w:lang w:eastAsia="sk-SK"/>
              </w:rPr>
              <w:t xml:space="preserve">V § 11 ods. 3 sa na konci pripájajú tieto vety: „Integrované povoľovanie je prerušené do doby doručenia žiadosti prevádzkovateľa inšpekcii najviac však do doby uplynutia lehoty na jej predloženie. Počas prerušenia konania lehoty na vydanie rozhodnutia </w:t>
            </w:r>
            <w:r w:rsidR="004A7D3B">
              <w:rPr>
                <w:rFonts w:ascii="Times New Roman" w:eastAsia="Times New Roman" w:hAnsi="Times New Roman"/>
                <w:sz w:val="20"/>
                <w:szCs w:val="20"/>
                <w:lang w:eastAsia="sk-SK"/>
              </w:rPr>
              <w:t>neplynú.</w:t>
            </w:r>
          </w:p>
          <w:p w14:paraId="224AF584" w14:textId="77777777" w:rsidR="00120F85" w:rsidRPr="00120F85" w:rsidRDefault="00120F85" w:rsidP="00120F85">
            <w:pPr>
              <w:autoSpaceDE w:val="0"/>
              <w:autoSpaceDN w:val="0"/>
              <w:adjustRightInd w:val="0"/>
              <w:spacing w:after="0" w:line="240" w:lineRule="auto"/>
              <w:jc w:val="both"/>
              <w:rPr>
                <w:rFonts w:ascii="Times New Roman" w:eastAsia="Times New Roman" w:hAnsi="Times New Roman"/>
                <w:sz w:val="20"/>
                <w:szCs w:val="20"/>
                <w:lang w:eastAsia="sk-SK"/>
              </w:rPr>
            </w:pPr>
          </w:p>
          <w:p w14:paraId="6A3AF9A9" w14:textId="4609AFC0" w:rsidR="00120F85" w:rsidRPr="004A7D3B" w:rsidRDefault="00120F85" w:rsidP="00662C01">
            <w:pPr>
              <w:autoSpaceDE w:val="0"/>
              <w:autoSpaceDN w:val="0"/>
              <w:adjustRightInd w:val="0"/>
              <w:spacing w:after="0" w:line="240" w:lineRule="auto"/>
              <w:jc w:val="both"/>
              <w:rPr>
                <w:rFonts w:ascii="Times New Roman" w:eastAsia="Times New Roman" w:hAnsi="Times New Roman"/>
                <w:sz w:val="20"/>
                <w:szCs w:val="20"/>
                <w:lang w:eastAsia="sk-SK"/>
              </w:rPr>
            </w:pPr>
            <w:r w:rsidRPr="00120F85">
              <w:rPr>
                <w:rFonts w:ascii="Times New Roman" w:eastAsia="Times New Roman" w:hAnsi="Times New Roman"/>
                <w:sz w:val="20"/>
                <w:szCs w:val="20"/>
                <w:lang w:eastAsia="sk-SK"/>
              </w:rPr>
              <w:t>V § 11 ods. 7 sa vypúšťajú slová „po konzultácii s prevádzkovateľom alebo stavebníkom</w:t>
            </w:r>
            <w:r w:rsidRPr="00704014">
              <w:rPr>
                <w:rFonts w:ascii="Times New Roman" w:eastAsia="Times New Roman" w:hAnsi="Times New Roman"/>
                <w:sz w:val="20"/>
                <w:szCs w:val="20"/>
                <w:lang w:eastAsia="sk-SK"/>
              </w:rPr>
              <w:t>.</w:t>
            </w:r>
          </w:p>
        </w:tc>
        <w:tc>
          <w:tcPr>
            <w:tcW w:w="709" w:type="dxa"/>
          </w:tcPr>
          <w:p w14:paraId="2881222C" w14:textId="77777777" w:rsidR="00120F85" w:rsidRDefault="00120F85" w:rsidP="00662C01">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p w14:paraId="60FEC4B1"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1B225BDC"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72B58582"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469EC816"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45C7CE44"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56F6082C"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69A2A81E"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3877449E" w14:textId="77777777" w:rsidR="007468EC" w:rsidRDefault="007468EC" w:rsidP="00662C01">
            <w:pPr>
              <w:autoSpaceDE w:val="0"/>
              <w:autoSpaceDN w:val="0"/>
              <w:adjustRightInd w:val="0"/>
              <w:spacing w:after="0" w:line="240" w:lineRule="auto"/>
              <w:jc w:val="center"/>
              <w:rPr>
                <w:rFonts w:ascii="Times New Roman" w:eastAsia="Times New Roman" w:hAnsi="Times New Roman"/>
                <w:sz w:val="20"/>
                <w:szCs w:val="20"/>
                <w:lang w:eastAsia="sk-SK"/>
              </w:rPr>
            </w:pPr>
            <w:r>
              <w:rPr>
                <w:rFonts w:ascii="Times New Roman" w:eastAsia="Times New Roman" w:hAnsi="Times New Roman"/>
                <w:sz w:val="20"/>
                <w:szCs w:val="20"/>
                <w:lang w:eastAsia="sk-SK"/>
              </w:rPr>
              <w:t>Ú</w:t>
            </w:r>
          </w:p>
          <w:p w14:paraId="20837BB8" w14:textId="77777777" w:rsidR="002C3FD0" w:rsidRDefault="002C3FD0"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399C77B5" w14:textId="77777777" w:rsidR="002C3FD0" w:rsidRDefault="002C3FD0" w:rsidP="00662C01">
            <w:pPr>
              <w:autoSpaceDE w:val="0"/>
              <w:autoSpaceDN w:val="0"/>
              <w:adjustRightInd w:val="0"/>
              <w:spacing w:after="0" w:line="240" w:lineRule="auto"/>
              <w:jc w:val="center"/>
              <w:rPr>
                <w:rFonts w:ascii="Times New Roman" w:eastAsia="Times New Roman" w:hAnsi="Times New Roman"/>
                <w:sz w:val="20"/>
                <w:szCs w:val="20"/>
                <w:lang w:eastAsia="sk-SK"/>
              </w:rPr>
            </w:pPr>
          </w:p>
          <w:p w14:paraId="7388B9A5" w14:textId="04367E6B" w:rsidR="002C3FD0" w:rsidRPr="00704014" w:rsidRDefault="002C3FD0" w:rsidP="00662C01">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1134" w:type="dxa"/>
          </w:tcPr>
          <w:p w14:paraId="5F46F104" w14:textId="77777777" w:rsidR="00120F85" w:rsidRPr="00704014" w:rsidRDefault="00120F85" w:rsidP="00662C01">
            <w:pPr>
              <w:autoSpaceDE w:val="0"/>
              <w:autoSpaceDN w:val="0"/>
              <w:adjustRightInd w:val="0"/>
              <w:spacing w:after="0" w:line="240" w:lineRule="auto"/>
              <w:jc w:val="center"/>
              <w:rPr>
                <w:rFonts w:ascii="Times New Roman" w:eastAsia="Times New Roman" w:hAnsi="Times New Roman"/>
                <w:sz w:val="20"/>
                <w:szCs w:val="20"/>
                <w:lang w:eastAsia="sk-SK"/>
              </w:rPr>
            </w:pPr>
          </w:p>
        </w:tc>
        <w:tc>
          <w:tcPr>
            <w:tcW w:w="992" w:type="dxa"/>
          </w:tcPr>
          <w:p w14:paraId="2C2401F6" w14:textId="77777777" w:rsidR="00120F85" w:rsidRDefault="00120F85" w:rsidP="00662C01">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p w14:paraId="329D5473"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680E83B4"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25A29B44"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6F681072"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2D5D5F79"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343D9889"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24739DA2" w14:textId="77777777" w:rsidR="007468EC" w:rsidRDefault="007468EC" w:rsidP="00662C01">
            <w:pPr>
              <w:autoSpaceDE w:val="0"/>
              <w:autoSpaceDN w:val="0"/>
              <w:adjustRightInd w:val="0"/>
              <w:spacing w:after="0" w:line="240" w:lineRule="auto"/>
              <w:jc w:val="center"/>
              <w:rPr>
                <w:rFonts w:ascii="Times New Roman" w:eastAsia="Times New Roman" w:hAnsi="Times New Roman"/>
                <w:i/>
                <w:sz w:val="20"/>
                <w:szCs w:val="20"/>
                <w:lang w:eastAsia="sk-SK"/>
              </w:rPr>
            </w:pPr>
          </w:p>
          <w:p w14:paraId="2C834F6D" w14:textId="77777777" w:rsidR="007468EC" w:rsidRDefault="007468EC" w:rsidP="007468EC">
            <w:pPr>
              <w:autoSpaceDE w:val="0"/>
              <w:autoSpaceDN w:val="0"/>
              <w:adjustRightInd w:val="0"/>
              <w:spacing w:after="0" w:line="240" w:lineRule="auto"/>
              <w:jc w:val="center"/>
              <w:rPr>
                <w:rFonts w:ascii="Times New Roman" w:eastAsia="Times New Roman" w:hAnsi="Times New Roman"/>
                <w:i/>
                <w:sz w:val="20"/>
                <w:szCs w:val="20"/>
                <w:lang w:eastAsia="sk-SK"/>
              </w:rPr>
            </w:pPr>
            <w:r>
              <w:rPr>
                <w:rFonts w:ascii="Times New Roman" w:eastAsia="Times New Roman" w:hAnsi="Times New Roman"/>
                <w:i/>
                <w:sz w:val="20"/>
                <w:szCs w:val="20"/>
                <w:lang w:eastAsia="sk-SK"/>
              </w:rPr>
              <w:t>GP-N</w:t>
            </w:r>
          </w:p>
          <w:p w14:paraId="0A810616" w14:textId="77777777" w:rsidR="002C3FD0" w:rsidRDefault="002C3FD0" w:rsidP="007468EC">
            <w:pPr>
              <w:autoSpaceDE w:val="0"/>
              <w:autoSpaceDN w:val="0"/>
              <w:adjustRightInd w:val="0"/>
              <w:spacing w:after="0" w:line="240" w:lineRule="auto"/>
              <w:jc w:val="center"/>
              <w:rPr>
                <w:rFonts w:ascii="Times New Roman" w:eastAsia="Times New Roman" w:hAnsi="Times New Roman"/>
                <w:i/>
                <w:sz w:val="20"/>
                <w:szCs w:val="20"/>
                <w:lang w:eastAsia="sk-SK"/>
              </w:rPr>
            </w:pPr>
          </w:p>
          <w:p w14:paraId="57EC405E" w14:textId="77777777" w:rsidR="002C3FD0" w:rsidRDefault="002C3FD0" w:rsidP="007468EC">
            <w:pPr>
              <w:autoSpaceDE w:val="0"/>
              <w:autoSpaceDN w:val="0"/>
              <w:adjustRightInd w:val="0"/>
              <w:spacing w:after="0" w:line="240" w:lineRule="auto"/>
              <w:jc w:val="center"/>
              <w:rPr>
                <w:rFonts w:ascii="Times New Roman" w:eastAsia="Times New Roman" w:hAnsi="Times New Roman"/>
                <w:i/>
                <w:sz w:val="20"/>
                <w:szCs w:val="20"/>
                <w:lang w:eastAsia="sk-SK"/>
              </w:rPr>
            </w:pPr>
          </w:p>
          <w:p w14:paraId="3F990CE1" w14:textId="6845C6E5" w:rsidR="002C3FD0" w:rsidRPr="00704014" w:rsidRDefault="002C3FD0" w:rsidP="007468EC">
            <w:pPr>
              <w:autoSpaceDE w:val="0"/>
              <w:autoSpaceDN w:val="0"/>
              <w:adjustRightInd w:val="0"/>
              <w:spacing w:after="0" w:line="240" w:lineRule="auto"/>
              <w:jc w:val="center"/>
              <w:rPr>
                <w:rFonts w:ascii="Times New Roman" w:eastAsia="Times New Roman" w:hAnsi="Times New Roman"/>
                <w:i/>
                <w:sz w:val="20"/>
                <w:szCs w:val="20"/>
                <w:lang w:eastAsia="sk-SK"/>
              </w:rPr>
            </w:pPr>
          </w:p>
        </w:tc>
        <w:tc>
          <w:tcPr>
            <w:tcW w:w="992" w:type="dxa"/>
          </w:tcPr>
          <w:p w14:paraId="6D8FF930" w14:textId="77777777" w:rsidR="00120F85" w:rsidRPr="00704014" w:rsidRDefault="00120F85" w:rsidP="00662C01">
            <w:pPr>
              <w:autoSpaceDE w:val="0"/>
              <w:autoSpaceDN w:val="0"/>
              <w:adjustRightInd w:val="0"/>
              <w:spacing w:after="0" w:line="240" w:lineRule="auto"/>
              <w:jc w:val="both"/>
              <w:rPr>
                <w:rFonts w:ascii="Times New Roman" w:eastAsia="Times New Roman" w:hAnsi="Times New Roman"/>
                <w:sz w:val="20"/>
                <w:szCs w:val="20"/>
                <w:lang w:eastAsia="sk-SK"/>
              </w:rPr>
            </w:pPr>
          </w:p>
        </w:tc>
      </w:tr>
    </w:tbl>
    <w:p w14:paraId="78613DBA" w14:textId="77777777" w:rsidR="0086106F" w:rsidRPr="00704014" w:rsidRDefault="0086106F" w:rsidP="0086106F">
      <w:pPr>
        <w:spacing w:after="0" w:line="240" w:lineRule="auto"/>
        <w:rPr>
          <w:rFonts w:ascii="Times New Roman" w:hAnsi="Times New Roman"/>
          <w:sz w:val="20"/>
          <w:szCs w:val="20"/>
        </w:rPr>
      </w:pPr>
    </w:p>
    <w:p w14:paraId="4589F8AA"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LEGENDA:</w:t>
      </w:r>
    </w:p>
    <w:p w14:paraId="59156168"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V stĺpci (1):</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(3):</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V stĺpci (5):</w:t>
      </w:r>
      <w:r w:rsidRPr="007425AB">
        <w:rPr>
          <w:rFonts w:ascii="Times New Roman" w:hAnsi="Times New Roman"/>
          <w:sz w:val="20"/>
          <w:szCs w:val="20"/>
        </w:rPr>
        <w:tab/>
      </w:r>
      <w:r w:rsidRPr="007425AB">
        <w:rPr>
          <w:rFonts w:ascii="Times New Roman" w:hAnsi="Times New Roman"/>
          <w:sz w:val="20"/>
          <w:szCs w:val="20"/>
        </w:rPr>
        <w:tab/>
        <w:t>V stĺpci (7):</w:t>
      </w:r>
    </w:p>
    <w:p w14:paraId="2446AFD8"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Č – článok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N – bežná transpozícia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Č – článok</w:t>
      </w:r>
      <w:r w:rsidRPr="007425AB">
        <w:rPr>
          <w:rFonts w:ascii="Times New Roman" w:hAnsi="Times New Roman"/>
          <w:sz w:val="20"/>
          <w:szCs w:val="20"/>
        </w:rPr>
        <w:tab/>
      </w:r>
      <w:r w:rsidRPr="007425AB">
        <w:rPr>
          <w:rFonts w:ascii="Times New Roman" w:hAnsi="Times New Roman"/>
          <w:sz w:val="20"/>
          <w:szCs w:val="20"/>
        </w:rPr>
        <w:tab/>
        <w:t>Ú – úplná zhoda</w:t>
      </w:r>
    </w:p>
    <w:p w14:paraId="46D4BBDF"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lastRenderedPageBreak/>
        <w:t>O – odsek</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O – transpozícia s možnosťou voľby</w:t>
      </w:r>
      <w:r w:rsidRPr="007425AB">
        <w:rPr>
          <w:rFonts w:ascii="Times New Roman" w:hAnsi="Times New Roman"/>
          <w:sz w:val="20"/>
          <w:szCs w:val="20"/>
        </w:rPr>
        <w:tab/>
      </w:r>
      <w:r w:rsidRPr="007425AB">
        <w:rPr>
          <w:rFonts w:ascii="Times New Roman" w:hAnsi="Times New Roman"/>
          <w:sz w:val="20"/>
          <w:szCs w:val="20"/>
        </w:rPr>
        <w:tab/>
        <w:t>§ - paragraf</w:t>
      </w:r>
      <w:r w:rsidRPr="007425AB">
        <w:rPr>
          <w:rFonts w:ascii="Times New Roman" w:hAnsi="Times New Roman"/>
          <w:sz w:val="20"/>
          <w:szCs w:val="20"/>
        </w:rPr>
        <w:tab/>
      </w:r>
      <w:r w:rsidRPr="007425AB">
        <w:rPr>
          <w:rFonts w:ascii="Times New Roman" w:hAnsi="Times New Roman"/>
          <w:sz w:val="20"/>
          <w:szCs w:val="20"/>
        </w:rPr>
        <w:tab/>
        <w:t>Č – čiastočná zhoda</w:t>
      </w:r>
    </w:p>
    <w:p w14:paraId="6A384203"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 xml:space="preserve">PO - </w:t>
      </w:r>
      <w:proofErr w:type="spellStart"/>
      <w:r w:rsidRPr="007425AB">
        <w:rPr>
          <w:rFonts w:ascii="Times New Roman" w:hAnsi="Times New Roman"/>
          <w:sz w:val="20"/>
          <w:szCs w:val="20"/>
        </w:rPr>
        <w:t>pododsek</w:t>
      </w:r>
      <w:proofErr w:type="spellEnd"/>
    </w:p>
    <w:p w14:paraId="0B494B6E"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V – veta</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D – transpozícia podľa úvahy (dobrovoľná)</w:t>
      </w:r>
      <w:r w:rsidRPr="007425AB">
        <w:rPr>
          <w:rFonts w:ascii="Times New Roman" w:hAnsi="Times New Roman"/>
          <w:sz w:val="20"/>
          <w:szCs w:val="20"/>
        </w:rPr>
        <w:tab/>
      </w:r>
      <w:r w:rsidRPr="007425AB">
        <w:rPr>
          <w:rFonts w:ascii="Times New Roman" w:hAnsi="Times New Roman"/>
          <w:sz w:val="20"/>
          <w:szCs w:val="20"/>
        </w:rPr>
        <w:tab/>
        <w:t>O – odsek</w:t>
      </w:r>
      <w:r w:rsidRPr="007425AB">
        <w:rPr>
          <w:rFonts w:ascii="Times New Roman" w:hAnsi="Times New Roman"/>
          <w:sz w:val="20"/>
          <w:szCs w:val="20"/>
        </w:rPr>
        <w:tab/>
      </w:r>
      <w:r w:rsidRPr="007425AB">
        <w:rPr>
          <w:rFonts w:ascii="Times New Roman" w:hAnsi="Times New Roman"/>
          <w:sz w:val="20"/>
          <w:szCs w:val="20"/>
        </w:rPr>
        <w:tab/>
        <w:t xml:space="preserve">Ž – žiadna zhoda (ak nebola dosiahnutá ani </w:t>
      </w:r>
      <w:proofErr w:type="spellStart"/>
      <w:r w:rsidRPr="007425AB">
        <w:rPr>
          <w:rFonts w:ascii="Times New Roman" w:hAnsi="Times New Roman"/>
          <w:sz w:val="20"/>
          <w:szCs w:val="20"/>
        </w:rPr>
        <w:t>čast</w:t>
      </w:r>
      <w:proofErr w:type="spellEnd"/>
      <w:r w:rsidRPr="007425AB">
        <w:rPr>
          <w:rFonts w:ascii="Times New Roman" w:hAnsi="Times New Roman"/>
          <w:sz w:val="20"/>
          <w:szCs w:val="20"/>
        </w:rPr>
        <w:t>. ani úplná</w:t>
      </w:r>
    </w:p>
    <w:p w14:paraId="15DF6260"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r>
      <w:r w:rsidRPr="007425AB">
        <w:rPr>
          <w:rFonts w:ascii="Times New Roman" w:hAnsi="Times New Roman"/>
          <w:sz w:val="20"/>
          <w:szCs w:val="20"/>
        </w:rPr>
        <w:tab/>
      </w:r>
      <w:proofErr w:type="spellStart"/>
      <w:r w:rsidRPr="007425AB">
        <w:rPr>
          <w:rFonts w:ascii="Times New Roman" w:hAnsi="Times New Roman"/>
          <w:sz w:val="20"/>
          <w:szCs w:val="20"/>
        </w:rPr>
        <w:t>n.a</w:t>
      </w:r>
      <w:proofErr w:type="spellEnd"/>
      <w:r w:rsidRPr="007425AB">
        <w:rPr>
          <w:rFonts w:ascii="Times New Roman" w:hAnsi="Times New Roman"/>
          <w:sz w:val="20"/>
          <w:szCs w:val="20"/>
        </w:rPr>
        <w:t>. – transpozícia sa neuskutočňuje</w:t>
      </w:r>
      <w:r w:rsidRPr="007425AB">
        <w:rPr>
          <w:rFonts w:ascii="Times New Roman" w:hAnsi="Times New Roman"/>
          <w:sz w:val="20"/>
          <w:szCs w:val="20"/>
        </w:rPr>
        <w:tab/>
      </w:r>
      <w:r w:rsidRPr="007425AB">
        <w:rPr>
          <w:rFonts w:ascii="Times New Roman" w:hAnsi="Times New Roman"/>
          <w:sz w:val="20"/>
          <w:szCs w:val="20"/>
        </w:rPr>
        <w:tab/>
        <w:t>V – veta</w:t>
      </w:r>
      <w:r w:rsidRPr="007425AB">
        <w:rPr>
          <w:rFonts w:ascii="Times New Roman" w:hAnsi="Times New Roman"/>
          <w:sz w:val="20"/>
          <w:szCs w:val="20"/>
        </w:rPr>
        <w:tab/>
      </w:r>
      <w:r w:rsidRPr="007425AB">
        <w:rPr>
          <w:rFonts w:ascii="Times New Roman" w:hAnsi="Times New Roman"/>
          <w:sz w:val="20"/>
          <w:szCs w:val="20"/>
        </w:rPr>
        <w:tab/>
        <w:t xml:space="preserve">       </w:t>
      </w:r>
      <w:r w:rsidRPr="007425AB">
        <w:rPr>
          <w:rFonts w:ascii="Times New Roman" w:hAnsi="Times New Roman"/>
          <w:sz w:val="20"/>
          <w:szCs w:val="20"/>
        </w:rPr>
        <w:tab/>
        <w:t xml:space="preserve">       alebo k prebratiu dôjde v budúcnosti)</w:t>
      </w:r>
    </w:p>
    <w:p w14:paraId="35CDC52F" w14:textId="77777777" w:rsidR="0086106F" w:rsidRPr="007425AB" w:rsidRDefault="0086106F" w:rsidP="0086106F">
      <w:pPr>
        <w:spacing w:after="0" w:line="240" w:lineRule="auto"/>
        <w:ind w:left="9180" w:hanging="2100"/>
        <w:rPr>
          <w:rFonts w:ascii="Times New Roman" w:hAnsi="Times New Roman"/>
          <w:sz w:val="20"/>
          <w:szCs w:val="20"/>
        </w:rPr>
      </w:pPr>
      <w:r w:rsidRPr="007425AB">
        <w:rPr>
          <w:rFonts w:ascii="Times New Roman" w:hAnsi="Times New Roman"/>
          <w:sz w:val="20"/>
          <w:szCs w:val="20"/>
        </w:rPr>
        <w:t>P – písmeno (číslo)</w:t>
      </w:r>
      <w:r w:rsidRPr="007425AB">
        <w:rPr>
          <w:rFonts w:ascii="Times New Roman" w:hAnsi="Times New Roman"/>
          <w:sz w:val="20"/>
          <w:szCs w:val="20"/>
        </w:rPr>
        <w:tab/>
      </w:r>
      <w:proofErr w:type="spellStart"/>
      <w:r w:rsidRPr="007425AB">
        <w:rPr>
          <w:rFonts w:ascii="Times New Roman" w:hAnsi="Times New Roman"/>
          <w:sz w:val="20"/>
          <w:szCs w:val="20"/>
        </w:rPr>
        <w:t>n.a</w:t>
      </w:r>
      <w:proofErr w:type="spellEnd"/>
      <w:r w:rsidRPr="007425AB">
        <w:rPr>
          <w:rFonts w:ascii="Times New Roman" w:hAnsi="Times New Roman"/>
          <w:sz w:val="20"/>
          <w:szCs w:val="20"/>
        </w:rPr>
        <w:t>. – neaplikovateľnosť (ak sa ustanovenie smernice netýka SR alebo nie je potrebné ho prebrať)</w:t>
      </w:r>
    </w:p>
    <w:p w14:paraId="32125A6A" w14:textId="77777777" w:rsidR="0086106F" w:rsidRPr="007425AB" w:rsidRDefault="0086106F" w:rsidP="0086106F">
      <w:pPr>
        <w:spacing w:after="0" w:line="240" w:lineRule="auto"/>
        <w:ind w:left="9180" w:hanging="2100"/>
        <w:rPr>
          <w:rFonts w:ascii="Times New Roman" w:hAnsi="Times New Roman"/>
          <w:sz w:val="20"/>
          <w:szCs w:val="20"/>
        </w:rPr>
      </w:pPr>
    </w:p>
    <w:p w14:paraId="05237325" w14:textId="77777777" w:rsidR="0086106F" w:rsidRPr="007425AB" w:rsidRDefault="0086106F" w:rsidP="0086106F">
      <w:pPr>
        <w:spacing w:after="0" w:line="240" w:lineRule="auto"/>
      </w:pPr>
      <w:r w:rsidRPr="007425AB">
        <w:rPr>
          <w:rFonts w:ascii="Times New Roman" w:hAnsi="Times New Roman"/>
          <w:sz w:val="20"/>
          <w:szCs w:val="20"/>
        </w:rPr>
        <w:t xml:space="preserve">V stĺpci (9): </w:t>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r>
      <w:r w:rsidRPr="007425AB">
        <w:rPr>
          <w:rFonts w:ascii="Times New Roman" w:hAnsi="Times New Roman"/>
          <w:sz w:val="20"/>
          <w:szCs w:val="20"/>
        </w:rPr>
        <w:tab/>
        <w:t xml:space="preserve">*Vyjadrenie k opodstatnenosti </w:t>
      </w:r>
      <w:proofErr w:type="spellStart"/>
      <w:r w:rsidRPr="007425AB">
        <w:rPr>
          <w:rFonts w:ascii="Times New Roman" w:hAnsi="Times New Roman"/>
          <w:sz w:val="20"/>
          <w:szCs w:val="20"/>
        </w:rPr>
        <w:t>goldplatingu</w:t>
      </w:r>
      <w:proofErr w:type="spellEnd"/>
      <w:r w:rsidRPr="007425AB">
        <w:rPr>
          <w:rFonts w:ascii="Times New Roman" w:hAnsi="Times New Roman"/>
          <w:sz w:val="20"/>
          <w:szCs w:val="20"/>
        </w:rPr>
        <w:t xml:space="preserve"> a jeho odôvodnenie</w:t>
      </w:r>
      <w:r w:rsidRPr="007425AB">
        <w:t>:</w:t>
      </w:r>
    </w:p>
    <w:p w14:paraId="3C0515BA" w14:textId="77777777" w:rsidR="0086106F" w:rsidRPr="007425AB" w:rsidRDefault="0086106F" w:rsidP="0086106F">
      <w:pPr>
        <w:spacing w:after="0" w:line="240" w:lineRule="auto"/>
        <w:rPr>
          <w:rFonts w:ascii="Times New Roman" w:hAnsi="Times New Roman"/>
          <w:sz w:val="20"/>
          <w:szCs w:val="20"/>
        </w:rPr>
      </w:pPr>
      <w:r w:rsidRPr="007425AB">
        <w:rPr>
          <w:rFonts w:ascii="Times New Roman" w:hAnsi="Times New Roman"/>
          <w:sz w:val="20"/>
          <w:szCs w:val="20"/>
        </w:rPr>
        <w:t xml:space="preserve">- GP – A a) až g): </w:t>
      </w:r>
      <w:proofErr w:type="spellStart"/>
      <w:r w:rsidRPr="007425AB">
        <w:rPr>
          <w:rFonts w:ascii="Times New Roman" w:hAnsi="Times New Roman"/>
          <w:sz w:val="20"/>
          <w:szCs w:val="20"/>
        </w:rPr>
        <w:t>goldplating</w:t>
      </w:r>
      <w:proofErr w:type="spellEnd"/>
      <w:r w:rsidRPr="007425AB">
        <w:rPr>
          <w:rFonts w:ascii="Times New Roman" w:hAnsi="Times New Roman"/>
          <w:sz w:val="20"/>
          <w:szCs w:val="20"/>
        </w:rPr>
        <w:t xml:space="preserve"> je identifikovaný, </w:t>
      </w:r>
    </w:p>
    <w:p w14:paraId="2A1F5EC2" w14:textId="77777777" w:rsidR="0086106F" w:rsidRDefault="0086106F" w:rsidP="0086106F">
      <w:pPr>
        <w:pStyle w:val="Default"/>
        <w:ind w:left="7080" w:hanging="7080"/>
        <w:rPr>
          <w:rFonts w:eastAsia="Times New Roman"/>
          <w:color w:val="auto"/>
          <w:sz w:val="20"/>
          <w:szCs w:val="20"/>
          <w:lang w:eastAsia="sk-SK"/>
        </w:rPr>
      </w:pPr>
      <w:r w:rsidRPr="007425AB">
        <w:rPr>
          <w:sz w:val="20"/>
          <w:szCs w:val="20"/>
        </w:rPr>
        <w:t xml:space="preserve">- GP – N: </w:t>
      </w:r>
      <w:proofErr w:type="spellStart"/>
      <w:r w:rsidRPr="007425AB">
        <w:rPr>
          <w:sz w:val="20"/>
          <w:szCs w:val="20"/>
        </w:rPr>
        <w:t>goldplating</w:t>
      </w:r>
      <w:proofErr w:type="spellEnd"/>
      <w:r w:rsidRPr="007425AB">
        <w:rPr>
          <w:sz w:val="20"/>
          <w:szCs w:val="20"/>
        </w:rPr>
        <w:t xml:space="preserve"> nie je identifikovaný.</w:t>
      </w:r>
      <w:r w:rsidRPr="007425AB">
        <w:rPr>
          <w:sz w:val="20"/>
          <w:szCs w:val="20"/>
        </w:rPr>
        <w:tab/>
      </w:r>
      <w:r w:rsidRPr="007425AB">
        <w:rPr>
          <w:rFonts w:eastAsia="Times New Roman"/>
          <w:color w:val="auto"/>
          <w:sz w:val="20"/>
          <w:szCs w:val="20"/>
          <w:lang w:eastAsia="sk-SK"/>
        </w:rPr>
        <w:t>Žiadne ustanovenia nie sú nad rámec minimálnych požiadaviek smernice EÚ, naopak, sú v súlade s nimi.</w:t>
      </w:r>
    </w:p>
    <w:p w14:paraId="1082F852" w14:textId="77777777" w:rsidR="0086106F" w:rsidRDefault="0086106F" w:rsidP="0086106F"/>
    <w:p w14:paraId="0B7D0BFA" w14:textId="77777777" w:rsidR="00851DBA" w:rsidRPr="0086106F" w:rsidRDefault="0086106F" w:rsidP="0086106F">
      <w:pPr>
        <w:tabs>
          <w:tab w:val="left" w:pos="5295"/>
        </w:tabs>
      </w:pPr>
      <w:r>
        <w:tab/>
      </w:r>
    </w:p>
    <w:sectPr w:rsidR="00851DBA" w:rsidRPr="0086106F" w:rsidSect="0086106F">
      <w:footerReference w:type="default" r:id="rId6"/>
      <w:pgSz w:w="16838" w:h="11906" w:orient="landscape"/>
      <w:pgMar w:top="1191" w:right="1418" w:bottom="79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C3F93" w16cex:dateUtc="2025-08-20T13:56:00Z"/>
  <w16cex:commentExtensible w16cex:durableId="46F55251" w16cex:dateUtc="2025-08-20T13:52:00Z"/>
  <w16cex:commentExtensible w16cex:durableId="10F70180" w16cex:dateUtc="2025-08-20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C95CC7" w16cid:durableId="2DEC3F93"/>
  <w16cid:commentId w16cid:paraId="3D92D9E5" w16cid:durableId="46F55251"/>
  <w16cid:commentId w16cid:paraId="1DDF180F" w16cid:durableId="10F7018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EDA09" w14:textId="77777777" w:rsidR="00145DC1" w:rsidRDefault="00145DC1" w:rsidP="0086106F">
      <w:pPr>
        <w:spacing w:after="0" w:line="240" w:lineRule="auto"/>
      </w:pPr>
      <w:r>
        <w:separator/>
      </w:r>
    </w:p>
  </w:endnote>
  <w:endnote w:type="continuationSeparator" w:id="0">
    <w:p w14:paraId="7C39B5D2" w14:textId="77777777" w:rsidR="00145DC1" w:rsidRDefault="00145DC1" w:rsidP="0086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456379"/>
      <w:docPartObj>
        <w:docPartGallery w:val="Page Numbers (Bottom of Page)"/>
        <w:docPartUnique/>
      </w:docPartObj>
    </w:sdtPr>
    <w:sdtEndPr/>
    <w:sdtContent>
      <w:p w14:paraId="3E49FE26" w14:textId="43617B94" w:rsidR="0086106F" w:rsidRDefault="0086106F">
        <w:pPr>
          <w:pStyle w:val="Pta"/>
          <w:jc w:val="center"/>
        </w:pPr>
        <w:r>
          <w:fldChar w:fldCharType="begin"/>
        </w:r>
        <w:r>
          <w:instrText>PAGE   \* MERGEFORMAT</w:instrText>
        </w:r>
        <w:r>
          <w:fldChar w:fldCharType="separate"/>
        </w:r>
        <w:r w:rsidR="00E421C5">
          <w:rPr>
            <w:noProof/>
          </w:rPr>
          <w:t>4</w:t>
        </w:r>
        <w:r>
          <w:fldChar w:fldCharType="end"/>
        </w:r>
      </w:p>
    </w:sdtContent>
  </w:sdt>
  <w:p w14:paraId="37A7C04C" w14:textId="77777777" w:rsidR="0086106F" w:rsidRDefault="008610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B4C7B" w14:textId="77777777" w:rsidR="00145DC1" w:rsidRDefault="00145DC1" w:rsidP="0086106F">
      <w:pPr>
        <w:spacing w:after="0" w:line="240" w:lineRule="auto"/>
      </w:pPr>
      <w:r>
        <w:separator/>
      </w:r>
    </w:p>
  </w:footnote>
  <w:footnote w:type="continuationSeparator" w:id="0">
    <w:p w14:paraId="6C7D1142" w14:textId="77777777" w:rsidR="00145DC1" w:rsidRDefault="00145DC1" w:rsidP="008610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6F"/>
    <w:rsid w:val="000C5252"/>
    <w:rsid w:val="00120F85"/>
    <w:rsid w:val="00145DC1"/>
    <w:rsid w:val="001D6E7F"/>
    <w:rsid w:val="00210E87"/>
    <w:rsid w:val="0027698C"/>
    <w:rsid w:val="002C3FD0"/>
    <w:rsid w:val="002F4A40"/>
    <w:rsid w:val="003372BA"/>
    <w:rsid w:val="004A7D3B"/>
    <w:rsid w:val="00513AF8"/>
    <w:rsid w:val="0053397B"/>
    <w:rsid w:val="00673AFF"/>
    <w:rsid w:val="006E109B"/>
    <w:rsid w:val="00704014"/>
    <w:rsid w:val="007468EC"/>
    <w:rsid w:val="00753A62"/>
    <w:rsid w:val="007A3B90"/>
    <w:rsid w:val="00851DBA"/>
    <w:rsid w:val="0086106F"/>
    <w:rsid w:val="009C58D1"/>
    <w:rsid w:val="00A3133A"/>
    <w:rsid w:val="00AF2236"/>
    <w:rsid w:val="00AF56E9"/>
    <w:rsid w:val="00C22158"/>
    <w:rsid w:val="00C86BAA"/>
    <w:rsid w:val="00E1392F"/>
    <w:rsid w:val="00E421C5"/>
    <w:rsid w:val="00E424E3"/>
    <w:rsid w:val="00E73790"/>
    <w:rsid w:val="00F45C3F"/>
    <w:rsid w:val="00FD11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EF61"/>
  <w15:chartTrackingRefBased/>
  <w15:docId w15:val="{6F6D9B4F-0BD2-4539-8742-EB6FF8F6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20F85"/>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6106F"/>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8610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6106F"/>
    <w:rPr>
      <w:rFonts w:ascii="Calibri" w:eastAsia="Calibri" w:hAnsi="Calibri" w:cs="Times New Roman"/>
    </w:rPr>
  </w:style>
  <w:style w:type="paragraph" w:styleId="Pta">
    <w:name w:val="footer"/>
    <w:basedOn w:val="Normlny"/>
    <w:link w:val="PtaChar"/>
    <w:uiPriority w:val="99"/>
    <w:unhideWhenUsed/>
    <w:rsid w:val="0086106F"/>
    <w:pPr>
      <w:tabs>
        <w:tab w:val="center" w:pos="4536"/>
        <w:tab w:val="right" w:pos="9072"/>
      </w:tabs>
      <w:spacing w:after="0" w:line="240" w:lineRule="auto"/>
    </w:pPr>
  </w:style>
  <w:style w:type="character" w:customStyle="1" w:styleId="PtaChar">
    <w:name w:val="Päta Char"/>
    <w:basedOn w:val="Predvolenpsmoodseku"/>
    <w:link w:val="Pta"/>
    <w:uiPriority w:val="99"/>
    <w:rsid w:val="0086106F"/>
    <w:rPr>
      <w:rFonts w:ascii="Calibri" w:eastAsia="Calibri" w:hAnsi="Calibri" w:cs="Times New Roman"/>
    </w:rPr>
  </w:style>
  <w:style w:type="character" w:styleId="Odkaznakomentr">
    <w:name w:val="annotation reference"/>
    <w:basedOn w:val="Predvolenpsmoodseku"/>
    <w:uiPriority w:val="99"/>
    <w:semiHidden/>
    <w:unhideWhenUsed/>
    <w:rsid w:val="00FD1160"/>
    <w:rPr>
      <w:sz w:val="16"/>
      <w:szCs w:val="16"/>
    </w:rPr>
  </w:style>
  <w:style w:type="paragraph" w:styleId="Textkomentra">
    <w:name w:val="annotation text"/>
    <w:basedOn w:val="Normlny"/>
    <w:link w:val="TextkomentraChar"/>
    <w:uiPriority w:val="99"/>
    <w:unhideWhenUsed/>
    <w:rsid w:val="00FD1160"/>
    <w:pPr>
      <w:spacing w:line="240" w:lineRule="auto"/>
    </w:pPr>
    <w:rPr>
      <w:sz w:val="20"/>
      <w:szCs w:val="20"/>
    </w:rPr>
  </w:style>
  <w:style w:type="character" w:customStyle="1" w:styleId="TextkomentraChar">
    <w:name w:val="Text komentára Char"/>
    <w:basedOn w:val="Predvolenpsmoodseku"/>
    <w:link w:val="Textkomentra"/>
    <w:uiPriority w:val="99"/>
    <w:rsid w:val="00FD116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D1160"/>
    <w:rPr>
      <w:b/>
      <w:bCs/>
    </w:rPr>
  </w:style>
  <w:style w:type="character" w:customStyle="1" w:styleId="PredmetkomentraChar">
    <w:name w:val="Predmet komentára Char"/>
    <w:basedOn w:val="TextkomentraChar"/>
    <w:link w:val="Predmetkomentra"/>
    <w:uiPriority w:val="99"/>
    <w:semiHidden/>
    <w:rsid w:val="00FD1160"/>
    <w:rPr>
      <w:rFonts w:ascii="Calibri" w:eastAsia="Calibri" w:hAnsi="Calibri" w:cs="Times New Roman"/>
      <w:b/>
      <w:bCs/>
      <w:sz w:val="20"/>
      <w:szCs w:val="20"/>
    </w:rPr>
  </w:style>
  <w:style w:type="paragraph" w:styleId="Textbubliny">
    <w:name w:val="Balloon Text"/>
    <w:basedOn w:val="Normlny"/>
    <w:link w:val="TextbublinyChar"/>
    <w:uiPriority w:val="99"/>
    <w:semiHidden/>
    <w:unhideWhenUsed/>
    <w:rsid w:val="00210E8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0E8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webSettings" Target="web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1106</Words>
  <Characters>6309</Characters>
  <Application>Microsoft Office Word</Application>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mzp</dc:creator>
  <cp:keywords/>
  <dc:description/>
  <cp:lastModifiedBy>Hanko Jaroslav</cp:lastModifiedBy>
  <cp:revision>5</cp:revision>
  <dcterms:created xsi:type="dcterms:W3CDTF">2025-08-21T09:43:00Z</dcterms:created>
  <dcterms:modified xsi:type="dcterms:W3CDTF">2025-09-04T12:56:00Z</dcterms:modified>
</cp:coreProperties>
</file>