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F3B95" w14:textId="77777777" w:rsidR="00DF44DC" w:rsidRPr="00117A7E" w:rsidRDefault="00DF44DC" w:rsidP="00DF44DC">
      <w:pPr>
        <w:jc w:val="center"/>
        <w:rPr>
          <w:b/>
          <w:caps/>
          <w:spacing w:val="30"/>
          <w:sz w:val="25"/>
          <w:szCs w:val="25"/>
        </w:rPr>
      </w:pPr>
      <w:r w:rsidRPr="00117A7E">
        <w:rPr>
          <w:b/>
          <w:caps/>
          <w:spacing w:val="30"/>
          <w:sz w:val="25"/>
          <w:szCs w:val="25"/>
        </w:rPr>
        <w:t>Doložka zlučiteľnosti</w:t>
      </w:r>
    </w:p>
    <w:p w14:paraId="7841DD21" w14:textId="697421FB" w:rsidR="00DF44DC" w:rsidRPr="00117A7E" w:rsidRDefault="00DF44DC" w:rsidP="34DF6583">
      <w:pPr>
        <w:jc w:val="center"/>
        <w:rPr>
          <w:b/>
          <w:bCs/>
          <w:sz w:val="25"/>
          <w:szCs w:val="25"/>
        </w:rPr>
      </w:pPr>
      <w:r w:rsidRPr="34DF6583">
        <w:rPr>
          <w:b/>
          <w:bCs/>
          <w:sz w:val="25"/>
          <w:szCs w:val="25"/>
        </w:rPr>
        <w:t xml:space="preserve">návrhu </w:t>
      </w:r>
      <w:r w:rsidR="40B364BB" w:rsidRPr="34DF6583">
        <w:rPr>
          <w:b/>
          <w:bCs/>
          <w:sz w:val="25"/>
          <w:szCs w:val="25"/>
        </w:rPr>
        <w:t xml:space="preserve">zákona </w:t>
      </w:r>
      <w:r w:rsidRPr="34DF6583">
        <w:rPr>
          <w:b/>
          <w:bCs/>
          <w:sz w:val="25"/>
          <w:szCs w:val="25"/>
        </w:rPr>
        <w:t>s právom Európskej únie</w:t>
      </w:r>
    </w:p>
    <w:p w14:paraId="672A6659" w14:textId="77777777" w:rsidR="00DF44DC" w:rsidRPr="00117A7E" w:rsidRDefault="00DF44DC" w:rsidP="00DF44DC">
      <w:pPr>
        <w:jc w:val="center"/>
        <w:rPr>
          <w:b/>
          <w:sz w:val="25"/>
          <w:szCs w:val="25"/>
        </w:rPr>
      </w:pPr>
    </w:p>
    <w:p w14:paraId="0A37501D" w14:textId="77777777" w:rsidR="00DF44DC" w:rsidRPr="00117A7E" w:rsidRDefault="00DF44DC" w:rsidP="00DF44DC">
      <w:pPr>
        <w:jc w:val="center"/>
        <w:rPr>
          <w:b/>
          <w:sz w:val="25"/>
          <w:szCs w:val="25"/>
        </w:rPr>
      </w:pPr>
    </w:p>
    <w:tbl>
      <w:tblPr>
        <w:tblStyle w:val="Mriekatabuky"/>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
        <w:gridCol w:w="9627"/>
      </w:tblGrid>
      <w:tr w:rsidR="00DF44DC" w:rsidRPr="00117A7E" w14:paraId="202148A9" w14:textId="77777777" w:rsidTr="73A4250E">
        <w:tc>
          <w:tcPr>
            <w:tcW w:w="404" w:type="dxa"/>
          </w:tcPr>
          <w:p w14:paraId="0135CBF0" w14:textId="6A07A578" w:rsidR="00DF44DC" w:rsidRPr="00117A7E" w:rsidRDefault="00DF44DC" w:rsidP="34DF6583">
            <w:pPr>
              <w:tabs>
                <w:tab w:val="left" w:pos="360"/>
              </w:tabs>
              <w:rPr>
                <w:b/>
                <w:bCs/>
                <w:sz w:val="25"/>
                <w:szCs w:val="25"/>
              </w:rPr>
            </w:pPr>
            <w:r w:rsidRPr="34DF6583">
              <w:rPr>
                <w:b/>
                <w:bCs/>
                <w:sz w:val="25"/>
                <w:szCs w:val="25"/>
              </w:rPr>
              <w:t>1</w:t>
            </w:r>
          </w:p>
        </w:tc>
        <w:tc>
          <w:tcPr>
            <w:tcW w:w="9627" w:type="dxa"/>
          </w:tcPr>
          <w:p w14:paraId="5745247E" w14:textId="77777777" w:rsidR="00DF44DC" w:rsidRPr="00117A7E" w:rsidRDefault="00DF44DC" w:rsidP="0054470B">
            <w:pPr>
              <w:tabs>
                <w:tab w:val="left" w:pos="360"/>
              </w:tabs>
              <w:rPr>
                <w:sz w:val="25"/>
                <w:szCs w:val="25"/>
              </w:rPr>
            </w:pPr>
            <w:r>
              <w:rPr>
                <w:b/>
                <w:sz w:val="25"/>
                <w:szCs w:val="25"/>
              </w:rPr>
              <w:t>Navrhovateľ právneho predpisu:</w:t>
            </w:r>
            <w:r w:rsidRPr="00117A7E">
              <w:rPr>
                <w:sz w:val="25"/>
                <w:szCs w:val="25"/>
              </w:rPr>
              <w:t xml:space="preserve"> </w:t>
            </w:r>
            <w:r w:rsidRPr="00117A7E">
              <w:rPr>
                <w:sz w:val="25"/>
                <w:szCs w:val="25"/>
              </w:rPr>
              <w:fldChar w:fldCharType="begin"/>
            </w:r>
            <w:r w:rsidRPr="00117A7E">
              <w:rPr>
                <w:sz w:val="25"/>
                <w:szCs w:val="25"/>
              </w:rPr>
              <w:instrText xml:space="preserve"> DOCPROPERTY  FSC#SKEDITIONSLOVLEX@103.510:zodpinstitucia  \* MERGEFORMAT </w:instrText>
            </w:r>
            <w:r w:rsidRPr="00117A7E">
              <w:rPr>
                <w:sz w:val="25"/>
                <w:szCs w:val="25"/>
              </w:rPr>
              <w:fldChar w:fldCharType="separate"/>
            </w:r>
            <w:r>
              <w:rPr>
                <w:sz w:val="25"/>
                <w:szCs w:val="25"/>
              </w:rPr>
              <w:t xml:space="preserve">Ministerstvo </w:t>
            </w:r>
            <w:r w:rsidR="0054470B">
              <w:rPr>
                <w:sz w:val="25"/>
                <w:szCs w:val="25"/>
              </w:rPr>
              <w:t>životného prostredia</w:t>
            </w:r>
            <w:r>
              <w:rPr>
                <w:sz w:val="25"/>
                <w:szCs w:val="25"/>
              </w:rPr>
              <w:t xml:space="preserve"> Slovenskej republiky</w:t>
            </w:r>
            <w:r w:rsidRPr="00117A7E">
              <w:rPr>
                <w:sz w:val="25"/>
                <w:szCs w:val="25"/>
              </w:rPr>
              <w:fldChar w:fldCharType="end"/>
            </w:r>
          </w:p>
        </w:tc>
      </w:tr>
      <w:tr w:rsidR="00DF44DC" w:rsidRPr="00117A7E" w14:paraId="5DAB6C7B" w14:textId="77777777" w:rsidTr="73A4250E">
        <w:tc>
          <w:tcPr>
            <w:tcW w:w="404" w:type="dxa"/>
          </w:tcPr>
          <w:p w14:paraId="02EB378F" w14:textId="77777777" w:rsidR="00DF44DC" w:rsidRPr="00117A7E" w:rsidRDefault="00DF44DC" w:rsidP="00562EBB">
            <w:pPr>
              <w:tabs>
                <w:tab w:val="left" w:pos="360"/>
              </w:tabs>
              <w:rPr>
                <w:sz w:val="25"/>
                <w:szCs w:val="25"/>
              </w:rPr>
            </w:pPr>
          </w:p>
        </w:tc>
        <w:tc>
          <w:tcPr>
            <w:tcW w:w="9627" w:type="dxa"/>
          </w:tcPr>
          <w:p w14:paraId="6A05A809" w14:textId="77777777" w:rsidR="00DF44DC" w:rsidRPr="00117A7E" w:rsidRDefault="00DF44DC" w:rsidP="00562EBB">
            <w:pPr>
              <w:tabs>
                <w:tab w:val="left" w:pos="360"/>
              </w:tabs>
              <w:rPr>
                <w:sz w:val="25"/>
                <w:szCs w:val="25"/>
              </w:rPr>
            </w:pPr>
          </w:p>
        </w:tc>
      </w:tr>
      <w:tr w:rsidR="00DF44DC" w:rsidRPr="00117A7E" w14:paraId="4EF3FB96" w14:textId="77777777" w:rsidTr="73A4250E">
        <w:tc>
          <w:tcPr>
            <w:tcW w:w="404" w:type="dxa"/>
          </w:tcPr>
          <w:p w14:paraId="47886996" w14:textId="4575D5EC" w:rsidR="00DF44DC" w:rsidRPr="00117A7E" w:rsidRDefault="00DF44DC" w:rsidP="73A4250E">
            <w:pPr>
              <w:tabs>
                <w:tab w:val="left" w:pos="360"/>
              </w:tabs>
              <w:rPr>
                <w:b/>
                <w:bCs/>
                <w:sz w:val="25"/>
                <w:szCs w:val="25"/>
              </w:rPr>
            </w:pPr>
            <w:r w:rsidRPr="73A4250E">
              <w:rPr>
                <w:b/>
                <w:bCs/>
                <w:sz w:val="25"/>
                <w:szCs w:val="25"/>
              </w:rPr>
              <w:t>2.</w:t>
            </w:r>
          </w:p>
        </w:tc>
        <w:tc>
          <w:tcPr>
            <w:tcW w:w="9627" w:type="dxa"/>
          </w:tcPr>
          <w:p w14:paraId="629D66F4" w14:textId="24AAB4FD" w:rsidR="00DF44DC" w:rsidRPr="00DF44DC" w:rsidRDefault="00DF44DC" w:rsidP="0054470B">
            <w:pPr>
              <w:tabs>
                <w:tab w:val="left" w:pos="360"/>
              </w:tabs>
              <w:jc w:val="both"/>
              <w:rPr>
                <w:sz w:val="25"/>
                <w:szCs w:val="25"/>
              </w:rPr>
            </w:pPr>
            <w:r w:rsidRPr="34DF6583">
              <w:rPr>
                <w:b/>
                <w:bCs/>
                <w:sz w:val="25"/>
                <w:szCs w:val="25"/>
              </w:rPr>
              <w:t xml:space="preserve">Názov návrhu </w:t>
            </w:r>
            <w:r w:rsidR="1A5509B4" w:rsidRPr="34DF6583">
              <w:rPr>
                <w:b/>
                <w:bCs/>
                <w:sz w:val="25"/>
                <w:szCs w:val="25"/>
              </w:rPr>
              <w:t xml:space="preserve"> zákona</w:t>
            </w:r>
            <w:r w:rsidRPr="34DF6583">
              <w:rPr>
                <w:b/>
                <w:bCs/>
                <w:sz w:val="25"/>
                <w:szCs w:val="25"/>
              </w:rPr>
              <w:t>:</w:t>
            </w:r>
            <w:r w:rsidRPr="34DF6583">
              <w:rPr>
                <w:sz w:val="25"/>
                <w:szCs w:val="25"/>
              </w:rPr>
              <w:t xml:space="preserve"> </w:t>
            </w:r>
            <w:r w:rsidR="0054470B" w:rsidRPr="34DF6583">
              <w:rPr>
                <w:sz w:val="25"/>
                <w:szCs w:val="25"/>
              </w:rPr>
              <w:t xml:space="preserve">Návrh zákona, </w:t>
            </w:r>
            <w:r w:rsidR="00EA48F7" w:rsidRPr="00EA48F7">
              <w:rPr>
                <w:sz w:val="25"/>
                <w:szCs w:val="25"/>
              </w:rPr>
              <w:t>ktorým sa mení a dopĺňa zákon č. 24/2006 Z. z. o posudzovaní vplyvov na životné prostredie a o zmene a doplnení niektorých zákonov v znení neskorších predpisov a ktorým sa menia a dopĺňajú niektoré zákony</w:t>
            </w:r>
            <w:bookmarkStart w:id="0" w:name="_GoBack"/>
            <w:bookmarkEnd w:id="0"/>
          </w:p>
          <w:p w14:paraId="0DFAE634" w14:textId="77777777" w:rsidR="00DF44DC" w:rsidRDefault="00DF44DC" w:rsidP="00562EBB">
            <w:pPr>
              <w:jc w:val="center"/>
            </w:pPr>
            <w:r>
              <w:t xml:space="preserve">  </w:t>
            </w:r>
          </w:p>
          <w:p w14:paraId="5D402D68" w14:textId="77777777" w:rsidR="00DF44DC" w:rsidRPr="00117A7E" w:rsidRDefault="00DF44DC" w:rsidP="00562EBB">
            <w:pPr>
              <w:tabs>
                <w:tab w:val="left" w:pos="360"/>
              </w:tabs>
              <w:rPr>
                <w:sz w:val="25"/>
                <w:szCs w:val="25"/>
              </w:rPr>
            </w:pPr>
            <w:r w:rsidRPr="00117A7E">
              <w:rPr>
                <w:sz w:val="25"/>
                <w:szCs w:val="25"/>
              </w:rPr>
              <w:fldChar w:fldCharType="begin"/>
            </w:r>
            <w:r w:rsidRPr="00117A7E">
              <w:rPr>
                <w:sz w:val="25"/>
                <w:szCs w:val="25"/>
              </w:rPr>
              <w:instrText xml:space="preserve"> DOCPROPERTY  FSC#SKEDITIONSLOVLEX@103.510:plnynazovpredpis2  \* MERGEFORMAT </w:instrText>
            </w:r>
            <w:r w:rsidRPr="00117A7E">
              <w:rPr>
                <w:sz w:val="25"/>
                <w:szCs w:val="25"/>
              </w:rPr>
              <w:fldChar w:fldCharType="end"/>
            </w:r>
            <w:r w:rsidRPr="00117A7E">
              <w:rPr>
                <w:sz w:val="25"/>
                <w:szCs w:val="25"/>
              </w:rPr>
              <w:fldChar w:fldCharType="begin"/>
            </w:r>
            <w:r w:rsidRPr="00117A7E">
              <w:rPr>
                <w:sz w:val="25"/>
                <w:szCs w:val="25"/>
              </w:rPr>
              <w:instrText xml:space="preserve"> DOCPROPERTY  FSC#SKEDITIONSLOVLEX@103.510:plnynazovpredpis3  \* MERGEFORMAT </w:instrText>
            </w:r>
            <w:r w:rsidRPr="00117A7E">
              <w:rPr>
                <w:sz w:val="25"/>
                <w:szCs w:val="25"/>
              </w:rPr>
              <w:fldChar w:fldCharType="end"/>
            </w:r>
          </w:p>
        </w:tc>
      </w:tr>
      <w:tr w:rsidR="00DF44DC" w:rsidRPr="00117A7E" w14:paraId="1CA4085B" w14:textId="77777777" w:rsidTr="73A4250E">
        <w:trPr>
          <w:trHeight w:val="526"/>
        </w:trPr>
        <w:tc>
          <w:tcPr>
            <w:tcW w:w="404" w:type="dxa"/>
          </w:tcPr>
          <w:p w14:paraId="1F75A9DD" w14:textId="77777777" w:rsidR="00DF44DC" w:rsidRPr="00117A7E" w:rsidRDefault="00DF44DC" w:rsidP="00562EBB">
            <w:pPr>
              <w:tabs>
                <w:tab w:val="left" w:pos="360"/>
              </w:tabs>
              <w:rPr>
                <w:b/>
                <w:sz w:val="25"/>
                <w:szCs w:val="25"/>
              </w:rPr>
            </w:pPr>
            <w:r w:rsidRPr="00117A7E">
              <w:rPr>
                <w:b/>
                <w:sz w:val="25"/>
                <w:szCs w:val="25"/>
              </w:rPr>
              <w:t>3.</w:t>
            </w:r>
          </w:p>
        </w:tc>
        <w:tc>
          <w:tcPr>
            <w:tcW w:w="9627" w:type="dxa"/>
          </w:tcPr>
          <w:p w14:paraId="58BA4549" w14:textId="2597EE81" w:rsidR="00DF44DC" w:rsidRPr="00117A7E" w:rsidRDefault="00DF44DC" w:rsidP="73A4250E">
            <w:pPr>
              <w:tabs>
                <w:tab w:val="left" w:pos="360"/>
              </w:tabs>
              <w:rPr>
                <w:b/>
                <w:bCs/>
                <w:sz w:val="25"/>
                <w:szCs w:val="25"/>
              </w:rPr>
            </w:pPr>
            <w:r w:rsidRPr="73A4250E">
              <w:rPr>
                <w:b/>
                <w:bCs/>
                <w:sz w:val="25"/>
                <w:szCs w:val="25"/>
              </w:rPr>
              <w:t xml:space="preserve">Predmet návrhu právneho predpisu </w:t>
            </w:r>
            <w:r w:rsidR="327D4BDF" w:rsidRPr="73A4250E">
              <w:rPr>
                <w:b/>
                <w:bCs/>
                <w:sz w:val="25"/>
                <w:szCs w:val="25"/>
              </w:rPr>
              <w:t xml:space="preserve">zákona </w:t>
            </w:r>
            <w:r w:rsidRPr="73A4250E">
              <w:rPr>
                <w:b/>
                <w:bCs/>
                <w:u w:val="single"/>
              </w:rPr>
              <w:t>je</w:t>
            </w:r>
            <w:r w:rsidRPr="73A4250E">
              <w:rPr>
                <w:b/>
                <w:bCs/>
              </w:rPr>
              <w:t xml:space="preserve"> – </w:t>
            </w:r>
            <w:r w:rsidRPr="73A4250E">
              <w:rPr>
                <w:b/>
                <w:bCs/>
                <w:strike/>
              </w:rPr>
              <w:t>nie je</w:t>
            </w:r>
            <w:r w:rsidRPr="73A4250E">
              <w:rPr>
                <w:b/>
                <w:bCs/>
              </w:rPr>
              <w:t xml:space="preserve"> </w:t>
            </w:r>
            <w:r w:rsidRPr="73A4250E">
              <w:rPr>
                <w:b/>
                <w:bCs/>
                <w:sz w:val="25"/>
                <w:szCs w:val="25"/>
              </w:rPr>
              <w:t>upravený v práve Európskej únie:</w:t>
            </w:r>
          </w:p>
          <w:p w14:paraId="5A39BBE3" w14:textId="77777777" w:rsidR="00DF44DC" w:rsidRPr="00117A7E" w:rsidRDefault="00DF44DC" w:rsidP="00562EBB">
            <w:pPr>
              <w:tabs>
                <w:tab w:val="left" w:pos="360"/>
              </w:tabs>
              <w:rPr>
                <w:sz w:val="25"/>
                <w:szCs w:val="25"/>
              </w:rPr>
            </w:pPr>
          </w:p>
        </w:tc>
      </w:tr>
      <w:tr w:rsidR="00DF44DC" w:rsidRPr="00117A7E" w14:paraId="6E0C8D36" w14:textId="77777777" w:rsidTr="73A4250E">
        <w:tc>
          <w:tcPr>
            <w:tcW w:w="404" w:type="dxa"/>
          </w:tcPr>
          <w:p w14:paraId="41C8F396" w14:textId="77777777" w:rsidR="00DF44DC" w:rsidRPr="00117A7E" w:rsidRDefault="00DF44DC" w:rsidP="00DF44DC">
            <w:pPr>
              <w:tabs>
                <w:tab w:val="left" w:pos="360"/>
              </w:tabs>
            </w:pPr>
          </w:p>
        </w:tc>
        <w:tc>
          <w:tcPr>
            <w:tcW w:w="9627" w:type="dxa"/>
          </w:tcPr>
          <w:p w14:paraId="3C3E07A2" w14:textId="77777777" w:rsidR="00DF44DC" w:rsidRDefault="00DF44DC" w:rsidP="00DF44DC">
            <w:pPr>
              <w:pStyle w:val="Odsekzoznamu"/>
              <w:numPr>
                <w:ilvl w:val="0"/>
                <w:numId w:val="1"/>
              </w:numPr>
              <w:tabs>
                <w:tab w:val="left" w:pos="360"/>
              </w:tabs>
              <w:jc w:val="both"/>
            </w:pPr>
            <w:r>
              <w:t>v primárnom práve,</w:t>
            </w:r>
          </w:p>
          <w:p w14:paraId="72A3D3EC" w14:textId="77777777" w:rsidR="00DF44DC" w:rsidRDefault="00DF44DC" w:rsidP="00DF44DC">
            <w:pPr>
              <w:pStyle w:val="Default"/>
            </w:pPr>
          </w:p>
          <w:p w14:paraId="6DDE3FF1" w14:textId="788C5157" w:rsidR="00DF44DC" w:rsidRPr="00A7031D" w:rsidRDefault="0054470B" w:rsidP="00DF44DC">
            <w:pPr>
              <w:pStyle w:val="Default"/>
            </w:pPr>
            <w:r>
              <w:t>Čl.</w:t>
            </w:r>
            <w:r>
              <w:rPr>
                <w:spacing w:val="-1"/>
              </w:rPr>
              <w:t xml:space="preserve"> </w:t>
            </w:r>
            <w:r>
              <w:t>114 a čl. 191 až</w:t>
            </w:r>
            <w:r>
              <w:rPr>
                <w:spacing w:val="-1"/>
              </w:rPr>
              <w:t xml:space="preserve"> </w:t>
            </w:r>
            <w:r>
              <w:t>193</w:t>
            </w:r>
            <w:r w:rsidR="00DF44DC">
              <w:t xml:space="preserve"> </w:t>
            </w:r>
            <w:r w:rsidR="00DF44DC" w:rsidRPr="00A7031D">
              <w:t>Zm</w:t>
            </w:r>
            <w:r w:rsidR="00D90956">
              <w:t>luvy o fungovaní Európskej únie.</w:t>
            </w:r>
          </w:p>
          <w:p w14:paraId="0D0B940D" w14:textId="77777777" w:rsidR="00DF44DC" w:rsidRDefault="00DF44DC" w:rsidP="00DF44DC">
            <w:pPr>
              <w:pStyle w:val="Default"/>
              <w:rPr>
                <w:sz w:val="20"/>
                <w:szCs w:val="20"/>
              </w:rPr>
            </w:pPr>
          </w:p>
          <w:p w14:paraId="373FB5F2" w14:textId="09B1D723" w:rsidR="00DF44DC" w:rsidRDefault="00DF44DC" w:rsidP="00DF44DC">
            <w:pPr>
              <w:pStyle w:val="Default"/>
              <w:rPr>
                <w:sz w:val="23"/>
                <w:szCs w:val="23"/>
              </w:rPr>
            </w:pPr>
            <w:r w:rsidRPr="008D080F">
              <w:t>b)</w:t>
            </w:r>
            <w:r>
              <w:t xml:space="preserve"> </w:t>
            </w:r>
            <w:r w:rsidRPr="008D080F">
              <w:t xml:space="preserve"> </w:t>
            </w:r>
            <w:r>
              <w:rPr>
                <w:sz w:val="23"/>
                <w:szCs w:val="23"/>
              </w:rPr>
              <w:t xml:space="preserve">v sekundárnom práve, </w:t>
            </w:r>
          </w:p>
          <w:p w14:paraId="0E27B00A" w14:textId="77777777" w:rsidR="00DF44DC" w:rsidRDefault="00DF44DC" w:rsidP="00DF44DC">
            <w:pPr>
              <w:pStyle w:val="Default"/>
              <w:rPr>
                <w:rStyle w:val="awspan1"/>
              </w:rPr>
            </w:pPr>
          </w:p>
          <w:p w14:paraId="786BEB9F" w14:textId="7A85DC42" w:rsidR="00DF44DC" w:rsidRDefault="0054470B" w:rsidP="00EA6446">
            <w:pPr>
              <w:pStyle w:val="Default"/>
              <w:jc w:val="both"/>
            </w:pPr>
            <w:r>
              <w:t>Smernica</w:t>
            </w:r>
            <w:r>
              <w:rPr>
                <w:spacing w:val="-15"/>
              </w:rPr>
              <w:t xml:space="preserve"> </w:t>
            </w:r>
            <w:r>
              <w:t>Európskeho</w:t>
            </w:r>
            <w:r>
              <w:rPr>
                <w:spacing w:val="-15"/>
              </w:rPr>
              <w:t xml:space="preserve"> </w:t>
            </w:r>
            <w:r>
              <w:t>parlamentu</w:t>
            </w:r>
            <w:r>
              <w:rPr>
                <w:spacing w:val="-15"/>
              </w:rPr>
              <w:t xml:space="preserve"> </w:t>
            </w:r>
            <w:r>
              <w:t>a</w:t>
            </w:r>
            <w:r>
              <w:rPr>
                <w:spacing w:val="-15"/>
              </w:rPr>
              <w:t xml:space="preserve"> </w:t>
            </w:r>
            <w:r>
              <w:t>Rady</w:t>
            </w:r>
            <w:r>
              <w:rPr>
                <w:spacing w:val="-15"/>
              </w:rPr>
              <w:t xml:space="preserve"> </w:t>
            </w:r>
            <w:r>
              <w:t>2011/92/EÚ</w:t>
            </w:r>
            <w:r>
              <w:rPr>
                <w:spacing w:val="-15"/>
              </w:rPr>
              <w:t xml:space="preserve"> </w:t>
            </w:r>
            <w:r>
              <w:t>z</w:t>
            </w:r>
            <w:r>
              <w:rPr>
                <w:spacing w:val="-15"/>
              </w:rPr>
              <w:t xml:space="preserve"> </w:t>
            </w:r>
            <w:r>
              <w:t>13.</w:t>
            </w:r>
            <w:r>
              <w:rPr>
                <w:spacing w:val="-15"/>
              </w:rPr>
              <w:t xml:space="preserve"> </w:t>
            </w:r>
            <w:r>
              <w:t>decembra</w:t>
            </w:r>
            <w:r>
              <w:rPr>
                <w:spacing w:val="-15"/>
              </w:rPr>
              <w:t xml:space="preserve"> </w:t>
            </w:r>
            <w:r>
              <w:t>2011</w:t>
            </w:r>
            <w:r>
              <w:rPr>
                <w:spacing w:val="-15"/>
              </w:rPr>
              <w:t xml:space="preserve"> </w:t>
            </w:r>
            <w:r>
              <w:t>o</w:t>
            </w:r>
            <w:r>
              <w:rPr>
                <w:spacing w:val="-15"/>
              </w:rPr>
              <w:t xml:space="preserve"> </w:t>
            </w:r>
            <w:r>
              <w:t>posudzovaní</w:t>
            </w:r>
            <w:r>
              <w:rPr>
                <w:spacing w:val="-15"/>
              </w:rPr>
              <w:t xml:space="preserve"> </w:t>
            </w:r>
            <w:r>
              <w:t>vplyvov určitých</w:t>
            </w:r>
            <w:r>
              <w:rPr>
                <w:spacing w:val="-4"/>
              </w:rPr>
              <w:t xml:space="preserve"> </w:t>
            </w:r>
            <w:r>
              <w:t>verejných</w:t>
            </w:r>
            <w:r>
              <w:rPr>
                <w:spacing w:val="-4"/>
              </w:rPr>
              <w:t xml:space="preserve"> </w:t>
            </w:r>
            <w:r>
              <w:t>a</w:t>
            </w:r>
            <w:r>
              <w:rPr>
                <w:spacing w:val="-5"/>
              </w:rPr>
              <w:t xml:space="preserve"> </w:t>
            </w:r>
            <w:r>
              <w:t>súkromných</w:t>
            </w:r>
            <w:r>
              <w:rPr>
                <w:spacing w:val="-4"/>
              </w:rPr>
              <w:t xml:space="preserve"> </w:t>
            </w:r>
            <w:r>
              <w:t>projektov</w:t>
            </w:r>
            <w:r>
              <w:rPr>
                <w:spacing w:val="-4"/>
              </w:rPr>
              <w:t xml:space="preserve"> </w:t>
            </w:r>
            <w:r>
              <w:t>na</w:t>
            </w:r>
            <w:r>
              <w:rPr>
                <w:spacing w:val="-5"/>
              </w:rPr>
              <w:t xml:space="preserve"> </w:t>
            </w:r>
            <w:r>
              <w:t>životné</w:t>
            </w:r>
            <w:r>
              <w:rPr>
                <w:spacing w:val="-5"/>
              </w:rPr>
              <w:t xml:space="preserve"> </w:t>
            </w:r>
            <w:r>
              <w:t>prostredie</w:t>
            </w:r>
            <w:r>
              <w:rPr>
                <w:spacing w:val="-4"/>
              </w:rPr>
              <w:t xml:space="preserve"> </w:t>
            </w:r>
            <w:r>
              <w:t>(kodifikované</w:t>
            </w:r>
            <w:r>
              <w:rPr>
                <w:spacing w:val="-5"/>
              </w:rPr>
              <w:t xml:space="preserve"> </w:t>
            </w:r>
            <w:r>
              <w:t>znenie)</w:t>
            </w:r>
            <w:r>
              <w:rPr>
                <w:spacing w:val="-6"/>
              </w:rPr>
              <w:t xml:space="preserve"> </w:t>
            </w:r>
            <w:r>
              <w:t>(Ú.</w:t>
            </w:r>
            <w:r>
              <w:rPr>
                <w:spacing w:val="-4"/>
              </w:rPr>
              <w:t xml:space="preserve"> </w:t>
            </w:r>
            <w:r>
              <w:t>v.</w:t>
            </w:r>
            <w:r>
              <w:rPr>
                <w:spacing w:val="-4"/>
              </w:rPr>
              <w:t xml:space="preserve"> </w:t>
            </w:r>
            <w:r w:rsidR="00D90956">
              <w:t xml:space="preserve">EÚ L </w:t>
            </w:r>
            <w:r>
              <w:t>26, 28.1.2012) v platnom znení.</w:t>
            </w:r>
          </w:p>
          <w:p w14:paraId="491EC294" w14:textId="77777777" w:rsidR="00DF44DC" w:rsidRPr="005C60B6" w:rsidRDefault="00DF44DC" w:rsidP="00EA6446">
            <w:pPr>
              <w:pStyle w:val="Default"/>
              <w:jc w:val="both"/>
              <w:rPr>
                <w:rStyle w:val="awspan1"/>
              </w:rPr>
            </w:pPr>
            <w:r>
              <w:t xml:space="preserve">(gestor: Ministerstvo </w:t>
            </w:r>
            <w:r w:rsidR="0054470B">
              <w:t>životného prostredia</w:t>
            </w:r>
            <w:r>
              <w:t xml:space="preserve"> Slovenskej republiky).</w:t>
            </w:r>
          </w:p>
          <w:p w14:paraId="60061E4C" w14:textId="77777777" w:rsidR="00DF44DC" w:rsidRDefault="00DF44DC" w:rsidP="00EA6446">
            <w:pPr>
              <w:pStyle w:val="Default"/>
              <w:jc w:val="both"/>
              <w:rPr>
                <w:rStyle w:val="awspan1"/>
              </w:rPr>
            </w:pPr>
          </w:p>
          <w:p w14:paraId="3656A4BF" w14:textId="32A82DC4" w:rsidR="0054470B" w:rsidRPr="0054470B" w:rsidRDefault="0054470B" w:rsidP="00EA6446">
            <w:pPr>
              <w:pStyle w:val="Default"/>
              <w:jc w:val="both"/>
              <w:rPr>
                <w:rStyle w:val="awspan1"/>
              </w:rPr>
            </w:pPr>
            <w:r w:rsidRPr="0054470B">
              <w:rPr>
                <w:rStyle w:val="awspan1"/>
              </w:rPr>
              <w:t xml:space="preserve">Smernica Európskeho parlamentu a Rady 2010/75/EÚ z 24. novembra 2010 o </w:t>
            </w:r>
            <w:r w:rsidR="00A82A6C" w:rsidRPr="00A82A6C">
              <w:rPr>
                <w:rStyle w:val="awspan1"/>
              </w:rPr>
              <w:t>emisiách z priemyslu a chovu hospodárskych zvierat</w:t>
            </w:r>
            <w:r w:rsidRPr="0054470B">
              <w:rPr>
                <w:rStyle w:val="awspan1"/>
              </w:rPr>
              <w:t xml:space="preserve"> (integrovaná prevencia a kontrola znečisťovania životného prostredia) </w:t>
            </w:r>
            <w:r w:rsidR="00A82A6C" w:rsidRPr="00A82A6C">
              <w:rPr>
                <w:rStyle w:val="awspan1"/>
              </w:rPr>
              <w:t>(prepracované znenie) (Ú. v. EÚ L 334, 17.12.2010) v platnom znení</w:t>
            </w:r>
            <w:r w:rsidR="00A82A6C">
              <w:rPr>
                <w:rStyle w:val="awspan1"/>
              </w:rPr>
              <w:t>.</w:t>
            </w:r>
          </w:p>
          <w:p w14:paraId="7698B8BA" w14:textId="3AAD398D" w:rsidR="0054470B" w:rsidRDefault="00A82A6C" w:rsidP="00EA6446">
            <w:pPr>
              <w:pStyle w:val="Default"/>
              <w:jc w:val="both"/>
              <w:rPr>
                <w:rStyle w:val="awspan1"/>
              </w:rPr>
            </w:pPr>
            <w:r>
              <w:rPr>
                <w:rStyle w:val="awspan1"/>
              </w:rPr>
              <w:t>(</w:t>
            </w:r>
            <w:r w:rsidR="0054470B" w:rsidRPr="0054470B">
              <w:rPr>
                <w:rStyle w:val="awspan1"/>
              </w:rPr>
              <w:t>gestor: Ministerstvo životného prostredia Slovenskej republiky</w:t>
            </w:r>
            <w:r>
              <w:rPr>
                <w:rStyle w:val="awspan1"/>
              </w:rPr>
              <w:t>)</w:t>
            </w:r>
          </w:p>
          <w:p w14:paraId="22859B02" w14:textId="6FE19811" w:rsidR="00827C18" w:rsidRDefault="00827C18" w:rsidP="00EA6446">
            <w:pPr>
              <w:pStyle w:val="Default"/>
              <w:jc w:val="both"/>
              <w:rPr>
                <w:rStyle w:val="awspan1"/>
              </w:rPr>
            </w:pPr>
          </w:p>
          <w:p w14:paraId="3C93AC1A" w14:textId="46B87680" w:rsidR="00EA6446" w:rsidRDefault="00EA6446" w:rsidP="00EA6446">
            <w:pPr>
              <w:pStyle w:val="Default"/>
              <w:jc w:val="both"/>
              <w:rPr>
                <w:rStyle w:val="awspan1"/>
              </w:rPr>
            </w:pPr>
            <w:r>
              <w:rPr>
                <w:rStyle w:val="awspan1"/>
              </w:rPr>
              <w:t>S</w:t>
            </w:r>
            <w:r w:rsidRPr="00EA6446">
              <w:rPr>
                <w:rStyle w:val="awspan1"/>
              </w:rPr>
              <w:t>mernic</w:t>
            </w:r>
            <w:r>
              <w:rPr>
                <w:rStyle w:val="awspan1"/>
              </w:rPr>
              <w:t>a</w:t>
            </w:r>
            <w:r w:rsidRPr="00EA6446">
              <w:rPr>
                <w:rStyle w:val="awspan1"/>
              </w:rPr>
              <w:t xml:space="preserve"> Európskeho parlamentu a Rady (EÚ) 2023/2413 z 18. októbra 2023, ktorou sa mení smernica (EÚ) 2018/2001, nariadenie (EÚ) 2018/1999 a smernica 98/70/ES, pokiaľ ide o podporu energie z obnoviteľných zdrojov, a ktorou sa zrušuje smernica Rady (EÚ) 2015/652</w:t>
            </w:r>
            <w:r w:rsidR="00EF7176">
              <w:rPr>
                <w:rStyle w:val="awspan1"/>
              </w:rPr>
              <w:t xml:space="preserve"> </w:t>
            </w:r>
            <w:r w:rsidR="00EF7176" w:rsidRPr="00EF7176">
              <w:t>(</w:t>
            </w:r>
            <w:r w:rsidR="00EF7176" w:rsidRPr="00EF7176">
              <w:rPr>
                <w:i/>
                <w:iCs/>
              </w:rPr>
              <w:t>Ú. v. EÚ L, 2023/2413, 31.10.2023</w:t>
            </w:r>
            <w:r w:rsidR="00EF7176">
              <w:rPr>
                <w:i/>
                <w:iCs/>
              </w:rPr>
              <w:t>).</w:t>
            </w:r>
          </w:p>
          <w:p w14:paraId="4A2F2F67" w14:textId="6A9DD69A" w:rsidR="00EA6446" w:rsidRDefault="00EA6446" w:rsidP="00EA6446">
            <w:pPr>
              <w:pStyle w:val="Default"/>
              <w:jc w:val="both"/>
              <w:rPr>
                <w:rStyle w:val="awspan1"/>
              </w:rPr>
            </w:pPr>
            <w:r>
              <w:rPr>
                <w:rStyle w:val="awspan1"/>
              </w:rPr>
              <w:t>(gestor: Ministerstvo hospodárstva Slovenskej republiky)</w:t>
            </w:r>
          </w:p>
          <w:p w14:paraId="4B94D5A5" w14:textId="77777777" w:rsidR="00DF44DC" w:rsidRPr="00C106F4" w:rsidRDefault="00DF44DC" w:rsidP="00DF44DC">
            <w:pPr>
              <w:pStyle w:val="Default"/>
              <w:jc w:val="both"/>
            </w:pPr>
          </w:p>
          <w:p w14:paraId="2CDCF365" w14:textId="6BAE24CC" w:rsidR="00DF44DC" w:rsidRDefault="00DF44DC" w:rsidP="00DF44DC">
            <w:pPr>
              <w:pStyle w:val="Default"/>
              <w:jc w:val="both"/>
              <w:rPr>
                <w:sz w:val="23"/>
                <w:szCs w:val="23"/>
              </w:rPr>
            </w:pPr>
            <w:r w:rsidRPr="00C106F4">
              <w:t>c) v judikatúre Súdneho dvora Európskej únie</w:t>
            </w:r>
            <w:r>
              <w:rPr>
                <w:sz w:val="23"/>
                <w:szCs w:val="23"/>
              </w:rPr>
              <w:t>,</w:t>
            </w:r>
          </w:p>
          <w:p w14:paraId="3DEEC669" w14:textId="77777777" w:rsidR="00DF44DC" w:rsidRDefault="00DF44DC" w:rsidP="00DF44DC">
            <w:pPr>
              <w:pStyle w:val="Default"/>
              <w:jc w:val="both"/>
              <w:rPr>
                <w:sz w:val="23"/>
                <w:szCs w:val="23"/>
              </w:rPr>
            </w:pPr>
          </w:p>
          <w:p w14:paraId="505C38A1" w14:textId="77777777" w:rsidR="004A3DCC" w:rsidRPr="004A3DCC" w:rsidRDefault="004A3DCC" w:rsidP="004A3DCC">
            <w:pPr>
              <w:pStyle w:val="Default"/>
              <w:jc w:val="both"/>
              <w:rPr>
                <w:sz w:val="23"/>
                <w:szCs w:val="23"/>
              </w:rPr>
            </w:pPr>
            <w:r w:rsidRPr="004A3DCC">
              <w:rPr>
                <w:sz w:val="23"/>
                <w:szCs w:val="23"/>
              </w:rPr>
              <w:t xml:space="preserve">Case C-570/13 - Rozsudok Súdneho dvora zo 16. apríla 2015 Karoline Gruber proti Unabhängiger Verwaltungssenat für Kärnten a i. Návrh na začatie prejudiciálneho konania, ktorý podal </w:t>
            </w:r>
          </w:p>
          <w:p w14:paraId="7CF56641" w14:textId="2D7973E6" w:rsidR="004A3DCC" w:rsidRDefault="004A3DCC" w:rsidP="004A3DCC">
            <w:pPr>
              <w:pStyle w:val="Default"/>
              <w:jc w:val="both"/>
              <w:rPr>
                <w:sz w:val="23"/>
                <w:szCs w:val="23"/>
              </w:rPr>
            </w:pPr>
            <w:r w:rsidRPr="004A3DCC">
              <w:rPr>
                <w:sz w:val="23"/>
                <w:szCs w:val="23"/>
              </w:rPr>
              <w:t xml:space="preserve">Verwaltungsgerichtshof. Návrh na začatie prejudiciálneho konania – Životné prostredie – Smernica 2011/92/EÚ – Posudzovanie vplyvov určitých verejných alebo súkromných projektov na životné prostredie – Výstavba obchodného centra – Záväzný účinok správneho rozhodnutia o neuskutočnení posudzovania vplyvov – Neúčasť verejnosti. </w:t>
            </w:r>
          </w:p>
          <w:p w14:paraId="5FDF93C9" w14:textId="77777777" w:rsidR="00A01549" w:rsidRDefault="00EA6446" w:rsidP="004A3DCC">
            <w:pPr>
              <w:pStyle w:val="Default"/>
              <w:jc w:val="both"/>
              <w:rPr>
                <w:sz w:val="23"/>
                <w:szCs w:val="23"/>
              </w:rPr>
            </w:pPr>
            <w:r>
              <w:rPr>
                <w:sz w:val="23"/>
                <w:szCs w:val="23"/>
              </w:rPr>
              <w:t xml:space="preserve">Výrok rozsudku: </w:t>
            </w:r>
          </w:p>
          <w:p w14:paraId="2760128D" w14:textId="52F01843" w:rsidR="00EA6446" w:rsidRPr="00A01549" w:rsidRDefault="00EA6446" w:rsidP="004A3DCC">
            <w:pPr>
              <w:pStyle w:val="Default"/>
              <w:jc w:val="both"/>
              <w:rPr>
                <w:i/>
                <w:sz w:val="23"/>
                <w:szCs w:val="23"/>
              </w:rPr>
            </w:pPr>
            <w:r w:rsidRPr="00A01549">
              <w:rPr>
                <w:bCs/>
                <w:i/>
                <w:sz w:val="23"/>
                <w:szCs w:val="23"/>
              </w:rPr>
              <w:t xml:space="preserve">Článok 11 smernice Európskeho parlamentu a Rady 2011/92/EÚ z 13. decembra 2011 o posudzovaní vplyvov určitých verejných a súkromných projektov na životné prostredie sa má vykladať v tom zmysle, </w:t>
            </w:r>
            <w:r w:rsidRPr="00A01549">
              <w:rPr>
                <w:bCs/>
                <w:i/>
                <w:sz w:val="23"/>
                <w:szCs w:val="23"/>
              </w:rPr>
              <w:lastRenderedPageBreak/>
              <w:t>že bráni vnútroštátnej právnej úprave, o akú ide v konaní vo veci samej, podľa ktorej má správne rozhodnutie o tom, že v prípade určitého projektu nie je potrebné uskutočniť posúdenie vplyvov projektu na životné prostredie, záväzný účinok vo vzťahu k susedom vylúčeným z práva podať opravný prostriedok proti uvedenému správnemu rozhodnutiu, a to pod podmienkou, že títo susedia, ktorí sú súčasťou „dotknutej verejnosti“ v zmysle článku 1 ods. 2 tejto smernice, spĺňajú kritériá stanovené vnútroštátnym právom, pokiaľ ide o „dostatočný záujem“ alebo „porušovanie práva“. Vnútroštátnemu súdu prináleží overiť, či je táto podmienka splnená vo veci, o ktorej rozhoduje. V prípade, že je to tak, musí vnútroštátny súd vo vzťahu k uvedeným susedom konštatovať neexistenciu záväzného účinku správneho rozhodnutia o neuskutočnení takéhoto posúdenia.</w:t>
            </w:r>
          </w:p>
          <w:p w14:paraId="269DAB6E" w14:textId="77777777" w:rsidR="00EA6446" w:rsidRDefault="00EA6446" w:rsidP="004A3DCC">
            <w:pPr>
              <w:pStyle w:val="Default"/>
              <w:jc w:val="both"/>
              <w:rPr>
                <w:sz w:val="23"/>
                <w:szCs w:val="23"/>
              </w:rPr>
            </w:pPr>
          </w:p>
          <w:p w14:paraId="6D60CFC9" w14:textId="0C2FF383" w:rsidR="004A3DCC" w:rsidRPr="004A3DCC" w:rsidRDefault="004A3DCC" w:rsidP="004A3DCC">
            <w:pPr>
              <w:pStyle w:val="Default"/>
              <w:jc w:val="both"/>
              <w:rPr>
                <w:sz w:val="23"/>
                <w:szCs w:val="23"/>
              </w:rPr>
            </w:pPr>
            <w:r w:rsidRPr="004A3DCC">
              <w:rPr>
                <w:sz w:val="23"/>
                <w:szCs w:val="23"/>
              </w:rPr>
              <w:t xml:space="preserve">Case C-290/15 – Rozsudok Súdneho dvora (druhá komora) z 27. októbra 2016 Patrice’Oultremont a i.  proti Région wallonne,  za účasti: Fédération de l’énergie d’origine renouvelable et alternative ASBL (EDORA) Návrh na začatie prejudiciálneho konania — Posudzovanie vplyvov určitých plánov a programov na životné prostredie — Smernica 2001/42/ES — Článok 2 písm. a) a článok 3 ods. 2 písm. a) — Pojem ‚plány a programy‘ — Podmienky týkajúce sa výstavby veterných elektrární, ktoré stanovuje legislatívny výnos — Ustanovenia týkajúce sa najmä opatrení v oblasti bezpečnosti, kontroly, uvedenia do pôvodného stavu a zábezpeky, ako aj hlukových noriem stanovených vzhľadom na využívanie území“ </w:t>
            </w:r>
          </w:p>
          <w:p w14:paraId="36103BBF" w14:textId="77777777" w:rsidR="004A3DCC" w:rsidRPr="004A3DCC" w:rsidRDefault="004A3DCC" w:rsidP="004A3DCC">
            <w:pPr>
              <w:pStyle w:val="Default"/>
              <w:jc w:val="both"/>
              <w:rPr>
                <w:sz w:val="23"/>
                <w:szCs w:val="23"/>
              </w:rPr>
            </w:pPr>
            <w:r w:rsidRPr="004A3DCC">
              <w:rPr>
                <w:sz w:val="23"/>
                <w:szCs w:val="23"/>
              </w:rPr>
              <w:t xml:space="preserve">Case C-348/15 - Návrh na začatie prejudiciálneho konania, ktorý podal Verwaltungsgerichtshof </w:t>
            </w:r>
          </w:p>
          <w:p w14:paraId="27D0CD41" w14:textId="77777777" w:rsidR="004A3DCC" w:rsidRPr="004A3DCC" w:rsidRDefault="004A3DCC" w:rsidP="004A3DCC">
            <w:pPr>
              <w:pStyle w:val="Default"/>
              <w:jc w:val="both"/>
              <w:rPr>
                <w:sz w:val="23"/>
                <w:szCs w:val="23"/>
              </w:rPr>
            </w:pPr>
            <w:r w:rsidRPr="004A3DCC">
              <w:rPr>
                <w:sz w:val="23"/>
                <w:szCs w:val="23"/>
              </w:rPr>
              <w:t xml:space="preserve">(Rakúsko) 10. júla 2015 – Stadt Wiener Neustadt </w:t>
            </w:r>
          </w:p>
          <w:p w14:paraId="20CC2690" w14:textId="77777777" w:rsidR="00A01549" w:rsidRDefault="00EA6446" w:rsidP="004A3DCC">
            <w:pPr>
              <w:pStyle w:val="Default"/>
              <w:jc w:val="both"/>
              <w:rPr>
                <w:sz w:val="23"/>
                <w:szCs w:val="23"/>
              </w:rPr>
            </w:pPr>
            <w:r>
              <w:rPr>
                <w:sz w:val="23"/>
                <w:szCs w:val="23"/>
              </w:rPr>
              <w:t xml:space="preserve">Výrok rozsudku: </w:t>
            </w:r>
          </w:p>
          <w:p w14:paraId="0631DB1B" w14:textId="3C4AE8A7" w:rsidR="00EA6446" w:rsidRPr="00A01549" w:rsidRDefault="00EA6446" w:rsidP="004A3DCC">
            <w:pPr>
              <w:pStyle w:val="Default"/>
              <w:jc w:val="both"/>
              <w:rPr>
                <w:i/>
                <w:sz w:val="23"/>
                <w:szCs w:val="23"/>
              </w:rPr>
            </w:pPr>
            <w:r w:rsidRPr="00A01549">
              <w:rPr>
                <w:i/>
                <w:sz w:val="23"/>
                <w:szCs w:val="23"/>
              </w:rPr>
              <w:t>Článok 2 písm. a) a článok 3 ods. 2 písm. a) smernice 2001/42/ES Európskeho parlamentu a Rady z 27. júna 2001 o posudzovaní účinkov určitých plánov a programov na životné prostredie sa majú vykladať v tom zmysle, že taký legislatívny výnos, o aký ide vo veci samej, obsahujúci rôzne ustanovenia týkajúce sa veterných elektrární, ktoré treba dodržiavať v rámci vydávania správnych povolení týkajúcich sa výstavby a prevádzkovania takýchto zariadení, patrí pod pojem „plány a programy“ v zmysle tejto smernice.</w:t>
            </w:r>
          </w:p>
          <w:p w14:paraId="31AEFFC0" w14:textId="77777777" w:rsidR="00EA6446" w:rsidRPr="004A3DCC" w:rsidRDefault="00EA6446" w:rsidP="004A3DCC">
            <w:pPr>
              <w:pStyle w:val="Default"/>
              <w:jc w:val="both"/>
              <w:rPr>
                <w:sz w:val="23"/>
                <w:szCs w:val="23"/>
              </w:rPr>
            </w:pPr>
          </w:p>
          <w:p w14:paraId="268ECBC7" w14:textId="5B66E8E2" w:rsidR="004A3DCC" w:rsidRDefault="004A3DCC" w:rsidP="004A3DCC">
            <w:pPr>
              <w:pStyle w:val="Default"/>
              <w:jc w:val="both"/>
              <w:rPr>
                <w:sz w:val="23"/>
                <w:szCs w:val="23"/>
              </w:rPr>
            </w:pPr>
            <w:r w:rsidRPr="004A3DCC">
              <w:rPr>
                <w:sz w:val="23"/>
                <w:szCs w:val="23"/>
              </w:rPr>
              <w:t xml:space="preserve">Case C-137/14 - ROZSUDOK SÚDNEHO DVORA (druhá komora) z 15. októbra 2015 Európska komisia proti Spolkovej republike Nemecko „Nesplnenie povinnosti členským štátom — Smernica 2011/92/EÚ — Posudzovanie vplyvov určitých verejných a súkromných projektov na životné prostredie — Článok 11 — Smernica 2010/75/EÚ — Priemyselné emisie (integrovaná prevencia a kontrola znečisťovania životného prostredia) — Článok 25 — Prístup k spravodlivosti — Nezlučiteľné vnútroštátne procesnoprávne normy“ </w:t>
            </w:r>
          </w:p>
          <w:p w14:paraId="3E96DA8B" w14:textId="77777777" w:rsidR="00A01549" w:rsidRDefault="00EA6446" w:rsidP="004A3DCC">
            <w:pPr>
              <w:pStyle w:val="Default"/>
              <w:jc w:val="both"/>
              <w:rPr>
                <w:sz w:val="23"/>
                <w:szCs w:val="23"/>
              </w:rPr>
            </w:pPr>
            <w:r>
              <w:rPr>
                <w:sz w:val="23"/>
                <w:szCs w:val="23"/>
              </w:rPr>
              <w:t xml:space="preserve">Výrok rozsudku: </w:t>
            </w:r>
          </w:p>
          <w:p w14:paraId="16010497" w14:textId="57ED1DA3" w:rsidR="00EA6446" w:rsidRPr="00A01549" w:rsidRDefault="00EA6446" w:rsidP="004A3DCC">
            <w:pPr>
              <w:pStyle w:val="Default"/>
              <w:jc w:val="both"/>
              <w:rPr>
                <w:i/>
                <w:sz w:val="23"/>
                <w:szCs w:val="23"/>
              </w:rPr>
            </w:pPr>
            <w:r w:rsidRPr="00A01549">
              <w:rPr>
                <w:i/>
                <w:sz w:val="23"/>
                <w:szCs w:val="23"/>
              </w:rPr>
              <w:t>Spolková republika Nemecko si tým, že:</w:t>
            </w:r>
          </w:p>
          <w:p w14:paraId="4D1A2058" w14:textId="2B17E24C" w:rsidR="00EA6446" w:rsidRPr="00A01549" w:rsidRDefault="00EA6446" w:rsidP="00EA6446">
            <w:pPr>
              <w:pStyle w:val="Default"/>
              <w:numPr>
                <w:ilvl w:val="0"/>
                <w:numId w:val="6"/>
              </w:numPr>
              <w:jc w:val="both"/>
              <w:rPr>
                <w:i/>
                <w:sz w:val="23"/>
                <w:szCs w:val="23"/>
              </w:rPr>
            </w:pPr>
            <w:r w:rsidRPr="00A01549">
              <w:rPr>
                <w:i/>
                <w:sz w:val="23"/>
                <w:szCs w:val="23"/>
              </w:rPr>
              <w:t>na základe § 46 Správneho poriadku (Verwaltungsverfahrensgesetz) obmedzila zrušenie rozhodnutí z dôvodu procesných vád na absenciu posudzovania alebo predbežného posúdenia vplyvov na životné prostredie a na prípady, keď žalobca preukáže, že existuje príčinná súvislosť medzi procesnou vadou a výsledkom rozhodnutia,</w:t>
            </w:r>
          </w:p>
          <w:p w14:paraId="4E51488A" w14:textId="5B11A08E" w:rsidR="00EA6446" w:rsidRPr="00A01549" w:rsidRDefault="00EA6446" w:rsidP="00EA6446">
            <w:pPr>
              <w:pStyle w:val="Default"/>
              <w:numPr>
                <w:ilvl w:val="0"/>
                <w:numId w:val="6"/>
              </w:numPr>
              <w:jc w:val="both"/>
              <w:rPr>
                <w:i/>
                <w:sz w:val="23"/>
                <w:szCs w:val="23"/>
              </w:rPr>
            </w:pPr>
            <w:r w:rsidRPr="00A01549">
              <w:rPr>
                <w:i/>
                <w:sz w:val="23"/>
                <w:szCs w:val="23"/>
              </w:rPr>
              <w:t>podľa § 2 ods. 3 zákona zo 7. decembra 2006 o doplňujúcich predpisoch o opravných prostriedkoch v záležitostiach životného prostredia podľa smernice 2003/35/ES (Umwelt‑Rechtsbehelfsgesetz) v znení zákona z 21. januára 2013 a podľa § 73 ods. 4 Správneho poriadku (Verwaltungsverfahrensgesetz) obmedzila aktívnu legitimáciu a rozsah súdneho preskúmania na námietky, ktoré už boli vznesené v lehote určenej počas správneho konania, ktoré viedlo k prijatiu rozhodnutia,</w:t>
            </w:r>
          </w:p>
          <w:p w14:paraId="4E495FB2" w14:textId="5DB08A4A" w:rsidR="00EA6446" w:rsidRPr="00A01549" w:rsidRDefault="00EA6446" w:rsidP="00EA6446">
            <w:pPr>
              <w:pStyle w:val="Default"/>
              <w:numPr>
                <w:ilvl w:val="0"/>
                <w:numId w:val="6"/>
              </w:numPr>
              <w:jc w:val="both"/>
              <w:rPr>
                <w:i/>
                <w:sz w:val="23"/>
                <w:szCs w:val="23"/>
              </w:rPr>
            </w:pPr>
            <w:r w:rsidRPr="00A01549">
              <w:rPr>
                <w:i/>
                <w:sz w:val="23"/>
                <w:szCs w:val="23"/>
              </w:rPr>
              <w:t xml:space="preserve">na základe § 2 ods. 1 v spojení s § 5 ods. 1 zákona zo 7. decembra 2006 o doplňujúcich predpisoch o opravných prostriedkoch v záležitostiach životného prostredia podľa smernice 2003/35/ES (Umwelt‑Rechtsbehelfsgesetz) v znení zákona z 21. januára 2013 v konaniach, ktoré sa začali po </w:t>
            </w:r>
            <w:r w:rsidRPr="00A01549">
              <w:rPr>
                <w:i/>
                <w:sz w:val="23"/>
                <w:szCs w:val="23"/>
              </w:rPr>
              <w:lastRenderedPageBreak/>
              <w:t>25. júni 2005 a skončili pred 12. májom 2011, obmedzila aktívnu legitimáciu združení na ochranu životného prostredia na právne predpisy, ktoré zakladajú práva pre jednotlivcov,</w:t>
            </w:r>
          </w:p>
          <w:p w14:paraId="58B6339D" w14:textId="54B1B6E4" w:rsidR="00EA6446" w:rsidRPr="00A01549" w:rsidRDefault="00EA6446" w:rsidP="00EA6446">
            <w:pPr>
              <w:pStyle w:val="Default"/>
              <w:numPr>
                <w:ilvl w:val="0"/>
                <w:numId w:val="6"/>
              </w:numPr>
              <w:jc w:val="both"/>
              <w:rPr>
                <w:i/>
                <w:sz w:val="23"/>
                <w:szCs w:val="23"/>
              </w:rPr>
            </w:pPr>
            <w:r w:rsidRPr="00A01549">
              <w:rPr>
                <w:i/>
                <w:sz w:val="23"/>
                <w:szCs w:val="23"/>
              </w:rPr>
              <w:t>podľa § 2 ods. 1 v spojení s § 5 ods. 1 zákona zo 7. decembra 2006 o doplňujúcich predpisoch o opravných prostriedkoch v záležitostiach životného prostredia podľa smernice 2003/35/ES (Umwelt‑Rechtsbehelfsgesetz) v znení zákona z 21. januára 2013 v konaniach, ktoré sa začali po 25. júni 2005 a skončili pred 12. májom 2011, obmedzila rozsah súdneho preskúmania opravných prostriedkov združení na ochranu životného prostredia na právne predpisy, ktoré zakladajú práva pre jednotlivcov, a</w:t>
            </w:r>
          </w:p>
          <w:p w14:paraId="40C22A76" w14:textId="25B65BB6" w:rsidR="00EA6446" w:rsidRPr="00A01549" w:rsidRDefault="00A01549" w:rsidP="00A01549">
            <w:pPr>
              <w:pStyle w:val="Default"/>
              <w:numPr>
                <w:ilvl w:val="0"/>
                <w:numId w:val="6"/>
              </w:numPr>
              <w:jc w:val="both"/>
              <w:rPr>
                <w:i/>
                <w:sz w:val="23"/>
                <w:szCs w:val="23"/>
              </w:rPr>
            </w:pPr>
            <w:r w:rsidRPr="00A01549">
              <w:rPr>
                <w:i/>
                <w:sz w:val="23"/>
                <w:szCs w:val="23"/>
              </w:rPr>
              <w:t>podľa § 5 ods. 1 a 4 zákona zo 7. decembra 2006 o doplňujúcich predpisoch o opravných prostriedkoch v záležitostiach životného prostredia podľa smernice 2003/35/ES (Umwelt‑Rechtsbehelfsgesetz) v znení zákona z 21. januára 2013 vylúčila z pôsobnosti vnútroštátnej právnej úpravy správne konania, ktoré sa začali pred 25. júnom 2005,</w:t>
            </w:r>
          </w:p>
          <w:p w14:paraId="5FE92B95" w14:textId="5EF691C9" w:rsidR="00A01549" w:rsidRDefault="00A01549" w:rsidP="00A01549">
            <w:pPr>
              <w:pStyle w:val="Default"/>
              <w:jc w:val="both"/>
              <w:rPr>
                <w:sz w:val="23"/>
                <w:szCs w:val="23"/>
              </w:rPr>
            </w:pPr>
            <w:r w:rsidRPr="00A01549">
              <w:rPr>
                <w:i/>
                <w:sz w:val="23"/>
                <w:szCs w:val="23"/>
              </w:rPr>
              <w:t>nesplnila povinnosti, ktoré jej vyplývajú z článku 11 smernice Európskeho parlamentu a Rady 2011/92/EU z 13. decembra 2011 o posudzovaní vplyvov určitých verejných a súkromných projektov na životné prostredie a článku 25 smernice Európskeho parlamentu a Rady 2010/75/EÚ z 24. novembra 2010 o priemyselných emisiách (integrovaná prevencia a kontrola znečisťovania životného prostredia).</w:t>
            </w:r>
          </w:p>
          <w:p w14:paraId="3443A1F7" w14:textId="77777777" w:rsidR="00A01549" w:rsidRPr="00A01549" w:rsidRDefault="00A01549" w:rsidP="00A01549">
            <w:pPr>
              <w:pStyle w:val="Default"/>
              <w:jc w:val="both"/>
              <w:rPr>
                <w:sz w:val="23"/>
                <w:szCs w:val="23"/>
              </w:rPr>
            </w:pPr>
          </w:p>
          <w:p w14:paraId="2BF72A03" w14:textId="5DE76FAD" w:rsidR="00DF44DC" w:rsidRDefault="004A3DCC" w:rsidP="004A3DCC">
            <w:pPr>
              <w:pStyle w:val="Default"/>
              <w:jc w:val="both"/>
              <w:rPr>
                <w:sz w:val="23"/>
                <w:szCs w:val="23"/>
              </w:rPr>
            </w:pPr>
            <w:r w:rsidRPr="004A3DCC">
              <w:rPr>
                <w:sz w:val="23"/>
                <w:szCs w:val="23"/>
              </w:rPr>
              <w:t>Case C-260/11 - The Queen, na žiadosť: David Edwards a i., proti Environment Agency a i. Návrh na začatie prejudiciálneho konania podaný Supreme Court (Spojené kráľovstvo)]„Aarhuský dohovor — Smernica 2003/35/ES — Smernica 85/337/EHS — Posudzovanie vplyvov na životné prostredie — Smernica 96/61/ES — Integrované predchádzanie znečisťovaniu životného prostredia a jeho znižovanie — Prístup k spravodlivosti — Pojem ‚nedostupne drahé súdne konanie‘“</w:t>
            </w:r>
          </w:p>
          <w:p w14:paraId="12B416C4" w14:textId="741E7C1E" w:rsidR="00EA6446" w:rsidRDefault="00EA6446" w:rsidP="004A3DCC">
            <w:pPr>
              <w:pStyle w:val="Default"/>
              <w:jc w:val="both"/>
              <w:rPr>
                <w:sz w:val="23"/>
                <w:szCs w:val="23"/>
              </w:rPr>
            </w:pPr>
            <w:r>
              <w:rPr>
                <w:sz w:val="23"/>
                <w:szCs w:val="23"/>
              </w:rPr>
              <w:t>Výrok rozsudku:</w:t>
            </w:r>
          </w:p>
          <w:p w14:paraId="508C7A8A" w14:textId="1D98CA50" w:rsidR="00A01549" w:rsidRPr="00A01549" w:rsidRDefault="00A01549" w:rsidP="004A3DCC">
            <w:pPr>
              <w:pStyle w:val="Default"/>
              <w:jc w:val="both"/>
              <w:rPr>
                <w:i/>
                <w:sz w:val="23"/>
                <w:szCs w:val="23"/>
              </w:rPr>
            </w:pPr>
            <w:r w:rsidRPr="00A01549">
              <w:rPr>
                <w:i/>
                <w:sz w:val="23"/>
                <w:szCs w:val="23"/>
              </w:rPr>
              <w:t>Požiadavka, podľa ktorej trovy súdneho konania nesmú byť nedostupne drahé, upravená v článku 10a piatom odseku smernice Rady 85/337/EHS z 27. júna 1985 o posudzovaní vplyvov určitých verejných a súkromných projektov na životné prostredie a v článku 15a piatom odseku smernice Rady 96/61/ES z 24. septembra 1996 o integrovanej prevencii a kontrole znečisťovania životného prostredia, zmenených a doplnených smernicou Európskeho parlamentu a Rady 2003/35/ES z 26. mája 2003, si vyžaduje, aby osobám, na ktoré sa tieto ustanovenia vzťahujú, nebolo zabránené podať návrh na začatie súdneho konania patriaceho do pôsobnosti týchto článkov alebo pokračovať v účasti na takomto konaní z dôvodu finančnej záťaže, ktorá by z toho mohla vyplývať. Pokiaľ vnútroštátny súd rozhoduje o uložení povinnosti náhrady trov jednotlivcovi, ktorý ako navrhovateľ nemal úspech v spore v oblasti životného prostredia, alebo všeobecnejšie, pokiaľ tak, ako to môže byť v prípade súdov Spojeného kráľovstva, má v skoršom štádiu konania zaujať stanovisko k prípadnému obmedzeniu trov, na náhradu ktorých možno zaviazať navrhovateľa, ktorý nemal vo veci úspech, musí sa uistiť, že táto požiadavka bude dodržaná, pričom musí zohľadniť tak záujem osoby, ktorá chce brániť svoje práva, ako aj všeobecný záujem spojený s ochranou životného prostredia.</w:t>
            </w:r>
          </w:p>
          <w:p w14:paraId="09962B6B" w14:textId="0017117B" w:rsidR="00A01549" w:rsidRPr="00A01549" w:rsidRDefault="00A01549" w:rsidP="004A3DCC">
            <w:pPr>
              <w:pStyle w:val="Default"/>
              <w:jc w:val="both"/>
              <w:rPr>
                <w:i/>
                <w:sz w:val="23"/>
                <w:szCs w:val="23"/>
              </w:rPr>
            </w:pPr>
            <w:r w:rsidRPr="00A01549">
              <w:rPr>
                <w:i/>
                <w:sz w:val="23"/>
                <w:szCs w:val="23"/>
              </w:rPr>
              <w:t>V rámci tohto posúdenia sa vnútroštátny súd nemôže oprieť len o ekonomickú situáciu dotknutej osoby, ale musí vykonať aj objektívnu analýzu výšky trov konania. Ďalej môže zohľadniť situáciu predmetných účastníkov konania, primeranú možnosť úspechu navrhovateľa, závažnosť konania pre navrhovateľa a pre ochranu životného prostredia, zložitosť uplatniteľného práva a konania, prípadnú nerozvážnu povahu návrhu v rôznych štádiách konania, ako aj existenciu vnútroštátneho systému pomoci súvisiacej s trovami konania alebo režimu ochrany v oblasti trov konania.</w:t>
            </w:r>
          </w:p>
          <w:p w14:paraId="10065EF9" w14:textId="772379BF" w:rsidR="00A01549" w:rsidRPr="00A01549" w:rsidRDefault="00A01549" w:rsidP="004A3DCC">
            <w:pPr>
              <w:pStyle w:val="Default"/>
              <w:jc w:val="both"/>
              <w:rPr>
                <w:i/>
                <w:sz w:val="23"/>
                <w:szCs w:val="23"/>
              </w:rPr>
            </w:pPr>
            <w:r w:rsidRPr="00A01549">
              <w:rPr>
                <w:i/>
                <w:sz w:val="23"/>
                <w:szCs w:val="23"/>
              </w:rPr>
              <w:t>Naopak okolnosť, že dotknutá osoba nebola v praxi odradená od svojho postupu, sama osebe nestačí na usúdenie, že konanie nemá pre ňu nedostupne drahú povahu.</w:t>
            </w:r>
          </w:p>
          <w:p w14:paraId="2702872E" w14:textId="3276FBFF" w:rsidR="00A01549" w:rsidRDefault="00A01549" w:rsidP="00A01549">
            <w:pPr>
              <w:pStyle w:val="Default"/>
              <w:jc w:val="both"/>
              <w:rPr>
                <w:sz w:val="23"/>
                <w:szCs w:val="23"/>
              </w:rPr>
            </w:pPr>
            <w:r w:rsidRPr="00A01549">
              <w:rPr>
                <w:i/>
                <w:sz w:val="23"/>
                <w:szCs w:val="23"/>
              </w:rPr>
              <w:t>Napokon toto posúdenie nemožno vykonať podľa odlišných kritérií v závislosti od toho, či k nemu dochádza v závere prvostupňového konania, konania o odvolaní alebo konania o dovolaní.</w:t>
            </w:r>
          </w:p>
          <w:p w14:paraId="3656B9AB" w14:textId="19AE26FA" w:rsidR="00DF44DC" w:rsidRDefault="00DF44DC" w:rsidP="00DF44DC">
            <w:pPr>
              <w:ind w:left="360"/>
              <w:jc w:val="both"/>
            </w:pPr>
          </w:p>
          <w:p w14:paraId="45FB0818" w14:textId="77777777" w:rsidR="00DF44DC" w:rsidRPr="008D080F" w:rsidRDefault="00DF44DC" w:rsidP="00DF44DC">
            <w:pPr>
              <w:ind w:left="360"/>
              <w:jc w:val="both"/>
            </w:pPr>
          </w:p>
        </w:tc>
      </w:tr>
    </w:tbl>
    <w:p w14:paraId="3C1A26DD" w14:textId="77777777" w:rsidR="00DF44DC" w:rsidRPr="00A7031D" w:rsidRDefault="00DF44DC" w:rsidP="00DF44DC">
      <w:pPr>
        <w:pStyle w:val="Default"/>
      </w:pPr>
      <w:r w:rsidRPr="00A7031D">
        <w:rPr>
          <w:b/>
          <w:bCs/>
        </w:rPr>
        <w:lastRenderedPageBreak/>
        <w:t>4. Záväzky Slovenskej republiky vo vzťahu k Európskej únii</w:t>
      </w:r>
      <w:r w:rsidRPr="00A7031D">
        <w:t xml:space="preserve">: </w:t>
      </w:r>
    </w:p>
    <w:p w14:paraId="049F31CB" w14:textId="77777777" w:rsidR="00DF44DC" w:rsidRDefault="00DF44DC" w:rsidP="00DF44DC">
      <w:pPr>
        <w:pStyle w:val="Default"/>
      </w:pPr>
    </w:p>
    <w:p w14:paraId="2C45F407" w14:textId="77777777" w:rsidR="00DF44DC" w:rsidRDefault="00DF44DC" w:rsidP="00DF44DC">
      <w:pPr>
        <w:pStyle w:val="Default"/>
      </w:pPr>
      <w:r w:rsidRPr="00A7031D">
        <w:t xml:space="preserve">a) uviesť lehotu na prebranie príslušného právneho aktu Európskej únie, príp. aj osobitnú lehotu účinnosti jeho ustanovení, </w:t>
      </w:r>
      <w:r>
        <w:t xml:space="preserve">                                      </w:t>
      </w:r>
    </w:p>
    <w:p w14:paraId="53128261" w14:textId="77777777" w:rsidR="00DF44DC" w:rsidRDefault="00DF44DC" w:rsidP="00DF44DC">
      <w:pPr>
        <w:pStyle w:val="Default"/>
      </w:pPr>
    </w:p>
    <w:p w14:paraId="3A140FE0" w14:textId="47662C17" w:rsidR="00DF44DC" w:rsidRDefault="0001015A" w:rsidP="0001015A">
      <w:pPr>
        <w:pStyle w:val="Default"/>
        <w:jc w:val="both"/>
        <w:rPr>
          <w:rStyle w:val="awspan1"/>
        </w:rPr>
      </w:pPr>
      <w:r>
        <w:rPr>
          <w:rStyle w:val="awspan1"/>
        </w:rPr>
        <w:t>S</w:t>
      </w:r>
      <w:r w:rsidRPr="00EA6446">
        <w:rPr>
          <w:rStyle w:val="awspan1"/>
        </w:rPr>
        <w:t>mernic</w:t>
      </w:r>
      <w:r>
        <w:rPr>
          <w:rStyle w:val="awspan1"/>
        </w:rPr>
        <w:t>a</w:t>
      </w:r>
      <w:r w:rsidRPr="00EA6446">
        <w:rPr>
          <w:rStyle w:val="awspan1"/>
        </w:rPr>
        <w:t xml:space="preserve"> Európskeho parlamentu a Rady (EÚ) 2023/2413 z 18. októbra 2023, ktorou sa mení smernica (EÚ) 2018/2001, nariadenie (EÚ) 2018/1999 a smernica 98/70/ES, pokiaľ ide o podporu energie z obnoviteľných zdrojov, a ktorou sa zrušuje smernica Rady (EÚ) 2015/652</w:t>
      </w:r>
    </w:p>
    <w:p w14:paraId="35B65C20" w14:textId="2807D8B9" w:rsidR="0001015A" w:rsidRDefault="0001015A" w:rsidP="0001015A">
      <w:pPr>
        <w:pStyle w:val="Default"/>
        <w:jc w:val="both"/>
        <w:rPr>
          <w:rStyle w:val="awspan1"/>
        </w:rPr>
      </w:pPr>
      <w:r>
        <w:rPr>
          <w:rStyle w:val="awspan1"/>
        </w:rPr>
        <w:t xml:space="preserve">Transpozičné lehoty: </w:t>
      </w:r>
    </w:p>
    <w:p w14:paraId="5011FDC8" w14:textId="21087964" w:rsidR="0001015A" w:rsidRDefault="0001015A" w:rsidP="0001015A">
      <w:pPr>
        <w:pStyle w:val="Default"/>
        <w:numPr>
          <w:ilvl w:val="0"/>
          <w:numId w:val="7"/>
        </w:numPr>
        <w:jc w:val="both"/>
      </w:pPr>
      <w:r w:rsidRPr="0001015A">
        <w:t>Členské štáty uvedú do účinnosti zákony, iné právne predpisy a správne opatrenia potrebné na dosiahnutie súladu s touto smernicou do 21. mája 2025.</w:t>
      </w:r>
    </w:p>
    <w:p w14:paraId="5D25ACBF" w14:textId="60B7E9FD" w:rsidR="0001015A" w:rsidRDefault="0001015A" w:rsidP="0001015A">
      <w:pPr>
        <w:pStyle w:val="Default"/>
        <w:numPr>
          <w:ilvl w:val="0"/>
          <w:numId w:val="7"/>
        </w:numPr>
        <w:jc w:val="both"/>
      </w:pPr>
      <w:r w:rsidRPr="0001015A">
        <w:t>Odchylne od prvého pododseku tohto odseku členské štáty uvedú do účinnosti zákony, iné právne predpisy a správne opatrenia potrebné na dosiahnutie súladu s článkom 1 bodom 6, pokiaľ ide o článok 15e smernice (EÚ) 2018/2001, a článkom 1 bodom 7, pokiaľ ide o články 16, 16b, 16c, 16d, 16e a 16f uvedenej smernice, a to do 1. júla 2024.</w:t>
      </w:r>
    </w:p>
    <w:p w14:paraId="62486C05" w14:textId="77777777" w:rsidR="004D43FE" w:rsidRDefault="004D43FE" w:rsidP="004D43FE">
      <w:pPr>
        <w:pStyle w:val="Default"/>
      </w:pPr>
    </w:p>
    <w:p w14:paraId="19CF118D" w14:textId="3E98C254" w:rsidR="004A3DCC" w:rsidRDefault="004A3DCC" w:rsidP="0001015A">
      <w:pPr>
        <w:pStyle w:val="Default"/>
        <w:jc w:val="both"/>
      </w:pPr>
      <w:r>
        <w:t xml:space="preserve">b) informácia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Formálne oznámenie Európskej komisie vo veci konania o porušení zmlúv č. 2019/2223. </w:t>
      </w:r>
    </w:p>
    <w:p w14:paraId="51D6592A" w14:textId="79FACB4B" w:rsidR="00870C6F" w:rsidRDefault="00870C6F" w:rsidP="0001015A">
      <w:pPr>
        <w:pStyle w:val="Default"/>
        <w:numPr>
          <w:ilvl w:val="0"/>
          <w:numId w:val="3"/>
        </w:numPr>
        <w:jc w:val="both"/>
      </w:pPr>
      <w:r w:rsidRPr="00870C6F">
        <w:t>INFR(2019)2223 – konanie o porušení povinnosti je v štádiu formálneho oznámenia. Formálne oznámenie C(2019)6679 final bolo vydané podľa čl. 258 Zmluvy o fungovaní Európskej únie, doručené Slovenskej republike dňa 11. októbra 2019 listom SG-Greffe(2019)D/14941. Európska komisia vytýka nesúlad transpozície smernice Európskeho parlamentu a Rady 2011/92/EÚ z 13. decembra 2011 o posudzovaní vplyvov určitých verejných a súkromných projektov na životné prostredie (kodifikované znenie) (Ú. V. EÚ L 26, 28.1.2012, s 1) zmenenej smernicou 2014/52/EÚ zo 16. apríla 2014, ktorou sa mení smernica Európskeho parlamentu a Rady 2011/92/EÚ z 13. decembra 2011 o posudzovaní vplyvov určitých verejných a súkromných projektov na životné prostredie (Ú v. EÚ L 124, 25.4.2014 s. 1) do sl</w:t>
      </w:r>
      <w:r>
        <w:t xml:space="preserve">ovenských právnych predpisov. </w:t>
      </w:r>
    </w:p>
    <w:p w14:paraId="0389B091" w14:textId="237666D0" w:rsidR="00DF44DC" w:rsidRDefault="00870C6F" w:rsidP="0001015A">
      <w:pPr>
        <w:pStyle w:val="Default"/>
        <w:numPr>
          <w:ilvl w:val="0"/>
          <w:numId w:val="3"/>
        </w:numPr>
        <w:jc w:val="both"/>
      </w:pPr>
      <w:r w:rsidRPr="00870C6F">
        <w:t xml:space="preserve">INFR(2014)4190 – konanie o porušení povinnosti je v štádiu dodatočného formálneho oznámenia. Predmetné konanie o porušení bolo začaté formálnym oznámením C(2014)8663 final, ktoré bolo vydané podľa čl. 258 Zmluvy o fungovaní Európskej únie a doručené Slovenskej republike dňa 27. novembra 2014 listom SG-Greffe(2014)D/17648. Európska komisia vytýka SR porušenie viacerých smerníc: smernice Európskeho parlamentu a Rady 2001/42/ES z 27. júna 2001 o posudzovaní účinkov určitých plánov a programov na životné prostredie („smernica o SEA“), smernice Európskeho parlamentu a Rady 2011/92/EÚ z 13. decembra 2011 o posudzovaní vplyvov určitých verejných a súkromných projektov na životné prostredie („smernica o EIA“), smernice Európskeho parlamentu a Rady 2000/60/ES z 23. októbra 2000, ktorou sa stanovuje rámec pôsobnosti pre opatrenia Spoločenstva v oblasti vodného hospodárstva v znení zmien („rámcová smernica o vode“) a smernice Rady 92/43/EHS z 21. mája 1992 o ochrane prirodzených biotopov a voľne žijúcich živočíchov a rastlín v znení zmien („smernica o biotopoch“), </w:t>
      </w:r>
      <w:r w:rsidRPr="00870C6F">
        <w:lastRenderedPageBreak/>
        <w:t>pokiaľ ide o revidovanú koncepciu využitia hydroenergetického potenciálu vodnýc</w:t>
      </w:r>
      <w:r>
        <w:t>h tokov v Slovenskej republike</w:t>
      </w:r>
      <w:r w:rsidRPr="00870C6F">
        <w:t>.</w:t>
      </w:r>
    </w:p>
    <w:p w14:paraId="10530672" w14:textId="61203E6D" w:rsidR="00BF6256" w:rsidRDefault="00BF6256" w:rsidP="00BF6256">
      <w:pPr>
        <w:pStyle w:val="Default"/>
        <w:numPr>
          <w:ilvl w:val="0"/>
          <w:numId w:val="3"/>
        </w:numPr>
        <w:jc w:val="both"/>
      </w:pPr>
      <w:r w:rsidRPr="00BF6256">
        <w:t>[INFR(2024)0252]</w:t>
      </w:r>
      <w:r w:rsidR="00E02467">
        <w:t xml:space="preserve"> </w:t>
      </w:r>
      <w:r w:rsidR="00E02467" w:rsidRPr="00870C6F">
        <w:t>–</w:t>
      </w:r>
      <w:r w:rsidRPr="00BF6256">
        <w:t xml:space="preserve"> pretože do vnútroštátneho práva netransponovali pravidlá EÚ stanovené v smernici (EÚ) 2023/2413 , ktorými sa urýchľujú postupy udeľovania povolení na projekty v oblasti energie z obnoviteľných zdrojov. Touto smernicou sa mení smernica o energii z obnoviteľných zdrojov [smernica (EÚ) 2018/2001] a sú v nej stanovené nové pravidlá na zjednodušenie a skrátenie postupov udeľovania povolení tak na projekty v oblasti energie z obnoviteľných zdrojov, ako aj projekty infraštruktúry, ktoré sú potrebné na integráciu dodatočnej kapacity do elektrizačnej sústavy. Jej súčasťou sú jasné lehoty pre postupy udeľovania povolení zamerané na konkrétne technológie alebo druhy projektov. Navyše sa ňou zavádza predpoklad, že projekty v oblasti energie z obnoviteľných zdrojov, uskladňovania a súvisiacej infraštruktúry sústav sú v nadradenom verejnom záujme. Obsahuje aj povinnosť členských štátov navrhnúť „oblasti vhodné na zrýchlenú výrobu energie z obnoviteľných zdrojov“, v ktorých môžu projekty využiť kratšie lehoty na udelenie povolení vzhľadom na nízke vplyvy na životné prostredie. Lehota na transpozíciu týchto ustanovení do vnútroštátneho práva uplynula 1. júla 2024. V septembri 2024 Komisia zaslala 26 členským štátom formálne výzvy, pretože túto smernicu v plnom rozsahu netransponovali do vnútroštátneho práva. Po preskúmaní odpovedí od ôsmich členských štátov Komisia rozhodla o vydaní odôvodnených stanovísk Španielsku, Taliansku, Cypru, Slovensku a Švédsku, pretože neoznámili transpozičné opatrenia, a Bulharsku, Francúzsku a Holandsku, pretože neposkytli dostatočne jasné a presné informácie o tom, ako sa ich transpozičnými opatreniami transponujú jednotlivé ustanovenia smernice. Týchto osem členských štátov má teraz dva mesiace na odpoveď a prijatie potrebných opatrení. V opačnom prípade môže Komisia rozhodnúť o postúpení vecí Súdnemu dvoru Európskej únie.</w:t>
      </w:r>
    </w:p>
    <w:p w14:paraId="4B99056E" w14:textId="77777777" w:rsidR="004D43FE" w:rsidRPr="00A7031D" w:rsidRDefault="004D43FE" w:rsidP="0001015A">
      <w:pPr>
        <w:pStyle w:val="Default"/>
        <w:jc w:val="both"/>
      </w:pPr>
    </w:p>
    <w:p w14:paraId="110314FE" w14:textId="77777777" w:rsidR="004A3DCC" w:rsidRDefault="00DF44DC" w:rsidP="0001015A">
      <w:pPr>
        <w:widowControl/>
        <w:jc w:val="both"/>
      </w:pPr>
      <w:r w:rsidRPr="00E82D29">
        <w:t xml:space="preserve">c) </w:t>
      </w:r>
      <w:r w:rsidR="004A3DCC">
        <w:t xml:space="preserve">informácia o právnych predpisoch, v ktorých sú preberané smernice už prebraté spolu s uvedením rozsahu tohto prebratia </w:t>
      </w:r>
    </w:p>
    <w:p w14:paraId="46635C1E" w14:textId="77777777" w:rsidR="004A3DCC" w:rsidRDefault="004A3DCC" w:rsidP="0001015A">
      <w:pPr>
        <w:pStyle w:val="Odsekzoznamu"/>
        <w:widowControl/>
        <w:numPr>
          <w:ilvl w:val="0"/>
          <w:numId w:val="4"/>
        </w:numPr>
        <w:jc w:val="both"/>
      </w:pPr>
      <w:r>
        <w:t xml:space="preserve">Zákon č. 50/1976 Zb. o územnom plánovaní a stavebnom poriadku (stavebný zákon)  </w:t>
      </w:r>
    </w:p>
    <w:p w14:paraId="7BA332FA" w14:textId="055DA979" w:rsidR="004A3DCC" w:rsidRDefault="004A3DCC" w:rsidP="0001015A">
      <w:pPr>
        <w:pStyle w:val="Odsekzoznamu"/>
        <w:widowControl/>
        <w:numPr>
          <w:ilvl w:val="0"/>
          <w:numId w:val="4"/>
        </w:numPr>
        <w:jc w:val="both"/>
      </w:pPr>
      <w:r>
        <w:t>Zákon č. 25/2025 Z. z. Stavebný zákon a o zmene a doplnení niektorých zákonov (Stavebný zákon)</w:t>
      </w:r>
    </w:p>
    <w:p w14:paraId="44563841" w14:textId="6ADEAD17" w:rsidR="004A3DCC" w:rsidRDefault="004A3DCC" w:rsidP="0001015A">
      <w:pPr>
        <w:pStyle w:val="Odsekzoznamu"/>
        <w:widowControl/>
        <w:numPr>
          <w:ilvl w:val="0"/>
          <w:numId w:val="4"/>
        </w:numPr>
        <w:jc w:val="both"/>
      </w:pPr>
      <w:r>
        <w:t xml:space="preserve">Zákon č. 44/1988 Zb. o ochrane a využití nerastného bohatstva (banský zákon)  </w:t>
      </w:r>
    </w:p>
    <w:p w14:paraId="3C533DE9" w14:textId="77777777" w:rsidR="004A3DCC" w:rsidRDefault="004A3DCC" w:rsidP="0001015A">
      <w:pPr>
        <w:pStyle w:val="Odsekzoznamu"/>
        <w:widowControl/>
        <w:numPr>
          <w:ilvl w:val="0"/>
          <w:numId w:val="4"/>
        </w:numPr>
        <w:jc w:val="both"/>
      </w:pPr>
      <w:r>
        <w:t xml:space="preserve">Zákon č. 51/1988 Zb. o banskej činnosti, výbušninách a o štátnej banskej správe  </w:t>
      </w:r>
    </w:p>
    <w:p w14:paraId="4C739059" w14:textId="77777777" w:rsidR="004A3DCC" w:rsidRDefault="004A3DCC" w:rsidP="0001015A">
      <w:pPr>
        <w:pStyle w:val="Odsekzoznamu"/>
        <w:widowControl/>
        <w:numPr>
          <w:ilvl w:val="0"/>
          <w:numId w:val="4"/>
        </w:numPr>
        <w:jc w:val="both"/>
      </w:pPr>
      <w:r>
        <w:t xml:space="preserve">Zákon č. 543/2002 Z. z. o ochrane prírody a krajiny  </w:t>
      </w:r>
    </w:p>
    <w:p w14:paraId="544AFED5" w14:textId="77777777" w:rsidR="004A3DCC" w:rsidRDefault="004A3DCC" w:rsidP="0001015A">
      <w:pPr>
        <w:pStyle w:val="Odsekzoznamu"/>
        <w:widowControl/>
        <w:numPr>
          <w:ilvl w:val="0"/>
          <w:numId w:val="4"/>
        </w:numPr>
        <w:jc w:val="both"/>
      </w:pPr>
      <w:r>
        <w:t xml:space="preserve">Zákon č. 541/2004 Z. z. o mierovom využívaní jadrovej energie (atómový zákon) a o zmene a doplnení niektorých zákonov  </w:t>
      </w:r>
    </w:p>
    <w:p w14:paraId="421F7BCF" w14:textId="77777777" w:rsidR="004A3DCC" w:rsidRDefault="004A3DCC" w:rsidP="0001015A">
      <w:pPr>
        <w:pStyle w:val="Odsekzoznamu"/>
        <w:widowControl/>
        <w:numPr>
          <w:ilvl w:val="0"/>
          <w:numId w:val="4"/>
        </w:numPr>
        <w:jc w:val="both"/>
      </w:pPr>
      <w:r>
        <w:t xml:space="preserve">Zákon č. 532/2005 Z. z., ktorým sa mení a dopĺňa zákon č. 245/2003 Z. z. o integrovanej prevencii a kontrole znečisťovania životného prostredia a o zmene a doplnení niektorých zákonov v znení neskorších predpisov a o zmene a doplnení niektorých zákonov  </w:t>
      </w:r>
    </w:p>
    <w:p w14:paraId="4D870858" w14:textId="77777777" w:rsidR="004A3DCC" w:rsidRDefault="004A3DCC" w:rsidP="0001015A">
      <w:pPr>
        <w:pStyle w:val="Odsekzoznamu"/>
        <w:widowControl/>
        <w:numPr>
          <w:ilvl w:val="0"/>
          <w:numId w:val="4"/>
        </w:numPr>
        <w:jc w:val="both"/>
      </w:pPr>
      <w:r>
        <w:t xml:space="preserve">Zákon č. 24/2006 Z. z. o posudzovaní vplyvov na životné prostredie a o zmene a doplnení niektorých zákonov  </w:t>
      </w:r>
    </w:p>
    <w:p w14:paraId="44E958C5" w14:textId="77777777" w:rsidR="004A3DCC" w:rsidRDefault="004A3DCC" w:rsidP="0001015A">
      <w:pPr>
        <w:pStyle w:val="Odsekzoznamu"/>
        <w:widowControl/>
        <w:numPr>
          <w:ilvl w:val="0"/>
          <w:numId w:val="4"/>
        </w:numPr>
        <w:jc w:val="both"/>
      </w:pPr>
      <w:r>
        <w:t xml:space="preserve">Zákon č. 275/2007 Z. z., ktorým sa mení a dopĺňa zákon Národnej rady Slovenskej republiky č. 129/1996 Z. z. o niektorých opatreniach na urýchlenie prípravy výstavby diaľnic a ciest pre motorové vozidlá v znení zákona Národnej rady Slovenskej republiky č. 160/1996 Z. z. a o zmene a doplnení niektorých zákonov  </w:t>
      </w:r>
    </w:p>
    <w:p w14:paraId="332012B6" w14:textId="77777777" w:rsidR="004A3DCC" w:rsidRDefault="004A3DCC" w:rsidP="0001015A">
      <w:pPr>
        <w:pStyle w:val="Odsekzoznamu"/>
        <w:widowControl/>
        <w:numPr>
          <w:ilvl w:val="0"/>
          <w:numId w:val="4"/>
        </w:numPr>
        <w:jc w:val="both"/>
      </w:pPr>
      <w:r>
        <w:lastRenderedPageBreak/>
        <w:t xml:space="preserve">Zákon č. 454/2007 Z. z., ktorým sa mení a dopĺňa zákon č. 543/2002 Z. z. o ochrane prírody a krajiny v znení neskorších predpisov  </w:t>
      </w:r>
    </w:p>
    <w:p w14:paraId="566749BD" w14:textId="77777777" w:rsidR="004A3DCC" w:rsidRDefault="004A3DCC" w:rsidP="0001015A">
      <w:pPr>
        <w:pStyle w:val="Odsekzoznamu"/>
        <w:widowControl/>
        <w:numPr>
          <w:ilvl w:val="0"/>
          <w:numId w:val="4"/>
        </w:numPr>
        <w:jc w:val="both"/>
      </w:pPr>
      <w:r>
        <w:t xml:space="preserve">Zákon č. 145/2010 Z. z., ktorým sa mení a dopĺňa zákon č. 24/2006 Z. z. o posudzovaní vplyvov na životné prostredie a o zmene a doplnení niektorých zákonov v znení neskorších predpisov a o zmene a doplnení niektorých zákonov  </w:t>
      </w:r>
    </w:p>
    <w:p w14:paraId="307F2631" w14:textId="77777777" w:rsidR="004A3DCC" w:rsidRDefault="004A3DCC" w:rsidP="0001015A">
      <w:pPr>
        <w:pStyle w:val="Odsekzoznamu"/>
        <w:widowControl/>
        <w:numPr>
          <w:ilvl w:val="0"/>
          <w:numId w:val="4"/>
        </w:numPr>
        <w:jc w:val="both"/>
      </w:pPr>
      <w:r>
        <w:t xml:space="preserve">Zákon č. 287/2009 Z. z., ktorým sa mení a dopĺňa zákon č. 24/2006 Z. z. o posudzovaní vplyvov na životné prostredie a o zmene a doplnení niektorých zákonov v znení neskorších predpisov  </w:t>
      </w:r>
    </w:p>
    <w:p w14:paraId="4FF6FE5A" w14:textId="77777777" w:rsidR="004A3DCC" w:rsidRDefault="004A3DCC" w:rsidP="0001015A">
      <w:pPr>
        <w:pStyle w:val="Odsekzoznamu"/>
        <w:widowControl/>
        <w:numPr>
          <w:ilvl w:val="0"/>
          <w:numId w:val="4"/>
        </w:numPr>
        <w:jc w:val="both"/>
      </w:pPr>
      <w:r>
        <w:t xml:space="preserve">Zákon č. 114/2010 Z. z., ktorým sa mení a dopĺňa zákon Národnej rady Slovenskej republiky č. 152/1995 Z. z. o potravinách v znení neskorších predpisov a o zmene a doplnení zákona č. 44/1988 Zb. o ochrane a využití nerastného bohatstva (banský zákon) v znení neskorších predpisov  </w:t>
      </w:r>
    </w:p>
    <w:p w14:paraId="564E7392" w14:textId="0AE3606D" w:rsidR="004A3DCC" w:rsidRDefault="004A3DCC" w:rsidP="0001015A">
      <w:pPr>
        <w:pStyle w:val="Odsekzoznamu"/>
        <w:widowControl/>
        <w:numPr>
          <w:ilvl w:val="0"/>
          <w:numId w:val="4"/>
        </w:numPr>
        <w:jc w:val="both"/>
      </w:pPr>
      <w:r>
        <w:t xml:space="preserve">Zákon č. 117/2010 Z. z., ktorým sa mení a dopĺňa zákon č. 543/2002 Z. z. o ochrane prírody a krajiny v znení neskorších predpisov a o zmene a doplnení zákona č. 24/2006 Z. </w:t>
      </w:r>
    </w:p>
    <w:p w14:paraId="33CB619F" w14:textId="77777777" w:rsidR="004A3DCC" w:rsidRDefault="004A3DCC" w:rsidP="0001015A">
      <w:pPr>
        <w:widowControl/>
        <w:ind w:left="708"/>
        <w:jc w:val="both"/>
      </w:pPr>
      <w:r>
        <w:t xml:space="preserve">z. o posudzovaní vplyvov na životné prostredie a o zmene a doplnení niektorých zákonov v znení neskorších predpisov  </w:t>
      </w:r>
    </w:p>
    <w:p w14:paraId="1C4D0F20" w14:textId="77777777" w:rsidR="004A3DCC" w:rsidRDefault="004A3DCC" w:rsidP="0001015A">
      <w:pPr>
        <w:pStyle w:val="Odsekzoznamu"/>
        <w:widowControl/>
        <w:numPr>
          <w:ilvl w:val="0"/>
          <w:numId w:val="5"/>
        </w:numPr>
        <w:ind w:left="709"/>
        <w:jc w:val="both"/>
      </w:pPr>
      <w:r>
        <w:t xml:space="preserve">Zákon č. 258/2011 Z. z., o trvalom ukladaní oxidu uhličitého do geologického prostredia a o zmene a doplnení niektorých zákonov  </w:t>
      </w:r>
    </w:p>
    <w:p w14:paraId="62AC7111" w14:textId="77777777" w:rsidR="004A3DCC" w:rsidRDefault="004A3DCC" w:rsidP="0001015A">
      <w:pPr>
        <w:pStyle w:val="Odsekzoznamu"/>
        <w:widowControl/>
        <w:numPr>
          <w:ilvl w:val="0"/>
          <w:numId w:val="5"/>
        </w:numPr>
        <w:ind w:left="709"/>
        <w:jc w:val="both"/>
      </w:pPr>
      <w:r>
        <w:t xml:space="preserve">Zákon č. 408/2011 Z. z., ktorým sa mení a dopĺňa zákon č. 24/2006 Z. z. o posudzovaní vplyvov na životné prostredie a o zmene a doplnení niektorých zákonov v znení neskorších predpisov a o zmene a doplnení niektorých zákonov  </w:t>
      </w:r>
    </w:p>
    <w:p w14:paraId="6F578784" w14:textId="77777777" w:rsidR="004A3DCC" w:rsidRDefault="004A3DCC" w:rsidP="0001015A">
      <w:pPr>
        <w:pStyle w:val="Odsekzoznamu"/>
        <w:widowControl/>
        <w:numPr>
          <w:ilvl w:val="0"/>
          <w:numId w:val="5"/>
        </w:numPr>
        <w:ind w:left="709"/>
        <w:jc w:val="both"/>
      </w:pPr>
      <w:r>
        <w:t xml:space="preserve">Zákon č. 314/2014 Z. z., ktorým sa mení a dopĺňa zákon č. 24/2006 Z. z. o posudzovaní vplyvov na životné prostredie a o zmene a doplnení niektorých zákonov v znení neskorších predpisov a ktorým sa menia a dopĺňajú niektoré zákony  </w:t>
      </w:r>
    </w:p>
    <w:p w14:paraId="6B1A4BE6" w14:textId="77777777" w:rsidR="004A3DCC" w:rsidRDefault="004A3DCC" w:rsidP="0001015A">
      <w:pPr>
        <w:pStyle w:val="Odsekzoznamu"/>
        <w:widowControl/>
        <w:numPr>
          <w:ilvl w:val="0"/>
          <w:numId w:val="5"/>
        </w:numPr>
        <w:ind w:left="709"/>
        <w:jc w:val="both"/>
      </w:pPr>
      <w:r>
        <w:t xml:space="preserve">Zákon č. 312/2016 Z. z., ktorým sa mení a dopĺňa zákon č. 24/2006 Z. z. o posudzovaní vplyvov na životné prostredie a o zmene a doplnení niektorých zákonov v znení neskorších predpisov  </w:t>
      </w:r>
    </w:p>
    <w:p w14:paraId="041AF996" w14:textId="691F26A4" w:rsidR="004A3DCC" w:rsidRDefault="004A3DCC" w:rsidP="0001015A">
      <w:pPr>
        <w:pStyle w:val="Odsekzoznamu"/>
        <w:widowControl/>
        <w:numPr>
          <w:ilvl w:val="0"/>
          <w:numId w:val="5"/>
        </w:numPr>
        <w:ind w:left="709"/>
        <w:jc w:val="both"/>
      </w:pPr>
      <w:r>
        <w:t xml:space="preserve">Zákon č. 147/2017 Z. z., ktorým sa mení a dopĺňa zákon č. 258/2011 Z. z. o trvalom ukladaní oxidu uhličitého do geologického prostredia a o zmene a doplnení niektorých zákonov a ktorým sa mení a dopĺňa zákon č. 569/2007 Z. z. o geologických prácach </w:t>
      </w:r>
    </w:p>
    <w:p w14:paraId="14D27EAA" w14:textId="19E59C3A" w:rsidR="00DF44DC" w:rsidRDefault="004A3DCC" w:rsidP="0001015A">
      <w:pPr>
        <w:widowControl/>
        <w:ind w:firstLine="708"/>
        <w:jc w:val="both"/>
      </w:pPr>
      <w:r>
        <w:t>(geologický zákon) v znení neskorších predpisov</w:t>
      </w:r>
      <w:r w:rsidR="00DF44DC">
        <w:t>.</w:t>
      </w:r>
    </w:p>
    <w:p w14:paraId="1299C43A" w14:textId="77777777" w:rsidR="00DF44DC" w:rsidRDefault="00DF44DC" w:rsidP="00DF44DC">
      <w:pPr>
        <w:pStyle w:val="Default"/>
        <w:rPr>
          <w:b/>
        </w:rPr>
      </w:pPr>
    </w:p>
    <w:p w14:paraId="4A2B7F86" w14:textId="77777777" w:rsidR="00DF44DC" w:rsidRPr="00A7031D" w:rsidRDefault="00DF44DC" w:rsidP="00DF44DC">
      <w:pPr>
        <w:pStyle w:val="Default"/>
        <w:rPr>
          <w:b/>
        </w:rPr>
      </w:pPr>
      <w:r w:rsidRPr="00A7031D">
        <w:rPr>
          <w:b/>
        </w:rPr>
        <w:t xml:space="preserve">5. Návrh zákona je zlučiteľný s právom Európskej únie: </w:t>
      </w:r>
    </w:p>
    <w:p w14:paraId="153DC2CE" w14:textId="77777777" w:rsidR="00DF44DC" w:rsidRPr="00093502" w:rsidRDefault="00DF44DC" w:rsidP="00DF44DC">
      <w:pPr>
        <w:rPr>
          <w:b/>
        </w:rPr>
      </w:pPr>
      <w:r w:rsidRPr="00A7031D">
        <w:t>a) úplne</w:t>
      </w:r>
      <w:r>
        <w:t>.</w:t>
      </w:r>
    </w:p>
    <w:p w14:paraId="4DDBEF00" w14:textId="77777777" w:rsidR="000029B8" w:rsidRDefault="000029B8"/>
    <w:sectPr w:rsidR="000029B8">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5B7A95" w14:textId="77777777" w:rsidR="003A2A9D" w:rsidRDefault="003A2A9D" w:rsidP="005631DE">
      <w:r>
        <w:separator/>
      </w:r>
    </w:p>
  </w:endnote>
  <w:endnote w:type="continuationSeparator" w:id="0">
    <w:p w14:paraId="0E4088BB" w14:textId="77777777" w:rsidR="003A2A9D" w:rsidRDefault="003A2A9D" w:rsidP="0056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BB128" w14:textId="77777777" w:rsidR="003A2A9D" w:rsidRDefault="003A2A9D" w:rsidP="005631DE">
      <w:r>
        <w:separator/>
      </w:r>
    </w:p>
  </w:footnote>
  <w:footnote w:type="continuationSeparator" w:id="0">
    <w:p w14:paraId="735874B9" w14:textId="77777777" w:rsidR="003A2A9D" w:rsidRDefault="003A2A9D" w:rsidP="00563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D459D"/>
    <w:multiLevelType w:val="hybridMultilevel"/>
    <w:tmpl w:val="978EAE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C6C16D2"/>
    <w:multiLevelType w:val="hybridMultilevel"/>
    <w:tmpl w:val="7AB6201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1CA82279"/>
    <w:multiLevelType w:val="hybridMultilevel"/>
    <w:tmpl w:val="92483EC0"/>
    <w:lvl w:ilvl="0" w:tplc="D2A46184">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AB1389E"/>
    <w:multiLevelType w:val="hybridMultilevel"/>
    <w:tmpl w:val="36361C60"/>
    <w:lvl w:ilvl="0" w:tplc="CF129082">
      <w:numFmt w:val="bullet"/>
      <w:lvlText w:val="-"/>
      <w:lvlJc w:val="left"/>
      <w:pPr>
        <w:ind w:left="420" w:hanging="360"/>
      </w:pPr>
      <w:rPr>
        <w:rFonts w:ascii="Times New Roman" w:eastAsia="Times New Roman" w:hAnsi="Times New Roman" w:cs="Times New Roman"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4" w15:restartNumberingAfterBreak="0">
    <w:nsid w:val="5673497A"/>
    <w:multiLevelType w:val="hybridMultilevel"/>
    <w:tmpl w:val="32C4F4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624833CB"/>
    <w:multiLevelType w:val="hybridMultilevel"/>
    <w:tmpl w:val="7B40B4E4"/>
    <w:lvl w:ilvl="0" w:tplc="CF129082">
      <w:numFmt w:val="bullet"/>
      <w:lvlText w:val="-"/>
      <w:lvlJc w:val="left"/>
      <w:pPr>
        <w:ind w:left="4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E6A6D74"/>
    <w:multiLevelType w:val="hybridMultilevel"/>
    <w:tmpl w:val="EB42C24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6"/>
  </w:num>
  <w:num w:numId="2">
    <w:abstractNumId w:val="2"/>
  </w:num>
  <w:num w:numId="3">
    <w:abstractNumId w:val="0"/>
  </w:num>
  <w:num w:numId="4">
    <w:abstractNumId w:val="4"/>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4DC"/>
    <w:rsid w:val="000029B8"/>
    <w:rsid w:val="00007FD1"/>
    <w:rsid w:val="0001015A"/>
    <w:rsid w:val="000672AC"/>
    <w:rsid w:val="00075C0B"/>
    <w:rsid w:val="00126A2F"/>
    <w:rsid w:val="002579D9"/>
    <w:rsid w:val="003A2A9D"/>
    <w:rsid w:val="004A3DCC"/>
    <w:rsid w:val="004D43FE"/>
    <w:rsid w:val="0054470B"/>
    <w:rsid w:val="005631DE"/>
    <w:rsid w:val="00644340"/>
    <w:rsid w:val="00734D1D"/>
    <w:rsid w:val="00827C18"/>
    <w:rsid w:val="00870C6F"/>
    <w:rsid w:val="008B7104"/>
    <w:rsid w:val="00A01549"/>
    <w:rsid w:val="00A15C1F"/>
    <w:rsid w:val="00A75597"/>
    <w:rsid w:val="00A82A6C"/>
    <w:rsid w:val="00AB17E3"/>
    <w:rsid w:val="00B71E86"/>
    <w:rsid w:val="00BF6256"/>
    <w:rsid w:val="00CE2A68"/>
    <w:rsid w:val="00CF525C"/>
    <w:rsid w:val="00D90956"/>
    <w:rsid w:val="00DF44DC"/>
    <w:rsid w:val="00E02467"/>
    <w:rsid w:val="00E97C06"/>
    <w:rsid w:val="00EA48F7"/>
    <w:rsid w:val="00EA6446"/>
    <w:rsid w:val="00EF7176"/>
    <w:rsid w:val="1A5509B4"/>
    <w:rsid w:val="327D4BDF"/>
    <w:rsid w:val="34DF6583"/>
    <w:rsid w:val="40B364BB"/>
    <w:rsid w:val="73A425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75C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F44D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DF44DC"/>
    <w:pPr>
      <w:ind w:left="720"/>
      <w:contextualSpacing/>
    </w:pPr>
  </w:style>
  <w:style w:type="table" w:styleId="Mriekatabuky">
    <w:name w:val="Table Grid"/>
    <w:basedOn w:val="Normlnatabuka"/>
    <w:uiPriority w:val="99"/>
    <w:unhideWhenUsed/>
    <w:rsid w:val="00DF44DC"/>
    <w:pPr>
      <w:spacing w:after="0" w:line="240" w:lineRule="auto"/>
    </w:pPr>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44DC"/>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awspan1">
    <w:name w:val="awspan1"/>
    <w:basedOn w:val="Predvolenpsmoodseku"/>
    <w:rsid w:val="00DF44DC"/>
    <w:rPr>
      <w:color w:val="000000"/>
      <w:sz w:val="24"/>
      <w:szCs w:val="24"/>
    </w:rPr>
  </w:style>
  <w:style w:type="paragraph" w:styleId="Hlavika">
    <w:name w:val="header"/>
    <w:basedOn w:val="Normlny"/>
    <w:link w:val="HlavikaChar"/>
    <w:uiPriority w:val="99"/>
    <w:unhideWhenUsed/>
    <w:rsid w:val="005631DE"/>
    <w:pPr>
      <w:tabs>
        <w:tab w:val="center" w:pos="4536"/>
        <w:tab w:val="right" w:pos="9072"/>
      </w:tabs>
    </w:pPr>
  </w:style>
  <w:style w:type="character" w:customStyle="1" w:styleId="HlavikaChar">
    <w:name w:val="Hlavička Char"/>
    <w:basedOn w:val="Predvolenpsmoodseku"/>
    <w:link w:val="Hlavika"/>
    <w:uiPriority w:val="99"/>
    <w:rsid w:val="005631DE"/>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5631DE"/>
    <w:pPr>
      <w:tabs>
        <w:tab w:val="center" w:pos="4536"/>
        <w:tab w:val="right" w:pos="9072"/>
      </w:tabs>
    </w:pPr>
  </w:style>
  <w:style w:type="character" w:customStyle="1" w:styleId="PtaChar">
    <w:name w:val="Päta Char"/>
    <w:basedOn w:val="Predvolenpsmoodseku"/>
    <w:link w:val="Pta"/>
    <w:uiPriority w:val="99"/>
    <w:rsid w:val="005631DE"/>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83539">
      <w:bodyDiv w:val="1"/>
      <w:marLeft w:val="0"/>
      <w:marRight w:val="0"/>
      <w:marTop w:val="0"/>
      <w:marBottom w:val="0"/>
      <w:divBdr>
        <w:top w:val="none" w:sz="0" w:space="0" w:color="auto"/>
        <w:left w:val="none" w:sz="0" w:space="0" w:color="auto"/>
        <w:bottom w:val="none" w:sz="0" w:space="0" w:color="auto"/>
        <w:right w:val="none" w:sz="0" w:space="0" w:color="auto"/>
      </w:divBdr>
    </w:div>
    <w:div w:id="727996156">
      <w:bodyDiv w:val="1"/>
      <w:marLeft w:val="0"/>
      <w:marRight w:val="0"/>
      <w:marTop w:val="0"/>
      <w:marBottom w:val="0"/>
      <w:divBdr>
        <w:top w:val="none" w:sz="0" w:space="0" w:color="auto"/>
        <w:left w:val="none" w:sz="0" w:space="0" w:color="auto"/>
        <w:bottom w:val="none" w:sz="0" w:space="0" w:color="auto"/>
        <w:right w:val="none" w:sz="0" w:space="0" w:color="auto"/>
      </w:divBdr>
    </w:div>
    <w:div w:id="173015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F66029332B8E4CA51F5E45A024029E" ma:contentTypeVersion="3" ma:contentTypeDescription="Create a new document." ma:contentTypeScope="" ma:versionID="85a90a98bafe7d9b32ee356dc1b00ba2">
  <xsd:schema xmlns:xsd="http://www.w3.org/2001/XMLSchema" xmlns:xs="http://www.w3.org/2001/XMLSchema" xmlns:p="http://schemas.microsoft.com/office/2006/metadata/properties" xmlns:ns2="97922fda-8202-404c-9714-692831f355c0" targetNamespace="http://schemas.microsoft.com/office/2006/metadata/properties" ma:root="true" ma:fieldsID="339477405c74925ee7afcb391ef3d9d5" ns2:_="">
    <xsd:import namespace="97922fda-8202-404c-9714-692831f355c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22fda-8202-404c-9714-692831f355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B5BD71-5F00-4B07-A754-15A08D043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22fda-8202-404c-9714-692831f35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9803E3-8A78-4BFE-BF59-6C1C08FF66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37C0C8-034F-4526-B3D6-F07CB580CF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2905</Words>
  <Characters>16560</Characters>
  <Application>Microsoft Office Word</Application>
  <DocSecurity>0</DocSecurity>
  <Lines>138</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2025-08-18T13:31:00Z</dcterms:created>
  <dcterms:modified xsi:type="dcterms:W3CDTF">2025-09-04T12:56:00Z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0x01010057F66029332B8E4CA51F5E45A024029E</vt:lpwstr>
  </property>
</Properties>
</file>