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EB07C" w14:textId="77777777" w:rsidR="00E428CD" w:rsidRPr="002B5B00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2B5B00">
        <w:t>ÚSTAVNOPRÁVNY VÝBOR</w:t>
      </w:r>
    </w:p>
    <w:p w14:paraId="13258075" w14:textId="77777777" w:rsidR="00E428CD" w:rsidRPr="002B5B00" w:rsidRDefault="00E428CD" w:rsidP="00E428CD">
      <w:pPr>
        <w:spacing w:line="360" w:lineRule="auto"/>
        <w:rPr>
          <w:b/>
        </w:rPr>
      </w:pPr>
      <w:r w:rsidRPr="002B5B00">
        <w:rPr>
          <w:b/>
        </w:rPr>
        <w:t>NÁRODNEJ RADY SLOVENSKEJ REPUBLIKY</w:t>
      </w:r>
    </w:p>
    <w:p w14:paraId="20BDC247" w14:textId="77777777" w:rsidR="003D507F" w:rsidRPr="002B5B00" w:rsidRDefault="003D507F" w:rsidP="003D507F">
      <w:pPr>
        <w:rPr>
          <w:b/>
        </w:rPr>
      </w:pPr>
    </w:p>
    <w:p w14:paraId="2AD2D2FE" w14:textId="4886C613" w:rsidR="00A107BB" w:rsidRPr="002B5B00" w:rsidRDefault="00D04570" w:rsidP="00A107BB">
      <w:pPr>
        <w:ind w:left="4955" w:firstLine="709"/>
      </w:pPr>
      <w:r w:rsidRPr="002B5B00">
        <w:t>9</w:t>
      </w:r>
      <w:r w:rsidR="002B5275" w:rsidRPr="002B5B00">
        <w:t>6</w:t>
      </w:r>
      <w:r w:rsidR="00A107BB" w:rsidRPr="002B5B00">
        <w:t>. schôdza</w:t>
      </w:r>
    </w:p>
    <w:p w14:paraId="29048D40" w14:textId="4BFBA0D7" w:rsidR="008859F1" w:rsidRPr="002B5B00" w:rsidRDefault="008859F1" w:rsidP="008859F1">
      <w:pPr>
        <w:ind w:left="4956" w:firstLine="708"/>
      </w:pPr>
      <w:r w:rsidRPr="002B5B00">
        <w:t>Č.: KNR-UPV-</w:t>
      </w:r>
      <w:r w:rsidR="004166FE" w:rsidRPr="002B5B00">
        <w:t>5338</w:t>
      </w:r>
      <w:r w:rsidRPr="002B5B00">
        <w:t>/2025-</w:t>
      </w:r>
      <w:r w:rsidR="004166FE" w:rsidRPr="002B5B00">
        <w:t>3</w:t>
      </w:r>
    </w:p>
    <w:p w14:paraId="26B92D1E" w14:textId="77777777" w:rsidR="008859F1" w:rsidRPr="002B5B00" w:rsidRDefault="008859F1" w:rsidP="00187AFD">
      <w:pPr>
        <w:ind w:left="4956" w:firstLine="708"/>
      </w:pPr>
    </w:p>
    <w:p w14:paraId="7DA95088" w14:textId="77777777" w:rsidR="00522801" w:rsidRPr="002B5B00" w:rsidRDefault="00522801" w:rsidP="00BB7F2F">
      <w:pPr>
        <w:pStyle w:val="Bezriadkovania"/>
      </w:pPr>
    </w:p>
    <w:p w14:paraId="63836E9C" w14:textId="3FFAB7BB" w:rsidR="003953AB" w:rsidRPr="002B5B00" w:rsidRDefault="004166FE" w:rsidP="003953AB">
      <w:pPr>
        <w:jc w:val="center"/>
        <w:rPr>
          <w:iCs/>
          <w:sz w:val="36"/>
          <w:szCs w:val="36"/>
        </w:rPr>
      </w:pPr>
      <w:r w:rsidRPr="002B5B00">
        <w:rPr>
          <w:iCs/>
          <w:sz w:val="36"/>
          <w:szCs w:val="36"/>
        </w:rPr>
        <w:t>323</w:t>
      </w:r>
    </w:p>
    <w:p w14:paraId="44374497" w14:textId="77777777" w:rsidR="00A107BB" w:rsidRPr="002B5B00" w:rsidRDefault="00A107BB" w:rsidP="00A107BB">
      <w:pPr>
        <w:jc w:val="center"/>
        <w:rPr>
          <w:b/>
        </w:rPr>
      </w:pPr>
      <w:r w:rsidRPr="002B5B00">
        <w:rPr>
          <w:b/>
        </w:rPr>
        <w:t xml:space="preserve">U z n e s e n i e </w:t>
      </w:r>
    </w:p>
    <w:p w14:paraId="174F409B" w14:textId="77777777" w:rsidR="00A107BB" w:rsidRPr="002B5B00" w:rsidRDefault="00A107BB" w:rsidP="00A107BB">
      <w:pPr>
        <w:jc w:val="center"/>
        <w:rPr>
          <w:b/>
        </w:rPr>
      </w:pPr>
      <w:r w:rsidRPr="002B5B00">
        <w:rPr>
          <w:b/>
        </w:rPr>
        <w:t>Ústavnoprávneho výboru Národnej rady Slovenskej republiky</w:t>
      </w:r>
    </w:p>
    <w:p w14:paraId="566E356D" w14:textId="4AFC0F64" w:rsidR="00E428CD" w:rsidRPr="002B5B00" w:rsidRDefault="00DB2440" w:rsidP="00CD11E1">
      <w:pPr>
        <w:jc w:val="center"/>
        <w:rPr>
          <w:b/>
        </w:rPr>
      </w:pPr>
      <w:r w:rsidRPr="002B5B00">
        <w:rPr>
          <w:b/>
        </w:rPr>
        <w:t>zo 4. septembra</w:t>
      </w:r>
      <w:r w:rsidR="003953AB" w:rsidRPr="002B5B00">
        <w:rPr>
          <w:b/>
        </w:rPr>
        <w:t xml:space="preserve"> 2025</w:t>
      </w:r>
    </w:p>
    <w:p w14:paraId="6611D7B7" w14:textId="77777777" w:rsidR="00DB2440" w:rsidRPr="002B5B00" w:rsidRDefault="00DB2440" w:rsidP="00CD11E1">
      <w:pPr>
        <w:jc w:val="center"/>
      </w:pPr>
    </w:p>
    <w:p w14:paraId="1DC2D1F3" w14:textId="43884106" w:rsidR="00DB2440" w:rsidRPr="002B5B00" w:rsidRDefault="00E428CD" w:rsidP="00DB2440">
      <w:pPr>
        <w:pStyle w:val="Normlnywebov"/>
        <w:jc w:val="both"/>
        <w:rPr>
          <w:shd w:val="clear" w:color="auto" w:fill="FFFFFF"/>
        </w:rPr>
      </w:pPr>
      <w:r w:rsidRPr="002B5B00">
        <w:t>k</w:t>
      </w:r>
      <w:r w:rsidR="003953AB" w:rsidRPr="002B5B00">
        <w:t> </w:t>
      </w:r>
      <w:r w:rsidR="00CD11E1" w:rsidRPr="002B5B00">
        <w:t xml:space="preserve">vládnemu návrhu zákona, </w:t>
      </w:r>
      <w:r w:rsidR="00DB2440" w:rsidRPr="002B5B00">
        <w:rPr>
          <w:shd w:val="clear" w:color="auto" w:fill="FFFFFF"/>
        </w:rPr>
        <w:t xml:space="preserve">ktorým sa mení a dopĺňa </w:t>
      </w:r>
      <w:r w:rsidR="00DB2440" w:rsidRPr="002B5B00">
        <w:rPr>
          <w:b/>
          <w:shd w:val="clear" w:color="auto" w:fill="FFFFFF"/>
        </w:rPr>
        <w:t>zákon č. 7/2005 Z. z. o konkurze a  reštrukturalizácii</w:t>
      </w:r>
      <w:r w:rsidR="00DB2440" w:rsidRPr="002B5B00">
        <w:rPr>
          <w:shd w:val="clear" w:color="auto" w:fill="FFFFFF"/>
        </w:rPr>
        <w:t xml:space="preserve"> a o zmene a doplnení niektorých zákonov v znení neskorších predpisov a  ktorým sa menia a dopĺňajú niektoré zákony  (tlač 815)</w:t>
      </w:r>
    </w:p>
    <w:p w14:paraId="55FD29FF" w14:textId="77777777" w:rsidR="00DB2440" w:rsidRPr="002B5B00" w:rsidRDefault="00DB2440" w:rsidP="00DB2440">
      <w:pPr>
        <w:pStyle w:val="Normlnywebov"/>
        <w:jc w:val="both"/>
        <w:rPr>
          <w:shd w:val="clear" w:color="auto" w:fill="FFFFFF"/>
        </w:rPr>
      </w:pPr>
    </w:p>
    <w:p w14:paraId="132C1D36" w14:textId="7053853B" w:rsidR="009C1641" w:rsidRPr="002B5B00" w:rsidRDefault="009C1641" w:rsidP="00187AFD">
      <w:pPr>
        <w:pStyle w:val="Bezriadkovania"/>
      </w:pPr>
    </w:p>
    <w:p w14:paraId="1E695E6F" w14:textId="77777777" w:rsidR="00E428CD" w:rsidRPr="002B5B00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2B5B00">
        <w:tab/>
      </w:r>
      <w:r w:rsidRPr="002B5B00">
        <w:rPr>
          <w:b/>
        </w:rPr>
        <w:t>Ústavnoprávny výbor Národnej rady Slovenskej republiky</w:t>
      </w:r>
    </w:p>
    <w:p w14:paraId="4B589C8B" w14:textId="77777777" w:rsidR="00522801" w:rsidRPr="002B5B00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217A60A2" w14:textId="77777777" w:rsidR="00E428CD" w:rsidRPr="002B5B00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B5B00">
        <w:rPr>
          <w:b/>
        </w:rPr>
        <w:tab/>
        <w:t>A.  s ú h l a s í</w:t>
      </w:r>
    </w:p>
    <w:p w14:paraId="6FCB4A24" w14:textId="64FF72BC" w:rsidR="00DB2440" w:rsidRPr="002B5B00" w:rsidRDefault="00CD11E1" w:rsidP="00DB2440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  <w:bCs w:val="0"/>
        </w:rPr>
      </w:pPr>
      <w:r w:rsidRPr="002B5B00">
        <w:tab/>
      </w:r>
      <w:r w:rsidR="00216A46" w:rsidRPr="002B5B00">
        <w:t xml:space="preserve"> </w:t>
      </w:r>
      <w:r w:rsidR="007242F2" w:rsidRPr="002B5B00">
        <w:t xml:space="preserve"> </w:t>
      </w:r>
      <w:r w:rsidR="00E428CD" w:rsidRPr="002B5B00">
        <w:rPr>
          <w:b w:val="0"/>
        </w:rPr>
        <w:t>s</w:t>
      </w:r>
      <w:r w:rsidR="003953AB" w:rsidRPr="002B5B00">
        <w:rPr>
          <w:b w:val="0"/>
        </w:rPr>
        <w:t xml:space="preserve"> vládnym </w:t>
      </w:r>
      <w:r w:rsidR="00E428CD" w:rsidRPr="002B5B00">
        <w:rPr>
          <w:b w:val="0"/>
        </w:rPr>
        <w:t>návrhom</w:t>
      </w:r>
      <w:r w:rsidR="00F62370" w:rsidRPr="002B5B00">
        <w:rPr>
          <w:b w:val="0"/>
        </w:rPr>
        <w:t xml:space="preserve"> </w:t>
      </w:r>
      <w:r w:rsidRPr="002B5B00">
        <w:rPr>
          <w:b w:val="0"/>
          <w:bCs w:val="0"/>
        </w:rPr>
        <w:t xml:space="preserve">zákona, </w:t>
      </w:r>
      <w:r w:rsidR="00DB2440" w:rsidRPr="002B5B00">
        <w:rPr>
          <w:b w:val="0"/>
          <w:shd w:val="clear" w:color="auto" w:fill="FFFFFF"/>
        </w:rPr>
        <w:t>ktorým sa mení a dopĺňa zákon č. 7/2005 Z. z. o konkurze a  reštrukturalizácii a o zmene a doplnení niektorých zákonov v znení neskorších predpisov a  ktorým sa menia a dopĺňajú niektoré zákony  (tlač 815);</w:t>
      </w:r>
    </w:p>
    <w:p w14:paraId="36DBB737" w14:textId="77777777" w:rsidR="00E428CD" w:rsidRPr="002B5B00" w:rsidRDefault="00E428CD" w:rsidP="00E428CD">
      <w:pPr>
        <w:tabs>
          <w:tab w:val="left" w:pos="851"/>
          <w:tab w:val="left" w:pos="993"/>
        </w:tabs>
        <w:rPr>
          <w:bCs/>
        </w:rPr>
      </w:pPr>
    </w:p>
    <w:p w14:paraId="26108064" w14:textId="77777777" w:rsidR="00E428CD" w:rsidRPr="002B5B00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B5B00">
        <w:rPr>
          <w:b/>
        </w:rPr>
        <w:tab/>
        <w:t>  B.  o d p o r ú č a</w:t>
      </w:r>
    </w:p>
    <w:p w14:paraId="621A33C6" w14:textId="77777777" w:rsidR="00E428CD" w:rsidRPr="002B5B00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2411CA8" w14:textId="4FFFF4D9" w:rsidR="009C1641" w:rsidRPr="002B5B00" w:rsidRDefault="00E428CD" w:rsidP="009C1641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2B5B00">
        <w:rPr>
          <w:b/>
        </w:rPr>
        <w:tab/>
      </w:r>
      <w:r w:rsidRPr="002B5B00">
        <w:rPr>
          <w:b/>
        </w:rPr>
        <w:tab/>
      </w:r>
      <w:r w:rsidRPr="002B5B00">
        <w:rPr>
          <w:b/>
        </w:rPr>
        <w:tab/>
        <w:t xml:space="preserve">  </w:t>
      </w:r>
      <w:r w:rsidR="009C1641" w:rsidRPr="002B5B00">
        <w:rPr>
          <w:b/>
        </w:rPr>
        <w:tab/>
      </w:r>
      <w:r w:rsidRPr="002B5B00">
        <w:t>Národnej rade Slovenskej republiky</w:t>
      </w:r>
    </w:p>
    <w:p w14:paraId="2960FF9A" w14:textId="77777777" w:rsidR="00DB2440" w:rsidRPr="002B5B00" w:rsidRDefault="00DB2440" w:rsidP="009C1641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14:paraId="36F517D2" w14:textId="2BB3D0A6" w:rsidR="002B6BD5" w:rsidRPr="002B5B00" w:rsidRDefault="009C1641" w:rsidP="00DB2440">
      <w:pPr>
        <w:pStyle w:val="Normlnywebov"/>
        <w:tabs>
          <w:tab w:val="left" w:pos="1134"/>
        </w:tabs>
        <w:jc w:val="both"/>
        <w:rPr>
          <w:shd w:val="clear" w:color="auto" w:fill="FFFFFF"/>
        </w:rPr>
      </w:pPr>
      <w:r w:rsidRPr="002B5B00">
        <w:tab/>
      </w:r>
      <w:r w:rsidR="00606832" w:rsidRPr="002B5B00">
        <w:t xml:space="preserve">vládny </w:t>
      </w:r>
      <w:r w:rsidR="00B55912" w:rsidRPr="002B5B00">
        <w:t>návrh zákona,</w:t>
      </w:r>
      <w:r w:rsidR="00DB2440" w:rsidRPr="002B5B00">
        <w:rPr>
          <w:b/>
          <w:bCs/>
        </w:rPr>
        <w:t xml:space="preserve"> </w:t>
      </w:r>
      <w:r w:rsidR="00DB2440" w:rsidRPr="002B5B00">
        <w:rPr>
          <w:shd w:val="clear" w:color="auto" w:fill="FFFFFF"/>
        </w:rPr>
        <w:t xml:space="preserve">ktorým sa mení a dopĺňa zákon č. 7/2005 Z. z. o konkurze a  reštrukturalizácii a o zmene a doplnení niektorých zákonov v znení neskorších predpisov a  ktorým sa menia a dopĺňajú niektoré zákony  (tlač 815) </w:t>
      </w:r>
      <w:r w:rsidR="002B6BD5" w:rsidRPr="002B5B00">
        <w:rPr>
          <w:rFonts w:cs="Arial"/>
          <w:b/>
        </w:rPr>
        <w:t>schváliť</w:t>
      </w:r>
      <w:r w:rsidR="00F62370" w:rsidRPr="002B5B00">
        <w:rPr>
          <w:rFonts w:cs="Arial"/>
        </w:rPr>
        <w:t xml:space="preserve"> </w:t>
      </w:r>
      <w:r w:rsidR="002B6BD5" w:rsidRPr="002B5B00">
        <w:t xml:space="preserve">so zmenami a doplnkami uvedenými v prílohe tohto uznesenia; </w:t>
      </w:r>
    </w:p>
    <w:p w14:paraId="739FB55E" w14:textId="77777777" w:rsidR="00E428CD" w:rsidRPr="002B5B00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50FDCE6F" w14:textId="77777777" w:rsidR="009073F4" w:rsidRPr="002B5B00" w:rsidRDefault="009073F4" w:rsidP="009073F4">
      <w:pPr>
        <w:tabs>
          <w:tab w:val="left" w:pos="1134"/>
        </w:tabs>
        <w:ind w:firstLine="708"/>
        <w:rPr>
          <w:b/>
        </w:rPr>
      </w:pPr>
      <w:r w:rsidRPr="002B5B00">
        <w:rPr>
          <w:b/>
        </w:rPr>
        <w:t> C.</w:t>
      </w:r>
      <w:r w:rsidRPr="002B5B00">
        <w:rPr>
          <w:b/>
        </w:rPr>
        <w:tab/>
        <w:t>p o v e r u j e</w:t>
      </w:r>
    </w:p>
    <w:p w14:paraId="33E558C2" w14:textId="77777777" w:rsidR="009073F4" w:rsidRPr="002B5B00" w:rsidRDefault="009073F4" w:rsidP="009073F4">
      <w:pPr>
        <w:pStyle w:val="Zkladntext"/>
        <w:tabs>
          <w:tab w:val="left" w:pos="1134"/>
          <w:tab w:val="left" w:pos="1276"/>
        </w:tabs>
      </w:pPr>
      <w:r w:rsidRPr="002B5B00">
        <w:tab/>
      </w:r>
    </w:p>
    <w:p w14:paraId="008ADB8E" w14:textId="725D823A" w:rsidR="009073F4" w:rsidRPr="002B5B00" w:rsidRDefault="009073F4" w:rsidP="009073F4">
      <w:pPr>
        <w:tabs>
          <w:tab w:val="left" w:pos="1134"/>
        </w:tabs>
        <w:jc w:val="both"/>
      </w:pPr>
      <w:r w:rsidRPr="002B5B00">
        <w:tab/>
        <w:t>predsedu výboru, aby spracoval výsledky rokovania Ústavnoprávneho výboru Národnej rady Slovenskej republiky z</w:t>
      </w:r>
      <w:r w:rsidR="00DB2440" w:rsidRPr="002B5B00">
        <w:t>o 4. septembra</w:t>
      </w:r>
      <w:r w:rsidRPr="002B5B00">
        <w:t xml:space="preserve"> 2025 spolu s výsledkami rokovania </w:t>
      </w:r>
      <w:r w:rsidR="00DB2440" w:rsidRPr="002B5B00">
        <w:t>V</w:t>
      </w:r>
      <w:r w:rsidRPr="002B5B00">
        <w:t>ýbor</w:t>
      </w:r>
      <w:r w:rsidR="00DB2440" w:rsidRPr="002B5B00">
        <w:t>u</w:t>
      </w:r>
      <w:r w:rsidRPr="002B5B00">
        <w:t xml:space="preserve"> Národnej rady Slovenskej republiky</w:t>
      </w:r>
      <w:r w:rsidR="00DB2440" w:rsidRPr="002B5B00">
        <w:t xml:space="preserve"> pre hospodárske záležitosti</w:t>
      </w:r>
      <w:r w:rsidRPr="002B5B00">
        <w:t xml:space="preserve"> do písomnej spoločnej správy výborov Národnej rady Slovenskej republiky a predložil ju na schválenie gestorskému výboru.</w:t>
      </w:r>
    </w:p>
    <w:p w14:paraId="386AA9DE" w14:textId="4F2B1168" w:rsidR="008554D3" w:rsidRPr="002B5B00" w:rsidRDefault="008554D3" w:rsidP="009B055C">
      <w:pPr>
        <w:tabs>
          <w:tab w:val="left" w:pos="1134"/>
        </w:tabs>
        <w:jc w:val="both"/>
      </w:pPr>
    </w:p>
    <w:p w14:paraId="4247AF0E" w14:textId="77777777" w:rsidR="0009656E" w:rsidRPr="002B5B00" w:rsidRDefault="0009656E" w:rsidP="009B055C">
      <w:pPr>
        <w:tabs>
          <w:tab w:val="left" w:pos="1134"/>
        </w:tabs>
        <w:jc w:val="both"/>
      </w:pPr>
    </w:p>
    <w:p w14:paraId="6F038535" w14:textId="77777777" w:rsidR="008554D3" w:rsidRPr="002B5B00" w:rsidRDefault="008554D3" w:rsidP="009B055C">
      <w:pPr>
        <w:tabs>
          <w:tab w:val="left" w:pos="1134"/>
        </w:tabs>
        <w:jc w:val="both"/>
      </w:pPr>
    </w:p>
    <w:p w14:paraId="751A411B" w14:textId="4B5B5ADE" w:rsidR="002B6BD5" w:rsidRPr="002B5B00" w:rsidRDefault="009B055C" w:rsidP="002B6BD5">
      <w:pPr>
        <w:jc w:val="both"/>
      </w:pPr>
      <w:r w:rsidRPr="002B5B00">
        <w:tab/>
      </w:r>
      <w:r w:rsidR="002B6BD5" w:rsidRPr="002B5B00">
        <w:tab/>
      </w:r>
      <w:r w:rsidR="002B6BD5" w:rsidRPr="002B5B00">
        <w:tab/>
      </w:r>
      <w:r w:rsidR="002B6BD5" w:rsidRPr="002B5B00">
        <w:tab/>
      </w:r>
      <w:r w:rsidR="002B6BD5" w:rsidRPr="002B5B00">
        <w:tab/>
      </w:r>
      <w:r w:rsidR="002B6BD5" w:rsidRPr="002B5B00">
        <w:tab/>
      </w:r>
      <w:r w:rsidR="002B6BD5" w:rsidRPr="002B5B00">
        <w:tab/>
      </w:r>
      <w:r w:rsidR="002B6BD5" w:rsidRPr="002B5B00">
        <w:tab/>
      </w:r>
      <w:r w:rsidR="000E27FD" w:rsidRPr="002B5B00">
        <w:t xml:space="preserve"> </w:t>
      </w:r>
      <w:r w:rsidR="002B6BD5" w:rsidRPr="002B5B00">
        <w:tab/>
      </w:r>
      <w:r w:rsidR="002B6BD5" w:rsidRPr="002B5B00">
        <w:tab/>
      </w:r>
      <w:r w:rsidR="000E27FD" w:rsidRPr="002B5B00">
        <w:t xml:space="preserve"> </w:t>
      </w:r>
      <w:r w:rsidR="002B6BD5" w:rsidRPr="002B5B00">
        <w:t xml:space="preserve">Miroslav Čellár </w:t>
      </w:r>
    </w:p>
    <w:p w14:paraId="0B409695" w14:textId="77777777" w:rsidR="002B6BD5" w:rsidRPr="002B5B00" w:rsidRDefault="002B6BD5" w:rsidP="002B6BD5">
      <w:pPr>
        <w:jc w:val="both"/>
        <w:rPr>
          <w:rFonts w:ascii="AT*Toronto" w:hAnsi="AT*Toronto"/>
          <w:szCs w:val="20"/>
        </w:rPr>
      </w:pPr>
      <w:r w:rsidRPr="002B5B00">
        <w:t xml:space="preserve">                                                                                                                       predseda výboru</w:t>
      </w:r>
    </w:p>
    <w:p w14:paraId="47DD89A7" w14:textId="77777777" w:rsidR="002B6BD5" w:rsidRPr="002B5B00" w:rsidRDefault="002B6BD5" w:rsidP="002B6BD5">
      <w:pPr>
        <w:tabs>
          <w:tab w:val="left" w:pos="1021"/>
        </w:tabs>
        <w:jc w:val="both"/>
      </w:pPr>
      <w:r w:rsidRPr="002B5B00">
        <w:t>overovatelia výboru:</w:t>
      </w:r>
    </w:p>
    <w:p w14:paraId="18F69600" w14:textId="77777777" w:rsidR="002B6BD5" w:rsidRPr="002B5B00" w:rsidRDefault="002B6BD5" w:rsidP="002B6BD5">
      <w:r w:rsidRPr="002B5B00">
        <w:t>Štefan Gašparovič</w:t>
      </w:r>
    </w:p>
    <w:p w14:paraId="46E538AB" w14:textId="77777777" w:rsidR="002B6BD5" w:rsidRPr="002B5B00" w:rsidRDefault="002B6BD5" w:rsidP="002B6BD5">
      <w:r w:rsidRPr="002B5B00">
        <w:t xml:space="preserve">Branislav Vančo </w:t>
      </w:r>
    </w:p>
    <w:p w14:paraId="62BBDA93" w14:textId="77777777" w:rsidR="004E641D" w:rsidRPr="002B5B00" w:rsidRDefault="004E641D" w:rsidP="004E641D">
      <w:pPr>
        <w:rPr>
          <w:lang w:eastAsia="en-US"/>
        </w:rPr>
      </w:pPr>
    </w:p>
    <w:p w14:paraId="5BBD2D2A" w14:textId="77777777" w:rsidR="00391992" w:rsidRPr="002B5B00" w:rsidRDefault="00391992" w:rsidP="00391992">
      <w:pPr>
        <w:pStyle w:val="Nadpis2"/>
        <w:jc w:val="left"/>
      </w:pPr>
      <w:r w:rsidRPr="002B5B00">
        <w:t>P r í l o h a</w:t>
      </w:r>
    </w:p>
    <w:p w14:paraId="037A9674" w14:textId="77777777" w:rsidR="00391992" w:rsidRPr="002B5B00" w:rsidRDefault="00391992" w:rsidP="00391992">
      <w:pPr>
        <w:ind w:left="4253" w:firstLine="708"/>
        <w:jc w:val="both"/>
        <w:rPr>
          <w:b/>
          <w:bCs/>
        </w:rPr>
      </w:pPr>
      <w:r w:rsidRPr="002B5B00">
        <w:rPr>
          <w:b/>
          <w:bCs/>
        </w:rPr>
        <w:t xml:space="preserve">k uzneseniu Ústavnoprávneho </w:t>
      </w:r>
    </w:p>
    <w:p w14:paraId="10EA8CBA" w14:textId="01DB41A6" w:rsidR="00636109" w:rsidRPr="002B5B00" w:rsidRDefault="00391992" w:rsidP="00391992">
      <w:pPr>
        <w:ind w:left="4253" w:firstLine="708"/>
        <w:jc w:val="both"/>
        <w:rPr>
          <w:b/>
        </w:rPr>
      </w:pPr>
      <w:r w:rsidRPr="002B5B00">
        <w:rPr>
          <w:b/>
        </w:rPr>
        <w:t>výboru Národnej rady SR č.</w:t>
      </w:r>
      <w:r w:rsidR="00B0542D" w:rsidRPr="002B5B00">
        <w:rPr>
          <w:b/>
        </w:rPr>
        <w:t xml:space="preserve"> 323</w:t>
      </w:r>
    </w:p>
    <w:p w14:paraId="112571F9" w14:textId="09A823AE" w:rsidR="00391992" w:rsidRPr="002B5B00" w:rsidRDefault="00391992" w:rsidP="00391992">
      <w:pPr>
        <w:ind w:left="4253" w:firstLine="708"/>
        <w:jc w:val="both"/>
        <w:rPr>
          <w:b/>
        </w:rPr>
      </w:pPr>
      <w:r w:rsidRPr="002B5B00">
        <w:rPr>
          <w:b/>
        </w:rPr>
        <w:t>z</w:t>
      </w:r>
      <w:r w:rsidR="00DB2440" w:rsidRPr="002B5B00">
        <w:rPr>
          <w:b/>
        </w:rPr>
        <w:t>o 4. septembra</w:t>
      </w:r>
      <w:r w:rsidR="00B55912" w:rsidRPr="002B5B00">
        <w:rPr>
          <w:b/>
        </w:rPr>
        <w:t xml:space="preserve"> </w:t>
      </w:r>
      <w:r w:rsidR="007C6A8C" w:rsidRPr="002B5B00">
        <w:rPr>
          <w:b/>
        </w:rPr>
        <w:t>202</w:t>
      </w:r>
      <w:r w:rsidR="003953AB" w:rsidRPr="002B5B00">
        <w:rPr>
          <w:b/>
        </w:rPr>
        <w:t>5</w:t>
      </w:r>
    </w:p>
    <w:p w14:paraId="64920BFC" w14:textId="77777777" w:rsidR="00391992" w:rsidRPr="002B5B00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2B5B00">
        <w:rPr>
          <w:b/>
          <w:bCs/>
        </w:rPr>
        <w:t>_______________________</w:t>
      </w:r>
      <w:r w:rsidR="00391992" w:rsidRPr="002B5B00">
        <w:rPr>
          <w:b/>
          <w:bCs/>
        </w:rPr>
        <w:t>__</w:t>
      </w:r>
      <w:r w:rsidR="0051091B" w:rsidRPr="002B5B00">
        <w:rPr>
          <w:b/>
          <w:bCs/>
        </w:rPr>
        <w:t>___</w:t>
      </w:r>
    </w:p>
    <w:p w14:paraId="51E2BB08" w14:textId="77777777" w:rsidR="009C1641" w:rsidRPr="002B5B00" w:rsidRDefault="009C1641" w:rsidP="001B7191">
      <w:pPr>
        <w:rPr>
          <w:lang w:eastAsia="en-US"/>
        </w:rPr>
      </w:pPr>
    </w:p>
    <w:p w14:paraId="022DFEBF" w14:textId="77777777" w:rsidR="003A3FFB" w:rsidRPr="002B5B00" w:rsidRDefault="003A3FFB" w:rsidP="001B7191">
      <w:pPr>
        <w:rPr>
          <w:lang w:eastAsia="en-US"/>
        </w:rPr>
      </w:pPr>
    </w:p>
    <w:p w14:paraId="39929AE3" w14:textId="77777777" w:rsidR="003A3FFB" w:rsidRPr="002B5B00" w:rsidRDefault="003A3FFB" w:rsidP="001B7191">
      <w:pPr>
        <w:rPr>
          <w:lang w:eastAsia="en-US"/>
        </w:rPr>
      </w:pPr>
    </w:p>
    <w:p w14:paraId="484CC478" w14:textId="77777777" w:rsidR="00391992" w:rsidRPr="002B5B00" w:rsidRDefault="00391992" w:rsidP="003A3FFB">
      <w:pPr>
        <w:rPr>
          <w:lang w:eastAsia="en-US"/>
        </w:rPr>
      </w:pPr>
    </w:p>
    <w:p w14:paraId="4419FD72" w14:textId="77777777" w:rsidR="003A3FFB" w:rsidRPr="002B5B00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2B5B00">
        <w:t>Pozmeňujúce a doplňujúce návrhy</w:t>
      </w:r>
      <w:bookmarkEnd w:id="0"/>
    </w:p>
    <w:p w14:paraId="341CCDB0" w14:textId="77777777" w:rsidR="003A3FFB" w:rsidRPr="002B5B00" w:rsidRDefault="003A3FFB" w:rsidP="003A3FFB">
      <w:pPr>
        <w:rPr>
          <w:lang w:eastAsia="en-US"/>
        </w:rPr>
      </w:pPr>
    </w:p>
    <w:p w14:paraId="644DE840" w14:textId="278F9514" w:rsidR="00DB2440" w:rsidRPr="002B5B00" w:rsidRDefault="003953AB" w:rsidP="00DB2440">
      <w:pPr>
        <w:pStyle w:val="Nadpis2"/>
        <w:keepNext w:val="0"/>
        <w:shd w:val="clear" w:color="auto" w:fill="FFFFFF"/>
        <w:ind w:left="0" w:firstLine="0"/>
        <w:rPr>
          <w:bCs w:val="0"/>
        </w:rPr>
      </w:pPr>
      <w:r w:rsidRPr="002B5B00">
        <w:t>k </w:t>
      </w:r>
      <w:r w:rsidR="003A3FFB" w:rsidRPr="002B5B00">
        <w:t> v</w:t>
      </w:r>
      <w:r w:rsidR="003A3FFB" w:rsidRPr="002B5B00">
        <w:rPr>
          <w:bCs w:val="0"/>
        </w:rPr>
        <w:t xml:space="preserve">ládnemu návrhu zákona, </w:t>
      </w:r>
      <w:r w:rsidR="00DB2440" w:rsidRPr="002B5B00">
        <w:rPr>
          <w:shd w:val="clear" w:color="auto" w:fill="FFFFFF"/>
        </w:rPr>
        <w:t xml:space="preserve">ktorým sa mení a dopĺňa zákon č. 7/2005 Z. z. o konkurze </w:t>
      </w:r>
      <w:r w:rsidR="00DB2440" w:rsidRPr="002B5B00">
        <w:rPr>
          <w:b w:val="0"/>
          <w:shd w:val="clear" w:color="auto" w:fill="FFFFFF"/>
        </w:rPr>
        <w:t>a </w:t>
      </w:r>
      <w:r w:rsidR="00DB2440" w:rsidRPr="002B5B00">
        <w:rPr>
          <w:shd w:val="clear" w:color="auto" w:fill="FFFFFF"/>
        </w:rPr>
        <w:t> reštrukturalizácii a o zmene a doplnení niektorých zákonov v znení neskorších predpisov a  ktorým sa menia a dopĺňajú niektoré zákony  (tlač 815)</w:t>
      </w:r>
    </w:p>
    <w:p w14:paraId="6CD90253" w14:textId="77777777" w:rsidR="0051091B" w:rsidRPr="002B5B00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2B5B00">
        <w:rPr>
          <w:shd w:val="clear" w:color="auto" w:fill="FFFFFF"/>
        </w:rPr>
        <w:t>_______________________________</w:t>
      </w:r>
      <w:r w:rsidR="004E641D" w:rsidRPr="002B5B00">
        <w:rPr>
          <w:shd w:val="clear" w:color="auto" w:fill="FFFFFF"/>
        </w:rPr>
        <w:t>__________</w:t>
      </w:r>
      <w:r w:rsidR="009C1641" w:rsidRPr="002B5B00">
        <w:rPr>
          <w:shd w:val="clear" w:color="auto" w:fill="FFFFFF"/>
        </w:rPr>
        <w:t>________________________________</w:t>
      </w:r>
      <w:r w:rsidR="003A3FFB" w:rsidRPr="002B5B00">
        <w:rPr>
          <w:shd w:val="clear" w:color="auto" w:fill="FFFFFF"/>
        </w:rPr>
        <w:t>__</w:t>
      </w:r>
    </w:p>
    <w:p w14:paraId="5C3B1047" w14:textId="71E07AFB" w:rsidR="0051091B" w:rsidRPr="002B5B00" w:rsidRDefault="0051091B" w:rsidP="003A3FFB">
      <w:pPr>
        <w:tabs>
          <w:tab w:val="left" w:pos="284"/>
        </w:tabs>
        <w:jc w:val="both"/>
        <w:rPr>
          <w:b/>
        </w:rPr>
      </w:pPr>
    </w:p>
    <w:p w14:paraId="2784AD6A" w14:textId="47D933A7" w:rsidR="006B7B2E" w:rsidRPr="002B5B00" w:rsidRDefault="006B7B2E" w:rsidP="006B7B2E">
      <w:pPr>
        <w:tabs>
          <w:tab w:val="left" w:pos="284"/>
        </w:tabs>
        <w:jc w:val="both"/>
        <w:rPr>
          <w:b/>
        </w:rPr>
      </w:pPr>
    </w:p>
    <w:p w14:paraId="68633646" w14:textId="3DA70F73" w:rsidR="006B7B2E" w:rsidRPr="008B24FB" w:rsidRDefault="006B7B2E" w:rsidP="006B7B2E">
      <w:pPr>
        <w:pStyle w:val="Odsekzoznamu"/>
        <w:numPr>
          <w:ilvl w:val="0"/>
          <w:numId w:val="29"/>
        </w:numPr>
        <w:jc w:val="both"/>
        <w:rPr>
          <w:sz w:val="24"/>
          <w:szCs w:val="24"/>
        </w:rPr>
      </w:pPr>
      <w:r w:rsidRPr="008B24FB">
        <w:rPr>
          <w:sz w:val="24"/>
          <w:szCs w:val="24"/>
        </w:rPr>
        <w:t xml:space="preserve">V čl. I bode 5 § 14 ods. 1 sa slová „neodmietne návrh len z dôvodu“ nahrádzajú slovami „nemôže odmietnuť návrh len z dôvodu“. </w:t>
      </w:r>
    </w:p>
    <w:p w14:paraId="412608C0" w14:textId="77777777" w:rsidR="006B7B2E" w:rsidRPr="008B24FB" w:rsidRDefault="006B7B2E" w:rsidP="006B7B2E">
      <w:pPr>
        <w:pStyle w:val="Odsekzoznamu"/>
        <w:spacing w:line="240" w:lineRule="auto"/>
        <w:ind w:left="2832"/>
        <w:jc w:val="both"/>
        <w:rPr>
          <w:sz w:val="24"/>
          <w:szCs w:val="24"/>
        </w:rPr>
      </w:pPr>
    </w:p>
    <w:p w14:paraId="6B2A881C" w14:textId="77777777" w:rsidR="006B7B2E" w:rsidRPr="002B5B00" w:rsidRDefault="006B7B2E" w:rsidP="006B7B2E">
      <w:pPr>
        <w:pStyle w:val="Odsekzoznamu"/>
        <w:spacing w:line="240" w:lineRule="auto"/>
        <w:ind w:left="2832"/>
        <w:jc w:val="both"/>
        <w:rPr>
          <w:sz w:val="24"/>
          <w:szCs w:val="24"/>
        </w:rPr>
      </w:pPr>
      <w:r w:rsidRPr="008B24FB">
        <w:rPr>
          <w:sz w:val="24"/>
          <w:szCs w:val="24"/>
        </w:rPr>
        <w:t>Legislatívno-technická úprava, ktorou sa spresňuje nejednoznačné ustanovenie.</w:t>
      </w:r>
      <w:bookmarkStart w:id="1" w:name="_GoBack"/>
      <w:bookmarkEnd w:id="1"/>
      <w:r w:rsidRPr="002B5B00">
        <w:rPr>
          <w:sz w:val="24"/>
          <w:szCs w:val="24"/>
        </w:rPr>
        <w:t xml:space="preserve"> </w:t>
      </w:r>
    </w:p>
    <w:p w14:paraId="410A20C4" w14:textId="66EDB22C" w:rsidR="006B7B2E" w:rsidRPr="002B5B00" w:rsidRDefault="006B7B2E" w:rsidP="006B7B2E">
      <w:pPr>
        <w:jc w:val="both"/>
      </w:pPr>
    </w:p>
    <w:p w14:paraId="3C97C928" w14:textId="1E8206DC" w:rsidR="006B7B2E" w:rsidRPr="002B5B00" w:rsidRDefault="006B7B2E" w:rsidP="006B7B2E">
      <w:pPr>
        <w:pStyle w:val="Odsekzoznamu"/>
        <w:numPr>
          <w:ilvl w:val="0"/>
          <w:numId w:val="29"/>
        </w:numPr>
        <w:jc w:val="both"/>
        <w:rPr>
          <w:sz w:val="24"/>
          <w:szCs w:val="24"/>
        </w:rPr>
      </w:pPr>
      <w:r w:rsidRPr="002B5B00">
        <w:rPr>
          <w:sz w:val="24"/>
          <w:szCs w:val="24"/>
        </w:rPr>
        <w:t>V čl. I bod 97 znie:</w:t>
      </w:r>
    </w:p>
    <w:p w14:paraId="260CE816" w14:textId="78E19CEF" w:rsidR="006B7B2E" w:rsidRPr="002B5B00" w:rsidRDefault="006B7B2E" w:rsidP="006B7B2E">
      <w:pPr>
        <w:jc w:val="both"/>
      </w:pPr>
      <w:r w:rsidRPr="002B5B00">
        <w:t>„97. V § 203b ods. 5 sa vypúšťajú slová „podľa odseku</w:t>
      </w:r>
      <w:r w:rsidR="00592B75" w:rsidRPr="002B5B00">
        <w:t xml:space="preserve"> 4“, slová „alebo jeho časť“ vo </w:t>
      </w:r>
      <w:r w:rsidRPr="002B5B00">
        <w:t>všetkých tvaroch a slová „alebo zverejnením jeho časti“.“.</w:t>
      </w:r>
    </w:p>
    <w:p w14:paraId="583064B0" w14:textId="77777777" w:rsidR="006B7B2E" w:rsidRPr="002B5B00" w:rsidRDefault="006B7B2E" w:rsidP="006B7B2E">
      <w:pPr>
        <w:jc w:val="both"/>
      </w:pPr>
    </w:p>
    <w:p w14:paraId="5393A5D4" w14:textId="36EF37A2" w:rsidR="006B7B2E" w:rsidRPr="002B5B00" w:rsidRDefault="006B7B2E" w:rsidP="006B7B2E">
      <w:pPr>
        <w:ind w:left="2832" w:firstLine="3"/>
        <w:jc w:val="both"/>
      </w:pPr>
      <w:r w:rsidRPr="002B5B00">
        <w:t xml:space="preserve">Transparentnosť </w:t>
      </w:r>
      <w:proofErr w:type="spellStart"/>
      <w:r w:rsidRPr="002B5B00">
        <w:t>insolvenčných</w:t>
      </w:r>
      <w:proofErr w:type="spellEnd"/>
      <w:r w:rsidRPr="002B5B00">
        <w:t xml:space="preserve"> konaní je základom novej právnej úpravy vedenia týchto konaní, avšak pravidlá zverejňovania, resp. nezverejňovania by mali platiť aj pre tie elektronické dokumenty, ktoré eviduje v </w:t>
      </w:r>
      <w:proofErr w:type="spellStart"/>
      <w:r w:rsidRPr="002B5B00">
        <w:t>insolvenčnom</w:t>
      </w:r>
      <w:proofErr w:type="spellEnd"/>
      <w:r w:rsidRPr="002B5B00">
        <w:t xml:space="preserve"> registri súd, správca alebo likvidátor. Inak povedané, niektoré dokumenty súdu, správcu alebo likvidátora rovnako tak môžu obsahovať údaje podliehajúce zákonnej úprave utajenia alebo povinnosti mlčanlivosti, čo je nutné odzrkadliť aj v úprave zverejňovania.</w:t>
      </w:r>
    </w:p>
    <w:p w14:paraId="624D9373" w14:textId="77777777" w:rsidR="006B7B2E" w:rsidRPr="002B5B00" w:rsidRDefault="006B7B2E" w:rsidP="006B7B2E">
      <w:pPr>
        <w:jc w:val="both"/>
        <w:rPr>
          <w:i/>
        </w:rPr>
      </w:pPr>
    </w:p>
    <w:p w14:paraId="551E9006" w14:textId="09C93F07" w:rsidR="006B7B2E" w:rsidRPr="002B5B00" w:rsidRDefault="006B7B2E" w:rsidP="006B7B2E">
      <w:pPr>
        <w:pStyle w:val="Odsekzoznamu"/>
        <w:numPr>
          <w:ilvl w:val="0"/>
          <w:numId w:val="29"/>
        </w:numPr>
        <w:jc w:val="both"/>
        <w:rPr>
          <w:sz w:val="24"/>
          <w:szCs w:val="24"/>
        </w:rPr>
      </w:pPr>
      <w:r w:rsidRPr="002B5B00">
        <w:rPr>
          <w:sz w:val="24"/>
          <w:szCs w:val="24"/>
        </w:rPr>
        <w:t>V čl. I sa za bod 99 vkladá nový bod 100, ktorý znie:</w:t>
      </w:r>
    </w:p>
    <w:p w14:paraId="10880994" w14:textId="77777777" w:rsidR="006B7B2E" w:rsidRPr="002B5B00" w:rsidRDefault="006B7B2E" w:rsidP="006B7B2E">
      <w:pPr>
        <w:jc w:val="both"/>
      </w:pPr>
      <w:r w:rsidRPr="002B5B00">
        <w:t>„100. V § 206q ods. 2 sa vypúšťajú slová „a v Obchodnom vestníku“.“.</w:t>
      </w:r>
    </w:p>
    <w:p w14:paraId="4DE42C9C" w14:textId="77777777" w:rsidR="006B7B2E" w:rsidRPr="002B5B00" w:rsidRDefault="006B7B2E" w:rsidP="006B7B2E">
      <w:pPr>
        <w:jc w:val="both"/>
      </w:pPr>
    </w:p>
    <w:p w14:paraId="45903F34" w14:textId="77777777" w:rsidR="006B7B2E" w:rsidRPr="002B5B00" w:rsidRDefault="006B7B2E" w:rsidP="006B7B2E">
      <w:pPr>
        <w:jc w:val="both"/>
      </w:pPr>
      <w:r w:rsidRPr="002B5B00">
        <w:t xml:space="preserve">Nasledujúce body sa primerane prečíslujú. </w:t>
      </w:r>
    </w:p>
    <w:p w14:paraId="49D58242" w14:textId="77777777" w:rsidR="006B7B2E" w:rsidRPr="002B5B00" w:rsidRDefault="006B7B2E" w:rsidP="006B7B2E">
      <w:pPr>
        <w:jc w:val="both"/>
      </w:pPr>
    </w:p>
    <w:p w14:paraId="1EF30C0C" w14:textId="41393A42" w:rsidR="006B7B2E" w:rsidRPr="002B5B00" w:rsidRDefault="006B7B2E" w:rsidP="006B7B2E">
      <w:pPr>
        <w:ind w:left="2829"/>
        <w:jc w:val="both"/>
      </w:pPr>
      <w:r w:rsidRPr="002B5B00">
        <w:t xml:space="preserve">Zmena je žiadúca vzhľadom na technické prevedenie migrácie údajov. Údaje, ktoré boli súčasťou registra úpadcov, sú dostatočné na vedenie konaní v </w:t>
      </w:r>
      <w:proofErr w:type="spellStart"/>
      <w:r w:rsidRPr="002B5B00">
        <w:t>insolvenčnom</w:t>
      </w:r>
      <w:proofErr w:type="spellEnd"/>
      <w:r w:rsidRPr="002B5B00">
        <w:t xml:space="preserve"> registri. </w:t>
      </w:r>
    </w:p>
    <w:p w14:paraId="6D21FBAD" w14:textId="77777777" w:rsidR="006B7B2E" w:rsidRPr="002B5B00" w:rsidRDefault="006B7B2E" w:rsidP="006B7B2E">
      <w:pPr>
        <w:ind w:left="2124" w:hanging="2124"/>
        <w:jc w:val="both"/>
      </w:pPr>
    </w:p>
    <w:p w14:paraId="4BC11B73" w14:textId="2C18BB5B" w:rsidR="006B7B2E" w:rsidRPr="002B5B00" w:rsidRDefault="006B7B2E" w:rsidP="006B7B2E">
      <w:pPr>
        <w:pStyle w:val="Odsekzoznamu"/>
        <w:numPr>
          <w:ilvl w:val="0"/>
          <w:numId w:val="29"/>
        </w:numPr>
        <w:jc w:val="both"/>
        <w:rPr>
          <w:sz w:val="24"/>
          <w:szCs w:val="24"/>
        </w:rPr>
      </w:pPr>
      <w:r w:rsidRPr="002B5B00">
        <w:rPr>
          <w:sz w:val="24"/>
          <w:szCs w:val="24"/>
        </w:rPr>
        <w:lastRenderedPageBreak/>
        <w:t>V čl. I bod 100 § 206q ods. 4 sa slová „§ 206b“ nahrádzajú slovami „§ 206“.</w:t>
      </w:r>
    </w:p>
    <w:p w14:paraId="4A46F181" w14:textId="77777777" w:rsidR="006B7B2E" w:rsidRPr="002B5B00" w:rsidRDefault="006B7B2E" w:rsidP="006B7B2E">
      <w:pPr>
        <w:jc w:val="both"/>
      </w:pPr>
    </w:p>
    <w:p w14:paraId="1EABBCD4" w14:textId="0C128C07" w:rsidR="006B7B2E" w:rsidRPr="002B5B00" w:rsidRDefault="006B7B2E" w:rsidP="006B7B2E">
      <w:pPr>
        <w:ind w:left="2832" w:firstLine="3"/>
        <w:jc w:val="both"/>
      </w:pPr>
      <w:r w:rsidRPr="002B5B00">
        <w:t xml:space="preserve">Ide o legislatívno-technickú úpravu, nakoľko nová právna úprava sa nemôže vzťahovať na konkurzy a vyrovnania, ktoré sú vedené podľa predpisov účinných do 30. júna 2005, nakoľko tieto sa vedú podľa predpisov účinných do 30. júna 2005, pričom tieto konania sú definované v § 206 zákona. </w:t>
      </w:r>
    </w:p>
    <w:p w14:paraId="3D77D820" w14:textId="77777777" w:rsidR="006B7B2E" w:rsidRPr="002B5B00" w:rsidRDefault="006B7B2E" w:rsidP="006B7B2E">
      <w:pPr>
        <w:jc w:val="both"/>
      </w:pPr>
    </w:p>
    <w:p w14:paraId="71013928" w14:textId="6E0378A5" w:rsidR="006B7B2E" w:rsidRPr="002B5B00" w:rsidRDefault="006B7B2E" w:rsidP="00C57F52">
      <w:pPr>
        <w:pStyle w:val="Odsekzoznamu"/>
        <w:numPr>
          <w:ilvl w:val="0"/>
          <w:numId w:val="29"/>
        </w:numPr>
        <w:spacing w:after="0"/>
        <w:jc w:val="both"/>
        <w:rPr>
          <w:sz w:val="24"/>
          <w:szCs w:val="24"/>
          <w:lang w:eastAsia="sk-SK"/>
        </w:rPr>
      </w:pPr>
      <w:r w:rsidRPr="002B5B00">
        <w:rPr>
          <w:sz w:val="24"/>
          <w:szCs w:val="24"/>
        </w:rPr>
        <w:t xml:space="preserve">V čl. I bod 100 § 206q ods. 6 sa na konci bodka nahrádza bodkočiarkou a pripájajú sa tieto slová: „oznámenia súvisiace s dražbou správca zverejňuje v Obchodnom vestníku.“. </w:t>
      </w:r>
    </w:p>
    <w:p w14:paraId="56FA972F" w14:textId="6754A5BA" w:rsidR="006B7B2E" w:rsidRPr="002B5B00" w:rsidRDefault="006B7B2E" w:rsidP="00C57F52">
      <w:pPr>
        <w:ind w:left="2832" w:firstLine="3"/>
        <w:jc w:val="both"/>
      </w:pPr>
      <w:r w:rsidRPr="002B5B00">
        <w:t>V súvislosti s umožnením speňažovania v starých konkurzoch a reštrukturalizáciách sa postup</w:t>
      </w:r>
      <w:r w:rsidR="00212639" w:rsidRPr="002B5B00">
        <w:t>uje podľa predpisov účinných do </w:t>
      </w:r>
      <w:r w:rsidRPr="002B5B00">
        <w:t>30. júna 2005, pričom tieto konania sa nebudú viesť v </w:t>
      </w:r>
      <w:proofErr w:type="spellStart"/>
      <w:r w:rsidRPr="002B5B00">
        <w:t>insolvenčnom</w:t>
      </w:r>
      <w:proofErr w:type="spellEnd"/>
      <w:r w:rsidRPr="002B5B00">
        <w:t xml:space="preserve"> registri ale podľa predpisov účinných do 30. júna 2005, preto v týchto prípadoch aj zverejňovanie oznámení súvisiacich s dražbou je potrebné ponechať v Obchodnom vestníku. </w:t>
      </w:r>
    </w:p>
    <w:p w14:paraId="6686D664" w14:textId="77777777" w:rsidR="006B7B2E" w:rsidRPr="002B5B00" w:rsidRDefault="006B7B2E" w:rsidP="006B7B2E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14:paraId="5DDB9EE1" w14:textId="55EC9E85" w:rsidR="006B7B2E" w:rsidRPr="002B5B00" w:rsidRDefault="006B7B2E" w:rsidP="006B7B2E">
      <w:pPr>
        <w:pStyle w:val="Odsekzoznamu"/>
        <w:numPr>
          <w:ilvl w:val="0"/>
          <w:numId w:val="29"/>
        </w:numPr>
        <w:jc w:val="both"/>
        <w:rPr>
          <w:sz w:val="24"/>
          <w:szCs w:val="24"/>
        </w:rPr>
      </w:pPr>
      <w:r w:rsidRPr="002B5B00">
        <w:rPr>
          <w:sz w:val="24"/>
          <w:szCs w:val="24"/>
        </w:rPr>
        <w:t>V čl. I bod 100 § 206q odsek 9 znie:</w:t>
      </w:r>
    </w:p>
    <w:p w14:paraId="4D6B14CD" w14:textId="1AB00CD0" w:rsidR="006B7B2E" w:rsidRPr="002B5B00" w:rsidRDefault="006B7B2E" w:rsidP="006B7B2E">
      <w:pPr>
        <w:jc w:val="both"/>
      </w:pPr>
      <w:r w:rsidRPr="002B5B00">
        <w:t>„(9) Bývalý manžel alebo spoluvlastník nehnuteľnosti, kto</w:t>
      </w:r>
      <w:r w:rsidR="002435B4" w:rsidRPr="002B5B00">
        <w:t>rý je oprávnenou osobou podľa § </w:t>
      </w:r>
      <w:r w:rsidRPr="002B5B00">
        <w:t>167r ods. 4 v znení účinnom od 1. októbra 2025, v konaniach, ktoré sa začali a právoplatne neskončili do 30. septembra 2025, môže uplatniť právo vykúpiť majetok z konkurznej podstaty podľa § 167r ods. 2 alebo právo ponúknuť vec na predaj podľa § 167r ods. 5 prvýkrát 1. októbra 2025, ak lehoty na uplatnenie práv neuplynuli do 30. septembra 2025.“.</w:t>
      </w:r>
    </w:p>
    <w:p w14:paraId="2009C801" w14:textId="77777777" w:rsidR="006B7B2E" w:rsidRPr="002B5B00" w:rsidRDefault="006B7B2E" w:rsidP="006B7B2E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14:paraId="324A8570" w14:textId="53A8AA33" w:rsidR="006B7B2E" w:rsidRPr="002B5B00" w:rsidRDefault="006B7B2E" w:rsidP="006B7B2E">
      <w:pPr>
        <w:pStyle w:val="Odsekzoznamu"/>
        <w:spacing w:after="0" w:line="240" w:lineRule="auto"/>
        <w:ind w:left="2832" w:firstLine="3"/>
        <w:jc w:val="both"/>
        <w:rPr>
          <w:sz w:val="24"/>
          <w:szCs w:val="24"/>
          <w:lang w:eastAsia="sk-SK"/>
        </w:rPr>
      </w:pPr>
      <w:r w:rsidRPr="002B5B00">
        <w:rPr>
          <w:sz w:val="24"/>
          <w:szCs w:val="24"/>
          <w:lang w:eastAsia="sk-SK"/>
        </w:rPr>
        <w:t>Z dôvodu zrozumiteľnosti bolo potrebné preformulovať prechodné ustanovenie, aby nevznikali výkladové nejasnosti o plynutí lehôt na uplatnenie práv novým oprávneným osobám, ktoré môžu uplatniť právo výkupu a ponuky na predaj aj v konaniach vedených podľa predpisov účinných do 30. septembra 2025, a to až do ich uplynutia, pričom toto právo môžu prvýkrát uplatniť 1. októbra 2025.</w:t>
      </w:r>
    </w:p>
    <w:p w14:paraId="6FEDE091" w14:textId="77777777" w:rsidR="006B7B2E" w:rsidRPr="002B5B00" w:rsidRDefault="006B7B2E" w:rsidP="006B7B2E">
      <w:pPr>
        <w:ind w:left="2124" w:hanging="2124"/>
        <w:jc w:val="both"/>
      </w:pPr>
    </w:p>
    <w:p w14:paraId="13CD1470" w14:textId="00A05567" w:rsidR="006B7B2E" w:rsidRPr="002B5B00" w:rsidRDefault="006B7B2E" w:rsidP="006B7B2E">
      <w:pPr>
        <w:pStyle w:val="Odsekzoznamu"/>
        <w:numPr>
          <w:ilvl w:val="0"/>
          <w:numId w:val="29"/>
        </w:numPr>
        <w:jc w:val="both"/>
        <w:rPr>
          <w:sz w:val="24"/>
          <w:szCs w:val="24"/>
        </w:rPr>
      </w:pPr>
      <w:r w:rsidRPr="002B5B00">
        <w:rPr>
          <w:sz w:val="24"/>
          <w:szCs w:val="24"/>
        </w:rPr>
        <w:t>V čl. IV sa za prvý bod vkladá nový bod 2, ktorý znie:</w:t>
      </w:r>
    </w:p>
    <w:p w14:paraId="3D95C69C" w14:textId="77777777" w:rsidR="006B7B2E" w:rsidRPr="002B5B00" w:rsidRDefault="006B7B2E" w:rsidP="006B7B2E">
      <w:pPr>
        <w:jc w:val="both"/>
      </w:pPr>
      <w:r w:rsidRPr="002B5B00">
        <w:t>„2. V § 16 sa za slová „v úpadku“ vkladajú slová „prostredníctvom správcu alebo súdu“.“.</w:t>
      </w:r>
    </w:p>
    <w:p w14:paraId="35F111CF" w14:textId="77777777" w:rsidR="006B7B2E" w:rsidRPr="002B5B00" w:rsidRDefault="006B7B2E" w:rsidP="006B7B2E">
      <w:pPr>
        <w:jc w:val="both"/>
      </w:pPr>
    </w:p>
    <w:p w14:paraId="7C450272" w14:textId="77777777" w:rsidR="006B7B2E" w:rsidRPr="002B5B00" w:rsidRDefault="006B7B2E" w:rsidP="006B7B2E">
      <w:pPr>
        <w:jc w:val="both"/>
      </w:pPr>
      <w:r w:rsidRPr="002B5B00">
        <w:t xml:space="preserve">Nasledujúci bod sa primerane prečísluje. </w:t>
      </w:r>
    </w:p>
    <w:p w14:paraId="7E7BBDDB" w14:textId="77777777" w:rsidR="006B7B2E" w:rsidRPr="002B5B00" w:rsidRDefault="006B7B2E" w:rsidP="006B7B2E">
      <w:pPr>
        <w:jc w:val="both"/>
      </w:pPr>
    </w:p>
    <w:p w14:paraId="6C2F70DE" w14:textId="127D2002" w:rsidR="006B7B2E" w:rsidRPr="002B5B00" w:rsidRDefault="006B7B2E" w:rsidP="006B7B2E">
      <w:pPr>
        <w:ind w:left="2832" w:firstLine="3"/>
        <w:jc w:val="both"/>
      </w:pPr>
      <w:r w:rsidRPr="002B5B00">
        <w:t>Vzhľadom na funkcionalitu systému, kedy evidencia a zverejňovanie je  v dispozícii výlučne u správcu alebo súdu je potrebné zabezpečiť reálne naplnenie zákonného ustanovenia, ktoré ukladá štatutárnemu orgánu dlžníka povinnosť zverejniť vyhlásenie, že nie je v úpadku v </w:t>
      </w:r>
      <w:proofErr w:type="spellStart"/>
      <w:r w:rsidRPr="002B5B00">
        <w:t>insolvenčnom</w:t>
      </w:r>
      <w:proofErr w:type="spellEnd"/>
      <w:r w:rsidRPr="002B5B00">
        <w:t xml:space="preserve"> registri. </w:t>
      </w:r>
    </w:p>
    <w:p w14:paraId="7309EDA8" w14:textId="13AA62CB" w:rsidR="006B7B2E" w:rsidRPr="002B5B00" w:rsidRDefault="006B7B2E" w:rsidP="006B7B2E">
      <w:pPr>
        <w:jc w:val="both"/>
      </w:pPr>
    </w:p>
    <w:p w14:paraId="0A9CBFE5" w14:textId="3A7A65DF" w:rsidR="006B7B2E" w:rsidRPr="002B5B00" w:rsidRDefault="006B7B2E" w:rsidP="006B7B2E">
      <w:pPr>
        <w:jc w:val="both"/>
      </w:pPr>
    </w:p>
    <w:p w14:paraId="04A2DFE7" w14:textId="777443C2" w:rsidR="006B7B2E" w:rsidRPr="002B5B00" w:rsidRDefault="006B7B2E" w:rsidP="006B7B2E">
      <w:pPr>
        <w:jc w:val="both"/>
      </w:pPr>
    </w:p>
    <w:p w14:paraId="42585513" w14:textId="77777777" w:rsidR="006B7B2E" w:rsidRPr="002B5B00" w:rsidRDefault="006B7B2E" w:rsidP="006B7B2E">
      <w:pPr>
        <w:jc w:val="both"/>
      </w:pPr>
    </w:p>
    <w:p w14:paraId="5EEF2D5B" w14:textId="1440AE4C" w:rsidR="006B7B2E" w:rsidRPr="002B5B00" w:rsidRDefault="006B7B2E" w:rsidP="006B7B2E">
      <w:pPr>
        <w:pStyle w:val="Odsekzoznamu"/>
        <w:numPr>
          <w:ilvl w:val="0"/>
          <w:numId w:val="29"/>
        </w:numPr>
        <w:jc w:val="both"/>
        <w:rPr>
          <w:sz w:val="24"/>
          <w:szCs w:val="24"/>
        </w:rPr>
      </w:pPr>
      <w:r w:rsidRPr="002B5B00">
        <w:rPr>
          <w:sz w:val="24"/>
          <w:szCs w:val="24"/>
        </w:rPr>
        <w:t>Čl. IV sa dopĺňa bodom 3, ktorý znie:</w:t>
      </w:r>
    </w:p>
    <w:p w14:paraId="18ABE87C" w14:textId="77777777" w:rsidR="006B7B2E" w:rsidRPr="002B5B00" w:rsidRDefault="006B7B2E" w:rsidP="006B7B2E">
      <w:pPr>
        <w:jc w:val="both"/>
      </w:pPr>
      <w:r w:rsidRPr="002B5B00">
        <w:t>„3. V § 49 ods. 2 sa na konci prvej vety pripájajú tieto slová: „prostredníctvom správcu alebo súdu“.“.</w:t>
      </w:r>
    </w:p>
    <w:p w14:paraId="7A7AE157" w14:textId="65419DA7" w:rsidR="006B7B2E" w:rsidRPr="002B5B00" w:rsidRDefault="006B7B2E" w:rsidP="006B7B2E">
      <w:pPr>
        <w:ind w:left="2832"/>
        <w:jc w:val="both"/>
      </w:pPr>
      <w:r w:rsidRPr="002B5B00">
        <w:t>Vzhľadom na funkcionalitu systému, kedy evidencia a zverejňovanie je  v dispozícii výlučne u správcu alebo súdu je potrebné zabezpečiť reálne naplnenie zákonného ustanovenia, ktoré ukladá štatutárnemu orgánu dlžníka povinnosť zverejniť vyhlásenie, že nie je v úpadku v </w:t>
      </w:r>
      <w:proofErr w:type="spellStart"/>
      <w:r w:rsidRPr="002B5B00">
        <w:t>insolvenčnom</w:t>
      </w:r>
      <w:proofErr w:type="spellEnd"/>
      <w:r w:rsidRPr="002B5B00">
        <w:t xml:space="preserve"> registri. </w:t>
      </w:r>
    </w:p>
    <w:p w14:paraId="5723CB61" w14:textId="77777777" w:rsidR="006B7B2E" w:rsidRPr="002B5B00" w:rsidRDefault="006B7B2E" w:rsidP="006B7B2E">
      <w:pPr>
        <w:ind w:firstLine="708"/>
        <w:jc w:val="both"/>
      </w:pPr>
    </w:p>
    <w:p w14:paraId="133E1CFC" w14:textId="77777777" w:rsidR="006B7B2E" w:rsidRPr="002B5B00" w:rsidRDefault="006B7B2E" w:rsidP="006B7B2E">
      <w:pPr>
        <w:jc w:val="both"/>
      </w:pPr>
    </w:p>
    <w:p w14:paraId="763B66F6" w14:textId="5FE9E978" w:rsidR="006B7B2E" w:rsidRPr="002B5B00" w:rsidRDefault="006B7B2E" w:rsidP="007C2A19">
      <w:pPr>
        <w:tabs>
          <w:tab w:val="left" w:pos="284"/>
        </w:tabs>
        <w:ind w:firstLine="567"/>
        <w:jc w:val="both"/>
      </w:pPr>
    </w:p>
    <w:p w14:paraId="2BAE9569" w14:textId="63A69770" w:rsidR="006B7B2E" w:rsidRPr="002B5B00" w:rsidRDefault="006B7B2E" w:rsidP="007C2A19">
      <w:pPr>
        <w:tabs>
          <w:tab w:val="left" w:pos="284"/>
        </w:tabs>
        <w:ind w:firstLine="567"/>
        <w:jc w:val="both"/>
      </w:pPr>
    </w:p>
    <w:p w14:paraId="090C89AB" w14:textId="77777777" w:rsidR="006B7B2E" w:rsidRPr="002B5B00" w:rsidRDefault="006B7B2E" w:rsidP="007C2A19">
      <w:pPr>
        <w:tabs>
          <w:tab w:val="left" w:pos="284"/>
        </w:tabs>
        <w:ind w:firstLine="567"/>
        <w:jc w:val="both"/>
      </w:pPr>
    </w:p>
    <w:p w14:paraId="34E50B95" w14:textId="77777777" w:rsidR="007C2A19" w:rsidRPr="002B5B00" w:rsidRDefault="007C2A19" w:rsidP="007C2A19">
      <w:pPr>
        <w:pStyle w:val="Odsekzoznamu"/>
        <w:spacing w:line="240" w:lineRule="auto"/>
        <w:ind w:left="2835"/>
        <w:jc w:val="both"/>
        <w:rPr>
          <w:sz w:val="24"/>
          <w:szCs w:val="24"/>
        </w:rPr>
      </w:pPr>
    </w:p>
    <w:p w14:paraId="6FCA3051" w14:textId="77777777" w:rsidR="007C2A19" w:rsidRPr="002B5B00" w:rsidRDefault="007C2A19" w:rsidP="003A3FFB">
      <w:pPr>
        <w:tabs>
          <w:tab w:val="left" w:pos="284"/>
        </w:tabs>
        <w:jc w:val="both"/>
      </w:pPr>
    </w:p>
    <w:sectPr w:rsidR="007C2A19" w:rsidRPr="002B5B00" w:rsidSect="00DC6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A306F"/>
    <w:multiLevelType w:val="hybridMultilevel"/>
    <w:tmpl w:val="89924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75C82"/>
    <w:multiLevelType w:val="hybridMultilevel"/>
    <w:tmpl w:val="C7FA6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"/>
  </w:num>
  <w:num w:numId="4">
    <w:abstractNumId w:val="18"/>
  </w:num>
  <w:num w:numId="5">
    <w:abstractNumId w:val="5"/>
  </w:num>
  <w:num w:numId="6">
    <w:abstractNumId w:val="15"/>
  </w:num>
  <w:num w:numId="7">
    <w:abstractNumId w:val="2"/>
  </w:num>
  <w:num w:numId="8">
    <w:abstractNumId w:val="23"/>
  </w:num>
  <w:num w:numId="9">
    <w:abstractNumId w:val="3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1"/>
  </w:num>
  <w:num w:numId="17">
    <w:abstractNumId w:val="17"/>
  </w:num>
  <w:num w:numId="18">
    <w:abstractNumId w:val="11"/>
  </w:num>
  <w:num w:numId="19">
    <w:abstractNumId w:val="8"/>
  </w:num>
  <w:num w:numId="20">
    <w:abstractNumId w:val="7"/>
  </w:num>
  <w:num w:numId="21">
    <w:abstractNumId w:val="22"/>
  </w:num>
  <w:num w:numId="22">
    <w:abstractNumId w:val="12"/>
  </w:num>
  <w:num w:numId="23">
    <w:abstractNumId w:val="20"/>
  </w:num>
  <w:num w:numId="24">
    <w:abstractNumId w:val="6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14595"/>
    <w:rsid w:val="000324AA"/>
    <w:rsid w:val="00040A7F"/>
    <w:rsid w:val="00047983"/>
    <w:rsid w:val="000831C0"/>
    <w:rsid w:val="00093569"/>
    <w:rsid w:val="0009656E"/>
    <w:rsid w:val="000A23F5"/>
    <w:rsid w:val="000A36F6"/>
    <w:rsid w:val="000A6EC2"/>
    <w:rsid w:val="000C44AA"/>
    <w:rsid w:val="000D3027"/>
    <w:rsid w:val="000D686D"/>
    <w:rsid w:val="000E27FD"/>
    <w:rsid w:val="000E5095"/>
    <w:rsid w:val="000F5094"/>
    <w:rsid w:val="00121AA0"/>
    <w:rsid w:val="001274F9"/>
    <w:rsid w:val="001330D7"/>
    <w:rsid w:val="0018256D"/>
    <w:rsid w:val="00187AFD"/>
    <w:rsid w:val="00187C94"/>
    <w:rsid w:val="00191F1D"/>
    <w:rsid w:val="001936D6"/>
    <w:rsid w:val="001B7191"/>
    <w:rsid w:val="00212639"/>
    <w:rsid w:val="00216A46"/>
    <w:rsid w:val="0022102D"/>
    <w:rsid w:val="0023486F"/>
    <w:rsid w:val="002435B4"/>
    <w:rsid w:val="00244013"/>
    <w:rsid w:val="002571D8"/>
    <w:rsid w:val="00297A5C"/>
    <w:rsid w:val="002B5275"/>
    <w:rsid w:val="002B5B00"/>
    <w:rsid w:val="002B6BD5"/>
    <w:rsid w:val="002F3849"/>
    <w:rsid w:val="00305DE5"/>
    <w:rsid w:val="00315035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166FE"/>
    <w:rsid w:val="0046107C"/>
    <w:rsid w:val="00463454"/>
    <w:rsid w:val="004766F9"/>
    <w:rsid w:val="0048624B"/>
    <w:rsid w:val="0048696C"/>
    <w:rsid w:val="00496E3E"/>
    <w:rsid w:val="004C273F"/>
    <w:rsid w:val="004D0AD7"/>
    <w:rsid w:val="004E641D"/>
    <w:rsid w:val="0051091B"/>
    <w:rsid w:val="00522801"/>
    <w:rsid w:val="00530752"/>
    <w:rsid w:val="005379FF"/>
    <w:rsid w:val="00586178"/>
    <w:rsid w:val="00592B75"/>
    <w:rsid w:val="005B29B7"/>
    <w:rsid w:val="005B7CBC"/>
    <w:rsid w:val="00606832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A73B2"/>
    <w:rsid w:val="006B1BF1"/>
    <w:rsid w:val="006B7B2E"/>
    <w:rsid w:val="006C14EF"/>
    <w:rsid w:val="007242F2"/>
    <w:rsid w:val="00725496"/>
    <w:rsid w:val="007413EC"/>
    <w:rsid w:val="0074278D"/>
    <w:rsid w:val="00744EA5"/>
    <w:rsid w:val="007576FA"/>
    <w:rsid w:val="00765460"/>
    <w:rsid w:val="0079425B"/>
    <w:rsid w:val="007C2A19"/>
    <w:rsid w:val="007C6A8C"/>
    <w:rsid w:val="007F1592"/>
    <w:rsid w:val="007F1DCE"/>
    <w:rsid w:val="0081117D"/>
    <w:rsid w:val="00815769"/>
    <w:rsid w:val="008160A3"/>
    <w:rsid w:val="00830CEB"/>
    <w:rsid w:val="00842749"/>
    <w:rsid w:val="00846CE1"/>
    <w:rsid w:val="008554D3"/>
    <w:rsid w:val="0086796F"/>
    <w:rsid w:val="00870C49"/>
    <w:rsid w:val="008859F1"/>
    <w:rsid w:val="008953EC"/>
    <w:rsid w:val="008A496B"/>
    <w:rsid w:val="008A6D30"/>
    <w:rsid w:val="008B24FB"/>
    <w:rsid w:val="008E1E87"/>
    <w:rsid w:val="008E4E0E"/>
    <w:rsid w:val="008F2908"/>
    <w:rsid w:val="0090285D"/>
    <w:rsid w:val="009073F4"/>
    <w:rsid w:val="00936D00"/>
    <w:rsid w:val="009562C4"/>
    <w:rsid w:val="00981E60"/>
    <w:rsid w:val="009920C6"/>
    <w:rsid w:val="00992469"/>
    <w:rsid w:val="009B055C"/>
    <w:rsid w:val="009B3F21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63BA"/>
    <w:rsid w:val="00A90BE9"/>
    <w:rsid w:val="00A96228"/>
    <w:rsid w:val="00AA7600"/>
    <w:rsid w:val="00AC1CFF"/>
    <w:rsid w:val="00AD58A0"/>
    <w:rsid w:val="00AF4CC6"/>
    <w:rsid w:val="00B0542D"/>
    <w:rsid w:val="00B05FF9"/>
    <w:rsid w:val="00B15DB1"/>
    <w:rsid w:val="00B17C7A"/>
    <w:rsid w:val="00B33E14"/>
    <w:rsid w:val="00B45FB0"/>
    <w:rsid w:val="00B55912"/>
    <w:rsid w:val="00B850C4"/>
    <w:rsid w:val="00B90F7A"/>
    <w:rsid w:val="00BB7F2F"/>
    <w:rsid w:val="00BD0F1D"/>
    <w:rsid w:val="00BE0A66"/>
    <w:rsid w:val="00BE5845"/>
    <w:rsid w:val="00BF3DED"/>
    <w:rsid w:val="00C11C19"/>
    <w:rsid w:val="00C125CB"/>
    <w:rsid w:val="00C47906"/>
    <w:rsid w:val="00C57F52"/>
    <w:rsid w:val="00C719AF"/>
    <w:rsid w:val="00C75700"/>
    <w:rsid w:val="00C945F3"/>
    <w:rsid w:val="00CA1860"/>
    <w:rsid w:val="00CA4E08"/>
    <w:rsid w:val="00CD11E1"/>
    <w:rsid w:val="00CE7B39"/>
    <w:rsid w:val="00CF4469"/>
    <w:rsid w:val="00D04570"/>
    <w:rsid w:val="00D05DFD"/>
    <w:rsid w:val="00D110F5"/>
    <w:rsid w:val="00D54E6A"/>
    <w:rsid w:val="00D67E24"/>
    <w:rsid w:val="00D86D9E"/>
    <w:rsid w:val="00D944E0"/>
    <w:rsid w:val="00DB0275"/>
    <w:rsid w:val="00DB2440"/>
    <w:rsid w:val="00DC6119"/>
    <w:rsid w:val="00DC6EA1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8303D"/>
    <w:rsid w:val="00E91AA7"/>
    <w:rsid w:val="00EC7126"/>
    <w:rsid w:val="00ED105A"/>
    <w:rsid w:val="00ED12BD"/>
    <w:rsid w:val="00F231B2"/>
    <w:rsid w:val="00F2516F"/>
    <w:rsid w:val="00F62370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8AB4"/>
  <w15:docId w15:val="{9C42839B-8FFF-4262-AEAE-AACAB40B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DB244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205</cp:revision>
  <cp:lastPrinted>2025-09-03T11:45:00Z</cp:lastPrinted>
  <dcterms:created xsi:type="dcterms:W3CDTF">2021-04-01T09:49:00Z</dcterms:created>
  <dcterms:modified xsi:type="dcterms:W3CDTF">2025-09-05T08:01:00Z</dcterms:modified>
</cp:coreProperties>
</file>