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D9C8FB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D72327">
        <w:rPr>
          <w:sz w:val="22"/>
          <w:szCs w:val="22"/>
        </w:rPr>
        <w:t>80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4C15D98" w:rsidR="00BE641C" w:rsidRDefault="00223070">
      <w:pPr>
        <w:pStyle w:val="rozhodnutia"/>
      </w:pPr>
      <w:r>
        <w:t>9</w:t>
      </w:r>
      <w:r w:rsidR="00D72327">
        <w:t>90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98F70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1D09213" w:rsidR="001E0D37" w:rsidRPr="0037309B" w:rsidRDefault="001E0D37" w:rsidP="00D72327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72327" w:rsidRPr="00D72327">
        <w:rPr>
          <w:rFonts w:cs="Arial"/>
          <w:noProof/>
          <w:sz w:val="22"/>
          <w:lang w:val="sk-SK"/>
        </w:rPr>
        <w:t xml:space="preserve">poslancov Národnej rady Slovenskej republiky Vladimíry MARCINKOVEJ a Vladimíra LEDECKÉHO a  vydanie zákona, ktorým sa mení a dopĺňa zákon č. 147/2001 Z. z. o reklame a o zmene a doplnení niektorých zákonov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A35B2">
        <w:rPr>
          <w:rFonts w:cs="Arial"/>
          <w:noProof/>
          <w:sz w:val="22"/>
          <w:szCs w:val="22"/>
          <w:lang w:val="sk-SK"/>
        </w:rPr>
        <w:t>4</w:t>
      </w:r>
      <w:r w:rsidR="00D72327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C6EC4E5" w14:textId="77777777" w:rsidR="00D72327" w:rsidRDefault="00AA6F63" w:rsidP="00FA35B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78CE746B" w14:textId="74F512BB" w:rsidR="0017333C" w:rsidRDefault="00D72327" w:rsidP="00FA35B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hospodárske záležitosti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1B2784F9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72327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B0AD85A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D72327">
        <w:rPr>
          <w:rFonts w:ascii="Arial" w:hAnsi="Arial" w:cs="Arial"/>
          <w:sz w:val="22"/>
          <w:szCs w:val="22"/>
        </w:rPr>
        <w:t>hospodárske záležitosti</w:t>
      </w:r>
      <w:r w:rsidR="00BF78BF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B0618C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D7232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7B1BE872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60F0ABA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BF78BF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A57AD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9817-2BF9-43DD-83D8-07E95878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2025-08-26T13:00:00Z</cp:lastPrinted>
  <dcterms:created xsi:type="dcterms:W3CDTF">2025-08-26T07:10:00Z</dcterms:created>
  <dcterms:modified xsi:type="dcterms:W3CDTF">2025-08-26T13:00:00Z</dcterms:modified>
</cp:coreProperties>
</file>