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</w:t>
      </w:r>
      <w:r w:rsidR="009F2A02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071BEC">
        <w:rPr>
          <w:rFonts w:ascii="Times New Roman" w:hAnsi="Times New Roman" w:cs="Times New Roman"/>
          <w:sz w:val="24"/>
          <w:szCs w:val="24"/>
          <w:lang w:val="sk-SK"/>
        </w:rPr>
        <w:t xml:space="preserve"> Ondrej Dostál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F2A02">
        <w:rPr>
          <w:rFonts w:ascii="Times New Roman" w:hAnsi="Times New Roman" w:cs="Times New Roman"/>
          <w:sz w:val="24"/>
          <w:szCs w:val="24"/>
          <w:lang w:val="sk-SK"/>
        </w:rPr>
        <w:t>a Marián Viskupič</w:t>
      </w:r>
    </w:p>
    <w:p w:rsidR="00EC495F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Default="00EC495F" w:rsidP="008D0FD5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č. 180/2013 Z. z. o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organizácii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miestnej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štátnej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správy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Pr="009F2A02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F2A02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Pr="009F2A0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F2A02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Pr="009F2A0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9F2A0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Pr="009F2A02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9F2A0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Stupeň zlučiteľnosti - úplný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E2351" w:rsidRDefault="00BE2351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1538F" w:rsidRDefault="0071538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Default="000976DD" w:rsidP="0007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č. 180/2013 Z. z. o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organizácii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miestnej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štátnej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správy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71538F" w:rsidRPr="007153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538F" w:rsidRPr="0071538F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C3440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C3440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9F2A0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CE74EF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3.</w:t>
            </w:r>
            <w:r w:rsidR="003F360E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Sociálne vplyvy 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EA75F9" w:rsidRDefault="00EA75F9" w:rsidP="00C34404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Návrh zákona bude mať krátkodobé negatívne vplyvy na rozpočet verejnej správy súvisiace s odchodným a odstupným vyplateným zamestnancom, ktorých funkčné miesta sa budú návrhom redukovať a zároveň pozitívne vplyvy na rozpočet verejnej správy súvisiace s touto redukciou.</w:t>
      </w:r>
    </w:p>
    <w:p w:rsidR="00C34404" w:rsidRDefault="00C34404" w:rsidP="00C34404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 analýze vplyvov návrhu zákona vychádzame z </w:t>
      </w:r>
      <w:r w:rsidRPr="00C34404">
        <w:rPr>
          <w:rFonts w:ascii="Times New Roman" w:hAnsi="Times New Roman" w:cs="Times New Roman"/>
          <w:bCs/>
        </w:rPr>
        <w:t>Analýz</w:t>
      </w:r>
      <w:r>
        <w:rPr>
          <w:rFonts w:ascii="Times New Roman" w:hAnsi="Times New Roman" w:cs="Times New Roman"/>
          <w:bCs/>
        </w:rPr>
        <w:t>y</w:t>
      </w:r>
      <w:r w:rsidRPr="00C34404">
        <w:rPr>
          <w:rFonts w:ascii="Times New Roman" w:hAnsi="Times New Roman" w:cs="Times New Roman"/>
          <w:bCs/>
        </w:rPr>
        <w:t xml:space="preserve"> efektívnosti a významu okresných úradov malých okresov SR</w:t>
      </w:r>
      <w:r>
        <w:rPr>
          <w:rFonts w:ascii="Times New Roman" w:hAnsi="Times New Roman" w:cs="Times New Roman"/>
          <w:bCs/>
        </w:rPr>
        <w:t xml:space="preserve">, ktorú v roku 2021 pripravil </w:t>
      </w:r>
      <w:r w:rsidRPr="00C34404">
        <w:rPr>
          <w:rFonts w:ascii="Times New Roman" w:hAnsi="Times New Roman" w:cs="Times New Roman"/>
          <w:bCs/>
        </w:rPr>
        <w:t>Inštitút správnych a bezpečnostných analýz</w:t>
      </w:r>
      <w:r>
        <w:rPr>
          <w:rFonts w:ascii="Times New Roman" w:hAnsi="Times New Roman" w:cs="Times New Roman"/>
          <w:bCs/>
        </w:rPr>
        <w:t xml:space="preserve"> (ISBA) </w:t>
      </w:r>
      <w:r w:rsidRPr="00C34404">
        <w:rPr>
          <w:rFonts w:ascii="Times New Roman" w:hAnsi="Times New Roman" w:cs="Times New Roman"/>
          <w:bCs/>
        </w:rPr>
        <w:t>Ministerstv</w:t>
      </w:r>
      <w:r>
        <w:rPr>
          <w:rFonts w:ascii="Times New Roman" w:hAnsi="Times New Roman" w:cs="Times New Roman"/>
          <w:bCs/>
        </w:rPr>
        <w:t>a</w:t>
      </w:r>
      <w:r w:rsidRPr="00C34404">
        <w:rPr>
          <w:rFonts w:ascii="Times New Roman" w:hAnsi="Times New Roman" w:cs="Times New Roman"/>
          <w:bCs/>
        </w:rPr>
        <w:t xml:space="preserve"> vnútra SR</w:t>
      </w:r>
      <w:r>
        <w:rPr>
          <w:rFonts w:ascii="Times New Roman" w:hAnsi="Times New Roman" w:cs="Times New Roman"/>
          <w:bCs/>
        </w:rPr>
        <w:t xml:space="preserve"> a je verejne dostupná na adrese: </w:t>
      </w:r>
      <w:hyperlink r:id="rId5" w:history="1">
        <w:r w:rsidRPr="009F68A8">
          <w:rPr>
            <w:rStyle w:val="Hypertextovprepojenie"/>
            <w:rFonts w:ascii="Times New Roman" w:hAnsi="Times New Roman" w:cs="Times New Roman"/>
            <w:bCs/>
          </w:rPr>
          <w:t>https://analyzy.gov.sk/files/archiv/94/38744_material_hlasovanie.pdf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="00C34404" w:rsidRDefault="00C34404" w:rsidP="00C34404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Ako uvádza ISBA</w:t>
      </w:r>
      <w:r w:rsidR="00EA75F9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v zmienenej analýze je </w:t>
      </w:r>
      <w:r w:rsidRPr="00C34404">
        <w:rPr>
          <w:rFonts w:ascii="Times New Roman" w:hAnsi="Times New Roman" w:cs="Times New Roman"/>
          <w:bCs/>
        </w:rPr>
        <w:t>predstav</w:t>
      </w:r>
      <w:r>
        <w:rPr>
          <w:rFonts w:ascii="Times New Roman" w:hAnsi="Times New Roman" w:cs="Times New Roman"/>
          <w:bCs/>
        </w:rPr>
        <w:t xml:space="preserve">ená, citujeme, </w:t>
      </w:r>
      <w:r w:rsidRPr="00EA75F9">
        <w:rPr>
          <w:rFonts w:ascii="Times New Roman" w:hAnsi="Times New Roman" w:cs="Times New Roman"/>
          <w:bCs/>
          <w:i/>
        </w:rPr>
        <w:t>„odpoveď na otázku, či sú OÚ 3. typu efektívnym riešením poskytovania služieb miestnej štátnej správy. Naša odpoveď je záporná, pretože pri nižšom dopyte a nižšej miere vyťaženosti týchto úradov sú náklady rovnaké alebo vyššie ako u OÚ vyššieho typu. Súčasne je naša odpoveď záporná aj na centrálnu otázku, ktorú sme položili, či musí mať každý územno-správny obvod svoj vlastný okresný úrad. Už dnes existujú precedensy pre toto tvrdenie. Po prvé, existujú 2 okresné úrady OÚ Bratislava a OÚ Košice, ktoré poskytujú služby miestnej štátnej správy pre viac ako jeden okres.15 Po druhé, viaceré okresy zabezpečujú vybrané služby miestnej štátnej správy vo vybraných úsekoch aj pre iné ako domovské okresy.</w:t>
      </w:r>
      <w:r w:rsidR="00EA75F9" w:rsidRPr="00EA75F9">
        <w:rPr>
          <w:rFonts w:ascii="Times New Roman" w:hAnsi="Times New Roman" w:cs="Times New Roman"/>
          <w:bCs/>
          <w:i/>
        </w:rPr>
        <w:t xml:space="preserve"> </w:t>
      </w:r>
      <w:r w:rsidRPr="00EA75F9">
        <w:rPr>
          <w:rFonts w:ascii="Times New Roman" w:hAnsi="Times New Roman" w:cs="Times New Roman"/>
          <w:bCs/>
          <w:i/>
        </w:rPr>
        <w:t xml:space="preserve">Považujeme za efektívnejšie riešenie v zmysle úspor z rozsahu </w:t>
      </w:r>
      <w:proofErr w:type="spellStart"/>
      <w:r w:rsidRPr="00EA75F9">
        <w:rPr>
          <w:rFonts w:ascii="Times New Roman" w:hAnsi="Times New Roman" w:cs="Times New Roman"/>
          <w:bCs/>
          <w:i/>
        </w:rPr>
        <w:t>rekonfigurovať</w:t>
      </w:r>
      <w:proofErr w:type="spellEnd"/>
      <w:r w:rsidRPr="00EA75F9">
        <w:rPr>
          <w:rFonts w:ascii="Times New Roman" w:hAnsi="Times New Roman" w:cs="Times New Roman"/>
          <w:bCs/>
          <w:i/>
        </w:rPr>
        <w:t xml:space="preserve"> súčasné členenie OÚ tak, že OÚ 3. typu budú zrušené.“</w:t>
      </w:r>
    </w:p>
    <w:p w:rsidR="00C34404" w:rsidRDefault="00C34404" w:rsidP="00C34404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Pokiaľ ide </w:t>
      </w:r>
      <w:r w:rsidRPr="00C34404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dhad dopadov zmeny štruktúry OÚ, autori analýzy</w:t>
      </w:r>
      <w:r w:rsidRPr="00C3440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</w:t>
      </w:r>
      <w:r w:rsidRPr="00C34404">
        <w:rPr>
          <w:rFonts w:ascii="Times New Roman" w:hAnsi="Times New Roman" w:cs="Times New Roman"/>
          <w:bCs/>
        </w:rPr>
        <w:t>ychádza</w:t>
      </w:r>
      <w:r>
        <w:rPr>
          <w:rFonts w:ascii="Times New Roman" w:hAnsi="Times New Roman" w:cs="Times New Roman"/>
          <w:bCs/>
        </w:rPr>
        <w:t>jú</w:t>
      </w:r>
      <w:r w:rsidRPr="00EA75F9">
        <w:rPr>
          <w:rFonts w:ascii="Times New Roman" w:hAnsi="Times New Roman" w:cs="Times New Roman"/>
          <w:bCs/>
          <w:i/>
        </w:rPr>
        <w:t xml:space="preserve"> „z predpokladu, že dostupnosť služieb miestnej štátnej správy pre občanov a ďalšie subjekty zostane regionálne zachovaná. Tento predpoklad sa opiera o skutočnosť, že klientske centrá OÚ zostanú zachované v príslušných okresoch, kde sa nachádzajú OÚ, ktoré sa môžu potenciálne rušiť. Znamená to, že organizácia práce na OÚ, pod ktoré budú v možnej budúcnosti spadať, zabezpečí služby pre občana v podobe prijímania žiadostí a podnetov ako aj poskytovanie informácií, či bezodkladné činnosti.“</w:t>
      </w:r>
    </w:p>
    <w:p w:rsidR="002E66B3" w:rsidRDefault="002E66B3" w:rsidP="00C34404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Analýza ISBA pracuje s </w:t>
      </w:r>
      <w:r w:rsidR="00115642">
        <w:rPr>
          <w:rFonts w:ascii="Times New Roman" w:hAnsi="Times New Roman" w:cs="Times New Roman"/>
          <w:bCs/>
        </w:rPr>
        <w:t>nasledovnými</w:t>
      </w:r>
      <w:r>
        <w:rPr>
          <w:rFonts w:ascii="Times New Roman" w:hAnsi="Times New Roman" w:cs="Times New Roman"/>
          <w:bCs/>
        </w:rPr>
        <w:t xml:space="preserve"> </w:t>
      </w:r>
      <w:r w:rsidR="00305134">
        <w:rPr>
          <w:rFonts w:ascii="Times New Roman" w:hAnsi="Times New Roman" w:cs="Times New Roman"/>
          <w:bCs/>
        </w:rPr>
        <w:t xml:space="preserve">základnými </w:t>
      </w:r>
      <w:r>
        <w:rPr>
          <w:rFonts w:ascii="Times New Roman" w:hAnsi="Times New Roman" w:cs="Times New Roman"/>
          <w:bCs/>
        </w:rPr>
        <w:t>scenármi, ktorými sú:</w:t>
      </w:r>
    </w:p>
    <w:p w:rsidR="00C34404" w:rsidRPr="00EA75F9" w:rsidRDefault="002E66B3" w:rsidP="002E66B3">
      <w:pPr>
        <w:pStyle w:val="Zkladntext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Cs/>
          <w:i/>
        </w:rPr>
      </w:pPr>
      <w:r w:rsidRPr="00EA75F9">
        <w:rPr>
          <w:rFonts w:ascii="Times New Roman" w:hAnsi="Times New Roman" w:cs="Times New Roman"/>
          <w:bCs/>
          <w:i/>
        </w:rPr>
        <w:t>Scenár A1: Plošné zrušenie OÚ tretieho typu bez náhrady,</w:t>
      </w:r>
    </w:p>
    <w:p w:rsidR="00C34404" w:rsidRPr="00EA75F9" w:rsidRDefault="00C34404" w:rsidP="00C34404">
      <w:pPr>
        <w:pStyle w:val="Zkladntext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Cs/>
          <w:i/>
        </w:rPr>
      </w:pPr>
      <w:r w:rsidRPr="00EA75F9">
        <w:rPr>
          <w:rFonts w:ascii="Times New Roman" w:hAnsi="Times New Roman" w:cs="Times New Roman"/>
          <w:bCs/>
          <w:i/>
        </w:rPr>
        <w:t>Scenár A2: Organizačné podriadenie OÚ 3. typu</w:t>
      </w:r>
      <w:r w:rsidR="002E66B3" w:rsidRPr="00EA75F9">
        <w:rPr>
          <w:rFonts w:ascii="Times New Roman" w:hAnsi="Times New Roman" w:cs="Times New Roman"/>
          <w:bCs/>
          <w:i/>
        </w:rPr>
        <w:t>,</w:t>
      </w:r>
    </w:p>
    <w:p w:rsidR="002E66B3" w:rsidRDefault="00691189" w:rsidP="00C34404">
      <w:pPr>
        <w:pStyle w:val="Zkladntext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Scenár A3: Arbitrárna redukcia,</w:t>
      </w:r>
    </w:p>
    <w:p w:rsidR="00691189" w:rsidRPr="00EA75F9" w:rsidRDefault="00273FA7" w:rsidP="00C34404">
      <w:pPr>
        <w:pStyle w:val="Zkladntext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Scenár B: </w:t>
      </w:r>
      <w:r w:rsidR="00691189" w:rsidRPr="00691189">
        <w:rPr>
          <w:rFonts w:ascii="Times New Roman" w:hAnsi="Times New Roman" w:cs="Times New Roman"/>
          <w:bCs/>
          <w:i/>
        </w:rPr>
        <w:t>Scenár transformácie OÚ tretieho typu na základe potrebných kapacít</w:t>
      </w:r>
      <w:r w:rsidR="00691189">
        <w:rPr>
          <w:rFonts w:ascii="Times New Roman" w:hAnsi="Times New Roman" w:cs="Times New Roman"/>
          <w:bCs/>
          <w:i/>
        </w:rPr>
        <w:t>.</w:t>
      </w:r>
    </w:p>
    <w:p w:rsidR="002E66B3" w:rsidRPr="002E66B3" w:rsidRDefault="002E66B3" w:rsidP="002E66B3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Porovnanie dopadov scenárov (rok 2021) je sumarizované v nasledujúcej tabuľke</w:t>
      </w:r>
      <w:r w:rsidR="00595E26">
        <w:rPr>
          <w:rFonts w:ascii="Times New Roman" w:hAnsi="Times New Roman" w:cs="Times New Roman"/>
          <w:bCs/>
        </w:rPr>
        <w:t xml:space="preserve"> (tab. č. 21, str. 40 citovanej analýzy)</w:t>
      </w:r>
      <w:r>
        <w:rPr>
          <w:rFonts w:ascii="Times New Roman" w:hAnsi="Times New Roman" w:cs="Times New Roman"/>
          <w:bCs/>
        </w:rPr>
        <w:t>:</w:t>
      </w:r>
    </w:p>
    <w:p w:rsidR="00C34404" w:rsidRDefault="00C34404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760720" cy="212286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404" w:rsidRDefault="00C34404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1FB"/>
    <w:multiLevelType w:val="hybridMultilevel"/>
    <w:tmpl w:val="8BBAD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F"/>
    <w:rsid w:val="00044E16"/>
    <w:rsid w:val="00056460"/>
    <w:rsid w:val="00071BEC"/>
    <w:rsid w:val="000976DD"/>
    <w:rsid w:val="000D61EF"/>
    <w:rsid w:val="001002A9"/>
    <w:rsid w:val="0011122B"/>
    <w:rsid w:val="00115642"/>
    <w:rsid w:val="00122611"/>
    <w:rsid w:val="001917A5"/>
    <w:rsid w:val="001E7596"/>
    <w:rsid w:val="00207304"/>
    <w:rsid w:val="00273FA7"/>
    <w:rsid w:val="00277DDF"/>
    <w:rsid w:val="002869FC"/>
    <w:rsid w:val="002E0639"/>
    <w:rsid w:val="002E66B3"/>
    <w:rsid w:val="00305134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0163D"/>
    <w:rsid w:val="004151C2"/>
    <w:rsid w:val="00462C77"/>
    <w:rsid w:val="004A2541"/>
    <w:rsid w:val="004A7EDC"/>
    <w:rsid w:val="004C2E69"/>
    <w:rsid w:val="004D3F38"/>
    <w:rsid w:val="00510D8A"/>
    <w:rsid w:val="00534F7F"/>
    <w:rsid w:val="005527B4"/>
    <w:rsid w:val="00561D54"/>
    <w:rsid w:val="005632E8"/>
    <w:rsid w:val="0057676F"/>
    <w:rsid w:val="00595E26"/>
    <w:rsid w:val="005C1450"/>
    <w:rsid w:val="005D24BF"/>
    <w:rsid w:val="005E2159"/>
    <w:rsid w:val="0061236E"/>
    <w:rsid w:val="00653CE1"/>
    <w:rsid w:val="00691189"/>
    <w:rsid w:val="00700036"/>
    <w:rsid w:val="0071538F"/>
    <w:rsid w:val="00733810"/>
    <w:rsid w:val="008A4D12"/>
    <w:rsid w:val="008B3ECA"/>
    <w:rsid w:val="008D0FD5"/>
    <w:rsid w:val="008D61E2"/>
    <w:rsid w:val="008E5829"/>
    <w:rsid w:val="00903A4E"/>
    <w:rsid w:val="0095245A"/>
    <w:rsid w:val="00963B0C"/>
    <w:rsid w:val="009744AD"/>
    <w:rsid w:val="009C468A"/>
    <w:rsid w:val="009D3781"/>
    <w:rsid w:val="009F2A02"/>
    <w:rsid w:val="00A340BF"/>
    <w:rsid w:val="00A43788"/>
    <w:rsid w:val="00A63AE3"/>
    <w:rsid w:val="00A940D2"/>
    <w:rsid w:val="00AA2869"/>
    <w:rsid w:val="00AB055B"/>
    <w:rsid w:val="00AC52E5"/>
    <w:rsid w:val="00AD171C"/>
    <w:rsid w:val="00B62449"/>
    <w:rsid w:val="00BC47DB"/>
    <w:rsid w:val="00BE2351"/>
    <w:rsid w:val="00C057D3"/>
    <w:rsid w:val="00C12698"/>
    <w:rsid w:val="00C20D8A"/>
    <w:rsid w:val="00C34404"/>
    <w:rsid w:val="00C41536"/>
    <w:rsid w:val="00C74349"/>
    <w:rsid w:val="00C776B5"/>
    <w:rsid w:val="00C94975"/>
    <w:rsid w:val="00CE74EF"/>
    <w:rsid w:val="00D641D9"/>
    <w:rsid w:val="00D8555B"/>
    <w:rsid w:val="00E77C6B"/>
    <w:rsid w:val="00EA75F9"/>
    <w:rsid w:val="00EC495F"/>
    <w:rsid w:val="00F77767"/>
    <w:rsid w:val="00FB4E78"/>
    <w:rsid w:val="00FB71F4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404"/>
    <w:rPr>
      <w:rFonts w:ascii="Tahoma" w:hAnsi="Tahoma" w:cs="Tahoma"/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C344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nalyzy.gov.sk/files/archiv/94/38744_material_hlasova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Dell</cp:lastModifiedBy>
  <cp:revision>17</cp:revision>
  <cp:lastPrinted>2016-04-21T19:13:00Z</cp:lastPrinted>
  <dcterms:created xsi:type="dcterms:W3CDTF">2025-03-07T08:31:00Z</dcterms:created>
  <dcterms:modified xsi:type="dcterms:W3CDTF">2025-08-22T11:38:00Z</dcterms:modified>
</cp:coreProperties>
</file>